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FB" w:rsidRPr="00A27292" w:rsidRDefault="00D322FB" w:rsidP="00842A0E">
      <w:pPr>
        <w:ind w:right="-211"/>
        <w:rPr>
          <w:rFonts w:ascii="Arial" w:hAnsi="Arial" w:cs="Arial"/>
          <w:b/>
          <w:sz w:val="36"/>
          <w:lang w:val="tr-TR"/>
        </w:rPr>
      </w:pPr>
    </w:p>
    <w:p w:rsidR="00D322FB" w:rsidRPr="001E5267" w:rsidRDefault="00D322FB" w:rsidP="00842A0E">
      <w:pPr>
        <w:ind w:right="-211"/>
        <w:rPr>
          <w:rFonts w:ascii="Arial" w:hAnsi="Arial" w:cs="Arial"/>
          <w:b/>
          <w:sz w:val="44"/>
          <w:lang w:val="tr-TR"/>
        </w:rPr>
      </w:pPr>
      <w:r w:rsidRPr="001E5267">
        <w:rPr>
          <w:rFonts w:ascii="Arial" w:hAnsi="Arial" w:cs="Arial"/>
          <w:b/>
          <w:sz w:val="44"/>
          <w:lang w:val="tr-TR"/>
        </w:rPr>
        <w:t xml:space="preserve">Ata Portföy Yönetimi </w:t>
      </w:r>
    </w:p>
    <w:p w:rsidR="00D322FB" w:rsidRPr="001E5267" w:rsidRDefault="00D322FB" w:rsidP="00842A0E">
      <w:pPr>
        <w:ind w:right="-211"/>
        <w:rPr>
          <w:rFonts w:ascii="Arial" w:hAnsi="Arial" w:cs="Arial"/>
          <w:b/>
          <w:sz w:val="44"/>
          <w:lang w:val="tr-TR"/>
        </w:rPr>
      </w:pPr>
      <w:r w:rsidRPr="001E5267">
        <w:rPr>
          <w:rFonts w:ascii="Arial" w:hAnsi="Arial" w:cs="Arial"/>
          <w:b/>
          <w:sz w:val="44"/>
          <w:lang w:val="tr-TR"/>
        </w:rPr>
        <w:t>Anonim Şirketi</w:t>
      </w:r>
    </w:p>
    <w:p w:rsidR="00D322FB" w:rsidRPr="001E5267" w:rsidRDefault="00D322FB" w:rsidP="00842A0E">
      <w:pPr>
        <w:ind w:left="284" w:right="238"/>
        <w:rPr>
          <w:rFonts w:ascii="Arial" w:hAnsi="Arial" w:cs="Arial"/>
          <w:b/>
          <w:lang w:val="tr-TR"/>
        </w:rPr>
      </w:pPr>
    </w:p>
    <w:p w:rsidR="00D322FB" w:rsidRPr="00E34EEA" w:rsidRDefault="00D322FB" w:rsidP="00E34EEA">
      <w:pPr>
        <w:rPr>
          <w:rFonts w:ascii="Arial" w:hAnsi="Arial" w:cs="Arial"/>
          <w:b/>
          <w:sz w:val="28"/>
          <w:szCs w:val="24"/>
          <w:lang w:val="tr-TR"/>
        </w:rPr>
        <w:sectPr w:rsidR="00D322FB" w:rsidRPr="00E34EEA" w:rsidSect="00EC45B3">
          <w:pgSz w:w="11907" w:h="16834" w:code="9"/>
          <w:pgMar w:top="2155" w:right="1814" w:bottom="11964" w:left="2665" w:header="709" w:footer="992" w:gutter="0"/>
          <w:pgNumType w:start="2"/>
          <w:cols w:space="708"/>
          <w:docGrid w:linePitch="272"/>
        </w:sectPr>
      </w:pPr>
      <w:r w:rsidRPr="00842630">
        <w:rPr>
          <w:rFonts w:ascii="Arial" w:hAnsi="Arial" w:cs="Arial"/>
          <w:b/>
          <w:sz w:val="28"/>
          <w:szCs w:val="24"/>
          <w:lang w:val="tr-TR"/>
        </w:rPr>
        <w:t>31 M</w:t>
      </w:r>
      <w:r>
        <w:rPr>
          <w:rFonts w:ascii="Arial" w:hAnsi="Arial" w:cs="Arial"/>
          <w:b/>
          <w:sz w:val="28"/>
          <w:szCs w:val="24"/>
          <w:lang w:val="tr-TR"/>
        </w:rPr>
        <w:t>art</w:t>
      </w:r>
      <w:r w:rsidRPr="00842630">
        <w:rPr>
          <w:rFonts w:ascii="Arial" w:hAnsi="Arial" w:cs="Arial"/>
          <w:b/>
          <w:sz w:val="28"/>
          <w:szCs w:val="24"/>
          <w:lang w:val="tr-TR"/>
        </w:rPr>
        <w:t xml:space="preserve"> 201</w:t>
      </w:r>
      <w:r>
        <w:rPr>
          <w:rFonts w:ascii="Arial" w:hAnsi="Arial" w:cs="Arial"/>
          <w:b/>
          <w:sz w:val="28"/>
          <w:szCs w:val="24"/>
          <w:lang w:val="tr-TR"/>
        </w:rPr>
        <w:t>5</w:t>
      </w:r>
      <w:r w:rsidR="00E34EEA">
        <w:rPr>
          <w:rFonts w:ascii="Arial" w:hAnsi="Arial" w:cs="Arial"/>
          <w:b/>
          <w:sz w:val="28"/>
          <w:szCs w:val="24"/>
          <w:lang w:val="tr-TR"/>
        </w:rPr>
        <w:t xml:space="preserve"> tarihinde  sona eren ara hesap dönemine ait  bağımsız incelemeden denetimden geçmemiş </w:t>
      </w:r>
      <w:r w:rsidRPr="00842630">
        <w:rPr>
          <w:rFonts w:ascii="Arial" w:hAnsi="Arial" w:cs="Arial"/>
          <w:b/>
          <w:sz w:val="28"/>
          <w:szCs w:val="24"/>
          <w:lang w:val="tr-TR"/>
        </w:rPr>
        <w:t xml:space="preserve"> </w:t>
      </w:r>
      <w:r w:rsidR="00E34EEA">
        <w:rPr>
          <w:rFonts w:ascii="Arial" w:hAnsi="Arial" w:cs="Arial"/>
          <w:b/>
          <w:sz w:val="28"/>
          <w:szCs w:val="24"/>
          <w:lang w:val="tr-TR"/>
        </w:rPr>
        <w:t>finansal tablolar ve dipnotları</w:t>
      </w:r>
    </w:p>
    <w:p w:rsidR="00D322FB" w:rsidRPr="001E5267" w:rsidRDefault="00D322FB" w:rsidP="00257513">
      <w:pPr>
        <w:widowControl w:val="0"/>
        <w:rPr>
          <w:rFonts w:ascii="Arial" w:hAnsi="Arial" w:cs="Arial"/>
          <w:b/>
          <w:lang w:val="tr-TR"/>
        </w:rPr>
      </w:pPr>
      <w:r w:rsidRPr="001E5267">
        <w:rPr>
          <w:rFonts w:ascii="Arial" w:hAnsi="Arial" w:cs="Arial"/>
          <w:b/>
          <w:lang w:val="tr-TR"/>
        </w:rPr>
        <w:lastRenderedPageBreak/>
        <w:t>Ata Portföy Yönetimi Anonim Şirketi</w:t>
      </w:r>
    </w:p>
    <w:p w:rsidR="00D322FB" w:rsidRPr="001E5267" w:rsidRDefault="00D322FB" w:rsidP="00257513">
      <w:pPr>
        <w:widowControl w:val="0"/>
        <w:rPr>
          <w:rFonts w:ascii="Arial" w:hAnsi="Arial" w:cs="Arial"/>
          <w:lang w:val="tr-TR"/>
        </w:rPr>
      </w:pPr>
    </w:p>
    <w:p w:rsidR="00D322FB" w:rsidRPr="001E5267" w:rsidRDefault="00D322FB" w:rsidP="00257513">
      <w:pPr>
        <w:ind w:right="-284"/>
        <w:rPr>
          <w:rFonts w:ascii="Arial" w:hAnsi="Arial" w:cs="Arial"/>
          <w:bCs/>
          <w:lang w:val="tr-TR"/>
        </w:rPr>
      </w:pPr>
    </w:p>
    <w:p w:rsidR="00D322FB" w:rsidRPr="00727376" w:rsidRDefault="00D322FB" w:rsidP="00257513">
      <w:pPr>
        <w:widowControl w:val="0"/>
        <w:rPr>
          <w:rFonts w:ascii="Arial" w:hAnsi="Arial" w:cs="Arial"/>
          <w:bCs/>
          <w:highlight w:val="yellow"/>
          <w:lang w:val="tr-TR"/>
        </w:rPr>
      </w:pPr>
    </w:p>
    <w:p w:rsidR="00D322FB" w:rsidRPr="001E5267" w:rsidRDefault="00D322FB" w:rsidP="00257513">
      <w:pPr>
        <w:widowControl w:val="0"/>
        <w:tabs>
          <w:tab w:val="right" w:pos="9071"/>
        </w:tabs>
        <w:spacing w:line="360" w:lineRule="auto"/>
        <w:rPr>
          <w:rFonts w:ascii="Arial" w:hAnsi="Arial" w:cs="Arial"/>
          <w:b/>
          <w:lang w:val="tr-TR"/>
        </w:rPr>
      </w:pPr>
      <w:r w:rsidRPr="001E5267">
        <w:rPr>
          <w:rFonts w:ascii="Arial" w:hAnsi="Arial" w:cs="Arial"/>
          <w:b/>
          <w:bCs/>
          <w:lang w:val="tr-TR"/>
        </w:rPr>
        <w:t>İçindekiler</w:t>
      </w:r>
      <w:r w:rsidRPr="001E5267">
        <w:rPr>
          <w:rFonts w:ascii="Arial" w:hAnsi="Arial" w:cs="Arial"/>
          <w:b/>
          <w:lang w:val="tr-TR"/>
        </w:rPr>
        <w:t xml:space="preserve"> </w:t>
      </w:r>
      <w:r w:rsidRPr="001E5267">
        <w:rPr>
          <w:rFonts w:ascii="Arial" w:hAnsi="Arial" w:cs="Arial"/>
          <w:b/>
          <w:lang w:val="tr-TR"/>
        </w:rPr>
        <w:tab/>
      </w:r>
      <w:r w:rsidRPr="001E5267">
        <w:rPr>
          <w:rFonts w:ascii="Arial" w:hAnsi="Arial" w:cs="Arial"/>
          <w:b/>
          <w:u w:val="single"/>
          <w:lang w:val="tr-TR"/>
        </w:rPr>
        <w:t>Sayfa</w:t>
      </w:r>
    </w:p>
    <w:p w:rsidR="00D322FB" w:rsidRPr="001E5267" w:rsidRDefault="00D322FB" w:rsidP="00257513">
      <w:pPr>
        <w:pStyle w:val="ABLOCKPARA10"/>
        <w:tabs>
          <w:tab w:val="right" w:pos="9071"/>
        </w:tabs>
        <w:spacing w:line="360" w:lineRule="auto"/>
        <w:rPr>
          <w:rFonts w:ascii="Arial" w:hAnsi="Arial" w:cs="Arial"/>
          <w:lang w:val="tr-TR"/>
        </w:rPr>
      </w:pPr>
      <w:r w:rsidRPr="001E5267">
        <w:rPr>
          <w:rFonts w:ascii="Arial" w:hAnsi="Arial" w:cs="Arial"/>
          <w:bCs/>
          <w:lang w:val="tr-TR"/>
        </w:rPr>
        <w:t>Finansal durum tablosu</w:t>
      </w:r>
      <w:r>
        <w:rPr>
          <w:rFonts w:ascii="Arial" w:hAnsi="Arial" w:cs="Arial"/>
          <w:bCs/>
          <w:lang w:val="tr-TR"/>
        </w:rPr>
        <w:t xml:space="preserve"> (bilanço)</w:t>
      </w:r>
      <w:r w:rsidRPr="001E5267">
        <w:rPr>
          <w:rFonts w:ascii="Arial" w:hAnsi="Arial" w:cs="Arial"/>
          <w:lang w:val="tr-TR"/>
        </w:rPr>
        <w:tab/>
        <w:t>3</w:t>
      </w:r>
    </w:p>
    <w:p w:rsidR="00D322FB" w:rsidRPr="001E5267" w:rsidRDefault="00D322FB" w:rsidP="00257513">
      <w:pPr>
        <w:pStyle w:val="ABLOCKPARA10"/>
        <w:tabs>
          <w:tab w:val="right" w:pos="9071"/>
        </w:tabs>
        <w:spacing w:line="360" w:lineRule="auto"/>
        <w:rPr>
          <w:rFonts w:ascii="Arial" w:hAnsi="Arial" w:cs="Arial"/>
          <w:lang w:val="tr-TR"/>
        </w:rPr>
      </w:pPr>
      <w:r w:rsidRPr="001E5267">
        <w:rPr>
          <w:rFonts w:ascii="Arial" w:hAnsi="Arial" w:cs="Arial"/>
          <w:bCs/>
          <w:lang w:val="tr-TR"/>
        </w:rPr>
        <w:t>Kar veya zarar ve diğer kapsamlı gelir tablosu</w:t>
      </w:r>
      <w:r w:rsidRPr="001E5267">
        <w:rPr>
          <w:rFonts w:ascii="Arial" w:hAnsi="Arial" w:cs="Arial"/>
          <w:lang w:val="tr-TR"/>
        </w:rPr>
        <w:tab/>
        <w:t>4</w:t>
      </w:r>
    </w:p>
    <w:p w:rsidR="00D322FB" w:rsidRPr="001E5267" w:rsidRDefault="00D322FB" w:rsidP="00257513">
      <w:pPr>
        <w:pStyle w:val="ABLOCKPARA10"/>
        <w:tabs>
          <w:tab w:val="right" w:pos="9071"/>
        </w:tabs>
        <w:spacing w:line="360" w:lineRule="auto"/>
        <w:rPr>
          <w:rFonts w:ascii="Arial" w:hAnsi="Arial" w:cs="Arial"/>
          <w:lang w:val="tr-TR"/>
        </w:rPr>
      </w:pPr>
      <w:r w:rsidRPr="001E5267">
        <w:rPr>
          <w:rFonts w:ascii="Arial" w:hAnsi="Arial" w:cs="Arial"/>
          <w:lang w:val="tr-TR"/>
        </w:rPr>
        <w:t>Özkaynaklar değişim tablosu</w:t>
      </w:r>
      <w:r w:rsidRPr="001E5267">
        <w:rPr>
          <w:rFonts w:ascii="Arial" w:hAnsi="Arial" w:cs="Arial"/>
          <w:lang w:val="tr-TR"/>
        </w:rPr>
        <w:tab/>
        <w:t>5</w:t>
      </w:r>
    </w:p>
    <w:p w:rsidR="00D322FB" w:rsidRPr="001E5267" w:rsidRDefault="00D322FB" w:rsidP="00257513">
      <w:pPr>
        <w:pStyle w:val="ABLOCKPARA10"/>
        <w:tabs>
          <w:tab w:val="right" w:pos="9071"/>
        </w:tabs>
        <w:spacing w:line="360" w:lineRule="auto"/>
        <w:rPr>
          <w:rFonts w:ascii="Arial" w:hAnsi="Arial" w:cs="Arial"/>
          <w:lang w:val="tr-TR"/>
        </w:rPr>
      </w:pPr>
      <w:r w:rsidRPr="001E5267">
        <w:rPr>
          <w:rFonts w:ascii="Arial" w:hAnsi="Arial" w:cs="Arial"/>
          <w:lang w:val="tr-TR"/>
        </w:rPr>
        <w:t>Nakit akış tablosu</w:t>
      </w:r>
      <w:r w:rsidRPr="001E5267">
        <w:rPr>
          <w:rFonts w:ascii="Arial" w:hAnsi="Arial" w:cs="Arial"/>
          <w:lang w:val="tr-TR"/>
        </w:rPr>
        <w:tab/>
        <w:t>6</w:t>
      </w:r>
    </w:p>
    <w:p w:rsidR="00D322FB" w:rsidRPr="00727376" w:rsidRDefault="00D322FB" w:rsidP="00257513">
      <w:pPr>
        <w:tabs>
          <w:tab w:val="right" w:pos="9071"/>
        </w:tabs>
        <w:spacing w:line="360" w:lineRule="auto"/>
        <w:rPr>
          <w:rFonts w:ascii="Arial" w:hAnsi="Arial" w:cs="Arial"/>
          <w:highlight w:val="yellow"/>
          <w:lang w:val="tr-TR"/>
        </w:rPr>
      </w:pPr>
      <w:r w:rsidRPr="001E5267">
        <w:rPr>
          <w:rFonts w:ascii="Arial" w:hAnsi="Arial" w:cs="Arial"/>
          <w:lang w:val="tr-TR"/>
        </w:rPr>
        <w:t>Finansal tablolara ait açıklayıcı dipnotlar</w:t>
      </w:r>
      <w:r w:rsidRPr="001E5267">
        <w:rPr>
          <w:rFonts w:ascii="Arial" w:hAnsi="Arial" w:cs="Arial"/>
          <w:lang w:val="tr-TR"/>
        </w:rPr>
        <w:tab/>
      </w:r>
      <w:r w:rsidRPr="0039622E">
        <w:rPr>
          <w:rFonts w:ascii="Arial" w:hAnsi="Arial" w:cs="Arial"/>
          <w:lang w:val="tr-TR"/>
        </w:rPr>
        <w:t>7 – 5</w:t>
      </w:r>
      <w:r w:rsidR="006565F4">
        <w:rPr>
          <w:rFonts w:ascii="Arial" w:hAnsi="Arial" w:cs="Arial"/>
          <w:lang w:val="tr-TR"/>
        </w:rPr>
        <w:t>1</w:t>
      </w:r>
      <w:bookmarkStart w:id="0" w:name="_GoBack"/>
      <w:bookmarkEnd w:id="0"/>
    </w:p>
    <w:p w:rsidR="00D322FB" w:rsidRPr="00727376" w:rsidRDefault="00D322FB" w:rsidP="008848C3">
      <w:pPr>
        <w:rPr>
          <w:rFonts w:ascii="Arial" w:hAnsi="Arial" w:cs="Arial"/>
          <w:b/>
          <w:highlight w:val="yellow"/>
          <w:lang w:val="tr-TR"/>
        </w:rPr>
      </w:pPr>
    </w:p>
    <w:p w:rsidR="00D322FB" w:rsidRDefault="00D322FB" w:rsidP="008848C3">
      <w:pPr>
        <w:rPr>
          <w:rFonts w:ascii="Arial" w:hAnsi="Arial" w:cs="Arial"/>
          <w:b/>
          <w:highlight w:val="yellow"/>
          <w:lang w:val="tr-TR"/>
        </w:rPr>
      </w:pPr>
    </w:p>
    <w:p w:rsidR="00F04CC6" w:rsidRPr="00727376" w:rsidRDefault="00F04CC6" w:rsidP="008848C3">
      <w:pPr>
        <w:rPr>
          <w:rFonts w:ascii="Arial" w:hAnsi="Arial" w:cs="Arial"/>
          <w:b/>
          <w:highlight w:val="yellow"/>
          <w:lang w:val="tr-TR"/>
        </w:rPr>
        <w:sectPr w:rsidR="00F04CC6" w:rsidRPr="00727376" w:rsidSect="00A53679">
          <w:pgSz w:w="11907" w:h="16834" w:code="9"/>
          <w:pgMar w:top="2835" w:right="1418" w:bottom="1418" w:left="1418" w:header="708" w:footer="992" w:gutter="0"/>
          <w:pgNumType w:start="2"/>
          <w:cols w:space="708"/>
          <w:docGrid w:linePitch="272"/>
        </w:sectPr>
      </w:pPr>
    </w:p>
    <w:p w:rsidR="00D322FB" w:rsidRDefault="00D322FB" w:rsidP="008848C3">
      <w:pPr>
        <w:ind w:right="-211"/>
        <w:rPr>
          <w:rFonts w:ascii="Arial" w:hAnsi="Arial" w:cs="Arial"/>
          <w:b/>
          <w:highlight w:val="yellow"/>
          <w:lang w:val="tr-TR"/>
        </w:rPr>
      </w:pPr>
    </w:p>
    <w:tbl>
      <w:tblPr>
        <w:tblW w:w="9423" w:type="dxa"/>
        <w:tblInd w:w="108" w:type="dxa"/>
        <w:tblLayout w:type="fixed"/>
        <w:tblLook w:val="00A0" w:firstRow="1" w:lastRow="0" w:firstColumn="1" w:lastColumn="0" w:noHBand="0" w:noVBand="0"/>
      </w:tblPr>
      <w:tblGrid>
        <w:gridCol w:w="4410"/>
        <w:gridCol w:w="747"/>
        <w:gridCol w:w="2133"/>
        <w:gridCol w:w="2133"/>
      </w:tblGrid>
      <w:tr w:rsidR="00D322FB" w:rsidRPr="0000200F" w:rsidTr="00842630">
        <w:trPr>
          <w:trHeight w:val="113"/>
        </w:trPr>
        <w:tc>
          <w:tcPr>
            <w:tcW w:w="4410" w:type="dxa"/>
            <w:tcBorders>
              <w:top w:val="single" w:sz="4" w:space="0" w:color="auto"/>
              <w:left w:val="nil"/>
              <w:bottom w:val="single" w:sz="4" w:space="0" w:color="auto"/>
              <w:right w:val="nil"/>
            </w:tcBorders>
            <w:noWrap/>
            <w:vAlign w:val="bottom"/>
          </w:tcPr>
          <w:p w:rsidR="00D322FB" w:rsidRPr="0000200F" w:rsidRDefault="00D322FB" w:rsidP="00A870BB">
            <w:pPr>
              <w:ind w:hanging="108"/>
              <w:rPr>
                <w:rFonts w:ascii="Arial" w:hAnsi="Arial" w:cs="Arial"/>
                <w:color w:val="000000"/>
                <w:sz w:val="18"/>
                <w:szCs w:val="18"/>
                <w:highlight w:val="yellow"/>
              </w:rPr>
            </w:pPr>
          </w:p>
        </w:tc>
        <w:tc>
          <w:tcPr>
            <w:tcW w:w="747" w:type="dxa"/>
            <w:tcBorders>
              <w:top w:val="single" w:sz="4" w:space="0" w:color="auto"/>
              <w:left w:val="nil"/>
              <w:bottom w:val="single" w:sz="4" w:space="0" w:color="auto"/>
              <w:right w:val="nil"/>
            </w:tcBorders>
            <w:noWrap/>
            <w:vAlign w:val="bottom"/>
          </w:tcPr>
          <w:p w:rsidR="00D322FB" w:rsidRPr="0019574E" w:rsidRDefault="00D322FB" w:rsidP="00A27292">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vAlign w:val="bottom"/>
          </w:tcPr>
          <w:p w:rsidR="00D322FB" w:rsidRPr="0019574E" w:rsidRDefault="00D322FB" w:rsidP="00E125AB">
            <w:pPr>
              <w:autoSpaceDE w:val="0"/>
              <w:autoSpaceDN w:val="0"/>
              <w:adjustRightInd w:val="0"/>
              <w:ind w:left="-113"/>
              <w:jc w:val="right"/>
              <w:rPr>
                <w:rFonts w:ascii="Arial" w:hAnsi="Arial" w:cs="Arial"/>
                <w:b/>
                <w:bCs/>
                <w:color w:val="000000"/>
                <w:sz w:val="18"/>
                <w:szCs w:val="18"/>
              </w:rPr>
            </w:pPr>
            <w:r w:rsidRPr="0019574E">
              <w:rPr>
                <w:rFonts w:ascii="Arial" w:hAnsi="Arial" w:cs="Arial"/>
                <w:b/>
                <w:bCs/>
                <w:color w:val="000000"/>
                <w:sz w:val="18"/>
                <w:szCs w:val="18"/>
              </w:rPr>
              <w:t>Cari dönem</w:t>
            </w:r>
          </w:p>
        </w:tc>
        <w:tc>
          <w:tcPr>
            <w:tcW w:w="2133" w:type="dxa"/>
            <w:tcBorders>
              <w:top w:val="single" w:sz="4" w:space="0" w:color="auto"/>
              <w:left w:val="nil"/>
              <w:bottom w:val="single" w:sz="4" w:space="0" w:color="auto"/>
              <w:right w:val="nil"/>
            </w:tcBorders>
            <w:vAlign w:val="bottom"/>
          </w:tcPr>
          <w:p w:rsidR="00D322FB" w:rsidRPr="0019574E" w:rsidRDefault="00D322FB" w:rsidP="00842630">
            <w:pPr>
              <w:autoSpaceDE w:val="0"/>
              <w:autoSpaceDN w:val="0"/>
              <w:adjustRightInd w:val="0"/>
              <w:ind w:left="-113"/>
              <w:jc w:val="right"/>
              <w:rPr>
                <w:rFonts w:ascii="Arial" w:hAnsi="Arial" w:cs="Arial"/>
                <w:b/>
                <w:bCs/>
                <w:color w:val="000000"/>
                <w:sz w:val="18"/>
                <w:szCs w:val="18"/>
              </w:rPr>
            </w:pPr>
            <w:r>
              <w:rPr>
                <w:rFonts w:ascii="Arial" w:hAnsi="Arial" w:cs="Arial"/>
                <w:b/>
                <w:bCs/>
                <w:color w:val="000000"/>
                <w:sz w:val="18"/>
                <w:szCs w:val="18"/>
              </w:rPr>
              <w:t>Öncek</w:t>
            </w:r>
            <w:r w:rsidRPr="0019574E">
              <w:rPr>
                <w:rFonts w:ascii="Arial" w:hAnsi="Arial" w:cs="Arial"/>
                <w:b/>
                <w:bCs/>
                <w:color w:val="000000"/>
                <w:sz w:val="18"/>
                <w:szCs w:val="18"/>
              </w:rPr>
              <w:t xml:space="preserve"> dönem</w:t>
            </w:r>
          </w:p>
        </w:tc>
      </w:tr>
      <w:tr w:rsidR="00D322FB" w:rsidRPr="0000200F" w:rsidTr="00842630">
        <w:trPr>
          <w:trHeight w:val="113"/>
        </w:trPr>
        <w:tc>
          <w:tcPr>
            <w:tcW w:w="4410" w:type="dxa"/>
            <w:tcBorders>
              <w:top w:val="single" w:sz="4" w:space="0" w:color="auto"/>
              <w:left w:val="nil"/>
              <w:bottom w:val="single" w:sz="4" w:space="0" w:color="auto"/>
              <w:right w:val="nil"/>
            </w:tcBorders>
            <w:noWrap/>
            <w:vAlign w:val="bottom"/>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 </w:t>
            </w:r>
          </w:p>
        </w:tc>
        <w:tc>
          <w:tcPr>
            <w:tcW w:w="747" w:type="dxa"/>
            <w:tcBorders>
              <w:top w:val="single" w:sz="4" w:space="0" w:color="auto"/>
              <w:left w:val="nil"/>
              <w:bottom w:val="single" w:sz="4" w:space="0" w:color="auto"/>
              <w:right w:val="nil"/>
            </w:tcBorders>
            <w:noWrap/>
            <w:vAlign w:val="bottom"/>
          </w:tcPr>
          <w:p w:rsidR="00D322FB" w:rsidRPr="0019574E" w:rsidRDefault="00D322FB" w:rsidP="00A27292">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vAlign w:val="bottom"/>
          </w:tcPr>
          <w:p w:rsidR="00D322FB" w:rsidRPr="0019574E" w:rsidRDefault="00D322FB" w:rsidP="00A27292">
            <w:pPr>
              <w:jc w:val="right"/>
              <w:rPr>
                <w:rFonts w:ascii="Arial" w:hAnsi="Arial" w:cs="Arial"/>
                <w:b/>
                <w:bCs/>
                <w:sz w:val="18"/>
                <w:szCs w:val="18"/>
              </w:rPr>
            </w:pPr>
            <w:r w:rsidRPr="0019574E">
              <w:rPr>
                <w:rFonts w:ascii="Arial" w:hAnsi="Arial" w:cs="Arial"/>
                <w:b/>
                <w:bCs/>
                <w:sz w:val="18"/>
                <w:szCs w:val="18"/>
              </w:rPr>
              <w:t>Bağımsız denetimden</w:t>
            </w:r>
          </w:p>
          <w:p w:rsidR="00D322FB" w:rsidRPr="0019574E" w:rsidRDefault="00D322FB" w:rsidP="00A27292">
            <w:pPr>
              <w:jc w:val="right"/>
              <w:rPr>
                <w:rFonts w:ascii="Arial" w:hAnsi="Arial" w:cs="Arial"/>
                <w:b/>
                <w:bCs/>
                <w:sz w:val="18"/>
                <w:szCs w:val="18"/>
              </w:rPr>
            </w:pPr>
            <w:r w:rsidRPr="0019574E">
              <w:rPr>
                <w:rFonts w:ascii="Arial" w:hAnsi="Arial" w:cs="Arial"/>
                <w:b/>
                <w:bCs/>
                <w:sz w:val="18"/>
                <w:szCs w:val="18"/>
              </w:rPr>
              <w:t>geçm</w:t>
            </w:r>
            <w:r>
              <w:rPr>
                <w:rFonts w:ascii="Arial" w:hAnsi="Arial" w:cs="Arial"/>
                <w:b/>
                <w:bCs/>
                <w:sz w:val="18"/>
                <w:szCs w:val="18"/>
              </w:rPr>
              <w:t>em</w:t>
            </w:r>
            <w:r w:rsidRPr="0019574E">
              <w:rPr>
                <w:rFonts w:ascii="Arial" w:hAnsi="Arial" w:cs="Arial"/>
                <w:b/>
                <w:bCs/>
                <w:sz w:val="18"/>
                <w:szCs w:val="18"/>
              </w:rPr>
              <w:t>iş</w:t>
            </w:r>
          </w:p>
        </w:tc>
        <w:tc>
          <w:tcPr>
            <w:tcW w:w="2133" w:type="dxa"/>
            <w:tcBorders>
              <w:top w:val="single" w:sz="4" w:space="0" w:color="auto"/>
              <w:left w:val="nil"/>
              <w:bottom w:val="single" w:sz="4" w:space="0" w:color="auto"/>
              <w:right w:val="nil"/>
            </w:tcBorders>
            <w:vAlign w:val="bottom"/>
          </w:tcPr>
          <w:p w:rsidR="00D322FB" w:rsidRPr="0019574E" w:rsidRDefault="00D322FB" w:rsidP="00842630">
            <w:pPr>
              <w:jc w:val="right"/>
              <w:rPr>
                <w:rFonts w:ascii="Arial" w:hAnsi="Arial" w:cs="Arial"/>
                <w:b/>
                <w:bCs/>
                <w:sz w:val="18"/>
                <w:szCs w:val="18"/>
              </w:rPr>
            </w:pPr>
            <w:r w:rsidRPr="0019574E">
              <w:rPr>
                <w:rFonts w:ascii="Arial" w:hAnsi="Arial" w:cs="Arial"/>
                <w:b/>
                <w:bCs/>
                <w:sz w:val="18"/>
                <w:szCs w:val="18"/>
              </w:rPr>
              <w:t>Bağımsız denetimden</w:t>
            </w:r>
          </w:p>
          <w:p w:rsidR="00D322FB" w:rsidRPr="0019574E" w:rsidRDefault="00D322FB" w:rsidP="00842630">
            <w:pPr>
              <w:jc w:val="right"/>
              <w:rPr>
                <w:rFonts w:ascii="Arial" w:hAnsi="Arial" w:cs="Arial"/>
                <w:b/>
                <w:bCs/>
                <w:sz w:val="18"/>
                <w:szCs w:val="18"/>
              </w:rPr>
            </w:pPr>
            <w:r w:rsidRPr="0019574E">
              <w:rPr>
                <w:rFonts w:ascii="Arial" w:hAnsi="Arial" w:cs="Arial"/>
                <w:b/>
                <w:bCs/>
                <w:sz w:val="18"/>
                <w:szCs w:val="18"/>
              </w:rPr>
              <w:t>geçmiş</w:t>
            </w:r>
          </w:p>
        </w:tc>
      </w:tr>
      <w:tr w:rsidR="00D322FB" w:rsidRPr="0000200F" w:rsidTr="00842630">
        <w:trPr>
          <w:trHeight w:val="113"/>
        </w:trPr>
        <w:tc>
          <w:tcPr>
            <w:tcW w:w="4410" w:type="dxa"/>
            <w:tcBorders>
              <w:top w:val="nil"/>
              <w:left w:val="nil"/>
              <w:bottom w:val="single" w:sz="4" w:space="0" w:color="auto"/>
              <w:right w:val="nil"/>
            </w:tcBorders>
            <w:noWrap/>
            <w:vAlign w:val="bottom"/>
          </w:tcPr>
          <w:p w:rsidR="00D322FB" w:rsidRPr="009002CD" w:rsidRDefault="00D322FB" w:rsidP="00A870BB">
            <w:pPr>
              <w:ind w:hanging="108"/>
              <w:rPr>
                <w:rFonts w:ascii="Arial" w:hAnsi="Arial" w:cs="Arial"/>
                <w:b/>
                <w:bCs/>
                <w:color w:val="000000"/>
                <w:sz w:val="18"/>
                <w:szCs w:val="18"/>
              </w:rPr>
            </w:pPr>
            <w:r w:rsidRPr="009002CD">
              <w:rPr>
                <w:rFonts w:ascii="Arial" w:hAnsi="Arial" w:cs="Arial"/>
                <w:b/>
                <w:bCs/>
                <w:color w:val="000000"/>
                <w:sz w:val="18"/>
                <w:szCs w:val="18"/>
              </w:rPr>
              <w:t>Varlıklar</w:t>
            </w:r>
          </w:p>
        </w:tc>
        <w:tc>
          <w:tcPr>
            <w:tcW w:w="747" w:type="dxa"/>
            <w:tcBorders>
              <w:top w:val="nil"/>
              <w:left w:val="nil"/>
              <w:bottom w:val="single" w:sz="4" w:space="0" w:color="auto"/>
              <w:right w:val="nil"/>
            </w:tcBorders>
            <w:vAlign w:val="bottom"/>
          </w:tcPr>
          <w:p w:rsidR="00D322FB" w:rsidRPr="0019574E" w:rsidRDefault="00D322FB" w:rsidP="00A27292">
            <w:pPr>
              <w:jc w:val="right"/>
              <w:rPr>
                <w:rFonts w:ascii="Arial" w:hAnsi="Arial" w:cs="Arial"/>
                <w:b/>
                <w:bCs/>
                <w:sz w:val="18"/>
                <w:szCs w:val="18"/>
              </w:rPr>
            </w:pPr>
            <w:r w:rsidRPr="0019574E">
              <w:rPr>
                <w:rFonts w:ascii="Arial" w:hAnsi="Arial" w:cs="Arial"/>
                <w:b/>
                <w:bCs/>
                <w:color w:val="000000"/>
                <w:sz w:val="18"/>
                <w:szCs w:val="18"/>
              </w:rPr>
              <w:t>Notlar</w:t>
            </w:r>
          </w:p>
        </w:tc>
        <w:tc>
          <w:tcPr>
            <w:tcW w:w="2133" w:type="dxa"/>
            <w:tcBorders>
              <w:top w:val="nil"/>
              <w:left w:val="nil"/>
              <w:bottom w:val="single" w:sz="4" w:space="0" w:color="auto"/>
              <w:right w:val="nil"/>
            </w:tcBorders>
            <w:vAlign w:val="bottom"/>
          </w:tcPr>
          <w:p w:rsidR="00D322FB" w:rsidRPr="0019574E" w:rsidRDefault="00D322FB" w:rsidP="00F671D7">
            <w:pPr>
              <w:jc w:val="right"/>
              <w:rPr>
                <w:rFonts w:ascii="Arial" w:hAnsi="Arial" w:cs="Arial"/>
                <w:b/>
                <w:bCs/>
                <w:color w:val="000000"/>
                <w:sz w:val="18"/>
                <w:szCs w:val="18"/>
              </w:rPr>
            </w:pPr>
            <w:r>
              <w:rPr>
                <w:rFonts w:ascii="Arial" w:hAnsi="Arial" w:cs="Arial"/>
                <w:b/>
                <w:bCs/>
                <w:color w:val="000000"/>
                <w:sz w:val="18"/>
                <w:szCs w:val="18"/>
              </w:rPr>
              <w:t>31 Mart 2015</w:t>
            </w:r>
          </w:p>
        </w:tc>
        <w:tc>
          <w:tcPr>
            <w:tcW w:w="2133" w:type="dxa"/>
            <w:tcBorders>
              <w:top w:val="nil"/>
              <w:left w:val="nil"/>
              <w:bottom w:val="single" w:sz="4" w:space="0" w:color="auto"/>
              <w:right w:val="nil"/>
            </w:tcBorders>
            <w:vAlign w:val="bottom"/>
          </w:tcPr>
          <w:p w:rsidR="00D322FB" w:rsidRPr="0019574E" w:rsidRDefault="00D322FB" w:rsidP="00842630">
            <w:pPr>
              <w:jc w:val="right"/>
              <w:rPr>
                <w:rFonts w:ascii="Arial" w:hAnsi="Arial" w:cs="Arial"/>
                <w:b/>
                <w:bCs/>
                <w:color w:val="000000"/>
                <w:sz w:val="18"/>
                <w:szCs w:val="18"/>
              </w:rPr>
            </w:pPr>
            <w:r w:rsidRPr="0019574E">
              <w:rPr>
                <w:rFonts w:ascii="Arial" w:hAnsi="Arial" w:cs="Arial"/>
                <w:b/>
                <w:bCs/>
                <w:color w:val="000000"/>
                <w:sz w:val="18"/>
                <w:szCs w:val="18"/>
              </w:rPr>
              <w:t>31 Aralık 2014</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b/>
                <w:bCs/>
                <w:color w:val="000000"/>
                <w:sz w:val="18"/>
                <w:szCs w:val="18"/>
              </w:rPr>
            </w:pPr>
          </w:p>
        </w:tc>
        <w:tc>
          <w:tcPr>
            <w:tcW w:w="747" w:type="dxa"/>
            <w:tcBorders>
              <w:top w:val="nil"/>
              <w:left w:val="nil"/>
              <w:bottom w:val="nil"/>
              <w:right w:val="nil"/>
            </w:tcBorders>
            <w:vAlign w:val="bottom"/>
          </w:tcPr>
          <w:p w:rsidR="00D322FB" w:rsidRPr="0019574E" w:rsidRDefault="00D322FB" w:rsidP="00A27292">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19574E" w:rsidRDefault="00D322FB" w:rsidP="00A27292">
            <w:pPr>
              <w:jc w:val="right"/>
              <w:rPr>
                <w:rFonts w:ascii="Arial" w:hAnsi="Arial" w:cs="Arial"/>
                <w:b/>
                <w:bCs/>
                <w:color w:val="000000"/>
                <w:sz w:val="18"/>
                <w:szCs w:val="18"/>
              </w:rPr>
            </w:pPr>
          </w:p>
        </w:tc>
        <w:tc>
          <w:tcPr>
            <w:tcW w:w="2133" w:type="dxa"/>
            <w:tcBorders>
              <w:top w:val="nil"/>
              <w:left w:val="nil"/>
              <w:bottom w:val="nil"/>
              <w:right w:val="nil"/>
            </w:tcBorders>
            <w:vAlign w:val="bottom"/>
          </w:tcPr>
          <w:p w:rsidR="00D322FB" w:rsidRPr="0019574E" w:rsidRDefault="00D322FB" w:rsidP="00842630">
            <w:pPr>
              <w:jc w:val="right"/>
              <w:rPr>
                <w:rFonts w:ascii="Arial" w:hAnsi="Arial" w:cs="Arial"/>
                <w:b/>
                <w:bCs/>
                <w:color w:val="000000"/>
                <w:sz w:val="18"/>
                <w:szCs w:val="18"/>
              </w:rPr>
            </w:pPr>
          </w:p>
        </w:tc>
      </w:tr>
      <w:tr w:rsidR="00D322FB" w:rsidRPr="0000200F" w:rsidTr="00842630">
        <w:trPr>
          <w:trHeight w:val="113"/>
        </w:trPr>
        <w:tc>
          <w:tcPr>
            <w:tcW w:w="4410" w:type="dxa"/>
            <w:tcBorders>
              <w:top w:val="single" w:sz="4" w:space="0" w:color="auto"/>
              <w:left w:val="nil"/>
              <w:bottom w:val="single" w:sz="4" w:space="0" w:color="auto"/>
              <w:right w:val="nil"/>
            </w:tcBorders>
            <w:vAlign w:val="bottom"/>
          </w:tcPr>
          <w:p w:rsidR="00D322FB" w:rsidRPr="009002CD" w:rsidRDefault="00D322FB" w:rsidP="00A870BB">
            <w:pPr>
              <w:ind w:hanging="108"/>
              <w:rPr>
                <w:rFonts w:ascii="Arial" w:hAnsi="Arial" w:cs="Arial"/>
                <w:b/>
                <w:bCs/>
                <w:color w:val="000000"/>
                <w:sz w:val="18"/>
                <w:szCs w:val="18"/>
              </w:rPr>
            </w:pPr>
            <w:r w:rsidRPr="009002CD">
              <w:rPr>
                <w:rFonts w:ascii="Arial" w:hAnsi="Arial" w:cs="Arial"/>
                <w:b/>
                <w:bCs/>
                <w:color w:val="000000"/>
                <w:sz w:val="18"/>
                <w:szCs w:val="18"/>
              </w:rPr>
              <w:t>Dönen varlıklar</w:t>
            </w:r>
          </w:p>
        </w:tc>
        <w:tc>
          <w:tcPr>
            <w:tcW w:w="747" w:type="dxa"/>
            <w:tcBorders>
              <w:top w:val="single" w:sz="4" w:space="0" w:color="auto"/>
              <w:left w:val="nil"/>
              <w:bottom w:val="single" w:sz="4" w:space="0" w:color="auto"/>
              <w:right w:val="nil"/>
            </w:tcBorders>
            <w:vAlign w:val="bottom"/>
          </w:tcPr>
          <w:p w:rsidR="00D322FB" w:rsidRPr="0019574E" w:rsidRDefault="00D322FB" w:rsidP="00A27292">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vAlign w:val="bottom"/>
          </w:tcPr>
          <w:p w:rsidR="00D322FB" w:rsidRPr="0019574E" w:rsidRDefault="00D322FB" w:rsidP="00FB2DE0">
            <w:pPr>
              <w:jc w:val="right"/>
              <w:rPr>
                <w:rFonts w:ascii="Arial" w:hAnsi="Arial" w:cs="Arial"/>
                <w:b/>
                <w:bCs/>
                <w:color w:val="000000"/>
                <w:sz w:val="18"/>
                <w:szCs w:val="18"/>
              </w:rPr>
            </w:pPr>
            <w:r>
              <w:rPr>
                <w:rFonts w:ascii="Arial" w:hAnsi="Arial" w:cs="Arial"/>
                <w:b/>
                <w:bCs/>
                <w:color w:val="000000"/>
                <w:sz w:val="18"/>
                <w:szCs w:val="18"/>
              </w:rPr>
              <w:t>1.</w:t>
            </w:r>
            <w:r w:rsidR="00DE079E">
              <w:rPr>
                <w:rFonts w:ascii="Arial" w:hAnsi="Arial" w:cs="Arial"/>
                <w:b/>
                <w:bCs/>
                <w:color w:val="000000"/>
                <w:sz w:val="18"/>
                <w:szCs w:val="18"/>
              </w:rPr>
              <w:t>421</w:t>
            </w:r>
            <w:r>
              <w:rPr>
                <w:rFonts w:ascii="Arial" w:hAnsi="Arial" w:cs="Arial"/>
                <w:b/>
                <w:bCs/>
                <w:color w:val="000000"/>
                <w:sz w:val="18"/>
                <w:szCs w:val="18"/>
              </w:rPr>
              <w:t>.</w:t>
            </w:r>
            <w:r w:rsidR="00FB2DE0">
              <w:rPr>
                <w:rFonts w:ascii="Arial" w:hAnsi="Arial" w:cs="Arial"/>
                <w:b/>
                <w:bCs/>
                <w:color w:val="000000"/>
                <w:sz w:val="18"/>
                <w:szCs w:val="18"/>
              </w:rPr>
              <w:t>710</w:t>
            </w:r>
          </w:p>
        </w:tc>
        <w:tc>
          <w:tcPr>
            <w:tcW w:w="2133" w:type="dxa"/>
            <w:tcBorders>
              <w:top w:val="single" w:sz="4" w:space="0" w:color="auto"/>
              <w:left w:val="nil"/>
              <w:bottom w:val="single" w:sz="4" w:space="0" w:color="auto"/>
              <w:right w:val="nil"/>
            </w:tcBorders>
            <w:vAlign w:val="bottom"/>
          </w:tcPr>
          <w:p w:rsidR="00D322FB" w:rsidRPr="0019574E" w:rsidRDefault="00D322FB" w:rsidP="00842630">
            <w:pPr>
              <w:jc w:val="right"/>
              <w:rPr>
                <w:rFonts w:ascii="Arial" w:hAnsi="Arial" w:cs="Arial"/>
                <w:b/>
                <w:bCs/>
                <w:color w:val="000000"/>
                <w:sz w:val="18"/>
                <w:szCs w:val="18"/>
              </w:rPr>
            </w:pPr>
            <w:r>
              <w:rPr>
                <w:rFonts w:ascii="Arial" w:hAnsi="Arial" w:cs="Arial"/>
                <w:b/>
                <w:bCs/>
                <w:color w:val="000000"/>
                <w:sz w:val="18"/>
                <w:szCs w:val="18"/>
              </w:rPr>
              <w:t>1.277.401</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b/>
                <w:bCs/>
                <w:color w:val="000000"/>
                <w:sz w:val="18"/>
                <w:szCs w:val="18"/>
              </w:rPr>
            </w:pPr>
          </w:p>
        </w:tc>
        <w:tc>
          <w:tcPr>
            <w:tcW w:w="747" w:type="dxa"/>
            <w:tcBorders>
              <w:top w:val="nil"/>
              <w:left w:val="nil"/>
              <w:bottom w:val="nil"/>
              <w:right w:val="nil"/>
            </w:tcBorders>
            <w:vAlign w:val="bottom"/>
          </w:tcPr>
          <w:p w:rsidR="00D322FB" w:rsidRPr="0019574E" w:rsidRDefault="00D322FB" w:rsidP="00A27292">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19574E" w:rsidRDefault="00D322FB" w:rsidP="0019574E">
            <w:pPr>
              <w:jc w:val="right"/>
              <w:rPr>
                <w:rFonts w:ascii="Arial" w:hAnsi="Arial" w:cs="Arial"/>
                <w:bCs/>
                <w:color w:val="000000"/>
                <w:sz w:val="18"/>
                <w:szCs w:val="18"/>
              </w:rPr>
            </w:pPr>
          </w:p>
        </w:tc>
        <w:tc>
          <w:tcPr>
            <w:tcW w:w="2133" w:type="dxa"/>
            <w:tcBorders>
              <w:top w:val="nil"/>
              <w:left w:val="nil"/>
              <w:bottom w:val="nil"/>
              <w:right w:val="nil"/>
            </w:tcBorders>
            <w:vAlign w:val="bottom"/>
          </w:tcPr>
          <w:p w:rsidR="00D322FB" w:rsidRPr="0019574E" w:rsidRDefault="00D322FB" w:rsidP="00842630">
            <w:pPr>
              <w:jc w:val="right"/>
              <w:rPr>
                <w:rFonts w:ascii="Arial" w:hAnsi="Arial" w:cs="Arial"/>
                <w:bCs/>
                <w:color w:val="000000"/>
                <w:sz w:val="18"/>
                <w:szCs w:val="18"/>
              </w:rPr>
            </w:pP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Nakit ve nakit benzerleri</w:t>
            </w:r>
          </w:p>
        </w:tc>
        <w:tc>
          <w:tcPr>
            <w:tcW w:w="747" w:type="dxa"/>
            <w:tcBorders>
              <w:top w:val="nil"/>
              <w:left w:val="nil"/>
              <w:bottom w:val="nil"/>
              <w:right w:val="nil"/>
            </w:tcBorders>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4</w:t>
            </w:r>
          </w:p>
        </w:tc>
        <w:tc>
          <w:tcPr>
            <w:tcW w:w="2133" w:type="dxa"/>
            <w:tcBorders>
              <w:top w:val="nil"/>
              <w:left w:val="nil"/>
              <w:bottom w:val="nil"/>
              <w:right w:val="nil"/>
            </w:tcBorders>
            <w:vAlign w:val="bottom"/>
          </w:tcPr>
          <w:p w:rsidR="00D322FB" w:rsidRDefault="00950725" w:rsidP="00C1550D">
            <w:pPr>
              <w:jc w:val="right"/>
              <w:rPr>
                <w:rFonts w:ascii="Arial" w:hAnsi="Arial" w:cs="Arial"/>
                <w:b/>
                <w:bCs/>
                <w:color w:val="000000"/>
                <w:sz w:val="18"/>
                <w:szCs w:val="18"/>
              </w:rPr>
            </w:pPr>
            <w:r>
              <w:rPr>
                <w:rFonts w:ascii="Arial" w:hAnsi="Arial" w:cs="Arial"/>
                <w:b/>
                <w:bCs/>
                <w:color w:val="000000"/>
                <w:sz w:val="18"/>
                <w:szCs w:val="18"/>
              </w:rPr>
              <w:t>1.229.651</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1.124.462</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Finansal yatırımlar</w:t>
            </w:r>
          </w:p>
        </w:tc>
        <w:tc>
          <w:tcPr>
            <w:tcW w:w="747" w:type="dxa"/>
            <w:tcBorders>
              <w:top w:val="nil"/>
              <w:left w:val="nil"/>
              <w:bottom w:val="nil"/>
              <w:right w:val="nil"/>
            </w:tcBorders>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5</w:t>
            </w:r>
          </w:p>
        </w:tc>
        <w:tc>
          <w:tcPr>
            <w:tcW w:w="2133" w:type="dxa"/>
            <w:tcBorders>
              <w:top w:val="nil"/>
              <w:left w:val="nil"/>
              <w:bottom w:val="nil"/>
              <w:right w:val="nil"/>
            </w:tcBorders>
            <w:vAlign w:val="bottom"/>
          </w:tcPr>
          <w:p w:rsidR="00D322FB" w:rsidRDefault="00950725" w:rsidP="00950725">
            <w:pPr>
              <w:jc w:val="right"/>
              <w:rPr>
                <w:rFonts w:ascii="Arial" w:hAnsi="Arial" w:cs="Arial"/>
                <w:b/>
                <w:bCs/>
                <w:color w:val="000000"/>
                <w:sz w:val="18"/>
                <w:szCs w:val="18"/>
              </w:rPr>
            </w:pPr>
            <w:r>
              <w:rPr>
                <w:rFonts w:ascii="Arial" w:hAnsi="Arial" w:cs="Arial"/>
                <w:b/>
                <w:bCs/>
                <w:color w:val="000000"/>
                <w:sz w:val="18"/>
                <w:szCs w:val="18"/>
              </w:rPr>
              <w:t>101.409</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99.348</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Ticari alacaklar</w:t>
            </w:r>
          </w:p>
        </w:tc>
        <w:tc>
          <w:tcPr>
            <w:tcW w:w="747" w:type="dxa"/>
            <w:tcBorders>
              <w:top w:val="nil"/>
              <w:left w:val="nil"/>
              <w:bottom w:val="nil"/>
              <w:right w:val="nil"/>
            </w:tcBorders>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6</w:t>
            </w:r>
          </w:p>
        </w:tc>
        <w:tc>
          <w:tcPr>
            <w:tcW w:w="2133" w:type="dxa"/>
            <w:tcBorders>
              <w:top w:val="nil"/>
              <w:left w:val="nil"/>
              <w:bottom w:val="nil"/>
              <w:right w:val="nil"/>
            </w:tcBorders>
            <w:vAlign w:val="bottom"/>
          </w:tcPr>
          <w:p w:rsidR="00D322FB" w:rsidRDefault="00D322FB" w:rsidP="00950725">
            <w:pPr>
              <w:jc w:val="right"/>
              <w:rPr>
                <w:rFonts w:ascii="Arial" w:hAnsi="Arial" w:cs="Arial"/>
                <w:b/>
                <w:bCs/>
                <w:color w:val="000000"/>
                <w:sz w:val="18"/>
                <w:szCs w:val="18"/>
              </w:rPr>
            </w:pPr>
            <w:r>
              <w:rPr>
                <w:rFonts w:ascii="Arial" w:hAnsi="Arial" w:cs="Arial"/>
                <w:b/>
                <w:bCs/>
                <w:color w:val="000000"/>
                <w:sz w:val="18"/>
                <w:szCs w:val="18"/>
              </w:rPr>
              <w:t>1</w:t>
            </w:r>
            <w:r w:rsidR="00950725">
              <w:rPr>
                <w:rFonts w:ascii="Arial" w:hAnsi="Arial" w:cs="Arial"/>
                <w:b/>
                <w:bCs/>
                <w:color w:val="000000"/>
                <w:sz w:val="18"/>
                <w:szCs w:val="18"/>
              </w:rPr>
              <w:t>1</w:t>
            </w:r>
            <w:r>
              <w:rPr>
                <w:rFonts w:ascii="Arial" w:hAnsi="Arial" w:cs="Arial"/>
                <w:b/>
                <w:bCs/>
                <w:color w:val="000000"/>
                <w:sz w:val="18"/>
                <w:szCs w:val="18"/>
              </w:rPr>
              <w:t>.</w:t>
            </w:r>
            <w:r w:rsidR="00950725">
              <w:rPr>
                <w:rFonts w:ascii="Arial" w:hAnsi="Arial" w:cs="Arial"/>
                <w:b/>
                <w:bCs/>
                <w:color w:val="000000"/>
                <w:sz w:val="18"/>
                <w:szCs w:val="18"/>
              </w:rPr>
              <w:t>472</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12.097</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 xml:space="preserve">   -Ilişkili taraflardan ticari alacaklar</w:t>
            </w:r>
          </w:p>
        </w:tc>
        <w:tc>
          <w:tcPr>
            <w:tcW w:w="747" w:type="dxa"/>
            <w:tcBorders>
              <w:top w:val="nil"/>
              <w:left w:val="nil"/>
              <w:bottom w:val="nil"/>
              <w:right w:val="nil"/>
            </w:tcBorders>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6, 23</w:t>
            </w:r>
          </w:p>
        </w:tc>
        <w:tc>
          <w:tcPr>
            <w:tcW w:w="2133" w:type="dxa"/>
            <w:tcBorders>
              <w:top w:val="nil"/>
              <w:left w:val="nil"/>
              <w:bottom w:val="nil"/>
              <w:right w:val="nil"/>
            </w:tcBorders>
            <w:vAlign w:val="bottom"/>
          </w:tcPr>
          <w:p w:rsidR="00D322FB" w:rsidRDefault="00950725" w:rsidP="00C1550D">
            <w:pPr>
              <w:jc w:val="right"/>
              <w:rPr>
                <w:rFonts w:ascii="Arial" w:hAnsi="Arial" w:cs="Arial"/>
                <w:b/>
                <w:bCs/>
                <w:color w:val="000000"/>
                <w:sz w:val="18"/>
                <w:szCs w:val="18"/>
              </w:rPr>
            </w:pPr>
            <w:r>
              <w:rPr>
                <w:rFonts w:ascii="Arial" w:hAnsi="Arial" w:cs="Arial"/>
                <w:b/>
                <w:bCs/>
                <w:color w:val="000000"/>
                <w:sz w:val="18"/>
                <w:szCs w:val="18"/>
              </w:rPr>
              <w:t>3.724</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 xml:space="preserve">   -İlişkili olmayan taraflardan ticari alacaklar</w:t>
            </w:r>
          </w:p>
        </w:tc>
        <w:tc>
          <w:tcPr>
            <w:tcW w:w="747" w:type="dxa"/>
            <w:tcBorders>
              <w:top w:val="nil"/>
              <w:left w:val="nil"/>
              <w:bottom w:val="nil"/>
              <w:right w:val="nil"/>
            </w:tcBorders>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6</w:t>
            </w:r>
          </w:p>
        </w:tc>
        <w:tc>
          <w:tcPr>
            <w:tcW w:w="2133" w:type="dxa"/>
            <w:tcBorders>
              <w:top w:val="nil"/>
              <w:left w:val="nil"/>
              <w:bottom w:val="nil"/>
              <w:right w:val="nil"/>
            </w:tcBorders>
            <w:vAlign w:val="bottom"/>
          </w:tcPr>
          <w:p w:rsidR="00D322FB" w:rsidRDefault="00950725" w:rsidP="00950725">
            <w:pPr>
              <w:jc w:val="right"/>
              <w:rPr>
                <w:rFonts w:ascii="Arial" w:hAnsi="Arial" w:cs="Arial"/>
                <w:b/>
                <w:bCs/>
                <w:color w:val="000000"/>
                <w:sz w:val="18"/>
                <w:szCs w:val="18"/>
              </w:rPr>
            </w:pPr>
            <w:r>
              <w:rPr>
                <w:rFonts w:ascii="Arial" w:hAnsi="Arial" w:cs="Arial"/>
                <w:b/>
                <w:bCs/>
                <w:color w:val="000000"/>
                <w:sz w:val="18"/>
                <w:szCs w:val="18"/>
              </w:rPr>
              <w:t>7</w:t>
            </w:r>
            <w:r w:rsidR="00D322FB">
              <w:rPr>
                <w:rFonts w:ascii="Arial" w:hAnsi="Arial" w:cs="Arial"/>
                <w:b/>
                <w:bCs/>
                <w:color w:val="000000"/>
                <w:sz w:val="18"/>
                <w:szCs w:val="18"/>
              </w:rPr>
              <w:t>.</w:t>
            </w:r>
            <w:r>
              <w:rPr>
                <w:rFonts w:ascii="Arial" w:hAnsi="Arial" w:cs="Arial"/>
                <w:b/>
                <w:bCs/>
                <w:color w:val="000000"/>
                <w:sz w:val="18"/>
                <w:szCs w:val="18"/>
              </w:rPr>
              <w:t>748</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12.097</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Peşin ödenmiş giderler</w:t>
            </w:r>
          </w:p>
        </w:tc>
        <w:tc>
          <w:tcPr>
            <w:tcW w:w="747" w:type="dxa"/>
            <w:tcBorders>
              <w:top w:val="nil"/>
              <w:left w:val="nil"/>
              <w:bottom w:val="nil"/>
              <w:right w:val="nil"/>
            </w:tcBorders>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7</w:t>
            </w:r>
          </w:p>
        </w:tc>
        <w:tc>
          <w:tcPr>
            <w:tcW w:w="2133" w:type="dxa"/>
            <w:tcBorders>
              <w:top w:val="nil"/>
              <w:left w:val="nil"/>
              <w:bottom w:val="nil"/>
              <w:right w:val="nil"/>
            </w:tcBorders>
            <w:vAlign w:val="bottom"/>
          </w:tcPr>
          <w:p w:rsidR="00D322FB" w:rsidRDefault="00950725" w:rsidP="00FB2DE0">
            <w:pPr>
              <w:jc w:val="right"/>
              <w:rPr>
                <w:rFonts w:ascii="Arial" w:hAnsi="Arial" w:cs="Arial"/>
                <w:b/>
                <w:bCs/>
                <w:color w:val="000000"/>
                <w:sz w:val="18"/>
                <w:szCs w:val="18"/>
              </w:rPr>
            </w:pPr>
            <w:r>
              <w:rPr>
                <w:rFonts w:ascii="Arial" w:hAnsi="Arial" w:cs="Arial"/>
                <w:b/>
                <w:bCs/>
                <w:color w:val="000000"/>
                <w:sz w:val="18"/>
                <w:szCs w:val="18"/>
              </w:rPr>
              <w:t>60.9</w:t>
            </w:r>
            <w:r w:rsidR="00FB2DE0">
              <w:rPr>
                <w:rFonts w:ascii="Arial" w:hAnsi="Arial" w:cs="Arial"/>
                <w:b/>
                <w:bCs/>
                <w:color w:val="000000"/>
                <w:sz w:val="18"/>
                <w:szCs w:val="18"/>
              </w:rPr>
              <w:t>70</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27.162</w:t>
            </w:r>
          </w:p>
        </w:tc>
      </w:tr>
      <w:tr w:rsidR="00D322FB" w:rsidRPr="0000200F" w:rsidTr="00842630">
        <w:trPr>
          <w:trHeight w:val="113"/>
        </w:trPr>
        <w:tc>
          <w:tcPr>
            <w:tcW w:w="4410" w:type="dxa"/>
            <w:tcBorders>
              <w:top w:val="nil"/>
              <w:left w:val="nil"/>
              <w:bottom w:val="nil"/>
              <w:right w:val="nil"/>
            </w:tcBorders>
            <w:vAlign w:val="bottom"/>
          </w:tcPr>
          <w:p w:rsidR="00D322FB" w:rsidRPr="00842630" w:rsidRDefault="00D322FB" w:rsidP="00A870BB">
            <w:pPr>
              <w:ind w:hanging="108"/>
              <w:rPr>
                <w:rFonts w:ascii="Arial" w:hAnsi="Arial" w:cs="Arial"/>
                <w:color w:val="000000"/>
                <w:sz w:val="18"/>
                <w:szCs w:val="18"/>
                <w:lang w:val="de-DE"/>
              </w:rPr>
            </w:pPr>
            <w:r w:rsidRPr="00842630">
              <w:rPr>
                <w:rFonts w:ascii="Arial" w:hAnsi="Arial" w:cs="Arial"/>
                <w:color w:val="000000"/>
                <w:sz w:val="18"/>
                <w:szCs w:val="18"/>
                <w:lang w:val="de-DE"/>
              </w:rPr>
              <w:t>Cari dönem vergisiyle ilgili varlıklar</w:t>
            </w:r>
          </w:p>
        </w:tc>
        <w:tc>
          <w:tcPr>
            <w:tcW w:w="747" w:type="dxa"/>
            <w:tcBorders>
              <w:top w:val="nil"/>
              <w:left w:val="nil"/>
              <w:bottom w:val="nil"/>
              <w:right w:val="nil"/>
            </w:tcBorders>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8</w:t>
            </w:r>
          </w:p>
        </w:tc>
        <w:tc>
          <w:tcPr>
            <w:tcW w:w="2133" w:type="dxa"/>
            <w:tcBorders>
              <w:top w:val="nil"/>
              <w:left w:val="nil"/>
              <w:bottom w:val="nil"/>
              <w:right w:val="nil"/>
            </w:tcBorders>
            <w:vAlign w:val="bottom"/>
          </w:tcPr>
          <w:p w:rsidR="00D322FB" w:rsidRDefault="00950725" w:rsidP="00FB2DE0">
            <w:pPr>
              <w:jc w:val="right"/>
              <w:rPr>
                <w:rFonts w:ascii="Arial" w:hAnsi="Arial" w:cs="Arial"/>
                <w:b/>
                <w:bCs/>
                <w:color w:val="000000"/>
                <w:sz w:val="18"/>
                <w:szCs w:val="18"/>
              </w:rPr>
            </w:pPr>
            <w:r>
              <w:rPr>
                <w:rFonts w:ascii="Arial" w:hAnsi="Arial" w:cs="Arial"/>
                <w:b/>
                <w:bCs/>
                <w:color w:val="000000"/>
                <w:sz w:val="18"/>
                <w:szCs w:val="18"/>
              </w:rPr>
              <w:t>18.</w:t>
            </w:r>
            <w:r w:rsidR="00FB2DE0">
              <w:rPr>
                <w:rFonts w:ascii="Arial" w:hAnsi="Arial" w:cs="Arial"/>
                <w:b/>
                <w:bCs/>
                <w:color w:val="000000"/>
                <w:sz w:val="18"/>
                <w:szCs w:val="18"/>
              </w:rPr>
              <w:t>208</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14.332</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jc w:val="right"/>
              <w:rPr>
                <w:rFonts w:ascii="Arial" w:hAnsi="Arial" w:cs="Arial"/>
                <w:color w:val="000000"/>
                <w:sz w:val="18"/>
                <w:szCs w:val="18"/>
              </w:rPr>
            </w:pPr>
          </w:p>
        </w:tc>
        <w:tc>
          <w:tcPr>
            <w:tcW w:w="747" w:type="dxa"/>
            <w:tcBorders>
              <w:top w:val="nil"/>
              <w:left w:val="nil"/>
              <w:bottom w:val="nil"/>
              <w:right w:val="nil"/>
            </w:tcBorders>
            <w:vAlign w:val="bottom"/>
          </w:tcPr>
          <w:p w:rsidR="00D322FB" w:rsidRPr="0019574E" w:rsidRDefault="00D322FB" w:rsidP="00A27292">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19574E" w:rsidRDefault="00D322FB" w:rsidP="0019574E">
            <w:pPr>
              <w:jc w:val="right"/>
              <w:rPr>
                <w:rFonts w:ascii="Arial" w:hAnsi="Arial" w:cs="Arial"/>
                <w:bCs/>
                <w:color w:val="000000"/>
                <w:sz w:val="18"/>
                <w:szCs w:val="18"/>
              </w:rPr>
            </w:pPr>
          </w:p>
        </w:tc>
        <w:tc>
          <w:tcPr>
            <w:tcW w:w="2133" w:type="dxa"/>
            <w:tcBorders>
              <w:top w:val="nil"/>
              <w:left w:val="nil"/>
              <w:bottom w:val="nil"/>
              <w:right w:val="nil"/>
            </w:tcBorders>
            <w:vAlign w:val="bottom"/>
          </w:tcPr>
          <w:p w:rsidR="00D322FB" w:rsidRPr="0019574E" w:rsidRDefault="00D322FB" w:rsidP="00842630">
            <w:pPr>
              <w:jc w:val="right"/>
              <w:rPr>
                <w:rFonts w:ascii="Arial" w:hAnsi="Arial" w:cs="Arial"/>
                <w:bCs/>
                <w:color w:val="000000"/>
                <w:sz w:val="18"/>
                <w:szCs w:val="18"/>
              </w:rPr>
            </w:pPr>
          </w:p>
        </w:tc>
      </w:tr>
      <w:tr w:rsidR="00D322FB" w:rsidRPr="0000200F" w:rsidTr="00842630">
        <w:trPr>
          <w:trHeight w:val="113"/>
        </w:trPr>
        <w:tc>
          <w:tcPr>
            <w:tcW w:w="4410" w:type="dxa"/>
            <w:tcBorders>
              <w:top w:val="single" w:sz="4" w:space="0" w:color="auto"/>
              <w:left w:val="nil"/>
              <w:bottom w:val="single" w:sz="4" w:space="0" w:color="auto"/>
              <w:right w:val="nil"/>
            </w:tcBorders>
            <w:vAlign w:val="bottom"/>
          </w:tcPr>
          <w:p w:rsidR="00D322FB" w:rsidRPr="009002CD" w:rsidRDefault="00D322FB" w:rsidP="00A870BB">
            <w:pPr>
              <w:ind w:hanging="108"/>
              <w:rPr>
                <w:rFonts w:ascii="Arial" w:hAnsi="Arial" w:cs="Arial"/>
                <w:b/>
                <w:bCs/>
                <w:color w:val="000000"/>
                <w:sz w:val="18"/>
                <w:szCs w:val="18"/>
              </w:rPr>
            </w:pPr>
            <w:r w:rsidRPr="009002CD">
              <w:rPr>
                <w:rFonts w:ascii="Arial" w:hAnsi="Arial" w:cs="Arial"/>
                <w:b/>
                <w:bCs/>
                <w:color w:val="000000"/>
                <w:sz w:val="18"/>
                <w:szCs w:val="18"/>
              </w:rPr>
              <w:t>Duran varlıklar</w:t>
            </w:r>
          </w:p>
        </w:tc>
        <w:tc>
          <w:tcPr>
            <w:tcW w:w="747" w:type="dxa"/>
            <w:tcBorders>
              <w:top w:val="single" w:sz="4" w:space="0" w:color="auto"/>
              <w:left w:val="nil"/>
              <w:bottom w:val="single" w:sz="4" w:space="0" w:color="auto"/>
              <w:right w:val="nil"/>
            </w:tcBorders>
            <w:vAlign w:val="bottom"/>
          </w:tcPr>
          <w:p w:rsidR="00D322FB" w:rsidRPr="0019574E" w:rsidRDefault="00D322FB" w:rsidP="00A27292">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vAlign w:val="bottom"/>
          </w:tcPr>
          <w:p w:rsidR="00D322FB" w:rsidRPr="0019574E" w:rsidRDefault="00D322FB" w:rsidP="00FB2DE0">
            <w:pPr>
              <w:jc w:val="right"/>
              <w:rPr>
                <w:rFonts w:ascii="Arial" w:hAnsi="Arial" w:cs="Arial"/>
                <w:b/>
                <w:bCs/>
                <w:color w:val="000000"/>
                <w:sz w:val="18"/>
                <w:szCs w:val="18"/>
              </w:rPr>
            </w:pPr>
            <w:r>
              <w:rPr>
                <w:rFonts w:ascii="Arial" w:hAnsi="Arial" w:cs="Arial"/>
                <w:b/>
                <w:bCs/>
                <w:color w:val="000000"/>
                <w:sz w:val="18"/>
                <w:szCs w:val="18"/>
              </w:rPr>
              <w:t>5</w:t>
            </w:r>
            <w:r w:rsidR="00950725">
              <w:rPr>
                <w:rFonts w:ascii="Arial" w:hAnsi="Arial" w:cs="Arial"/>
                <w:b/>
                <w:bCs/>
                <w:color w:val="000000"/>
                <w:sz w:val="18"/>
                <w:szCs w:val="18"/>
              </w:rPr>
              <w:t>14</w:t>
            </w:r>
            <w:r>
              <w:rPr>
                <w:rFonts w:ascii="Arial" w:hAnsi="Arial" w:cs="Arial"/>
                <w:b/>
                <w:bCs/>
                <w:color w:val="000000"/>
                <w:sz w:val="18"/>
                <w:szCs w:val="18"/>
              </w:rPr>
              <w:t>.</w:t>
            </w:r>
            <w:r w:rsidR="00FB2DE0">
              <w:rPr>
                <w:rFonts w:ascii="Arial" w:hAnsi="Arial" w:cs="Arial"/>
                <w:b/>
                <w:bCs/>
                <w:color w:val="000000"/>
                <w:sz w:val="18"/>
                <w:szCs w:val="18"/>
              </w:rPr>
              <w:t>613</w:t>
            </w:r>
          </w:p>
        </w:tc>
        <w:tc>
          <w:tcPr>
            <w:tcW w:w="2133" w:type="dxa"/>
            <w:tcBorders>
              <w:top w:val="single" w:sz="4" w:space="0" w:color="auto"/>
              <w:left w:val="nil"/>
              <w:bottom w:val="single" w:sz="4" w:space="0" w:color="auto"/>
              <w:right w:val="nil"/>
            </w:tcBorders>
            <w:vAlign w:val="bottom"/>
          </w:tcPr>
          <w:p w:rsidR="00D322FB" w:rsidRPr="0019574E" w:rsidRDefault="00D322FB" w:rsidP="00842630">
            <w:pPr>
              <w:jc w:val="right"/>
              <w:rPr>
                <w:rFonts w:ascii="Arial" w:hAnsi="Arial" w:cs="Arial"/>
                <w:b/>
                <w:bCs/>
                <w:color w:val="000000"/>
                <w:sz w:val="18"/>
                <w:szCs w:val="18"/>
              </w:rPr>
            </w:pPr>
            <w:r>
              <w:rPr>
                <w:rFonts w:ascii="Arial" w:hAnsi="Arial" w:cs="Arial"/>
                <w:b/>
                <w:bCs/>
                <w:color w:val="000000"/>
                <w:sz w:val="18"/>
                <w:szCs w:val="18"/>
              </w:rPr>
              <w:t>532.333</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b/>
                <w:bCs/>
                <w:color w:val="000000"/>
                <w:sz w:val="18"/>
                <w:szCs w:val="18"/>
              </w:rPr>
            </w:pPr>
          </w:p>
        </w:tc>
        <w:tc>
          <w:tcPr>
            <w:tcW w:w="747" w:type="dxa"/>
            <w:tcBorders>
              <w:top w:val="nil"/>
              <w:left w:val="nil"/>
              <w:bottom w:val="nil"/>
              <w:right w:val="nil"/>
            </w:tcBorders>
            <w:vAlign w:val="bottom"/>
          </w:tcPr>
          <w:p w:rsidR="00D322FB" w:rsidRPr="0019574E" w:rsidRDefault="00D322FB" w:rsidP="00A27292">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19574E" w:rsidRDefault="00D322FB" w:rsidP="0019574E">
            <w:pPr>
              <w:jc w:val="right"/>
              <w:rPr>
                <w:rFonts w:ascii="Arial" w:hAnsi="Arial" w:cs="Arial"/>
                <w:bCs/>
                <w:color w:val="000000"/>
                <w:sz w:val="18"/>
                <w:szCs w:val="18"/>
              </w:rPr>
            </w:pPr>
          </w:p>
        </w:tc>
        <w:tc>
          <w:tcPr>
            <w:tcW w:w="2133" w:type="dxa"/>
            <w:tcBorders>
              <w:top w:val="nil"/>
              <w:left w:val="nil"/>
              <w:bottom w:val="nil"/>
              <w:right w:val="nil"/>
            </w:tcBorders>
            <w:vAlign w:val="bottom"/>
          </w:tcPr>
          <w:p w:rsidR="00D322FB" w:rsidRPr="0019574E" w:rsidRDefault="00D322FB" w:rsidP="00842630">
            <w:pPr>
              <w:jc w:val="right"/>
              <w:rPr>
                <w:rFonts w:ascii="Arial" w:hAnsi="Arial" w:cs="Arial"/>
                <w:bCs/>
                <w:color w:val="000000"/>
                <w:sz w:val="18"/>
                <w:szCs w:val="18"/>
              </w:rPr>
            </w:pPr>
          </w:p>
        </w:tc>
      </w:tr>
      <w:tr w:rsidR="00D322FB" w:rsidRPr="0000200F" w:rsidTr="00842630">
        <w:trPr>
          <w:trHeight w:val="113"/>
        </w:trPr>
        <w:tc>
          <w:tcPr>
            <w:tcW w:w="4410" w:type="dxa"/>
            <w:tcBorders>
              <w:top w:val="nil"/>
              <w:left w:val="nil"/>
              <w:bottom w:val="nil"/>
              <w:right w:val="nil"/>
            </w:tcBorders>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 xml:space="preserve">Maddi duran varlıklar </w:t>
            </w:r>
          </w:p>
        </w:tc>
        <w:tc>
          <w:tcPr>
            <w:tcW w:w="747" w:type="dxa"/>
            <w:tcBorders>
              <w:top w:val="nil"/>
              <w:left w:val="nil"/>
              <w:bottom w:val="nil"/>
              <w:right w:val="nil"/>
            </w:tcBorders>
            <w:vAlign w:val="bottom"/>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10</w:t>
            </w:r>
          </w:p>
        </w:tc>
        <w:tc>
          <w:tcPr>
            <w:tcW w:w="2133" w:type="dxa"/>
            <w:tcBorders>
              <w:top w:val="nil"/>
              <w:left w:val="nil"/>
              <w:bottom w:val="nil"/>
              <w:right w:val="nil"/>
            </w:tcBorders>
            <w:vAlign w:val="bottom"/>
          </w:tcPr>
          <w:p w:rsidR="00D322FB" w:rsidRDefault="00D322FB" w:rsidP="00950725">
            <w:pPr>
              <w:jc w:val="right"/>
              <w:rPr>
                <w:rFonts w:ascii="Arial" w:hAnsi="Arial" w:cs="Arial"/>
                <w:b/>
                <w:bCs/>
                <w:color w:val="000000"/>
                <w:sz w:val="18"/>
                <w:szCs w:val="18"/>
              </w:rPr>
            </w:pPr>
            <w:r>
              <w:rPr>
                <w:rFonts w:ascii="Arial" w:hAnsi="Arial" w:cs="Arial"/>
                <w:b/>
                <w:bCs/>
                <w:color w:val="000000"/>
                <w:sz w:val="18"/>
                <w:szCs w:val="18"/>
              </w:rPr>
              <w:t>1</w:t>
            </w:r>
            <w:r w:rsidR="00950725">
              <w:rPr>
                <w:rFonts w:ascii="Arial" w:hAnsi="Arial" w:cs="Arial"/>
                <w:b/>
                <w:bCs/>
                <w:color w:val="000000"/>
                <w:sz w:val="18"/>
                <w:szCs w:val="18"/>
              </w:rPr>
              <w:t>7</w:t>
            </w:r>
            <w:r>
              <w:rPr>
                <w:rFonts w:ascii="Arial" w:hAnsi="Arial" w:cs="Arial"/>
                <w:b/>
                <w:bCs/>
                <w:color w:val="000000"/>
                <w:sz w:val="18"/>
                <w:szCs w:val="18"/>
              </w:rPr>
              <w:t>.</w:t>
            </w:r>
            <w:r w:rsidR="00950725">
              <w:rPr>
                <w:rFonts w:ascii="Arial" w:hAnsi="Arial" w:cs="Arial"/>
                <w:b/>
                <w:bCs/>
                <w:color w:val="000000"/>
                <w:sz w:val="18"/>
                <w:szCs w:val="18"/>
              </w:rPr>
              <w:t>897</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18.576</w:t>
            </w:r>
          </w:p>
        </w:tc>
      </w:tr>
      <w:tr w:rsidR="00D322FB" w:rsidRPr="0000200F" w:rsidTr="00842630">
        <w:trPr>
          <w:trHeight w:val="113"/>
        </w:trPr>
        <w:tc>
          <w:tcPr>
            <w:tcW w:w="4410" w:type="dxa"/>
            <w:tcBorders>
              <w:top w:val="nil"/>
              <w:left w:val="nil"/>
              <w:bottom w:val="nil"/>
              <w:right w:val="nil"/>
            </w:tcBorders>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Maddi olmayan duran varlıklar</w:t>
            </w:r>
          </w:p>
        </w:tc>
        <w:tc>
          <w:tcPr>
            <w:tcW w:w="747" w:type="dxa"/>
            <w:tcBorders>
              <w:top w:val="nil"/>
              <w:left w:val="nil"/>
              <w:bottom w:val="nil"/>
              <w:right w:val="nil"/>
            </w:tcBorders>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11</w:t>
            </w:r>
          </w:p>
        </w:tc>
        <w:tc>
          <w:tcPr>
            <w:tcW w:w="2133" w:type="dxa"/>
            <w:tcBorders>
              <w:top w:val="nil"/>
              <w:left w:val="nil"/>
              <w:bottom w:val="nil"/>
              <w:right w:val="nil"/>
            </w:tcBorders>
            <w:vAlign w:val="bottom"/>
          </w:tcPr>
          <w:p w:rsidR="00D322FB" w:rsidRDefault="00950725" w:rsidP="00950725">
            <w:pPr>
              <w:jc w:val="right"/>
              <w:rPr>
                <w:rFonts w:ascii="Arial" w:hAnsi="Arial" w:cs="Arial"/>
                <w:b/>
                <w:bCs/>
                <w:color w:val="000000"/>
                <w:sz w:val="18"/>
                <w:szCs w:val="18"/>
              </w:rPr>
            </w:pPr>
            <w:r>
              <w:rPr>
                <w:rFonts w:ascii="Arial" w:hAnsi="Arial" w:cs="Arial"/>
                <w:b/>
                <w:bCs/>
                <w:color w:val="000000"/>
                <w:sz w:val="18"/>
                <w:szCs w:val="18"/>
              </w:rPr>
              <w:t>32.968</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33.216</w:t>
            </w:r>
          </w:p>
        </w:tc>
      </w:tr>
      <w:tr w:rsidR="00D322FB" w:rsidRPr="0000200F" w:rsidTr="00842630">
        <w:trPr>
          <w:trHeight w:val="113"/>
        </w:trPr>
        <w:tc>
          <w:tcPr>
            <w:tcW w:w="4410" w:type="dxa"/>
            <w:tcBorders>
              <w:top w:val="nil"/>
              <w:left w:val="nil"/>
              <w:bottom w:val="nil"/>
              <w:right w:val="nil"/>
            </w:tcBorders>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Diğer alacaklar</w:t>
            </w:r>
          </w:p>
        </w:tc>
        <w:tc>
          <w:tcPr>
            <w:tcW w:w="747" w:type="dxa"/>
            <w:tcBorders>
              <w:top w:val="nil"/>
              <w:left w:val="nil"/>
              <w:bottom w:val="nil"/>
              <w:right w:val="nil"/>
            </w:tcBorders>
            <w:vAlign w:val="bottom"/>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9</w:t>
            </w:r>
          </w:p>
        </w:tc>
        <w:tc>
          <w:tcPr>
            <w:tcW w:w="2133" w:type="dxa"/>
            <w:tcBorders>
              <w:top w:val="nil"/>
              <w:left w:val="nil"/>
              <w:bottom w:val="nil"/>
              <w:right w:val="nil"/>
            </w:tcBorders>
            <w:vAlign w:val="bottom"/>
          </w:tcPr>
          <w:p w:rsidR="00D322FB" w:rsidRDefault="00D322FB" w:rsidP="00C1550D">
            <w:pPr>
              <w:jc w:val="right"/>
              <w:rPr>
                <w:rFonts w:ascii="Arial" w:hAnsi="Arial" w:cs="Arial"/>
                <w:b/>
                <w:bCs/>
                <w:color w:val="000000"/>
                <w:sz w:val="18"/>
                <w:szCs w:val="18"/>
              </w:rPr>
            </w:pPr>
            <w:r>
              <w:rPr>
                <w:rFonts w:ascii="Arial" w:hAnsi="Arial" w:cs="Arial"/>
                <w:b/>
                <w:bCs/>
                <w:color w:val="000000"/>
                <w:sz w:val="18"/>
                <w:szCs w:val="18"/>
              </w:rPr>
              <w:t>1.000</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1.000</w:t>
            </w:r>
          </w:p>
        </w:tc>
      </w:tr>
      <w:tr w:rsidR="00D322FB" w:rsidRPr="0000200F" w:rsidTr="00842630">
        <w:trPr>
          <w:trHeight w:val="113"/>
        </w:trPr>
        <w:tc>
          <w:tcPr>
            <w:tcW w:w="4410" w:type="dxa"/>
            <w:tcBorders>
              <w:top w:val="nil"/>
              <w:left w:val="nil"/>
              <w:bottom w:val="nil"/>
              <w:right w:val="nil"/>
            </w:tcBorders>
          </w:tcPr>
          <w:p w:rsidR="00D322FB" w:rsidRPr="009002CD" w:rsidRDefault="00D322FB" w:rsidP="00A870BB">
            <w:pPr>
              <w:ind w:hanging="108"/>
              <w:rPr>
                <w:rFonts w:ascii="Arial" w:hAnsi="Arial" w:cs="Arial"/>
                <w:color w:val="000000"/>
                <w:sz w:val="18"/>
                <w:szCs w:val="18"/>
              </w:rPr>
            </w:pPr>
            <w:r w:rsidRPr="009002CD">
              <w:rPr>
                <w:rFonts w:ascii="Arial" w:hAnsi="Arial" w:cs="Arial"/>
                <w:color w:val="000000"/>
                <w:sz w:val="18"/>
                <w:szCs w:val="18"/>
              </w:rPr>
              <w:t>Ertelenmiş vergi varlığı</w:t>
            </w:r>
          </w:p>
        </w:tc>
        <w:tc>
          <w:tcPr>
            <w:tcW w:w="747" w:type="dxa"/>
            <w:tcBorders>
              <w:top w:val="nil"/>
              <w:left w:val="nil"/>
              <w:bottom w:val="nil"/>
              <w:right w:val="nil"/>
            </w:tcBorders>
            <w:vAlign w:val="bottom"/>
          </w:tcPr>
          <w:p w:rsidR="00D322FB" w:rsidRPr="0019574E" w:rsidRDefault="00D322FB" w:rsidP="00A27292">
            <w:pPr>
              <w:jc w:val="right"/>
              <w:rPr>
                <w:rFonts w:ascii="Arial" w:hAnsi="Arial" w:cs="Arial"/>
                <w:color w:val="000000"/>
                <w:sz w:val="18"/>
                <w:szCs w:val="18"/>
              </w:rPr>
            </w:pPr>
            <w:r w:rsidRPr="0019574E">
              <w:rPr>
                <w:rFonts w:ascii="Arial" w:hAnsi="Arial" w:cs="Arial"/>
                <w:color w:val="000000"/>
                <w:sz w:val="18"/>
                <w:szCs w:val="18"/>
              </w:rPr>
              <w:t>21</w:t>
            </w:r>
          </w:p>
        </w:tc>
        <w:tc>
          <w:tcPr>
            <w:tcW w:w="2133" w:type="dxa"/>
            <w:tcBorders>
              <w:top w:val="nil"/>
              <w:left w:val="nil"/>
              <w:bottom w:val="nil"/>
              <w:right w:val="nil"/>
            </w:tcBorders>
            <w:vAlign w:val="bottom"/>
          </w:tcPr>
          <w:p w:rsidR="00D322FB" w:rsidRDefault="00D322FB" w:rsidP="00FB2DE0">
            <w:pPr>
              <w:jc w:val="right"/>
              <w:rPr>
                <w:rFonts w:ascii="Arial" w:hAnsi="Arial" w:cs="Arial"/>
                <w:b/>
                <w:bCs/>
                <w:color w:val="000000"/>
                <w:sz w:val="18"/>
                <w:szCs w:val="18"/>
              </w:rPr>
            </w:pPr>
            <w:r>
              <w:rPr>
                <w:rFonts w:ascii="Arial" w:hAnsi="Arial" w:cs="Arial"/>
                <w:b/>
                <w:bCs/>
                <w:color w:val="000000"/>
                <w:sz w:val="18"/>
                <w:szCs w:val="18"/>
              </w:rPr>
              <w:t>4</w:t>
            </w:r>
            <w:r w:rsidR="00950725">
              <w:rPr>
                <w:rFonts w:ascii="Arial" w:hAnsi="Arial" w:cs="Arial"/>
                <w:b/>
                <w:bCs/>
                <w:color w:val="000000"/>
                <w:sz w:val="18"/>
                <w:szCs w:val="18"/>
              </w:rPr>
              <w:t>62</w:t>
            </w:r>
            <w:r>
              <w:rPr>
                <w:rFonts w:ascii="Arial" w:hAnsi="Arial" w:cs="Arial"/>
                <w:b/>
                <w:bCs/>
                <w:color w:val="000000"/>
                <w:sz w:val="18"/>
                <w:szCs w:val="18"/>
              </w:rPr>
              <w:t>.</w:t>
            </w:r>
            <w:r w:rsidR="00FB2DE0">
              <w:rPr>
                <w:rFonts w:ascii="Arial" w:hAnsi="Arial" w:cs="Arial"/>
                <w:b/>
                <w:bCs/>
                <w:color w:val="000000"/>
                <w:sz w:val="18"/>
                <w:szCs w:val="18"/>
              </w:rPr>
              <w:t>748</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479.541</w:t>
            </w:r>
          </w:p>
        </w:tc>
      </w:tr>
      <w:tr w:rsidR="00D322FB" w:rsidRPr="0000200F" w:rsidTr="00842630">
        <w:trPr>
          <w:trHeight w:val="113"/>
        </w:trPr>
        <w:tc>
          <w:tcPr>
            <w:tcW w:w="4410" w:type="dxa"/>
            <w:tcBorders>
              <w:top w:val="nil"/>
              <w:left w:val="nil"/>
              <w:bottom w:val="nil"/>
              <w:right w:val="nil"/>
            </w:tcBorders>
            <w:vAlign w:val="bottom"/>
          </w:tcPr>
          <w:p w:rsidR="00D322FB" w:rsidRPr="009002CD" w:rsidRDefault="00D322FB" w:rsidP="00A870BB">
            <w:pPr>
              <w:ind w:hanging="108"/>
              <w:rPr>
                <w:rFonts w:ascii="Arial" w:hAnsi="Arial" w:cs="Arial"/>
                <w:color w:val="000000"/>
                <w:sz w:val="18"/>
                <w:szCs w:val="18"/>
              </w:rPr>
            </w:pPr>
          </w:p>
        </w:tc>
        <w:tc>
          <w:tcPr>
            <w:tcW w:w="747" w:type="dxa"/>
            <w:tcBorders>
              <w:top w:val="nil"/>
              <w:left w:val="nil"/>
              <w:bottom w:val="nil"/>
              <w:right w:val="nil"/>
            </w:tcBorders>
            <w:vAlign w:val="bottom"/>
          </w:tcPr>
          <w:p w:rsidR="00D322FB" w:rsidRPr="0019574E" w:rsidRDefault="00D322FB" w:rsidP="00A27292">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Default="00D322FB" w:rsidP="0019574E">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Default="00D322FB" w:rsidP="00842630">
            <w:pPr>
              <w:jc w:val="right"/>
              <w:rPr>
                <w:rFonts w:ascii="Arial" w:hAnsi="Arial" w:cs="Arial"/>
                <w:color w:val="000000"/>
                <w:sz w:val="18"/>
                <w:szCs w:val="18"/>
              </w:rPr>
            </w:pPr>
          </w:p>
        </w:tc>
      </w:tr>
      <w:tr w:rsidR="00D322FB" w:rsidRPr="0000200F" w:rsidTr="00842630">
        <w:trPr>
          <w:trHeight w:val="113"/>
        </w:trPr>
        <w:tc>
          <w:tcPr>
            <w:tcW w:w="4410" w:type="dxa"/>
            <w:tcBorders>
              <w:top w:val="single" w:sz="4" w:space="0" w:color="auto"/>
              <w:left w:val="nil"/>
              <w:bottom w:val="double" w:sz="6" w:space="0" w:color="auto"/>
              <w:right w:val="nil"/>
            </w:tcBorders>
            <w:vAlign w:val="bottom"/>
          </w:tcPr>
          <w:p w:rsidR="00D322FB" w:rsidRPr="009002CD" w:rsidRDefault="00D322FB" w:rsidP="00A870BB">
            <w:pPr>
              <w:ind w:hanging="108"/>
              <w:rPr>
                <w:rFonts w:ascii="Arial" w:hAnsi="Arial" w:cs="Arial"/>
                <w:b/>
                <w:bCs/>
                <w:color w:val="000000"/>
                <w:sz w:val="18"/>
                <w:szCs w:val="18"/>
              </w:rPr>
            </w:pPr>
            <w:r w:rsidRPr="009002CD">
              <w:rPr>
                <w:rFonts w:ascii="Arial" w:hAnsi="Arial" w:cs="Arial"/>
                <w:b/>
                <w:bCs/>
                <w:color w:val="000000"/>
                <w:sz w:val="18"/>
                <w:szCs w:val="18"/>
              </w:rPr>
              <w:t>Toplam varlıklar</w:t>
            </w:r>
          </w:p>
        </w:tc>
        <w:tc>
          <w:tcPr>
            <w:tcW w:w="747" w:type="dxa"/>
            <w:tcBorders>
              <w:top w:val="single" w:sz="4" w:space="0" w:color="auto"/>
              <w:left w:val="nil"/>
              <w:bottom w:val="double" w:sz="6" w:space="0" w:color="auto"/>
              <w:right w:val="nil"/>
            </w:tcBorders>
            <w:vAlign w:val="bottom"/>
          </w:tcPr>
          <w:p w:rsidR="00D322FB" w:rsidRPr="0019574E" w:rsidRDefault="00D322FB" w:rsidP="00A27292">
            <w:pPr>
              <w:jc w:val="right"/>
              <w:rPr>
                <w:rFonts w:ascii="Arial" w:hAnsi="Arial" w:cs="Arial"/>
                <w:color w:val="000000"/>
                <w:sz w:val="18"/>
                <w:szCs w:val="18"/>
              </w:rPr>
            </w:pPr>
          </w:p>
        </w:tc>
        <w:tc>
          <w:tcPr>
            <w:tcW w:w="2133" w:type="dxa"/>
            <w:tcBorders>
              <w:top w:val="single" w:sz="4" w:space="0" w:color="auto"/>
              <w:left w:val="nil"/>
              <w:bottom w:val="double" w:sz="6" w:space="0" w:color="auto"/>
              <w:right w:val="nil"/>
            </w:tcBorders>
            <w:vAlign w:val="bottom"/>
          </w:tcPr>
          <w:p w:rsidR="00D322FB" w:rsidRDefault="00D322FB" w:rsidP="007F053A">
            <w:pPr>
              <w:jc w:val="right"/>
              <w:rPr>
                <w:rFonts w:ascii="Arial" w:hAnsi="Arial" w:cs="Arial"/>
                <w:b/>
                <w:bCs/>
                <w:color w:val="000000"/>
                <w:sz w:val="18"/>
                <w:szCs w:val="18"/>
              </w:rPr>
            </w:pPr>
            <w:r>
              <w:rPr>
                <w:rFonts w:ascii="Arial" w:hAnsi="Arial" w:cs="Arial"/>
                <w:b/>
                <w:bCs/>
                <w:color w:val="000000"/>
                <w:sz w:val="18"/>
                <w:szCs w:val="18"/>
              </w:rPr>
              <w:t>1.</w:t>
            </w:r>
            <w:r w:rsidR="00950725">
              <w:rPr>
                <w:rFonts w:ascii="Arial" w:hAnsi="Arial" w:cs="Arial"/>
                <w:b/>
                <w:bCs/>
                <w:color w:val="000000"/>
                <w:sz w:val="18"/>
                <w:szCs w:val="18"/>
              </w:rPr>
              <w:t>93</w:t>
            </w:r>
            <w:r w:rsidR="00DE079E">
              <w:rPr>
                <w:rFonts w:ascii="Arial" w:hAnsi="Arial" w:cs="Arial"/>
                <w:b/>
                <w:bCs/>
                <w:color w:val="000000"/>
                <w:sz w:val="18"/>
                <w:szCs w:val="18"/>
              </w:rPr>
              <w:t>6</w:t>
            </w:r>
            <w:r>
              <w:rPr>
                <w:rFonts w:ascii="Arial" w:hAnsi="Arial" w:cs="Arial"/>
                <w:b/>
                <w:bCs/>
                <w:color w:val="000000"/>
                <w:sz w:val="18"/>
                <w:szCs w:val="18"/>
              </w:rPr>
              <w:t>.</w:t>
            </w:r>
            <w:r w:rsidR="00DE079E">
              <w:rPr>
                <w:rFonts w:ascii="Arial" w:hAnsi="Arial" w:cs="Arial"/>
                <w:b/>
                <w:bCs/>
                <w:color w:val="000000"/>
                <w:sz w:val="18"/>
                <w:szCs w:val="18"/>
              </w:rPr>
              <w:t>32</w:t>
            </w:r>
            <w:r w:rsidR="007F053A">
              <w:rPr>
                <w:rFonts w:ascii="Arial" w:hAnsi="Arial" w:cs="Arial"/>
                <w:b/>
                <w:bCs/>
                <w:color w:val="000000"/>
                <w:sz w:val="18"/>
                <w:szCs w:val="18"/>
              </w:rPr>
              <w:t>3</w:t>
            </w:r>
          </w:p>
        </w:tc>
        <w:tc>
          <w:tcPr>
            <w:tcW w:w="2133" w:type="dxa"/>
            <w:tcBorders>
              <w:top w:val="single" w:sz="4" w:space="0" w:color="auto"/>
              <w:left w:val="nil"/>
              <w:bottom w:val="double" w:sz="6" w:space="0" w:color="auto"/>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1.809.734</w:t>
            </w:r>
          </w:p>
        </w:tc>
      </w:tr>
    </w:tbl>
    <w:p w:rsidR="00D322FB" w:rsidRDefault="00D322FB">
      <w:pPr>
        <w:rPr>
          <w:rFonts w:ascii="Arial" w:hAnsi="Arial" w:cs="Arial"/>
          <w:highlight w:val="yellow"/>
        </w:rPr>
      </w:pPr>
    </w:p>
    <w:p w:rsidR="00D322FB" w:rsidRPr="00727376" w:rsidRDefault="00D322FB">
      <w:pPr>
        <w:rPr>
          <w:rFonts w:ascii="Arial" w:hAnsi="Arial" w:cs="Arial"/>
          <w:highlight w:val="yellow"/>
        </w:rPr>
      </w:pPr>
    </w:p>
    <w:tbl>
      <w:tblPr>
        <w:tblpPr w:leftFromText="180" w:rightFromText="180" w:vertAnchor="text" w:tblpY="1"/>
        <w:tblOverlap w:val="never"/>
        <w:tblW w:w="9423" w:type="dxa"/>
        <w:tblInd w:w="108" w:type="dxa"/>
        <w:tblLayout w:type="fixed"/>
        <w:tblLook w:val="00A0" w:firstRow="1" w:lastRow="0" w:firstColumn="1" w:lastColumn="0" w:noHBand="0" w:noVBand="0"/>
      </w:tblPr>
      <w:tblGrid>
        <w:gridCol w:w="4410"/>
        <w:gridCol w:w="747"/>
        <w:gridCol w:w="2133"/>
        <w:gridCol w:w="2133"/>
      </w:tblGrid>
      <w:tr w:rsidR="00D322FB" w:rsidRPr="0000200F" w:rsidTr="00842630">
        <w:trPr>
          <w:trHeight w:val="113"/>
        </w:trPr>
        <w:tc>
          <w:tcPr>
            <w:tcW w:w="4410" w:type="dxa"/>
            <w:tcBorders>
              <w:top w:val="single" w:sz="4" w:space="0" w:color="auto"/>
              <w:left w:val="nil"/>
              <w:bottom w:val="single" w:sz="4" w:space="0" w:color="auto"/>
              <w:right w:val="nil"/>
            </w:tcBorders>
            <w:noWrap/>
            <w:vAlign w:val="bottom"/>
          </w:tcPr>
          <w:p w:rsidR="00D322FB" w:rsidRPr="00B3735A" w:rsidRDefault="00D322FB" w:rsidP="00842630">
            <w:pPr>
              <w:ind w:left="318" w:hanging="426"/>
              <w:rPr>
                <w:rFonts w:ascii="Arial" w:hAnsi="Arial" w:cs="Arial"/>
                <w:b/>
                <w:bCs/>
                <w:color w:val="000000"/>
                <w:sz w:val="18"/>
                <w:szCs w:val="18"/>
              </w:rPr>
            </w:pPr>
            <w:r w:rsidRPr="00B3735A">
              <w:rPr>
                <w:rFonts w:ascii="Arial" w:hAnsi="Arial" w:cs="Arial"/>
                <w:b/>
                <w:bCs/>
                <w:color w:val="000000"/>
                <w:sz w:val="18"/>
                <w:szCs w:val="18"/>
              </w:rPr>
              <w:t>Kaynaklar</w:t>
            </w:r>
          </w:p>
        </w:tc>
        <w:tc>
          <w:tcPr>
            <w:tcW w:w="747"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b/>
                <w:bCs/>
                <w:sz w:val="18"/>
                <w:szCs w:val="18"/>
              </w:rPr>
            </w:pPr>
            <w:r w:rsidRPr="00347CBE">
              <w:rPr>
                <w:rFonts w:ascii="Arial" w:hAnsi="Arial" w:cs="Arial"/>
                <w:b/>
                <w:bCs/>
                <w:color w:val="000000"/>
                <w:sz w:val="18"/>
                <w:szCs w:val="18"/>
              </w:rPr>
              <w:t>Notlar</w:t>
            </w:r>
          </w:p>
        </w:tc>
        <w:tc>
          <w:tcPr>
            <w:tcW w:w="2133"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b/>
                <w:bCs/>
                <w:color w:val="000000"/>
                <w:sz w:val="18"/>
                <w:szCs w:val="18"/>
              </w:rPr>
            </w:pPr>
            <w:r w:rsidRPr="00347CBE">
              <w:rPr>
                <w:rFonts w:ascii="Arial" w:hAnsi="Arial" w:cs="Arial"/>
                <w:b/>
                <w:bCs/>
                <w:color w:val="000000"/>
                <w:sz w:val="18"/>
                <w:szCs w:val="18"/>
              </w:rPr>
              <w:t xml:space="preserve">31 </w:t>
            </w:r>
            <w:r>
              <w:rPr>
                <w:rFonts w:ascii="Arial" w:hAnsi="Arial" w:cs="Arial"/>
                <w:b/>
                <w:bCs/>
                <w:color w:val="000000"/>
                <w:sz w:val="18"/>
                <w:szCs w:val="18"/>
              </w:rPr>
              <w:t>Mart 2015</w:t>
            </w:r>
          </w:p>
        </w:tc>
        <w:tc>
          <w:tcPr>
            <w:tcW w:w="2133"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b/>
                <w:bCs/>
                <w:color w:val="000000"/>
                <w:sz w:val="18"/>
                <w:szCs w:val="18"/>
              </w:rPr>
            </w:pPr>
            <w:r w:rsidRPr="00347CBE">
              <w:rPr>
                <w:rFonts w:ascii="Arial" w:hAnsi="Arial" w:cs="Arial"/>
                <w:b/>
                <w:bCs/>
                <w:color w:val="000000"/>
                <w:sz w:val="18"/>
                <w:szCs w:val="18"/>
              </w:rPr>
              <w:t>31 Aralık 2014</w:t>
            </w:r>
          </w:p>
        </w:tc>
      </w:tr>
      <w:tr w:rsidR="00D322FB" w:rsidRPr="0000200F" w:rsidTr="00842630">
        <w:trPr>
          <w:trHeight w:val="113"/>
        </w:trPr>
        <w:tc>
          <w:tcPr>
            <w:tcW w:w="4410" w:type="dxa"/>
            <w:tcBorders>
              <w:top w:val="nil"/>
              <w:left w:val="nil"/>
              <w:bottom w:val="single" w:sz="4" w:space="0" w:color="auto"/>
              <w:right w:val="nil"/>
            </w:tcBorders>
            <w:vAlign w:val="bottom"/>
          </w:tcPr>
          <w:p w:rsidR="00D322FB" w:rsidRPr="00B3735A" w:rsidRDefault="00D322FB" w:rsidP="00842630">
            <w:pPr>
              <w:ind w:left="318" w:hanging="426"/>
              <w:rPr>
                <w:rFonts w:ascii="Arial" w:hAnsi="Arial" w:cs="Arial"/>
                <w:b/>
                <w:bCs/>
                <w:color w:val="000000"/>
                <w:sz w:val="18"/>
                <w:szCs w:val="18"/>
              </w:rPr>
            </w:pPr>
            <w:r w:rsidRPr="00B3735A">
              <w:rPr>
                <w:rFonts w:ascii="Arial" w:hAnsi="Arial" w:cs="Arial"/>
                <w:b/>
                <w:bCs/>
                <w:color w:val="000000"/>
                <w:sz w:val="18"/>
                <w:szCs w:val="18"/>
              </w:rPr>
              <w:t> </w:t>
            </w:r>
          </w:p>
        </w:tc>
        <w:tc>
          <w:tcPr>
            <w:tcW w:w="747" w:type="dxa"/>
            <w:tcBorders>
              <w:top w:val="nil"/>
              <w:left w:val="nil"/>
              <w:bottom w:val="single" w:sz="4" w:space="0" w:color="auto"/>
              <w:right w:val="nil"/>
            </w:tcBorders>
            <w:vAlign w:val="bottom"/>
          </w:tcPr>
          <w:p w:rsidR="00D322FB" w:rsidRPr="00347CBE" w:rsidRDefault="00D322FB" w:rsidP="00842630">
            <w:pPr>
              <w:jc w:val="right"/>
              <w:rPr>
                <w:rFonts w:ascii="Arial" w:hAnsi="Arial" w:cs="Arial"/>
                <w:b/>
                <w:bCs/>
                <w:color w:val="000000"/>
                <w:sz w:val="18"/>
                <w:szCs w:val="18"/>
              </w:rPr>
            </w:pPr>
          </w:p>
        </w:tc>
        <w:tc>
          <w:tcPr>
            <w:tcW w:w="2133" w:type="dxa"/>
            <w:tcBorders>
              <w:top w:val="nil"/>
              <w:left w:val="nil"/>
              <w:bottom w:val="single" w:sz="4" w:space="0" w:color="auto"/>
              <w:right w:val="nil"/>
            </w:tcBorders>
            <w:vAlign w:val="bottom"/>
          </w:tcPr>
          <w:p w:rsidR="00D322FB" w:rsidRPr="00347CBE" w:rsidRDefault="00D322FB" w:rsidP="00842630">
            <w:pPr>
              <w:jc w:val="right"/>
              <w:rPr>
                <w:rFonts w:ascii="Arial" w:hAnsi="Arial" w:cs="Arial"/>
                <w:b/>
                <w:bCs/>
                <w:color w:val="000000"/>
                <w:sz w:val="18"/>
                <w:szCs w:val="18"/>
              </w:rPr>
            </w:pPr>
          </w:p>
        </w:tc>
        <w:tc>
          <w:tcPr>
            <w:tcW w:w="2133" w:type="dxa"/>
            <w:tcBorders>
              <w:top w:val="nil"/>
              <w:left w:val="nil"/>
              <w:bottom w:val="single" w:sz="4" w:space="0" w:color="auto"/>
              <w:right w:val="nil"/>
            </w:tcBorders>
            <w:vAlign w:val="bottom"/>
          </w:tcPr>
          <w:p w:rsidR="00D322FB" w:rsidRPr="00347CBE" w:rsidRDefault="00D322FB" w:rsidP="00842630">
            <w:pPr>
              <w:jc w:val="right"/>
              <w:rPr>
                <w:rFonts w:ascii="Arial" w:hAnsi="Arial" w:cs="Arial"/>
                <w:b/>
                <w:bCs/>
                <w:color w:val="000000"/>
                <w:sz w:val="18"/>
                <w:szCs w:val="18"/>
              </w:rPr>
            </w:pPr>
          </w:p>
        </w:tc>
      </w:tr>
      <w:tr w:rsidR="00D322FB" w:rsidRPr="0000200F" w:rsidTr="00842630">
        <w:trPr>
          <w:trHeight w:val="113"/>
        </w:trPr>
        <w:tc>
          <w:tcPr>
            <w:tcW w:w="4410" w:type="dxa"/>
            <w:tcBorders>
              <w:top w:val="single" w:sz="4" w:space="0" w:color="auto"/>
              <w:left w:val="nil"/>
              <w:bottom w:val="single" w:sz="4" w:space="0" w:color="auto"/>
              <w:right w:val="nil"/>
            </w:tcBorders>
            <w:vAlign w:val="bottom"/>
          </w:tcPr>
          <w:p w:rsidR="00D322FB" w:rsidRPr="00B3735A" w:rsidRDefault="00D322FB" w:rsidP="00842630">
            <w:pPr>
              <w:ind w:left="318" w:hanging="426"/>
              <w:rPr>
                <w:rFonts w:ascii="Arial" w:hAnsi="Arial" w:cs="Arial"/>
                <w:b/>
                <w:bCs/>
                <w:color w:val="000000"/>
                <w:sz w:val="18"/>
                <w:szCs w:val="18"/>
              </w:rPr>
            </w:pPr>
            <w:r w:rsidRPr="00B3735A">
              <w:rPr>
                <w:rFonts w:ascii="Arial" w:hAnsi="Arial" w:cs="Arial"/>
                <w:b/>
                <w:bCs/>
                <w:color w:val="000000"/>
                <w:sz w:val="18"/>
                <w:szCs w:val="18"/>
              </w:rPr>
              <w:t>Kısa vadeli yükümlülükler</w:t>
            </w:r>
          </w:p>
        </w:tc>
        <w:tc>
          <w:tcPr>
            <w:tcW w:w="747"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vAlign w:val="bottom"/>
          </w:tcPr>
          <w:p w:rsidR="00D322FB" w:rsidRPr="00347CBE" w:rsidRDefault="00950725" w:rsidP="007F053A">
            <w:pPr>
              <w:jc w:val="right"/>
              <w:rPr>
                <w:rFonts w:ascii="Arial" w:hAnsi="Arial" w:cs="Arial"/>
                <w:b/>
                <w:bCs/>
                <w:color w:val="000000"/>
                <w:sz w:val="18"/>
                <w:szCs w:val="18"/>
              </w:rPr>
            </w:pPr>
            <w:r>
              <w:rPr>
                <w:rFonts w:ascii="Arial" w:hAnsi="Arial" w:cs="Arial"/>
                <w:b/>
                <w:bCs/>
                <w:color w:val="000000"/>
                <w:sz w:val="18"/>
                <w:szCs w:val="18"/>
              </w:rPr>
              <w:t>153.47</w:t>
            </w:r>
            <w:r w:rsidR="007F053A">
              <w:rPr>
                <w:rFonts w:ascii="Arial" w:hAnsi="Arial" w:cs="Arial"/>
                <w:b/>
                <w:bCs/>
                <w:color w:val="000000"/>
                <w:sz w:val="18"/>
                <w:szCs w:val="18"/>
              </w:rPr>
              <w:t>3</w:t>
            </w:r>
          </w:p>
        </w:tc>
        <w:tc>
          <w:tcPr>
            <w:tcW w:w="2133"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b/>
                <w:bCs/>
                <w:color w:val="000000"/>
                <w:sz w:val="18"/>
                <w:szCs w:val="18"/>
              </w:rPr>
            </w:pPr>
            <w:r w:rsidRPr="00347CBE">
              <w:rPr>
                <w:rFonts w:ascii="Arial" w:hAnsi="Arial" w:cs="Arial"/>
                <w:b/>
                <w:bCs/>
                <w:color w:val="000000"/>
                <w:sz w:val="18"/>
                <w:szCs w:val="18"/>
              </w:rPr>
              <w:t>125.684</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b/>
                <w:bCs/>
                <w:color w:val="000000"/>
                <w:sz w:val="18"/>
                <w:szCs w:val="18"/>
              </w:rPr>
            </w:pP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r w:rsidRPr="00B3735A">
              <w:rPr>
                <w:rFonts w:ascii="Arial" w:hAnsi="Arial" w:cs="Arial"/>
                <w:color w:val="000000"/>
                <w:sz w:val="18"/>
                <w:szCs w:val="18"/>
              </w:rPr>
              <w:t>Ticari borçlar</w:t>
            </w:r>
          </w:p>
        </w:tc>
        <w:tc>
          <w:tcPr>
            <w:tcW w:w="747" w:type="dxa"/>
            <w:tcBorders>
              <w:top w:val="nil"/>
              <w:left w:val="nil"/>
              <w:bottom w:val="nil"/>
              <w:right w:val="nil"/>
            </w:tcBorders>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6</w:t>
            </w:r>
          </w:p>
        </w:tc>
        <w:tc>
          <w:tcPr>
            <w:tcW w:w="2133" w:type="dxa"/>
            <w:tcBorders>
              <w:top w:val="nil"/>
              <w:left w:val="nil"/>
              <w:bottom w:val="nil"/>
              <w:right w:val="nil"/>
            </w:tcBorders>
            <w:vAlign w:val="bottom"/>
          </w:tcPr>
          <w:p w:rsidR="00D322FB" w:rsidRDefault="00950725" w:rsidP="007F053A">
            <w:pPr>
              <w:jc w:val="right"/>
              <w:rPr>
                <w:rFonts w:ascii="Arial" w:hAnsi="Arial" w:cs="Arial"/>
                <w:b/>
                <w:bCs/>
                <w:color w:val="000000"/>
                <w:sz w:val="18"/>
                <w:szCs w:val="18"/>
              </w:rPr>
            </w:pPr>
            <w:r>
              <w:rPr>
                <w:rFonts w:ascii="Arial" w:hAnsi="Arial" w:cs="Arial"/>
                <w:b/>
                <w:bCs/>
                <w:color w:val="000000"/>
                <w:sz w:val="18"/>
                <w:szCs w:val="18"/>
              </w:rPr>
              <w:t>55.09</w:t>
            </w:r>
            <w:r w:rsidR="007F053A">
              <w:rPr>
                <w:rFonts w:ascii="Arial" w:hAnsi="Arial" w:cs="Arial"/>
                <w:b/>
                <w:bCs/>
                <w:color w:val="000000"/>
                <w:sz w:val="18"/>
                <w:szCs w:val="18"/>
              </w:rPr>
              <w:t>2</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33.493</w:t>
            </w:r>
          </w:p>
        </w:tc>
      </w:tr>
      <w:tr w:rsidR="00D322FB" w:rsidRPr="0000200F" w:rsidTr="00842630">
        <w:trPr>
          <w:trHeight w:val="113"/>
        </w:trPr>
        <w:tc>
          <w:tcPr>
            <w:tcW w:w="4410" w:type="dxa"/>
            <w:tcBorders>
              <w:top w:val="nil"/>
              <w:left w:val="nil"/>
              <w:bottom w:val="nil"/>
              <w:right w:val="nil"/>
            </w:tcBorders>
          </w:tcPr>
          <w:p w:rsidR="00D322FB" w:rsidRPr="00B3735A" w:rsidRDefault="00D322FB" w:rsidP="00842630">
            <w:pPr>
              <w:autoSpaceDE w:val="0"/>
              <w:autoSpaceDN w:val="0"/>
              <w:adjustRightInd w:val="0"/>
              <w:ind w:left="-108"/>
              <w:rPr>
                <w:rFonts w:ascii="Arial" w:hAnsi="Arial" w:cs="Arial"/>
                <w:color w:val="000000"/>
                <w:sz w:val="18"/>
                <w:szCs w:val="18"/>
              </w:rPr>
            </w:pPr>
            <w:r w:rsidRPr="00B3735A">
              <w:rPr>
                <w:rFonts w:ascii="Arial" w:hAnsi="Arial" w:cs="Arial"/>
                <w:color w:val="000000"/>
                <w:sz w:val="18"/>
                <w:szCs w:val="18"/>
              </w:rPr>
              <w:t xml:space="preserve"> - İlişkili taraflara ticari borçlar</w:t>
            </w:r>
          </w:p>
        </w:tc>
        <w:tc>
          <w:tcPr>
            <w:tcW w:w="747" w:type="dxa"/>
            <w:tcBorders>
              <w:top w:val="nil"/>
              <w:left w:val="nil"/>
              <w:bottom w:val="nil"/>
              <w:right w:val="nil"/>
            </w:tcBorders>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6, 23</w:t>
            </w:r>
          </w:p>
        </w:tc>
        <w:tc>
          <w:tcPr>
            <w:tcW w:w="2133" w:type="dxa"/>
            <w:tcBorders>
              <w:top w:val="nil"/>
              <w:left w:val="nil"/>
              <w:bottom w:val="nil"/>
              <w:right w:val="nil"/>
            </w:tcBorders>
            <w:vAlign w:val="bottom"/>
          </w:tcPr>
          <w:p w:rsidR="00D322FB" w:rsidRDefault="00950725" w:rsidP="00950725">
            <w:pPr>
              <w:jc w:val="right"/>
              <w:rPr>
                <w:rFonts w:ascii="Arial" w:hAnsi="Arial" w:cs="Arial"/>
                <w:b/>
                <w:bCs/>
                <w:color w:val="000000"/>
                <w:sz w:val="18"/>
                <w:szCs w:val="18"/>
              </w:rPr>
            </w:pPr>
            <w:r>
              <w:rPr>
                <w:rFonts w:ascii="Arial" w:hAnsi="Arial" w:cs="Arial"/>
                <w:b/>
                <w:bCs/>
                <w:color w:val="000000"/>
                <w:sz w:val="18"/>
                <w:szCs w:val="18"/>
              </w:rPr>
              <w:t>15.290</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10.816</w:t>
            </w:r>
          </w:p>
        </w:tc>
      </w:tr>
      <w:tr w:rsidR="00D322FB" w:rsidRPr="0000200F" w:rsidTr="00842630">
        <w:trPr>
          <w:trHeight w:val="113"/>
        </w:trPr>
        <w:tc>
          <w:tcPr>
            <w:tcW w:w="4410" w:type="dxa"/>
            <w:tcBorders>
              <w:top w:val="nil"/>
              <w:left w:val="nil"/>
              <w:bottom w:val="nil"/>
              <w:right w:val="nil"/>
            </w:tcBorders>
          </w:tcPr>
          <w:p w:rsidR="00D322FB" w:rsidRPr="00B3735A" w:rsidRDefault="00D322FB" w:rsidP="00842630">
            <w:pPr>
              <w:autoSpaceDE w:val="0"/>
              <w:autoSpaceDN w:val="0"/>
              <w:adjustRightInd w:val="0"/>
              <w:ind w:left="-108"/>
              <w:rPr>
                <w:rFonts w:ascii="Arial" w:hAnsi="Arial" w:cs="Arial"/>
                <w:color w:val="000000"/>
                <w:sz w:val="18"/>
                <w:szCs w:val="18"/>
              </w:rPr>
            </w:pPr>
            <w:r w:rsidRPr="00B3735A">
              <w:rPr>
                <w:rFonts w:ascii="Arial" w:hAnsi="Arial" w:cs="Arial"/>
                <w:color w:val="000000"/>
                <w:sz w:val="18"/>
                <w:szCs w:val="18"/>
              </w:rPr>
              <w:t xml:space="preserve"> - İlişkili olmayan taraflara ticari borçlar</w:t>
            </w: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6</w:t>
            </w:r>
          </w:p>
        </w:tc>
        <w:tc>
          <w:tcPr>
            <w:tcW w:w="2133" w:type="dxa"/>
            <w:tcBorders>
              <w:top w:val="nil"/>
              <w:left w:val="nil"/>
              <w:bottom w:val="nil"/>
              <w:right w:val="nil"/>
            </w:tcBorders>
            <w:vAlign w:val="bottom"/>
          </w:tcPr>
          <w:p w:rsidR="00D322FB" w:rsidRDefault="00950725" w:rsidP="00FB2DE0">
            <w:pPr>
              <w:jc w:val="right"/>
              <w:rPr>
                <w:rFonts w:ascii="Arial" w:hAnsi="Arial" w:cs="Arial"/>
                <w:b/>
                <w:bCs/>
                <w:color w:val="000000"/>
                <w:sz w:val="18"/>
                <w:szCs w:val="18"/>
              </w:rPr>
            </w:pPr>
            <w:r>
              <w:rPr>
                <w:rFonts w:ascii="Arial" w:hAnsi="Arial" w:cs="Arial"/>
                <w:b/>
                <w:bCs/>
                <w:color w:val="000000"/>
                <w:sz w:val="18"/>
                <w:szCs w:val="18"/>
              </w:rPr>
              <w:t>39.80</w:t>
            </w:r>
            <w:r w:rsidR="00FB2DE0">
              <w:rPr>
                <w:rFonts w:ascii="Arial" w:hAnsi="Arial" w:cs="Arial"/>
                <w:b/>
                <w:bCs/>
                <w:color w:val="000000"/>
                <w:sz w:val="18"/>
                <w:szCs w:val="18"/>
              </w:rPr>
              <w:t>2</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22.677</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r w:rsidRPr="00B3735A">
              <w:rPr>
                <w:rFonts w:ascii="Arial" w:hAnsi="Arial" w:cs="Arial"/>
                <w:color w:val="000000"/>
                <w:sz w:val="18"/>
                <w:szCs w:val="18"/>
              </w:rPr>
              <w:t>Diğer borçlar</w:t>
            </w: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9</w:t>
            </w:r>
          </w:p>
        </w:tc>
        <w:tc>
          <w:tcPr>
            <w:tcW w:w="2133" w:type="dxa"/>
            <w:tcBorders>
              <w:top w:val="nil"/>
              <w:left w:val="nil"/>
              <w:bottom w:val="nil"/>
              <w:right w:val="nil"/>
            </w:tcBorders>
            <w:vAlign w:val="bottom"/>
          </w:tcPr>
          <w:p w:rsidR="00D322FB" w:rsidRDefault="0003780E" w:rsidP="00842630">
            <w:pPr>
              <w:jc w:val="right"/>
              <w:rPr>
                <w:rFonts w:ascii="Arial" w:hAnsi="Arial" w:cs="Arial"/>
                <w:b/>
                <w:bCs/>
                <w:color w:val="000000"/>
                <w:sz w:val="18"/>
                <w:szCs w:val="18"/>
              </w:rPr>
            </w:pPr>
            <w:r>
              <w:rPr>
                <w:rFonts w:ascii="Arial" w:hAnsi="Arial" w:cs="Arial"/>
                <w:b/>
                <w:bCs/>
                <w:color w:val="000000"/>
                <w:sz w:val="18"/>
                <w:szCs w:val="18"/>
              </w:rPr>
              <w:t>18.491</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16.105</w:t>
            </w:r>
          </w:p>
        </w:tc>
      </w:tr>
      <w:tr w:rsidR="00D322FB" w:rsidRPr="0000200F" w:rsidTr="00842630">
        <w:trPr>
          <w:trHeight w:val="113"/>
        </w:trPr>
        <w:tc>
          <w:tcPr>
            <w:tcW w:w="4410" w:type="dxa"/>
            <w:tcBorders>
              <w:top w:val="nil"/>
              <w:left w:val="nil"/>
              <w:bottom w:val="nil"/>
              <w:right w:val="nil"/>
            </w:tcBorders>
          </w:tcPr>
          <w:p w:rsidR="00D322FB" w:rsidRPr="00514574" w:rsidRDefault="00D322FB" w:rsidP="00842630">
            <w:pPr>
              <w:autoSpaceDE w:val="0"/>
              <w:autoSpaceDN w:val="0"/>
              <w:adjustRightInd w:val="0"/>
              <w:ind w:hanging="108"/>
              <w:rPr>
                <w:rFonts w:ascii="Arial" w:hAnsi="Arial" w:cs="Arial"/>
                <w:color w:val="000000"/>
                <w:sz w:val="18"/>
                <w:szCs w:val="18"/>
              </w:rPr>
            </w:pPr>
            <w:r w:rsidRPr="00514574">
              <w:rPr>
                <w:rFonts w:ascii="Arial" w:hAnsi="Arial" w:cs="Arial"/>
                <w:color w:val="000000"/>
                <w:sz w:val="18"/>
                <w:szCs w:val="18"/>
              </w:rPr>
              <w:t>Çalışanlara sağlanan faydalar kapsamında borçlar</w:t>
            </w: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12</w:t>
            </w:r>
          </w:p>
        </w:tc>
        <w:tc>
          <w:tcPr>
            <w:tcW w:w="2133" w:type="dxa"/>
            <w:tcBorders>
              <w:top w:val="nil"/>
              <w:left w:val="nil"/>
              <w:bottom w:val="nil"/>
              <w:right w:val="nil"/>
            </w:tcBorders>
            <w:vAlign w:val="bottom"/>
          </w:tcPr>
          <w:p w:rsidR="00D322FB" w:rsidRDefault="0003780E" w:rsidP="00842630">
            <w:pPr>
              <w:jc w:val="right"/>
              <w:rPr>
                <w:rFonts w:ascii="Arial" w:hAnsi="Arial" w:cs="Arial"/>
                <w:b/>
                <w:bCs/>
                <w:color w:val="000000"/>
                <w:sz w:val="18"/>
                <w:szCs w:val="18"/>
              </w:rPr>
            </w:pPr>
            <w:r>
              <w:rPr>
                <w:rFonts w:ascii="Arial" w:hAnsi="Arial" w:cs="Arial"/>
                <w:b/>
                <w:bCs/>
                <w:color w:val="000000"/>
                <w:sz w:val="18"/>
                <w:szCs w:val="18"/>
              </w:rPr>
              <w:t>79.890</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76.086</w:t>
            </w:r>
          </w:p>
        </w:tc>
      </w:tr>
      <w:tr w:rsidR="00D322FB" w:rsidRPr="0000200F" w:rsidTr="00842630">
        <w:trPr>
          <w:trHeight w:val="113"/>
        </w:trPr>
        <w:tc>
          <w:tcPr>
            <w:tcW w:w="4410" w:type="dxa"/>
            <w:tcBorders>
              <w:top w:val="nil"/>
              <w:left w:val="nil"/>
              <w:bottom w:val="nil"/>
              <w:right w:val="nil"/>
            </w:tcBorders>
          </w:tcPr>
          <w:p w:rsidR="00D322FB" w:rsidRPr="00B3735A" w:rsidRDefault="00D322FB" w:rsidP="00842630">
            <w:pPr>
              <w:ind w:left="318" w:hanging="426"/>
              <w:rPr>
                <w:rFonts w:ascii="Arial" w:hAnsi="Arial" w:cs="Arial"/>
                <w:color w:val="000000"/>
                <w:sz w:val="18"/>
                <w:szCs w:val="18"/>
              </w:rPr>
            </w:pP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bCs/>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bCs/>
                <w:color w:val="000000"/>
                <w:sz w:val="18"/>
                <w:szCs w:val="18"/>
              </w:rPr>
            </w:pPr>
          </w:p>
        </w:tc>
      </w:tr>
      <w:tr w:rsidR="00D322FB" w:rsidRPr="0000200F" w:rsidTr="00842630">
        <w:trPr>
          <w:trHeight w:val="113"/>
        </w:trPr>
        <w:tc>
          <w:tcPr>
            <w:tcW w:w="4410" w:type="dxa"/>
            <w:tcBorders>
              <w:top w:val="single" w:sz="4" w:space="0" w:color="auto"/>
              <w:left w:val="nil"/>
              <w:bottom w:val="single" w:sz="4" w:space="0" w:color="auto"/>
              <w:right w:val="nil"/>
            </w:tcBorders>
            <w:vAlign w:val="bottom"/>
          </w:tcPr>
          <w:p w:rsidR="00D322FB" w:rsidRPr="00B3735A" w:rsidRDefault="00D322FB" w:rsidP="00842630">
            <w:pPr>
              <w:ind w:left="318" w:hanging="426"/>
              <w:rPr>
                <w:rFonts w:ascii="Arial" w:hAnsi="Arial" w:cs="Arial"/>
                <w:b/>
                <w:bCs/>
                <w:color w:val="000000"/>
                <w:sz w:val="18"/>
                <w:szCs w:val="18"/>
              </w:rPr>
            </w:pPr>
            <w:r w:rsidRPr="00B3735A">
              <w:rPr>
                <w:rFonts w:ascii="Arial" w:hAnsi="Arial" w:cs="Arial"/>
                <w:b/>
                <w:bCs/>
                <w:color w:val="000000"/>
                <w:sz w:val="18"/>
                <w:szCs w:val="18"/>
              </w:rPr>
              <w:t>Uzun vadeli yükümlülükler</w:t>
            </w:r>
          </w:p>
        </w:tc>
        <w:tc>
          <w:tcPr>
            <w:tcW w:w="747"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vAlign w:val="bottom"/>
          </w:tcPr>
          <w:p w:rsidR="00D322FB" w:rsidRPr="00347CBE" w:rsidRDefault="00FB2DE0" w:rsidP="00FB2DE0">
            <w:pPr>
              <w:jc w:val="right"/>
              <w:rPr>
                <w:rFonts w:ascii="Arial" w:hAnsi="Arial" w:cs="Arial"/>
                <w:b/>
                <w:bCs/>
                <w:color w:val="000000"/>
                <w:sz w:val="18"/>
                <w:szCs w:val="18"/>
              </w:rPr>
            </w:pPr>
            <w:r>
              <w:rPr>
                <w:rFonts w:ascii="Arial" w:hAnsi="Arial" w:cs="Arial"/>
                <w:b/>
                <w:bCs/>
                <w:color w:val="000000"/>
                <w:sz w:val="18"/>
                <w:szCs w:val="18"/>
              </w:rPr>
              <w:t>220</w:t>
            </w:r>
            <w:r w:rsidR="0003780E">
              <w:rPr>
                <w:rFonts w:ascii="Arial" w:hAnsi="Arial" w:cs="Arial"/>
                <w:b/>
                <w:bCs/>
                <w:color w:val="000000"/>
                <w:sz w:val="18"/>
                <w:szCs w:val="18"/>
              </w:rPr>
              <w:t>.</w:t>
            </w:r>
            <w:r>
              <w:rPr>
                <w:rFonts w:ascii="Arial" w:hAnsi="Arial" w:cs="Arial"/>
                <w:b/>
                <w:bCs/>
                <w:color w:val="000000"/>
                <w:sz w:val="18"/>
                <w:szCs w:val="18"/>
              </w:rPr>
              <w:t>790</w:t>
            </w:r>
          </w:p>
        </w:tc>
        <w:tc>
          <w:tcPr>
            <w:tcW w:w="2133"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b/>
                <w:bCs/>
                <w:color w:val="000000"/>
                <w:sz w:val="18"/>
                <w:szCs w:val="18"/>
              </w:rPr>
            </w:pPr>
            <w:r w:rsidRPr="00347CBE">
              <w:rPr>
                <w:rFonts w:ascii="Arial" w:hAnsi="Arial" w:cs="Arial"/>
                <w:b/>
                <w:bCs/>
                <w:color w:val="000000"/>
                <w:sz w:val="18"/>
                <w:szCs w:val="18"/>
              </w:rPr>
              <w:t>187.449</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b/>
                <w:bCs/>
                <w:color w:val="000000"/>
                <w:sz w:val="18"/>
                <w:szCs w:val="18"/>
              </w:rPr>
            </w:pP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bCs/>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bCs/>
                <w:color w:val="000000"/>
                <w:sz w:val="18"/>
                <w:szCs w:val="18"/>
              </w:rPr>
            </w:pPr>
          </w:p>
        </w:tc>
      </w:tr>
      <w:tr w:rsidR="00D322FB" w:rsidRPr="0000200F" w:rsidTr="00842630">
        <w:trPr>
          <w:trHeight w:val="113"/>
        </w:trPr>
        <w:tc>
          <w:tcPr>
            <w:tcW w:w="4410" w:type="dxa"/>
            <w:tcBorders>
              <w:top w:val="nil"/>
              <w:left w:val="nil"/>
              <w:bottom w:val="nil"/>
              <w:right w:val="nil"/>
            </w:tcBorders>
          </w:tcPr>
          <w:p w:rsidR="00D322FB" w:rsidRPr="00B3735A" w:rsidRDefault="00D322FB" w:rsidP="00842630">
            <w:pPr>
              <w:ind w:left="318" w:hanging="426"/>
              <w:rPr>
                <w:rFonts w:ascii="Arial" w:hAnsi="Arial" w:cs="Arial"/>
                <w:color w:val="000000"/>
                <w:sz w:val="18"/>
                <w:szCs w:val="18"/>
              </w:rPr>
            </w:pPr>
            <w:r w:rsidRPr="00B3735A">
              <w:rPr>
                <w:rFonts w:ascii="Arial" w:hAnsi="Arial" w:cs="Arial"/>
                <w:color w:val="000000"/>
                <w:sz w:val="18"/>
                <w:szCs w:val="18"/>
              </w:rPr>
              <w:t>Uzun vadeli karşılıklar</w:t>
            </w: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center"/>
          </w:tcPr>
          <w:p w:rsidR="00D322FB" w:rsidRPr="00347CBE" w:rsidRDefault="00D322FB" w:rsidP="00842630">
            <w:pPr>
              <w:jc w:val="right"/>
              <w:rPr>
                <w:rFonts w:ascii="Arial" w:hAnsi="Arial" w:cs="Arial"/>
                <w:b/>
                <w:bCs/>
                <w:color w:val="000000"/>
                <w:sz w:val="18"/>
                <w:szCs w:val="18"/>
              </w:rPr>
            </w:pPr>
          </w:p>
        </w:tc>
        <w:tc>
          <w:tcPr>
            <w:tcW w:w="2133" w:type="dxa"/>
            <w:tcBorders>
              <w:top w:val="nil"/>
              <w:left w:val="nil"/>
              <w:bottom w:val="nil"/>
              <w:right w:val="nil"/>
            </w:tcBorders>
            <w:vAlign w:val="center"/>
          </w:tcPr>
          <w:p w:rsidR="00D322FB" w:rsidRPr="00347CBE" w:rsidRDefault="00D322FB" w:rsidP="00842630">
            <w:pPr>
              <w:jc w:val="right"/>
              <w:rPr>
                <w:rFonts w:ascii="Arial" w:hAnsi="Arial" w:cs="Arial"/>
                <w:b/>
                <w:bCs/>
                <w:color w:val="000000"/>
                <w:sz w:val="18"/>
                <w:szCs w:val="18"/>
              </w:rPr>
            </w:pP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4"/>
              <w:rPr>
                <w:rFonts w:ascii="Arial" w:hAnsi="Arial" w:cs="Arial"/>
                <w:color w:val="000000"/>
                <w:sz w:val="18"/>
                <w:szCs w:val="18"/>
              </w:rPr>
            </w:pPr>
            <w:r w:rsidRPr="00B3735A">
              <w:rPr>
                <w:rFonts w:ascii="Arial" w:hAnsi="Arial" w:cs="Arial"/>
                <w:color w:val="000000"/>
                <w:sz w:val="18"/>
                <w:szCs w:val="18"/>
              </w:rPr>
              <w:t>-Çalışanlara sağlanan faydalara ilişkin uzun vadeli karşılıklar</w:t>
            </w: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13</w:t>
            </w:r>
          </w:p>
        </w:tc>
        <w:tc>
          <w:tcPr>
            <w:tcW w:w="2133" w:type="dxa"/>
            <w:tcBorders>
              <w:top w:val="nil"/>
              <w:left w:val="nil"/>
              <w:bottom w:val="nil"/>
              <w:right w:val="nil"/>
            </w:tcBorders>
            <w:vAlign w:val="bottom"/>
          </w:tcPr>
          <w:p w:rsidR="00D322FB" w:rsidRPr="00347CBE" w:rsidRDefault="00FB2DE0" w:rsidP="00FB2DE0">
            <w:pPr>
              <w:jc w:val="right"/>
              <w:rPr>
                <w:rFonts w:ascii="Arial" w:hAnsi="Arial" w:cs="Arial"/>
                <w:b/>
                <w:bCs/>
                <w:color w:val="000000"/>
                <w:sz w:val="18"/>
                <w:szCs w:val="18"/>
              </w:rPr>
            </w:pPr>
            <w:r>
              <w:rPr>
                <w:rFonts w:ascii="Arial" w:hAnsi="Arial" w:cs="Arial"/>
                <w:b/>
                <w:bCs/>
                <w:color w:val="000000"/>
                <w:sz w:val="18"/>
                <w:szCs w:val="18"/>
              </w:rPr>
              <w:t>220</w:t>
            </w:r>
            <w:r w:rsidR="0003780E">
              <w:rPr>
                <w:rFonts w:ascii="Arial" w:hAnsi="Arial" w:cs="Arial"/>
                <w:b/>
                <w:bCs/>
                <w:color w:val="000000"/>
                <w:sz w:val="18"/>
                <w:szCs w:val="18"/>
              </w:rPr>
              <w:t>.</w:t>
            </w:r>
            <w:r>
              <w:rPr>
                <w:rFonts w:ascii="Arial" w:hAnsi="Arial" w:cs="Arial"/>
                <w:b/>
                <w:bCs/>
                <w:color w:val="000000"/>
                <w:sz w:val="18"/>
                <w:szCs w:val="18"/>
              </w:rPr>
              <w:t>790</w:t>
            </w: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b/>
                <w:bCs/>
                <w:color w:val="000000"/>
                <w:sz w:val="18"/>
                <w:szCs w:val="18"/>
              </w:rPr>
            </w:pPr>
            <w:r w:rsidRPr="00347CBE">
              <w:rPr>
                <w:rFonts w:ascii="Arial" w:hAnsi="Arial" w:cs="Arial"/>
                <w:b/>
                <w:bCs/>
                <w:color w:val="000000"/>
                <w:sz w:val="18"/>
                <w:szCs w:val="18"/>
              </w:rPr>
              <w:t>187.449</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center"/>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center"/>
          </w:tcPr>
          <w:p w:rsidR="00D322FB" w:rsidRPr="00347CBE" w:rsidRDefault="00D322FB" w:rsidP="00842630">
            <w:pPr>
              <w:jc w:val="right"/>
              <w:rPr>
                <w:rFonts w:ascii="Arial" w:hAnsi="Arial" w:cs="Arial"/>
                <w:color w:val="000000"/>
                <w:sz w:val="18"/>
                <w:szCs w:val="18"/>
              </w:rPr>
            </w:pPr>
          </w:p>
        </w:tc>
      </w:tr>
      <w:tr w:rsidR="00D322FB" w:rsidRPr="0000200F" w:rsidTr="00842630">
        <w:trPr>
          <w:trHeight w:val="113"/>
        </w:trPr>
        <w:tc>
          <w:tcPr>
            <w:tcW w:w="4410" w:type="dxa"/>
            <w:tcBorders>
              <w:top w:val="single" w:sz="4" w:space="0" w:color="auto"/>
              <w:left w:val="nil"/>
              <w:bottom w:val="single" w:sz="4" w:space="0" w:color="auto"/>
              <w:right w:val="nil"/>
            </w:tcBorders>
            <w:vAlign w:val="bottom"/>
          </w:tcPr>
          <w:p w:rsidR="00D322FB" w:rsidRPr="00B3735A" w:rsidRDefault="00D322FB" w:rsidP="00842630">
            <w:pPr>
              <w:ind w:left="318" w:hanging="426"/>
              <w:rPr>
                <w:rFonts w:ascii="Arial" w:hAnsi="Arial" w:cs="Arial"/>
                <w:b/>
                <w:bCs/>
                <w:color w:val="000000"/>
                <w:sz w:val="18"/>
                <w:szCs w:val="18"/>
              </w:rPr>
            </w:pPr>
            <w:r w:rsidRPr="00C130BA">
              <w:rPr>
                <w:rFonts w:ascii="Arial" w:hAnsi="Arial" w:cs="Arial"/>
                <w:b/>
                <w:bCs/>
                <w:color w:val="000000"/>
                <w:sz w:val="18"/>
                <w:szCs w:val="18"/>
              </w:rPr>
              <w:t>Özkaynaklar</w:t>
            </w:r>
          </w:p>
        </w:tc>
        <w:tc>
          <w:tcPr>
            <w:tcW w:w="747"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vAlign w:val="center"/>
          </w:tcPr>
          <w:p w:rsidR="00D322FB" w:rsidRPr="00347CBE" w:rsidRDefault="0003780E" w:rsidP="00DE079E">
            <w:pPr>
              <w:jc w:val="right"/>
              <w:rPr>
                <w:rFonts w:ascii="Arial" w:hAnsi="Arial" w:cs="Arial"/>
                <w:b/>
                <w:bCs/>
                <w:color w:val="000000"/>
                <w:sz w:val="18"/>
                <w:szCs w:val="18"/>
              </w:rPr>
            </w:pPr>
            <w:r>
              <w:rPr>
                <w:rFonts w:ascii="Arial" w:hAnsi="Arial" w:cs="Arial"/>
                <w:b/>
                <w:bCs/>
                <w:color w:val="000000"/>
                <w:sz w:val="18"/>
                <w:szCs w:val="18"/>
              </w:rPr>
              <w:t>1.5</w:t>
            </w:r>
            <w:r w:rsidR="00DE079E">
              <w:rPr>
                <w:rFonts w:ascii="Arial" w:hAnsi="Arial" w:cs="Arial"/>
                <w:b/>
                <w:bCs/>
                <w:color w:val="000000"/>
                <w:sz w:val="18"/>
                <w:szCs w:val="18"/>
              </w:rPr>
              <w:t>62</w:t>
            </w:r>
            <w:r>
              <w:rPr>
                <w:rFonts w:ascii="Arial" w:hAnsi="Arial" w:cs="Arial"/>
                <w:b/>
                <w:bCs/>
                <w:color w:val="000000"/>
                <w:sz w:val="18"/>
                <w:szCs w:val="18"/>
              </w:rPr>
              <w:t>.</w:t>
            </w:r>
            <w:r w:rsidR="00DE079E">
              <w:rPr>
                <w:rFonts w:ascii="Arial" w:hAnsi="Arial" w:cs="Arial"/>
                <w:b/>
                <w:bCs/>
                <w:color w:val="000000"/>
                <w:sz w:val="18"/>
                <w:szCs w:val="18"/>
              </w:rPr>
              <w:t>060</w:t>
            </w:r>
          </w:p>
        </w:tc>
        <w:tc>
          <w:tcPr>
            <w:tcW w:w="2133" w:type="dxa"/>
            <w:tcBorders>
              <w:top w:val="single" w:sz="4" w:space="0" w:color="auto"/>
              <w:left w:val="nil"/>
              <w:bottom w:val="single" w:sz="4" w:space="0" w:color="auto"/>
              <w:right w:val="nil"/>
            </w:tcBorders>
            <w:vAlign w:val="center"/>
          </w:tcPr>
          <w:p w:rsidR="00D322FB" w:rsidRPr="00347CBE" w:rsidRDefault="00D322FB" w:rsidP="00842630">
            <w:pPr>
              <w:jc w:val="right"/>
              <w:rPr>
                <w:rFonts w:ascii="Arial" w:hAnsi="Arial" w:cs="Arial"/>
                <w:b/>
                <w:bCs/>
                <w:color w:val="000000"/>
                <w:sz w:val="18"/>
                <w:szCs w:val="18"/>
              </w:rPr>
            </w:pPr>
            <w:r w:rsidRPr="00347CBE">
              <w:rPr>
                <w:rFonts w:ascii="Arial" w:hAnsi="Arial" w:cs="Arial"/>
                <w:b/>
                <w:bCs/>
                <w:color w:val="000000"/>
                <w:sz w:val="18"/>
                <w:szCs w:val="18"/>
              </w:rPr>
              <w:t>1.496.60</w:t>
            </w:r>
            <w:r>
              <w:rPr>
                <w:rFonts w:ascii="Arial" w:hAnsi="Arial" w:cs="Arial"/>
                <w:b/>
                <w:bCs/>
                <w:color w:val="000000"/>
                <w:sz w:val="18"/>
                <w:szCs w:val="18"/>
              </w:rPr>
              <w:t>1</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p>
        </w:tc>
        <w:tc>
          <w:tcPr>
            <w:tcW w:w="747" w:type="dxa"/>
            <w:tcBorders>
              <w:top w:val="nil"/>
              <w:left w:val="nil"/>
              <w:bottom w:val="nil"/>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bCs/>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bCs/>
                <w:color w:val="000000"/>
                <w:sz w:val="18"/>
                <w:szCs w:val="18"/>
              </w:rPr>
            </w:pP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r w:rsidRPr="00B3735A">
              <w:rPr>
                <w:rFonts w:ascii="Arial" w:hAnsi="Arial" w:cs="Arial"/>
                <w:color w:val="000000"/>
                <w:sz w:val="18"/>
                <w:szCs w:val="18"/>
              </w:rPr>
              <w:t>Ödenmiş sermaye</w:t>
            </w:r>
          </w:p>
        </w:tc>
        <w:tc>
          <w:tcPr>
            <w:tcW w:w="747" w:type="dxa"/>
            <w:tcBorders>
              <w:top w:val="nil"/>
              <w:left w:val="nil"/>
              <w:bottom w:val="nil"/>
              <w:right w:val="nil"/>
            </w:tcBorders>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15</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3.000.000</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3.000.000</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r w:rsidRPr="00B3735A">
              <w:rPr>
                <w:rFonts w:ascii="Arial" w:hAnsi="Arial" w:cs="Arial"/>
                <w:color w:val="000000"/>
                <w:sz w:val="18"/>
                <w:szCs w:val="18"/>
              </w:rPr>
              <w:t>Sermaye düzeltmesi farkları</w:t>
            </w:r>
          </w:p>
        </w:tc>
        <w:tc>
          <w:tcPr>
            <w:tcW w:w="747" w:type="dxa"/>
            <w:tcBorders>
              <w:top w:val="nil"/>
              <w:left w:val="nil"/>
              <w:bottom w:val="nil"/>
              <w:right w:val="nil"/>
            </w:tcBorders>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15</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133.130</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133.130</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r w:rsidRPr="00B3735A">
              <w:rPr>
                <w:rFonts w:ascii="Arial" w:hAnsi="Arial" w:cs="Arial"/>
                <w:color w:val="000000"/>
                <w:sz w:val="18"/>
                <w:szCs w:val="18"/>
              </w:rPr>
              <w:t>Kardan ayrılan kısıtlanmış yedekler</w:t>
            </w:r>
          </w:p>
        </w:tc>
        <w:tc>
          <w:tcPr>
            <w:tcW w:w="747" w:type="dxa"/>
            <w:tcBorders>
              <w:top w:val="nil"/>
              <w:left w:val="nil"/>
              <w:bottom w:val="nil"/>
              <w:right w:val="nil"/>
            </w:tcBorders>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15</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44.772</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44.772</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r>
              <w:rPr>
                <w:rFonts w:ascii="Arial" w:hAnsi="Arial" w:cs="Arial"/>
                <w:color w:val="000000"/>
                <w:sz w:val="18"/>
                <w:szCs w:val="18"/>
              </w:rPr>
              <w:t xml:space="preserve">Geçmiş yıllar </w:t>
            </w:r>
            <w:r w:rsidRPr="00B3735A">
              <w:rPr>
                <w:rFonts w:ascii="Arial" w:hAnsi="Arial" w:cs="Arial"/>
                <w:color w:val="000000"/>
                <w:sz w:val="18"/>
                <w:szCs w:val="18"/>
              </w:rPr>
              <w:t>zararları</w:t>
            </w:r>
          </w:p>
        </w:tc>
        <w:tc>
          <w:tcPr>
            <w:tcW w:w="747" w:type="dxa"/>
            <w:tcBorders>
              <w:top w:val="nil"/>
              <w:left w:val="nil"/>
              <w:bottom w:val="nil"/>
              <w:right w:val="nil"/>
            </w:tcBorders>
          </w:tcPr>
          <w:p w:rsidR="00D322FB" w:rsidRPr="00347CBE" w:rsidRDefault="00D322FB" w:rsidP="00842630">
            <w:pPr>
              <w:jc w:val="right"/>
              <w:rPr>
                <w:rFonts w:ascii="Arial" w:hAnsi="Arial" w:cs="Arial"/>
                <w:color w:val="000000"/>
                <w:sz w:val="18"/>
                <w:szCs w:val="18"/>
              </w:rPr>
            </w:pPr>
            <w:r w:rsidRPr="00347CBE">
              <w:rPr>
                <w:rFonts w:ascii="Arial" w:hAnsi="Arial" w:cs="Arial"/>
                <w:color w:val="000000"/>
                <w:sz w:val="18"/>
                <w:szCs w:val="18"/>
              </w:rPr>
              <w:t>15</w:t>
            </w:r>
          </w:p>
        </w:tc>
        <w:tc>
          <w:tcPr>
            <w:tcW w:w="2133" w:type="dxa"/>
            <w:tcBorders>
              <w:top w:val="nil"/>
              <w:left w:val="nil"/>
              <w:bottom w:val="nil"/>
              <w:right w:val="nil"/>
            </w:tcBorders>
            <w:vAlign w:val="bottom"/>
          </w:tcPr>
          <w:p w:rsidR="00D322FB" w:rsidRDefault="0003780E" w:rsidP="00842630">
            <w:pPr>
              <w:jc w:val="right"/>
              <w:rPr>
                <w:rFonts w:ascii="Arial" w:hAnsi="Arial" w:cs="Arial"/>
                <w:b/>
                <w:bCs/>
                <w:color w:val="000000"/>
                <w:sz w:val="18"/>
                <w:szCs w:val="18"/>
              </w:rPr>
            </w:pPr>
            <w:r>
              <w:rPr>
                <w:rFonts w:ascii="Arial" w:hAnsi="Arial" w:cs="Arial"/>
                <w:b/>
                <w:bCs/>
                <w:color w:val="000000"/>
                <w:sz w:val="18"/>
                <w:szCs w:val="18"/>
              </w:rPr>
              <w:t>(1.681.301)</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(961.077)</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r>
              <w:rPr>
                <w:rFonts w:ascii="Arial" w:hAnsi="Arial" w:cs="Arial"/>
                <w:color w:val="000000"/>
                <w:sz w:val="18"/>
                <w:szCs w:val="18"/>
              </w:rPr>
              <w:t xml:space="preserve">Net dönem </w:t>
            </w:r>
            <w:r w:rsidRPr="00B3735A">
              <w:rPr>
                <w:rFonts w:ascii="Arial" w:hAnsi="Arial" w:cs="Arial"/>
                <w:color w:val="000000"/>
                <w:sz w:val="18"/>
                <w:szCs w:val="18"/>
              </w:rPr>
              <w:t>zararı</w:t>
            </w:r>
          </w:p>
        </w:tc>
        <w:tc>
          <w:tcPr>
            <w:tcW w:w="747" w:type="dxa"/>
            <w:tcBorders>
              <w:top w:val="nil"/>
              <w:left w:val="nil"/>
              <w:bottom w:val="nil"/>
              <w:right w:val="nil"/>
            </w:tcBorders>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Default="00DE079E" w:rsidP="00FB2DE0">
            <w:pPr>
              <w:jc w:val="right"/>
              <w:rPr>
                <w:rFonts w:ascii="Arial" w:hAnsi="Arial" w:cs="Arial"/>
                <w:b/>
                <w:bCs/>
                <w:color w:val="000000"/>
                <w:sz w:val="18"/>
                <w:szCs w:val="18"/>
              </w:rPr>
            </w:pPr>
            <w:r>
              <w:rPr>
                <w:rFonts w:ascii="Arial" w:hAnsi="Arial" w:cs="Arial"/>
                <w:b/>
                <w:bCs/>
                <w:color w:val="000000"/>
                <w:sz w:val="18"/>
                <w:szCs w:val="18"/>
              </w:rPr>
              <w:t>6</w:t>
            </w:r>
            <w:r w:rsidR="00FB2DE0">
              <w:rPr>
                <w:rFonts w:ascii="Arial" w:hAnsi="Arial" w:cs="Arial"/>
                <w:b/>
                <w:bCs/>
                <w:color w:val="000000"/>
                <w:sz w:val="18"/>
                <w:szCs w:val="18"/>
              </w:rPr>
              <w:t>5</w:t>
            </w:r>
            <w:r w:rsidR="0003780E">
              <w:rPr>
                <w:rFonts w:ascii="Arial" w:hAnsi="Arial" w:cs="Arial"/>
                <w:b/>
                <w:bCs/>
                <w:color w:val="000000"/>
                <w:sz w:val="18"/>
                <w:szCs w:val="18"/>
              </w:rPr>
              <w:t>.</w:t>
            </w:r>
            <w:r>
              <w:rPr>
                <w:rFonts w:ascii="Arial" w:hAnsi="Arial" w:cs="Arial"/>
                <w:b/>
                <w:bCs/>
                <w:color w:val="000000"/>
                <w:sz w:val="18"/>
                <w:szCs w:val="18"/>
              </w:rPr>
              <w:t>459</w:t>
            </w:r>
          </w:p>
        </w:tc>
        <w:tc>
          <w:tcPr>
            <w:tcW w:w="2133" w:type="dxa"/>
            <w:tcBorders>
              <w:top w:val="nil"/>
              <w:left w:val="nil"/>
              <w:bottom w:val="nil"/>
              <w:right w:val="nil"/>
            </w:tcBorders>
            <w:vAlign w:val="bottom"/>
          </w:tcPr>
          <w:p w:rsidR="00D322FB" w:rsidRDefault="00D322FB" w:rsidP="00842630">
            <w:pPr>
              <w:jc w:val="right"/>
              <w:rPr>
                <w:rFonts w:ascii="Arial" w:hAnsi="Arial" w:cs="Arial"/>
                <w:b/>
                <w:bCs/>
                <w:color w:val="000000"/>
                <w:sz w:val="18"/>
                <w:szCs w:val="18"/>
              </w:rPr>
            </w:pPr>
            <w:r>
              <w:rPr>
                <w:rFonts w:ascii="Arial" w:hAnsi="Arial" w:cs="Arial"/>
                <w:b/>
                <w:bCs/>
                <w:color w:val="000000"/>
                <w:sz w:val="18"/>
                <w:szCs w:val="18"/>
              </w:rPr>
              <w:t>(720.224)</w:t>
            </w:r>
          </w:p>
        </w:tc>
      </w:tr>
      <w:tr w:rsidR="00D322FB" w:rsidRPr="0000200F" w:rsidTr="00842630">
        <w:trPr>
          <w:trHeight w:val="113"/>
        </w:trPr>
        <w:tc>
          <w:tcPr>
            <w:tcW w:w="4410" w:type="dxa"/>
            <w:tcBorders>
              <w:top w:val="nil"/>
              <w:left w:val="nil"/>
              <w:bottom w:val="nil"/>
              <w:right w:val="nil"/>
            </w:tcBorders>
            <w:vAlign w:val="bottom"/>
          </w:tcPr>
          <w:p w:rsidR="00D322FB" w:rsidRPr="00B3735A" w:rsidRDefault="00D322FB" w:rsidP="00842630">
            <w:pPr>
              <w:ind w:left="318" w:hanging="426"/>
              <w:rPr>
                <w:rFonts w:ascii="Arial" w:hAnsi="Arial" w:cs="Arial"/>
                <w:color w:val="000000"/>
                <w:sz w:val="18"/>
                <w:szCs w:val="18"/>
              </w:rPr>
            </w:pPr>
          </w:p>
        </w:tc>
        <w:tc>
          <w:tcPr>
            <w:tcW w:w="747" w:type="dxa"/>
            <w:tcBorders>
              <w:top w:val="nil"/>
              <w:left w:val="nil"/>
              <w:bottom w:val="nil"/>
              <w:right w:val="nil"/>
            </w:tcBorders>
          </w:tcPr>
          <w:p w:rsidR="00D322FB" w:rsidRPr="00347CBE" w:rsidRDefault="00D322FB" w:rsidP="00842630">
            <w:pPr>
              <w:jc w:val="right"/>
              <w:rPr>
                <w:rFonts w:ascii="Arial" w:hAnsi="Arial" w:cs="Arial"/>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b/>
                <w:bCs/>
                <w:color w:val="000000"/>
                <w:sz w:val="18"/>
                <w:szCs w:val="18"/>
              </w:rPr>
            </w:pPr>
          </w:p>
        </w:tc>
        <w:tc>
          <w:tcPr>
            <w:tcW w:w="2133" w:type="dxa"/>
            <w:tcBorders>
              <w:top w:val="nil"/>
              <w:left w:val="nil"/>
              <w:bottom w:val="nil"/>
              <w:right w:val="nil"/>
            </w:tcBorders>
            <w:vAlign w:val="bottom"/>
          </w:tcPr>
          <w:p w:rsidR="00D322FB" w:rsidRPr="00347CBE" w:rsidRDefault="00D322FB" w:rsidP="00842630">
            <w:pPr>
              <w:jc w:val="right"/>
              <w:rPr>
                <w:rFonts w:ascii="Arial" w:hAnsi="Arial" w:cs="Arial"/>
                <w:b/>
                <w:bCs/>
                <w:color w:val="000000"/>
                <w:sz w:val="18"/>
                <w:szCs w:val="18"/>
              </w:rPr>
            </w:pPr>
          </w:p>
        </w:tc>
      </w:tr>
      <w:tr w:rsidR="00D322FB" w:rsidRPr="0000200F" w:rsidTr="0003780E">
        <w:trPr>
          <w:trHeight w:val="113"/>
        </w:trPr>
        <w:tc>
          <w:tcPr>
            <w:tcW w:w="4410" w:type="dxa"/>
            <w:tcBorders>
              <w:top w:val="single" w:sz="4" w:space="0" w:color="auto"/>
              <w:left w:val="nil"/>
              <w:bottom w:val="single" w:sz="4" w:space="0" w:color="auto"/>
              <w:right w:val="nil"/>
            </w:tcBorders>
            <w:vAlign w:val="bottom"/>
          </w:tcPr>
          <w:p w:rsidR="00D322FB" w:rsidRPr="00B3735A" w:rsidRDefault="00D322FB" w:rsidP="00842630">
            <w:pPr>
              <w:ind w:left="318" w:hanging="426"/>
              <w:rPr>
                <w:rFonts w:ascii="Arial" w:hAnsi="Arial" w:cs="Arial"/>
                <w:b/>
                <w:bCs/>
                <w:color w:val="000000"/>
                <w:sz w:val="18"/>
                <w:szCs w:val="18"/>
              </w:rPr>
            </w:pPr>
            <w:r w:rsidRPr="00B3735A">
              <w:rPr>
                <w:rFonts w:ascii="Arial" w:hAnsi="Arial" w:cs="Arial"/>
                <w:b/>
                <w:bCs/>
                <w:color w:val="000000"/>
                <w:sz w:val="18"/>
                <w:szCs w:val="18"/>
              </w:rPr>
              <w:t>Toplam kaynaklar</w:t>
            </w:r>
          </w:p>
        </w:tc>
        <w:tc>
          <w:tcPr>
            <w:tcW w:w="747"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vAlign w:val="bottom"/>
          </w:tcPr>
          <w:p w:rsidR="00D322FB" w:rsidRPr="00347CBE" w:rsidRDefault="0003780E" w:rsidP="00DE079E">
            <w:pPr>
              <w:jc w:val="right"/>
              <w:rPr>
                <w:rFonts w:ascii="Arial" w:hAnsi="Arial" w:cs="Arial"/>
                <w:b/>
                <w:bCs/>
                <w:color w:val="000000"/>
                <w:sz w:val="18"/>
                <w:szCs w:val="18"/>
              </w:rPr>
            </w:pPr>
            <w:r>
              <w:rPr>
                <w:rFonts w:ascii="Arial" w:hAnsi="Arial" w:cs="Arial"/>
                <w:b/>
                <w:bCs/>
                <w:color w:val="000000"/>
                <w:sz w:val="18"/>
                <w:szCs w:val="18"/>
              </w:rPr>
              <w:t>1.93</w:t>
            </w:r>
            <w:r w:rsidR="00DE079E">
              <w:rPr>
                <w:rFonts w:ascii="Arial" w:hAnsi="Arial" w:cs="Arial"/>
                <w:b/>
                <w:bCs/>
                <w:color w:val="000000"/>
                <w:sz w:val="18"/>
                <w:szCs w:val="18"/>
              </w:rPr>
              <w:t>6</w:t>
            </w:r>
            <w:r>
              <w:rPr>
                <w:rFonts w:ascii="Arial" w:hAnsi="Arial" w:cs="Arial"/>
                <w:b/>
                <w:bCs/>
                <w:color w:val="000000"/>
                <w:sz w:val="18"/>
                <w:szCs w:val="18"/>
              </w:rPr>
              <w:t>.</w:t>
            </w:r>
            <w:r w:rsidR="00DE079E">
              <w:rPr>
                <w:rFonts w:ascii="Arial" w:hAnsi="Arial" w:cs="Arial"/>
                <w:b/>
                <w:bCs/>
                <w:color w:val="000000"/>
                <w:sz w:val="18"/>
                <w:szCs w:val="18"/>
              </w:rPr>
              <w:t>323</w:t>
            </w:r>
          </w:p>
        </w:tc>
        <w:tc>
          <w:tcPr>
            <w:tcW w:w="2133" w:type="dxa"/>
            <w:tcBorders>
              <w:top w:val="single" w:sz="4" w:space="0" w:color="auto"/>
              <w:left w:val="nil"/>
              <w:bottom w:val="single" w:sz="4" w:space="0" w:color="auto"/>
              <w:right w:val="nil"/>
            </w:tcBorders>
            <w:vAlign w:val="bottom"/>
          </w:tcPr>
          <w:p w:rsidR="00D322FB" w:rsidRPr="00347CBE" w:rsidRDefault="00D322FB" w:rsidP="00842630">
            <w:pPr>
              <w:jc w:val="right"/>
              <w:rPr>
                <w:rFonts w:ascii="Arial" w:hAnsi="Arial" w:cs="Arial"/>
                <w:b/>
                <w:bCs/>
                <w:color w:val="000000"/>
                <w:sz w:val="18"/>
                <w:szCs w:val="18"/>
              </w:rPr>
            </w:pPr>
            <w:r w:rsidRPr="00347CBE">
              <w:rPr>
                <w:rFonts w:ascii="Arial" w:hAnsi="Arial" w:cs="Arial"/>
                <w:b/>
                <w:bCs/>
                <w:color w:val="000000"/>
                <w:sz w:val="18"/>
                <w:szCs w:val="18"/>
              </w:rPr>
              <w:t>1.809.73</w:t>
            </w:r>
            <w:r>
              <w:rPr>
                <w:rFonts w:ascii="Arial" w:hAnsi="Arial" w:cs="Arial"/>
                <w:b/>
                <w:bCs/>
                <w:color w:val="000000"/>
                <w:sz w:val="18"/>
                <w:szCs w:val="18"/>
              </w:rPr>
              <w:t>4</w:t>
            </w:r>
          </w:p>
        </w:tc>
      </w:tr>
      <w:tr w:rsidR="0003780E" w:rsidRPr="0000200F" w:rsidTr="00842630">
        <w:trPr>
          <w:trHeight w:val="113"/>
        </w:trPr>
        <w:tc>
          <w:tcPr>
            <w:tcW w:w="4410" w:type="dxa"/>
            <w:tcBorders>
              <w:top w:val="single" w:sz="4" w:space="0" w:color="auto"/>
              <w:left w:val="nil"/>
              <w:bottom w:val="double" w:sz="6" w:space="0" w:color="auto"/>
              <w:right w:val="nil"/>
            </w:tcBorders>
            <w:vAlign w:val="bottom"/>
          </w:tcPr>
          <w:p w:rsidR="0003780E" w:rsidRPr="00B3735A" w:rsidRDefault="0003780E" w:rsidP="00842630">
            <w:pPr>
              <w:ind w:left="318" w:hanging="426"/>
              <w:rPr>
                <w:rFonts w:ascii="Arial" w:hAnsi="Arial" w:cs="Arial"/>
                <w:b/>
                <w:bCs/>
                <w:color w:val="000000"/>
                <w:sz w:val="18"/>
                <w:szCs w:val="18"/>
              </w:rPr>
            </w:pPr>
          </w:p>
        </w:tc>
        <w:tc>
          <w:tcPr>
            <w:tcW w:w="747" w:type="dxa"/>
            <w:tcBorders>
              <w:top w:val="single" w:sz="4" w:space="0" w:color="auto"/>
              <w:left w:val="nil"/>
              <w:bottom w:val="double" w:sz="6" w:space="0" w:color="auto"/>
              <w:right w:val="nil"/>
            </w:tcBorders>
            <w:vAlign w:val="bottom"/>
          </w:tcPr>
          <w:p w:rsidR="0003780E" w:rsidRPr="00347CBE" w:rsidRDefault="0003780E" w:rsidP="00842630">
            <w:pPr>
              <w:jc w:val="right"/>
              <w:rPr>
                <w:rFonts w:ascii="Arial" w:hAnsi="Arial" w:cs="Arial"/>
                <w:color w:val="000000"/>
                <w:sz w:val="18"/>
                <w:szCs w:val="18"/>
              </w:rPr>
            </w:pPr>
          </w:p>
        </w:tc>
        <w:tc>
          <w:tcPr>
            <w:tcW w:w="2133" w:type="dxa"/>
            <w:tcBorders>
              <w:top w:val="single" w:sz="4" w:space="0" w:color="auto"/>
              <w:left w:val="nil"/>
              <w:bottom w:val="double" w:sz="6" w:space="0" w:color="auto"/>
              <w:right w:val="nil"/>
            </w:tcBorders>
            <w:vAlign w:val="bottom"/>
          </w:tcPr>
          <w:p w:rsidR="0003780E" w:rsidRDefault="0003780E" w:rsidP="00842630">
            <w:pPr>
              <w:jc w:val="right"/>
              <w:rPr>
                <w:rFonts w:ascii="Arial" w:hAnsi="Arial" w:cs="Arial"/>
                <w:b/>
                <w:bCs/>
                <w:color w:val="000000"/>
                <w:sz w:val="18"/>
                <w:szCs w:val="18"/>
              </w:rPr>
            </w:pPr>
          </w:p>
        </w:tc>
        <w:tc>
          <w:tcPr>
            <w:tcW w:w="2133" w:type="dxa"/>
            <w:tcBorders>
              <w:top w:val="single" w:sz="4" w:space="0" w:color="auto"/>
              <w:left w:val="nil"/>
              <w:bottom w:val="double" w:sz="6" w:space="0" w:color="auto"/>
              <w:right w:val="nil"/>
            </w:tcBorders>
            <w:vAlign w:val="bottom"/>
          </w:tcPr>
          <w:p w:rsidR="0003780E" w:rsidRPr="00347CBE" w:rsidRDefault="0003780E" w:rsidP="00842630">
            <w:pPr>
              <w:jc w:val="right"/>
              <w:rPr>
                <w:rFonts w:ascii="Arial" w:hAnsi="Arial" w:cs="Arial"/>
                <w:b/>
                <w:bCs/>
                <w:color w:val="000000"/>
                <w:sz w:val="18"/>
                <w:szCs w:val="18"/>
              </w:rPr>
            </w:pPr>
          </w:p>
        </w:tc>
      </w:tr>
    </w:tbl>
    <w:p w:rsidR="00D322FB" w:rsidRPr="00727376" w:rsidRDefault="00D322FB" w:rsidP="007576E9">
      <w:pPr>
        <w:rPr>
          <w:rFonts w:ascii="Arial" w:hAnsi="Arial" w:cs="Arial"/>
          <w:highlight w:val="yellow"/>
        </w:rPr>
      </w:pPr>
    </w:p>
    <w:p w:rsidR="00D322FB" w:rsidRPr="00727376" w:rsidRDefault="00D322FB" w:rsidP="003B0A12">
      <w:pPr>
        <w:framePr w:w="9375" w:wrap="auto" w:hAnchor="text"/>
        <w:rPr>
          <w:rFonts w:ascii="Arial" w:hAnsi="Arial" w:cs="Arial"/>
          <w:highlight w:val="yellow"/>
        </w:rPr>
        <w:sectPr w:rsidR="00D322FB" w:rsidRPr="00727376" w:rsidSect="00AD6BF3">
          <w:headerReference w:type="default" r:id="rId8"/>
          <w:footerReference w:type="default" r:id="rId9"/>
          <w:pgSz w:w="11907" w:h="16834" w:code="9"/>
          <w:pgMar w:top="1418" w:right="1418" w:bottom="1418" w:left="1418" w:header="708" w:footer="840" w:gutter="0"/>
          <w:cols w:space="708"/>
          <w:docGrid w:linePitch="272"/>
        </w:sectPr>
      </w:pPr>
    </w:p>
    <w:tbl>
      <w:tblPr>
        <w:tblW w:w="9067" w:type="dxa"/>
        <w:tblInd w:w="108" w:type="dxa"/>
        <w:tblLayout w:type="fixed"/>
        <w:tblLook w:val="0000" w:firstRow="0" w:lastRow="0" w:firstColumn="0" w:lastColumn="0" w:noHBand="0" w:noVBand="0"/>
      </w:tblPr>
      <w:tblGrid>
        <w:gridCol w:w="4820"/>
        <w:gridCol w:w="1103"/>
        <w:gridCol w:w="1572"/>
        <w:gridCol w:w="1572"/>
      </w:tblGrid>
      <w:tr w:rsidR="00D322FB" w:rsidRPr="00CD7CE3" w:rsidTr="00FB2688">
        <w:trPr>
          <w:trHeight w:val="113"/>
        </w:trPr>
        <w:tc>
          <w:tcPr>
            <w:tcW w:w="4820" w:type="dxa"/>
            <w:tcBorders>
              <w:top w:val="single" w:sz="6" w:space="0" w:color="auto"/>
              <w:left w:val="nil"/>
              <w:bottom w:val="single" w:sz="6" w:space="0" w:color="auto"/>
              <w:right w:val="nil"/>
            </w:tcBorders>
          </w:tcPr>
          <w:p w:rsidR="00D322FB" w:rsidRPr="00083E3A" w:rsidRDefault="00D322FB" w:rsidP="00A870BB">
            <w:pPr>
              <w:autoSpaceDE w:val="0"/>
              <w:autoSpaceDN w:val="0"/>
              <w:adjustRightInd w:val="0"/>
              <w:ind w:hanging="108"/>
              <w:jc w:val="right"/>
              <w:rPr>
                <w:rFonts w:ascii="Arial" w:hAnsi="Arial" w:cs="Arial"/>
                <w:color w:val="000000"/>
                <w:sz w:val="18"/>
                <w:szCs w:val="18"/>
              </w:rPr>
            </w:pPr>
          </w:p>
        </w:tc>
        <w:tc>
          <w:tcPr>
            <w:tcW w:w="1103" w:type="dxa"/>
            <w:tcBorders>
              <w:top w:val="single" w:sz="6" w:space="0" w:color="auto"/>
              <w:left w:val="nil"/>
              <w:bottom w:val="single" w:sz="6" w:space="0" w:color="auto"/>
              <w:right w:val="nil"/>
            </w:tcBorders>
            <w:vAlign w:val="bottom"/>
          </w:tcPr>
          <w:p w:rsidR="00D322FB" w:rsidRPr="005321EC" w:rsidRDefault="00D322FB" w:rsidP="00A27292">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D322FB" w:rsidRPr="005321EC" w:rsidRDefault="00D322FB" w:rsidP="00E125AB">
            <w:pPr>
              <w:autoSpaceDE w:val="0"/>
              <w:autoSpaceDN w:val="0"/>
              <w:adjustRightInd w:val="0"/>
              <w:ind w:left="-113"/>
              <w:jc w:val="right"/>
              <w:rPr>
                <w:rFonts w:ascii="Arial" w:hAnsi="Arial" w:cs="Arial"/>
                <w:b/>
                <w:bCs/>
                <w:color w:val="000000"/>
                <w:sz w:val="18"/>
                <w:szCs w:val="18"/>
              </w:rPr>
            </w:pPr>
            <w:r w:rsidRPr="005321EC">
              <w:rPr>
                <w:rFonts w:ascii="Arial" w:hAnsi="Arial" w:cs="Arial"/>
                <w:b/>
                <w:bCs/>
                <w:color w:val="000000"/>
                <w:sz w:val="18"/>
                <w:szCs w:val="18"/>
              </w:rPr>
              <w:t>Cari dönem</w:t>
            </w:r>
          </w:p>
        </w:tc>
        <w:tc>
          <w:tcPr>
            <w:tcW w:w="1572" w:type="dxa"/>
            <w:tcBorders>
              <w:top w:val="single" w:sz="6" w:space="0" w:color="auto"/>
              <w:left w:val="nil"/>
              <w:bottom w:val="single" w:sz="6" w:space="0" w:color="auto"/>
              <w:right w:val="nil"/>
            </w:tcBorders>
            <w:vAlign w:val="bottom"/>
          </w:tcPr>
          <w:p w:rsidR="00D322FB" w:rsidRPr="005321EC" w:rsidRDefault="00D322FB" w:rsidP="00DE18BD">
            <w:pPr>
              <w:autoSpaceDE w:val="0"/>
              <w:autoSpaceDN w:val="0"/>
              <w:adjustRightInd w:val="0"/>
              <w:ind w:left="-113"/>
              <w:jc w:val="right"/>
              <w:rPr>
                <w:rFonts w:ascii="Arial" w:hAnsi="Arial" w:cs="Arial"/>
                <w:b/>
                <w:bCs/>
                <w:color w:val="000000"/>
                <w:sz w:val="18"/>
                <w:szCs w:val="18"/>
              </w:rPr>
            </w:pPr>
            <w:r>
              <w:rPr>
                <w:rFonts w:ascii="Arial" w:hAnsi="Arial" w:cs="Arial"/>
                <w:b/>
                <w:bCs/>
                <w:color w:val="000000"/>
                <w:sz w:val="18"/>
                <w:szCs w:val="18"/>
              </w:rPr>
              <w:t>Geçmiş</w:t>
            </w:r>
            <w:r w:rsidRPr="005321EC">
              <w:rPr>
                <w:rFonts w:ascii="Arial" w:hAnsi="Arial" w:cs="Arial"/>
                <w:b/>
                <w:bCs/>
                <w:color w:val="000000"/>
                <w:sz w:val="18"/>
                <w:szCs w:val="18"/>
              </w:rPr>
              <w:t xml:space="preserve"> dönem</w:t>
            </w:r>
          </w:p>
        </w:tc>
      </w:tr>
      <w:tr w:rsidR="00D322FB" w:rsidRPr="00CD7CE3" w:rsidTr="00FB2688">
        <w:trPr>
          <w:trHeight w:val="113"/>
        </w:trPr>
        <w:tc>
          <w:tcPr>
            <w:tcW w:w="4820" w:type="dxa"/>
            <w:tcBorders>
              <w:top w:val="single" w:sz="6" w:space="0" w:color="auto"/>
              <w:left w:val="nil"/>
              <w:bottom w:val="single" w:sz="6" w:space="0" w:color="auto"/>
              <w:right w:val="nil"/>
            </w:tcBorders>
          </w:tcPr>
          <w:p w:rsidR="00D322FB" w:rsidRPr="00083E3A" w:rsidRDefault="00D322FB" w:rsidP="00A870BB">
            <w:pPr>
              <w:autoSpaceDE w:val="0"/>
              <w:autoSpaceDN w:val="0"/>
              <w:adjustRightInd w:val="0"/>
              <w:ind w:hanging="108"/>
              <w:jc w:val="right"/>
              <w:rPr>
                <w:rFonts w:ascii="Arial" w:hAnsi="Arial" w:cs="Arial"/>
                <w:color w:val="000000"/>
                <w:sz w:val="18"/>
                <w:szCs w:val="18"/>
              </w:rPr>
            </w:pPr>
          </w:p>
        </w:tc>
        <w:tc>
          <w:tcPr>
            <w:tcW w:w="1103" w:type="dxa"/>
            <w:tcBorders>
              <w:top w:val="single" w:sz="6" w:space="0" w:color="auto"/>
              <w:left w:val="nil"/>
              <w:bottom w:val="single" w:sz="6" w:space="0" w:color="auto"/>
              <w:right w:val="nil"/>
            </w:tcBorders>
            <w:vAlign w:val="bottom"/>
          </w:tcPr>
          <w:p w:rsidR="00D322FB" w:rsidRPr="005321EC" w:rsidRDefault="00D322FB" w:rsidP="00A27292">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D322FB" w:rsidRPr="005321EC" w:rsidRDefault="00D322FB" w:rsidP="00E125AB">
            <w:pPr>
              <w:autoSpaceDE w:val="0"/>
              <w:autoSpaceDN w:val="0"/>
              <w:adjustRightInd w:val="0"/>
              <w:ind w:left="-113"/>
              <w:jc w:val="right"/>
              <w:rPr>
                <w:rFonts w:ascii="Arial" w:hAnsi="Arial" w:cs="Arial"/>
                <w:b/>
                <w:bCs/>
                <w:color w:val="000000"/>
                <w:sz w:val="18"/>
                <w:szCs w:val="18"/>
              </w:rPr>
            </w:pPr>
            <w:r w:rsidRPr="005321EC">
              <w:rPr>
                <w:rFonts w:ascii="Arial" w:hAnsi="Arial" w:cs="Arial"/>
                <w:b/>
                <w:bCs/>
                <w:color w:val="000000"/>
                <w:sz w:val="18"/>
                <w:szCs w:val="18"/>
              </w:rPr>
              <w:t xml:space="preserve">Bağımsız </w:t>
            </w:r>
          </w:p>
          <w:p w:rsidR="00D322FB" w:rsidRPr="005321EC" w:rsidRDefault="00D322FB" w:rsidP="00E125AB">
            <w:pPr>
              <w:autoSpaceDE w:val="0"/>
              <w:autoSpaceDN w:val="0"/>
              <w:adjustRightInd w:val="0"/>
              <w:ind w:left="-113"/>
              <w:jc w:val="right"/>
              <w:rPr>
                <w:rFonts w:ascii="Arial" w:hAnsi="Arial" w:cs="Arial"/>
                <w:b/>
                <w:bCs/>
                <w:color w:val="000000"/>
                <w:sz w:val="18"/>
                <w:szCs w:val="18"/>
              </w:rPr>
            </w:pPr>
            <w:r w:rsidRPr="005321EC">
              <w:rPr>
                <w:rFonts w:ascii="Arial" w:hAnsi="Arial" w:cs="Arial"/>
                <w:b/>
                <w:bCs/>
                <w:color w:val="000000"/>
                <w:sz w:val="18"/>
                <w:szCs w:val="18"/>
              </w:rPr>
              <w:t>denetimden geç</w:t>
            </w:r>
            <w:r w:rsidR="0003780E">
              <w:rPr>
                <w:rFonts w:ascii="Arial" w:hAnsi="Arial" w:cs="Arial"/>
                <w:b/>
                <w:bCs/>
                <w:color w:val="000000"/>
                <w:sz w:val="18"/>
                <w:szCs w:val="18"/>
              </w:rPr>
              <w:t>me</w:t>
            </w:r>
            <w:r w:rsidRPr="005321EC">
              <w:rPr>
                <w:rFonts w:ascii="Arial" w:hAnsi="Arial" w:cs="Arial"/>
                <w:b/>
                <w:bCs/>
                <w:color w:val="000000"/>
                <w:sz w:val="18"/>
                <w:szCs w:val="18"/>
              </w:rPr>
              <w:t>miş</w:t>
            </w:r>
          </w:p>
        </w:tc>
        <w:tc>
          <w:tcPr>
            <w:tcW w:w="1572" w:type="dxa"/>
            <w:tcBorders>
              <w:top w:val="single" w:sz="6" w:space="0" w:color="auto"/>
              <w:left w:val="nil"/>
              <w:bottom w:val="single" w:sz="6" w:space="0" w:color="auto"/>
              <w:right w:val="nil"/>
            </w:tcBorders>
            <w:vAlign w:val="bottom"/>
          </w:tcPr>
          <w:p w:rsidR="00D322FB" w:rsidRPr="005321EC" w:rsidRDefault="00D322FB" w:rsidP="00DE18BD">
            <w:pPr>
              <w:autoSpaceDE w:val="0"/>
              <w:autoSpaceDN w:val="0"/>
              <w:adjustRightInd w:val="0"/>
              <w:ind w:left="-113"/>
              <w:jc w:val="right"/>
              <w:rPr>
                <w:rFonts w:ascii="Arial" w:hAnsi="Arial" w:cs="Arial"/>
                <w:b/>
                <w:bCs/>
                <w:color w:val="000000"/>
                <w:sz w:val="18"/>
                <w:szCs w:val="18"/>
              </w:rPr>
            </w:pPr>
            <w:r w:rsidRPr="005321EC">
              <w:rPr>
                <w:rFonts w:ascii="Arial" w:hAnsi="Arial" w:cs="Arial"/>
                <w:b/>
                <w:bCs/>
                <w:color w:val="000000"/>
                <w:sz w:val="18"/>
                <w:szCs w:val="18"/>
              </w:rPr>
              <w:t xml:space="preserve">Bağımsız </w:t>
            </w:r>
          </w:p>
          <w:p w:rsidR="00D322FB" w:rsidRPr="005321EC" w:rsidRDefault="00D322FB" w:rsidP="00DE18BD">
            <w:pPr>
              <w:autoSpaceDE w:val="0"/>
              <w:autoSpaceDN w:val="0"/>
              <w:adjustRightInd w:val="0"/>
              <w:ind w:left="-113"/>
              <w:jc w:val="right"/>
              <w:rPr>
                <w:rFonts w:ascii="Arial" w:hAnsi="Arial" w:cs="Arial"/>
                <w:b/>
                <w:bCs/>
                <w:color w:val="000000"/>
                <w:sz w:val="18"/>
                <w:szCs w:val="18"/>
              </w:rPr>
            </w:pPr>
            <w:r w:rsidRPr="005321EC">
              <w:rPr>
                <w:rFonts w:ascii="Arial" w:hAnsi="Arial" w:cs="Arial"/>
                <w:b/>
                <w:bCs/>
                <w:color w:val="000000"/>
                <w:sz w:val="18"/>
                <w:szCs w:val="18"/>
              </w:rPr>
              <w:t>denetimden geçm</w:t>
            </w:r>
            <w:r w:rsidR="0003780E">
              <w:rPr>
                <w:rFonts w:ascii="Arial" w:hAnsi="Arial" w:cs="Arial"/>
                <w:b/>
                <w:bCs/>
                <w:color w:val="000000"/>
                <w:sz w:val="18"/>
                <w:szCs w:val="18"/>
              </w:rPr>
              <w:t>em</w:t>
            </w:r>
            <w:r w:rsidRPr="005321EC">
              <w:rPr>
                <w:rFonts w:ascii="Arial" w:hAnsi="Arial" w:cs="Arial"/>
                <w:b/>
                <w:bCs/>
                <w:color w:val="000000"/>
                <w:sz w:val="18"/>
                <w:szCs w:val="18"/>
              </w:rPr>
              <w:t>iş</w:t>
            </w:r>
          </w:p>
        </w:tc>
      </w:tr>
      <w:tr w:rsidR="00D322FB" w:rsidRPr="00CD7CE3" w:rsidTr="00FB2688">
        <w:trPr>
          <w:trHeight w:val="113"/>
        </w:trPr>
        <w:tc>
          <w:tcPr>
            <w:tcW w:w="4820" w:type="dxa"/>
            <w:tcBorders>
              <w:top w:val="single" w:sz="6" w:space="0" w:color="auto"/>
              <w:left w:val="nil"/>
              <w:bottom w:val="single" w:sz="6" w:space="0" w:color="auto"/>
              <w:right w:val="nil"/>
            </w:tcBorders>
          </w:tcPr>
          <w:p w:rsidR="00D322FB" w:rsidRPr="00083E3A" w:rsidRDefault="00D322FB" w:rsidP="00720CE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Kar veya zarar kısmı</w:t>
            </w:r>
          </w:p>
        </w:tc>
        <w:tc>
          <w:tcPr>
            <w:tcW w:w="1103" w:type="dxa"/>
            <w:tcBorders>
              <w:top w:val="single" w:sz="6" w:space="0" w:color="auto"/>
              <w:left w:val="nil"/>
              <w:bottom w:val="single" w:sz="6" w:space="0" w:color="auto"/>
              <w:right w:val="nil"/>
            </w:tcBorders>
            <w:vAlign w:val="bottom"/>
          </w:tcPr>
          <w:p w:rsidR="00D322FB" w:rsidRPr="005321EC" w:rsidRDefault="00D322FB" w:rsidP="00A27292">
            <w:pPr>
              <w:autoSpaceDE w:val="0"/>
              <w:autoSpaceDN w:val="0"/>
              <w:adjustRightInd w:val="0"/>
              <w:jc w:val="right"/>
              <w:rPr>
                <w:rFonts w:ascii="Arial" w:hAnsi="Arial" w:cs="Arial"/>
                <w:b/>
                <w:bCs/>
                <w:color w:val="000000"/>
                <w:sz w:val="18"/>
                <w:szCs w:val="18"/>
              </w:rPr>
            </w:pPr>
            <w:r w:rsidRPr="005321EC">
              <w:rPr>
                <w:rFonts w:ascii="Arial" w:hAnsi="Arial" w:cs="Arial"/>
                <w:b/>
                <w:bCs/>
                <w:color w:val="000000"/>
                <w:sz w:val="18"/>
                <w:szCs w:val="18"/>
              </w:rPr>
              <w:t>Notlar</w:t>
            </w:r>
          </w:p>
        </w:tc>
        <w:tc>
          <w:tcPr>
            <w:tcW w:w="1572" w:type="dxa"/>
            <w:tcBorders>
              <w:top w:val="single" w:sz="6" w:space="0" w:color="auto"/>
              <w:left w:val="nil"/>
              <w:bottom w:val="single" w:sz="6" w:space="0" w:color="auto"/>
              <w:right w:val="nil"/>
            </w:tcBorders>
            <w:vAlign w:val="bottom"/>
          </w:tcPr>
          <w:p w:rsidR="00D322FB" w:rsidRPr="005321EC" w:rsidRDefault="00D322FB" w:rsidP="005B1440">
            <w:pPr>
              <w:autoSpaceDE w:val="0"/>
              <w:autoSpaceDN w:val="0"/>
              <w:adjustRightInd w:val="0"/>
              <w:ind w:left="-108"/>
              <w:jc w:val="right"/>
              <w:rPr>
                <w:rFonts w:ascii="Arial" w:hAnsi="Arial" w:cs="Arial"/>
                <w:b/>
                <w:bCs/>
                <w:color w:val="000000"/>
                <w:sz w:val="18"/>
                <w:szCs w:val="18"/>
              </w:rPr>
            </w:pPr>
            <w:r w:rsidRPr="005321EC">
              <w:rPr>
                <w:rFonts w:ascii="Arial" w:hAnsi="Arial" w:cs="Arial"/>
                <w:b/>
                <w:bCs/>
                <w:color w:val="000000"/>
                <w:sz w:val="18"/>
                <w:szCs w:val="18"/>
              </w:rPr>
              <w:t>1 Ocak -</w:t>
            </w:r>
          </w:p>
          <w:p w:rsidR="00D322FB" w:rsidRPr="005321EC" w:rsidRDefault="00D322FB" w:rsidP="005B1440">
            <w:pPr>
              <w:autoSpaceDE w:val="0"/>
              <w:autoSpaceDN w:val="0"/>
              <w:adjustRightInd w:val="0"/>
              <w:ind w:left="-108"/>
              <w:jc w:val="right"/>
              <w:rPr>
                <w:rFonts w:ascii="Arial" w:hAnsi="Arial" w:cs="Arial"/>
                <w:b/>
                <w:bCs/>
                <w:color w:val="000000"/>
                <w:sz w:val="18"/>
                <w:szCs w:val="18"/>
              </w:rPr>
            </w:pPr>
            <w:r w:rsidRPr="005321EC">
              <w:rPr>
                <w:rFonts w:ascii="Arial" w:hAnsi="Arial" w:cs="Arial"/>
                <w:b/>
                <w:bCs/>
                <w:color w:val="000000"/>
                <w:sz w:val="18"/>
                <w:szCs w:val="18"/>
              </w:rPr>
              <w:t xml:space="preserve">31 </w:t>
            </w:r>
            <w:r>
              <w:rPr>
                <w:rFonts w:ascii="Arial" w:hAnsi="Arial" w:cs="Arial"/>
                <w:b/>
                <w:bCs/>
                <w:color w:val="000000"/>
                <w:sz w:val="18"/>
                <w:szCs w:val="18"/>
              </w:rPr>
              <w:t>Mart 2015</w:t>
            </w:r>
          </w:p>
        </w:tc>
        <w:tc>
          <w:tcPr>
            <w:tcW w:w="1572" w:type="dxa"/>
            <w:tcBorders>
              <w:top w:val="single" w:sz="6" w:space="0" w:color="auto"/>
              <w:left w:val="nil"/>
              <w:bottom w:val="single" w:sz="6" w:space="0" w:color="auto"/>
              <w:right w:val="nil"/>
            </w:tcBorders>
            <w:vAlign w:val="bottom"/>
          </w:tcPr>
          <w:p w:rsidR="00D322FB" w:rsidRPr="005321EC" w:rsidRDefault="00D322FB" w:rsidP="00DE18BD">
            <w:pPr>
              <w:autoSpaceDE w:val="0"/>
              <w:autoSpaceDN w:val="0"/>
              <w:adjustRightInd w:val="0"/>
              <w:ind w:left="-108"/>
              <w:jc w:val="right"/>
              <w:rPr>
                <w:rFonts w:ascii="Arial" w:hAnsi="Arial" w:cs="Arial"/>
                <w:b/>
                <w:bCs/>
                <w:color w:val="000000"/>
                <w:sz w:val="18"/>
                <w:szCs w:val="18"/>
              </w:rPr>
            </w:pPr>
            <w:r w:rsidRPr="005321EC">
              <w:rPr>
                <w:rFonts w:ascii="Arial" w:hAnsi="Arial" w:cs="Arial"/>
                <w:b/>
                <w:bCs/>
                <w:color w:val="000000"/>
                <w:sz w:val="18"/>
                <w:szCs w:val="18"/>
              </w:rPr>
              <w:t>1 Ocak -</w:t>
            </w:r>
          </w:p>
          <w:p w:rsidR="00D322FB" w:rsidRPr="005321EC" w:rsidRDefault="00D322FB" w:rsidP="00DE18BD">
            <w:pPr>
              <w:autoSpaceDE w:val="0"/>
              <w:autoSpaceDN w:val="0"/>
              <w:adjustRightInd w:val="0"/>
              <w:ind w:left="-108"/>
              <w:jc w:val="right"/>
              <w:rPr>
                <w:rFonts w:ascii="Arial" w:hAnsi="Arial" w:cs="Arial"/>
                <w:b/>
                <w:bCs/>
                <w:color w:val="000000"/>
                <w:sz w:val="18"/>
                <w:szCs w:val="18"/>
              </w:rPr>
            </w:pPr>
            <w:r w:rsidRPr="005321EC">
              <w:rPr>
                <w:rFonts w:ascii="Arial" w:hAnsi="Arial" w:cs="Arial"/>
                <w:b/>
                <w:bCs/>
                <w:color w:val="000000"/>
                <w:sz w:val="18"/>
                <w:szCs w:val="18"/>
              </w:rPr>
              <w:t xml:space="preserve">31 </w:t>
            </w:r>
            <w:r>
              <w:rPr>
                <w:rFonts w:ascii="Arial" w:hAnsi="Arial" w:cs="Arial"/>
                <w:b/>
                <w:bCs/>
                <w:color w:val="000000"/>
                <w:sz w:val="18"/>
                <w:szCs w:val="18"/>
              </w:rPr>
              <w:t>Mart</w:t>
            </w:r>
            <w:r w:rsidRPr="005321EC">
              <w:rPr>
                <w:rFonts w:ascii="Arial" w:hAnsi="Arial" w:cs="Arial"/>
                <w:b/>
                <w:bCs/>
                <w:color w:val="000000"/>
                <w:sz w:val="18"/>
                <w:szCs w:val="18"/>
              </w:rPr>
              <w:t xml:space="preserve"> 2014</w:t>
            </w:r>
          </w:p>
        </w:tc>
      </w:tr>
      <w:tr w:rsidR="00D322FB" w:rsidRPr="00CD7CE3" w:rsidTr="00FB2688">
        <w:trPr>
          <w:trHeight w:val="113"/>
        </w:trPr>
        <w:tc>
          <w:tcPr>
            <w:tcW w:w="4820" w:type="dxa"/>
            <w:tcBorders>
              <w:top w:val="nil"/>
              <w:left w:val="nil"/>
              <w:bottom w:val="nil"/>
              <w:right w:val="nil"/>
            </w:tcBorders>
          </w:tcPr>
          <w:p w:rsidR="00D322FB" w:rsidRPr="00083E3A" w:rsidRDefault="00D322FB" w:rsidP="00A870BB">
            <w:pPr>
              <w:autoSpaceDE w:val="0"/>
              <w:autoSpaceDN w:val="0"/>
              <w:adjustRightInd w:val="0"/>
              <w:ind w:hanging="108"/>
              <w:jc w:val="right"/>
              <w:rPr>
                <w:rFonts w:ascii="Arial" w:hAnsi="Arial" w:cs="Arial"/>
                <w:color w:val="000000"/>
                <w:sz w:val="18"/>
                <w:szCs w:val="18"/>
              </w:rPr>
            </w:pPr>
          </w:p>
        </w:tc>
        <w:tc>
          <w:tcPr>
            <w:tcW w:w="1103" w:type="dxa"/>
            <w:tcBorders>
              <w:top w:val="nil"/>
              <w:left w:val="nil"/>
              <w:bottom w:val="nil"/>
              <w:right w:val="nil"/>
            </w:tcBorders>
            <w:vAlign w:val="bottom"/>
          </w:tcPr>
          <w:p w:rsidR="00D322FB" w:rsidRPr="005321EC" w:rsidRDefault="00D322FB" w:rsidP="00A27292">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Pr="005321EC" w:rsidRDefault="00D322FB" w:rsidP="005B1440">
            <w:pPr>
              <w:autoSpaceDE w:val="0"/>
              <w:autoSpaceDN w:val="0"/>
              <w:adjustRightInd w:val="0"/>
              <w:jc w:val="right"/>
              <w:rPr>
                <w:rFonts w:ascii="Arial" w:hAnsi="Arial" w:cs="Arial"/>
                <w:b/>
                <w:color w:val="000000"/>
                <w:sz w:val="18"/>
                <w:szCs w:val="18"/>
              </w:rPr>
            </w:pPr>
          </w:p>
        </w:tc>
        <w:tc>
          <w:tcPr>
            <w:tcW w:w="1572" w:type="dxa"/>
            <w:tcBorders>
              <w:top w:val="nil"/>
              <w:left w:val="nil"/>
              <w:bottom w:val="nil"/>
              <w:right w:val="nil"/>
            </w:tcBorders>
            <w:vAlign w:val="bottom"/>
          </w:tcPr>
          <w:p w:rsidR="00D322FB" w:rsidRPr="005321EC" w:rsidRDefault="00D322FB" w:rsidP="00DE18BD">
            <w:pPr>
              <w:autoSpaceDE w:val="0"/>
              <w:autoSpaceDN w:val="0"/>
              <w:adjustRightInd w:val="0"/>
              <w:jc w:val="right"/>
              <w:rPr>
                <w:rFonts w:ascii="Arial" w:hAnsi="Arial" w:cs="Arial"/>
                <w:b/>
                <w:color w:val="000000"/>
                <w:sz w:val="18"/>
                <w:szCs w:val="18"/>
              </w:rPr>
            </w:pP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Hasılat</w:t>
            </w: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16</w:t>
            </w:r>
          </w:p>
        </w:tc>
        <w:tc>
          <w:tcPr>
            <w:tcW w:w="1572" w:type="dxa"/>
            <w:tcBorders>
              <w:top w:val="nil"/>
              <w:left w:val="nil"/>
              <w:bottom w:val="nil"/>
              <w:right w:val="nil"/>
            </w:tcBorders>
            <w:vAlign w:val="bottom"/>
          </w:tcPr>
          <w:p w:rsidR="00D322FB" w:rsidRDefault="0003780E" w:rsidP="005B1440">
            <w:pPr>
              <w:jc w:val="right"/>
              <w:rPr>
                <w:rFonts w:ascii="Arial" w:hAnsi="Arial" w:cs="Arial"/>
                <w:b/>
                <w:bCs/>
                <w:color w:val="000000"/>
                <w:sz w:val="18"/>
                <w:szCs w:val="18"/>
              </w:rPr>
            </w:pPr>
            <w:r>
              <w:rPr>
                <w:rFonts w:ascii="Arial" w:hAnsi="Arial" w:cs="Arial"/>
                <w:b/>
                <w:bCs/>
                <w:color w:val="000000"/>
                <w:sz w:val="18"/>
                <w:szCs w:val="18"/>
              </w:rPr>
              <w:t>1.049.301</w:t>
            </w:r>
          </w:p>
        </w:tc>
        <w:tc>
          <w:tcPr>
            <w:tcW w:w="1572" w:type="dxa"/>
            <w:tcBorders>
              <w:top w:val="nil"/>
              <w:left w:val="nil"/>
              <w:bottom w:val="nil"/>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387.503</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Default="00D322FB" w:rsidP="005B1440">
            <w:pPr>
              <w:jc w:val="right"/>
              <w:rPr>
                <w:rFonts w:ascii="Arial" w:hAnsi="Arial" w:cs="Arial"/>
                <w:b/>
                <w:bCs/>
                <w:color w:val="000000"/>
                <w:sz w:val="18"/>
                <w:szCs w:val="18"/>
              </w:rPr>
            </w:pPr>
          </w:p>
        </w:tc>
        <w:tc>
          <w:tcPr>
            <w:tcW w:w="1572" w:type="dxa"/>
            <w:tcBorders>
              <w:top w:val="nil"/>
              <w:left w:val="nil"/>
              <w:bottom w:val="nil"/>
              <w:right w:val="nil"/>
            </w:tcBorders>
            <w:vAlign w:val="bottom"/>
          </w:tcPr>
          <w:p w:rsidR="00D322FB" w:rsidRDefault="00D322FB" w:rsidP="00DE18BD">
            <w:pPr>
              <w:jc w:val="right"/>
              <w:rPr>
                <w:rFonts w:ascii="Arial" w:hAnsi="Arial" w:cs="Arial"/>
                <w:b/>
                <w:bCs/>
                <w:color w:val="000000"/>
                <w:sz w:val="18"/>
                <w:szCs w:val="18"/>
              </w:rPr>
            </w:pPr>
          </w:p>
        </w:tc>
      </w:tr>
      <w:tr w:rsidR="00D322FB" w:rsidRPr="00CD7CE3" w:rsidTr="00FB2688">
        <w:trPr>
          <w:trHeight w:val="113"/>
        </w:trPr>
        <w:tc>
          <w:tcPr>
            <w:tcW w:w="4820" w:type="dxa"/>
            <w:tcBorders>
              <w:top w:val="single" w:sz="6" w:space="0" w:color="auto"/>
              <w:left w:val="nil"/>
              <w:bottom w:val="single" w:sz="6" w:space="0" w:color="auto"/>
              <w:right w:val="nil"/>
            </w:tcBorders>
            <w:vAlign w:val="bottom"/>
          </w:tcPr>
          <w:p w:rsidR="00D322FB" w:rsidRPr="00083E3A" w:rsidRDefault="00D322FB"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Brüt kar</w:t>
            </w:r>
          </w:p>
        </w:tc>
        <w:tc>
          <w:tcPr>
            <w:tcW w:w="1103" w:type="dxa"/>
            <w:tcBorders>
              <w:top w:val="single" w:sz="6" w:space="0" w:color="auto"/>
              <w:left w:val="nil"/>
              <w:bottom w:val="single" w:sz="6" w:space="0" w:color="auto"/>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D322FB" w:rsidRDefault="0003780E" w:rsidP="005B1440">
            <w:pPr>
              <w:jc w:val="right"/>
              <w:rPr>
                <w:rFonts w:ascii="Arial" w:hAnsi="Arial" w:cs="Arial"/>
                <w:b/>
                <w:bCs/>
                <w:color w:val="000000"/>
                <w:sz w:val="18"/>
                <w:szCs w:val="18"/>
              </w:rPr>
            </w:pPr>
            <w:r>
              <w:rPr>
                <w:rFonts w:ascii="Arial" w:hAnsi="Arial" w:cs="Arial"/>
                <w:b/>
                <w:bCs/>
                <w:color w:val="000000"/>
                <w:sz w:val="18"/>
                <w:szCs w:val="18"/>
              </w:rPr>
              <w:t>1.049.301</w:t>
            </w:r>
          </w:p>
        </w:tc>
        <w:tc>
          <w:tcPr>
            <w:tcW w:w="1572" w:type="dxa"/>
            <w:tcBorders>
              <w:top w:val="single" w:sz="6" w:space="0" w:color="auto"/>
              <w:left w:val="nil"/>
              <w:bottom w:val="single" w:sz="6" w:space="0" w:color="auto"/>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387.503</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Pr="005321EC" w:rsidRDefault="00D322FB" w:rsidP="005B144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Pr="005321EC" w:rsidRDefault="00D322FB" w:rsidP="00DE18BD">
            <w:pPr>
              <w:autoSpaceDE w:val="0"/>
              <w:autoSpaceDN w:val="0"/>
              <w:adjustRightInd w:val="0"/>
              <w:jc w:val="right"/>
              <w:rPr>
                <w:rFonts w:ascii="Arial" w:hAnsi="Arial" w:cs="Arial"/>
                <w:color w:val="000000"/>
                <w:sz w:val="18"/>
                <w:szCs w:val="18"/>
              </w:rPr>
            </w:pP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Genel yönetim giderleri (-)</w:t>
            </w: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17, 18</w:t>
            </w:r>
          </w:p>
        </w:tc>
        <w:tc>
          <w:tcPr>
            <w:tcW w:w="1572" w:type="dxa"/>
            <w:tcBorders>
              <w:top w:val="nil"/>
              <w:left w:val="nil"/>
              <w:bottom w:val="nil"/>
              <w:right w:val="nil"/>
            </w:tcBorders>
            <w:vAlign w:val="bottom"/>
          </w:tcPr>
          <w:p w:rsidR="00D322FB" w:rsidRDefault="0003780E" w:rsidP="00B15F02">
            <w:pPr>
              <w:jc w:val="right"/>
              <w:rPr>
                <w:rFonts w:ascii="Arial" w:hAnsi="Arial" w:cs="Arial"/>
                <w:b/>
                <w:bCs/>
                <w:color w:val="000000"/>
                <w:sz w:val="18"/>
                <w:szCs w:val="18"/>
              </w:rPr>
            </w:pPr>
            <w:r>
              <w:rPr>
                <w:rFonts w:ascii="Arial" w:hAnsi="Arial" w:cs="Arial"/>
                <w:b/>
                <w:bCs/>
                <w:color w:val="000000"/>
                <w:sz w:val="18"/>
                <w:szCs w:val="18"/>
              </w:rPr>
              <w:t>(</w:t>
            </w:r>
            <w:r w:rsidR="00B15F02">
              <w:rPr>
                <w:rFonts w:ascii="Arial" w:hAnsi="Arial" w:cs="Arial"/>
                <w:b/>
                <w:bCs/>
                <w:color w:val="000000"/>
                <w:sz w:val="18"/>
                <w:szCs w:val="18"/>
              </w:rPr>
              <w:t>993.546</w:t>
            </w:r>
            <w:r>
              <w:rPr>
                <w:rFonts w:ascii="Arial" w:hAnsi="Arial" w:cs="Arial"/>
                <w:b/>
                <w:bCs/>
                <w:color w:val="000000"/>
                <w:sz w:val="18"/>
                <w:szCs w:val="18"/>
              </w:rPr>
              <w:t>)</w:t>
            </w:r>
          </w:p>
        </w:tc>
        <w:tc>
          <w:tcPr>
            <w:tcW w:w="1572" w:type="dxa"/>
            <w:tcBorders>
              <w:top w:val="nil"/>
              <w:left w:val="nil"/>
              <w:bottom w:val="nil"/>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(697.175)</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121AF9">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Araştırma ve geliştirme giderleri (-)</w:t>
            </w:r>
          </w:p>
        </w:tc>
        <w:tc>
          <w:tcPr>
            <w:tcW w:w="1103" w:type="dxa"/>
            <w:tcBorders>
              <w:top w:val="nil"/>
              <w:left w:val="nil"/>
              <w:bottom w:val="nil"/>
              <w:right w:val="nil"/>
            </w:tcBorders>
            <w:vAlign w:val="bottom"/>
          </w:tcPr>
          <w:p w:rsidR="00D322FB" w:rsidRPr="005321EC" w:rsidRDefault="00D322FB" w:rsidP="00121AF9">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17, 18</w:t>
            </w:r>
          </w:p>
        </w:tc>
        <w:tc>
          <w:tcPr>
            <w:tcW w:w="1572" w:type="dxa"/>
            <w:tcBorders>
              <w:top w:val="nil"/>
              <w:left w:val="nil"/>
              <w:bottom w:val="nil"/>
              <w:right w:val="nil"/>
            </w:tcBorders>
            <w:vAlign w:val="bottom"/>
          </w:tcPr>
          <w:p w:rsidR="00D322FB" w:rsidRDefault="0003780E" w:rsidP="00121AF9">
            <w:pPr>
              <w:jc w:val="right"/>
              <w:rPr>
                <w:rFonts w:ascii="Arial" w:hAnsi="Arial" w:cs="Arial"/>
                <w:b/>
                <w:bCs/>
                <w:color w:val="000000"/>
                <w:sz w:val="18"/>
                <w:szCs w:val="18"/>
              </w:rPr>
            </w:pPr>
            <w:r>
              <w:rPr>
                <w:rFonts w:ascii="Arial" w:hAnsi="Arial" w:cs="Arial"/>
                <w:b/>
                <w:bCs/>
                <w:color w:val="000000"/>
                <w:sz w:val="18"/>
                <w:szCs w:val="18"/>
              </w:rPr>
              <w:t>(27)</w:t>
            </w:r>
          </w:p>
        </w:tc>
        <w:tc>
          <w:tcPr>
            <w:tcW w:w="1572" w:type="dxa"/>
            <w:tcBorders>
              <w:top w:val="nil"/>
              <w:left w:val="nil"/>
              <w:bottom w:val="nil"/>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(159)</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121AF9">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Pazarlama, satış ve dağıtım giderleri (-)</w:t>
            </w:r>
          </w:p>
        </w:tc>
        <w:tc>
          <w:tcPr>
            <w:tcW w:w="1103" w:type="dxa"/>
            <w:tcBorders>
              <w:top w:val="nil"/>
              <w:left w:val="nil"/>
              <w:bottom w:val="nil"/>
              <w:right w:val="nil"/>
            </w:tcBorders>
            <w:vAlign w:val="bottom"/>
          </w:tcPr>
          <w:p w:rsidR="00D322FB" w:rsidRPr="005321EC" w:rsidRDefault="00D322FB" w:rsidP="00121AF9">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17, 18</w:t>
            </w:r>
          </w:p>
        </w:tc>
        <w:tc>
          <w:tcPr>
            <w:tcW w:w="1572" w:type="dxa"/>
            <w:tcBorders>
              <w:top w:val="nil"/>
              <w:left w:val="nil"/>
              <w:bottom w:val="nil"/>
              <w:right w:val="nil"/>
            </w:tcBorders>
            <w:vAlign w:val="bottom"/>
          </w:tcPr>
          <w:p w:rsidR="00D322FB" w:rsidRDefault="0003780E" w:rsidP="00121AF9">
            <w:pPr>
              <w:jc w:val="right"/>
              <w:rPr>
                <w:rFonts w:ascii="Arial" w:hAnsi="Arial" w:cs="Arial"/>
                <w:b/>
                <w:bCs/>
                <w:color w:val="000000"/>
                <w:sz w:val="18"/>
                <w:szCs w:val="18"/>
              </w:rPr>
            </w:pPr>
            <w:r>
              <w:rPr>
                <w:rFonts w:ascii="Arial" w:hAnsi="Arial" w:cs="Arial"/>
                <w:b/>
                <w:bCs/>
                <w:color w:val="000000"/>
                <w:sz w:val="18"/>
                <w:szCs w:val="18"/>
              </w:rPr>
              <w:t>(324)</w:t>
            </w:r>
          </w:p>
        </w:tc>
        <w:tc>
          <w:tcPr>
            <w:tcW w:w="1572" w:type="dxa"/>
            <w:tcBorders>
              <w:top w:val="nil"/>
              <w:left w:val="nil"/>
              <w:bottom w:val="nil"/>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(325)</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Esas faaliyetlerden diğer gelirler</w:t>
            </w: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19</w:t>
            </w:r>
          </w:p>
        </w:tc>
        <w:tc>
          <w:tcPr>
            <w:tcW w:w="1572" w:type="dxa"/>
            <w:tcBorders>
              <w:top w:val="nil"/>
              <w:left w:val="nil"/>
              <w:bottom w:val="nil"/>
              <w:right w:val="nil"/>
            </w:tcBorders>
            <w:vAlign w:val="bottom"/>
          </w:tcPr>
          <w:p w:rsidR="00D322FB" w:rsidRDefault="0003780E" w:rsidP="005B1440">
            <w:pPr>
              <w:jc w:val="right"/>
              <w:rPr>
                <w:rFonts w:ascii="Arial" w:hAnsi="Arial" w:cs="Arial"/>
                <w:b/>
                <w:bCs/>
                <w:color w:val="000000"/>
                <w:sz w:val="18"/>
                <w:szCs w:val="18"/>
              </w:rPr>
            </w:pPr>
            <w:r>
              <w:rPr>
                <w:rFonts w:ascii="Arial" w:hAnsi="Arial" w:cs="Arial"/>
                <w:b/>
                <w:bCs/>
                <w:color w:val="000000"/>
                <w:sz w:val="18"/>
                <w:szCs w:val="18"/>
              </w:rPr>
              <w:t>28.499</w:t>
            </w:r>
          </w:p>
        </w:tc>
        <w:tc>
          <w:tcPr>
            <w:tcW w:w="1572" w:type="dxa"/>
            <w:tcBorders>
              <w:top w:val="nil"/>
              <w:left w:val="nil"/>
              <w:bottom w:val="nil"/>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22.037</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Esas faaliyetlerden diğer giderler (-)</w:t>
            </w: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20</w:t>
            </w:r>
          </w:p>
        </w:tc>
        <w:tc>
          <w:tcPr>
            <w:tcW w:w="1572" w:type="dxa"/>
            <w:tcBorders>
              <w:top w:val="nil"/>
              <w:left w:val="nil"/>
              <w:bottom w:val="nil"/>
              <w:right w:val="nil"/>
            </w:tcBorders>
            <w:vAlign w:val="bottom"/>
          </w:tcPr>
          <w:p w:rsidR="00D322FB" w:rsidRDefault="0003780E" w:rsidP="005B1440">
            <w:pPr>
              <w:jc w:val="right"/>
              <w:rPr>
                <w:rFonts w:ascii="Arial" w:hAnsi="Arial" w:cs="Arial"/>
                <w:b/>
                <w:bCs/>
                <w:color w:val="000000"/>
                <w:sz w:val="18"/>
                <w:szCs w:val="18"/>
              </w:rPr>
            </w:pPr>
            <w:r>
              <w:rPr>
                <w:rFonts w:ascii="Arial" w:hAnsi="Arial" w:cs="Arial"/>
                <w:b/>
                <w:bCs/>
                <w:color w:val="000000"/>
                <w:sz w:val="18"/>
                <w:szCs w:val="18"/>
              </w:rPr>
              <w:t>(1.652)</w:t>
            </w:r>
          </w:p>
        </w:tc>
        <w:tc>
          <w:tcPr>
            <w:tcW w:w="1572" w:type="dxa"/>
            <w:tcBorders>
              <w:top w:val="nil"/>
              <w:left w:val="nil"/>
              <w:bottom w:val="nil"/>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(1.708)</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Default="00D322FB" w:rsidP="005B1440">
            <w:pPr>
              <w:jc w:val="right"/>
              <w:rPr>
                <w:rFonts w:ascii="Arial" w:hAnsi="Arial" w:cs="Arial"/>
                <w:b/>
                <w:bCs/>
                <w:color w:val="000000"/>
                <w:sz w:val="18"/>
                <w:szCs w:val="18"/>
              </w:rPr>
            </w:pPr>
          </w:p>
        </w:tc>
        <w:tc>
          <w:tcPr>
            <w:tcW w:w="1572" w:type="dxa"/>
            <w:tcBorders>
              <w:top w:val="nil"/>
              <w:left w:val="nil"/>
              <w:bottom w:val="nil"/>
              <w:right w:val="nil"/>
            </w:tcBorders>
            <w:vAlign w:val="bottom"/>
          </w:tcPr>
          <w:p w:rsidR="00D322FB" w:rsidRDefault="00D322FB" w:rsidP="00DE18BD">
            <w:pPr>
              <w:jc w:val="right"/>
              <w:rPr>
                <w:rFonts w:ascii="Arial" w:hAnsi="Arial" w:cs="Arial"/>
                <w:b/>
                <w:bCs/>
                <w:color w:val="000000"/>
                <w:sz w:val="18"/>
                <w:szCs w:val="18"/>
              </w:rPr>
            </w:pPr>
          </w:p>
        </w:tc>
      </w:tr>
      <w:tr w:rsidR="00D322FB" w:rsidRPr="00CD7CE3" w:rsidTr="00FB2688">
        <w:trPr>
          <w:trHeight w:val="113"/>
        </w:trPr>
        <w:tc>
          <w:tcPr>
            <w:tcW w:w="4820" w:type="dxa"/>
            <w:tcBorders>
              <w:top w:val="single" w:sz="6" w:space="0" w:color="auto"/>
              <w:left w:val="nil"/>
              <w:bottom w:val="single" w:sz="6" w:space="0" w:color="auto"/>
              <w:right w:val="nil"/>
            </w:tcBorders>
            <w:vAlign w:val="bottom"/>
          </w:tcPr>
          <w:p w:rsidR="00D322FB" w:rsidRPr="00083E3A" w:rsidRDefault="00D322FB"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Esas faaliyet karı/(zararı)</w:t>
            </w:r>
          </w:p>
        </w:tc>
        <w:tc>
          <w:tcPr>
            <w:tcW w:w="1103" w:type="dxa"/>
            <w:tcBorders>
              <w:top w:val="single" w:sz="6" w:space="0" w:color="auto"/>
              <w:left w:val="nil"/>
              <w:bottom w:val="single" w:sz="6" w:space="0" w:color="auto"/>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D322FB" w:rsidRDefault="00B15F02" w:rsidP="005B1440">
            <w:pPr>
              <w:jc w:val="right"/>
              <w:rPr>
                <w:rFonts w:ascii="Arial" w:hAnsi="Arial" w:cs="Arial"/>
                <w:b/>
                <w:bCs/>
                <w:color w:val="000000"/>
                <w:sz w:val="18"/>
                <w:szCs w:val="18"/>
              </w:rPr>
            </w:pPr>
            <w:r>
              <w:rPr>
                <w:rFonts w:ascii="Arial" w:hAnsi="Arial" w:cs="Arial"/>
                <w:b/>
                <w:bCs/>
                <w:color w:val="000000"/>
                <w:sz w:val="18"/>
                <w:szCs w:val="18"/>
              </w:rPr>
              <w:t>82.251</w:t>
            </w:r>
          </w:p>
        </w:tc>
        <w:tc>
          <w:tcPr>
            <w:tcW w:w="1572" w:type="dxa"/>
            <w:tcBorders>
              <w:top w:val="single" w:sz="6" w:space="0" w:color="auto"/>
              <w:left w:val="nil"/>
              <w:bottom w:val="single" w:sz="6" w:space="0" w:color="auto"/>
              <w:right w:val="nil"/>
            </w:tcBorders>
            <w:vAlign w:val="bottom"/>
          </w:tcPr>
          <w:p w:rsidR="00D322FB" w:rsidRDefault="00D322FB" w:rsidP="0035204E">
            <w:pPr>
              <w:jc w:val="right"/>
              <w:rPr>
                <w:rFonts w:ascii="Arial" w:hAnsi="Arial" w:cs="Arial"/>
                <w:b/>
                <w:bCs/>
                <w:color w:val="000000"/>
                <w:sz w:val="18"/>
                <w:szCs w:val="18"/>
              </w:rPr>
            </w:pPr>
            <w:r>
              <w:rPr>
                <w:rFonts w:ascii="Arial" w:hAnsi="Arial" w:cs="Arial"/>
                <w:b/>
                <w:bCs/>
                <w:color w:val="000000"/>
                <w:sz w:val="18"/>
                <w:szCs w:val="18"/>
              </w:rPr>
              <w:t>(</w:t>
            </w:r>
            <w:r w:rsidR="0035204E">
              <w:rPr>
                <w:rFonts w:ascii="Arial" w:hAnsi="Arial" w:cs="Arial"/>
                <w:b/>
                <w:bCs/>
                <w:color w:val="000000"/>
                <w:sz w:val="18"/>
                <w:szCs w:val="18"/>
              </w:rPr>
              <w:t>289.827)</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Pr="005321EC" w:rsidRDefault="00D322FB" w:rsidP="005B144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Pr="005321EC" w:rsidRDefault="00D322FB" w:rsidP="00DE18BD">
            <w:pPr>
              <w:autoSpaceDE w:val="0"/>
              <w:autoSpaceDN w:val="0"/>
              <w:adjustRightInd w:val="0"/>
              <w:jc w:val="right"/>
              <w:rPr>
                <w:rFonts w:ascii="Arial" w:hAnsi="Arial" w:cs="Arial"/>
                <w:color w:val="000000"/>
                <w:sz w:val="18"/>
                <w:szCs w:val="18"/>
              </w:rPr>
            </w:pPr>
          </w:p>
        </w:tc>
      </w:tr>
      <w:tr w:rsidR="00D322FB" w:rsidRPr="00CD7CE3" w:rsidTr="00FB2688">
        <w:trPr>
          <w:trHeight w:val="113"/>
        </w:trPr>
        <w:tc>
          <w:tcPr>
            <w:tcW w:w="4820" w:type="dxa"/>
            <w:tcBorders>
              <w:top w:val="single" w:sz="6" w:space="0" w:color="auto"/>
              <w:left w:val="nil"/>
              <w:bottom w:val="single" w:sz="6" w:space="0" w:color="auto"/>
              <w:right w:val="nil"/>
            </w:tcBorders>
            <w:vAlign w:val="bottom"/>
          </w:tcPr>
          <w:p w:rsidR="00D322FB" w:rsidRPr="00083E3A" w:rsidRDefault="00D322FB"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Sürdürülen faaliyetler vergi öncesi karı / (zararı)</w:t>
            </w:r>
          </w:p>
        </w:tc>
        <w:tc>
          <w:tcPr>
            <w:tcW w:w="1103" w:type="dxa"/>
            <w:tcBorders>
              <w:top w:val="single" w:sz="6" w:space="0" w:color="auto"/>
              <w:left w:val="nil"/>
              <w:bottom w:val="single" w:sz="6" w:space="0" w:color="auto"/>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D322FB" w:rsidRPr="008914E7" w:rsidRDefault="00B15F02" w:rsidP="005B1440">
            <w:pPr>
              <w:jc w:val="right"/>
              <w:rPr>
                <w:rFonts w:ascii="Arial" w:hAnsi="Arial" w:cs="Arial"/>
                <w:b/>
                <w:bCs/>
                <w:color w:val="000000"/>
                <w:sz w:val="18"/>
                <w:szCs w:val="18"/>
              </w:rPr>
            </w:pPr>
            <w:r>
              <w:rPr>
                <w:rFonts w:ascii="Arial" w:hAnsi="Arial" w:cs="Arial"/>
                <w:b/>
                <w:bCs/>
                <w:color w:val="000000"/>
                <w:sz w:val="18"/>
                <w:szCs w:val="18"/>
              </w:rPr>
              <w:t>82.251</w:t>
            </w:r>
          </w:p>
        </w:tc>
        <w:tc>
          <w:tcPr>
            <w:tcW w:w="1572" w:type="dxa"/>
            <w:tcBorders>
              <w:top w:val="single" w:sz="6" w:space="0" w:color="auto"/>
              <w:left w:val="nil"/>
              <w:bottom w:val="single" w:sz="6" w:space="0" w:color="auto"/>
              <w:right w:val="nil"/>
            </w:tcBorders>
            <w:vAlign w:val="bottom"/>
          </w:tcPr>
          <w:p w:rsidR="00D322FB" w:rsidRPr="008914E7" w:rsidRDefault="0035204E" w:rsidP="00DE18BD">
            <w:pPr>
              <w:jc w:val="right"/>
              <w:rPr>
                <w:rFonts w:ascii="Arial" w:hAnsi="Arial" w:cs="Arial"/>
                <w:b/>
                <w:bCs/>
                <w:color w:val="000000"/>
                <w:sz w:val="18"/>
                <w:szCs w:val="18"/>
              </w:rPr>
            </w:pPr>
            <w:r>
              <w:rPr>
                <w:rFonts w:ascii="Arial" w:hAnsi="Arial" w:cs="Arial"/>
                <w:b/>
                <w:bCs/>
                <w:color w:val="000000"/>
                <w:sz w:val="18"/>
                <w:szCs w:val="18"/>
              </w:rPr>
              <w:t>(289.827)</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Pr="005321EC" w:rsidRDefault="00D322FB" w:rsidP="005B144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Pr="005321EC" w:rsidRDefault="00D322FB" w:rsidP="00DE18BD">
            <w:pPr>
              <w:autoSpaceDE w:val="0"/>
              <w:autoSpaceDN w:val="0"/>
              <w:adjustRightInd w:val="0"/>
              <w:jc w:val="right"/>
              <w:rPr>
                <w:rFonts w:ascii="Arial" w:hAnsi="Arial" w:cs="Arial"/>
                <w:color w:val="000000"/>
                <w:sz w:val="18"/>
                <w:szCs w:val="18"/>
              </w:rPr>
            </w:pPr>
          </w:p>
        </w:tc>
      </w:tr>
      <w:tr w:rsidR="00D322FB" w:rsidRPr="00842630" w:rsidTr="00FB2688">
        <w:trPr>
          <w:trHeight w:val="113"/>
        </w:trPr>
        <w:tc>
          <w:tcPr>
            <w:tcW w:w="4820" w:type="dxa"/>
            <w:tcBorders>
              <w:top w:val="nil"/>
              <w:left w:val="nil"/>
              <w:bottom w:val="nil"/>
              <w:right w:val="nil"/>
            </w:tcBorders>
            <w:vAlign w:val="bottom"/>
          </w:tcPr>
          <w:p w:rsidR="00D322FB" w:rsidRPr="00842630" w:rsidRDefault="00D322FB" w:rsidP="00712AC0">
            <w:pPr>
              <w:autoSpaceDE w:val="0"/>
              <w:autoSpaceDN w:val="0"/>
              <w:adjustRightInd w:val="0"/>
              <w:ind w:hanging="108"/>
              <w:rPr>
                <w:rFonts w:ascii="Arial" w:hAnsi="Arial" w:cs="Arial"/>
                <w:b/>
                <w:bCs/>
                <w:color w:val="000000"/>
                <w:sz w:val="18"/>
                <w:szCs w:val="18"/>
                <w:lang w:val="de-DE"/>
              </w:rPr>
            </w:pPr>
            <w:r w:rsidRPr="00842630">
              <w:rPr>
                <w:rFonts w:ascii="Arial" w:hAnsi="Arial" w:cs="Arial"/>
                <w:b/>
                <w:bCs/>
                <w:color w:val="000000"/>
                <w:sz w:val="18"/>
                <w:szCs w:val="18"/>
                <w:lang w:val="de-DE"/>
              </w:rPr>
              <w:t>Sürdürülen faaliyetler vergi gelir/(gideri)</w:t>
            </w:r>
          </w:p>
        </w:tc>
        <w:tc>
          <w:tcPr>
            <w:tcW w:w="1103" w:type="dxa"/>
            <w:tcBorders>
              <w:top w:val="nil"/>
              <w:left w:val="nil"/>
              <w:bottom w:val="nil"/>
              <w:right w:val="nil"/>
            </w:tcBorders>
            <w:vAlign w:val="bottom"/>
          </w:tcPr>
          <w:p w:rsidR="00D322FB" w:rsidRPr="00842630" w:rsidRDefault="00D322FB" w:rsidP="00712AC0">
            <w:pPr>
              <w:autoSpaceDE w:val="0"/>
              <w:autoSpaceDN w:val="0"/>
              <w:adjustRightInd w:val="0"/>
              <w:jc w:val="right"/>
              <w:rPr>
                <w:rFonts w:ascii="Arial" w:hAnsi="Arial" w:cs="Arial"/>
                <w:color w:val="000000"/>
                <w:sz w:val="18"/>
                <w:szCs w:val="18"/>
                <w:lang w:val="de-DE"/>
              </w:rPr>
            </w:pPr>
          </w:p>
        </w:tc>
        <w:tc>
          <w:tcPr>
            <w:tcW w:w="1572" w:type="dxa"/>
            <w:tcBorders>
              <w:top w:val="nil"/>
              <w:left w:val="nil"/>
              <w:bottom w:val="nil"/>
              <w:right w:val="nil"/>
            </w:tcBorders>
            <w:vAlign w:val="bottom"/>
          </w:tcPr>
          <w:p w:rsidR="00D322FB" w:rsidRPr="00842630" w:rsidRDefault="00D322FB" w:rsidP="005B1440">
            <w:pPr>
              <w:autoSpaceDE w:val="0"/>
              <w:autoSpaceDN w:val="0"/>
              <w:adjustRightInd w:val="0"/>
              <w:jc w:val="right"/>
              <w:rPr>
                <w:rFonts w:ascii="Arial" w:hAnsi="Arial" w:cs="Arial"/>
                <w:color w:val="000000"/>
                <w:sz w:val="18"/>
                <w:szCs w:val="18"/>
                <w:lang w:val="de-DE"/>
              </w:rPr>
            </w:pPr>
          </w:p>
        </w:tc>
        <w:tc>
          <w:tcPr>
            <w:tcW w:w="1572" w:type="dxa"/>
            <w:tcBorders>
              <w:top w:val="nil"/>
              <w:left w:val="nil"/>
              <w:bottom w:val="nil"/>
              <w:right w:val="nil"/>
            </w:tcBorders>
            <w:vAlign w:val="bottom"/>
          </w:tcPr>
          <w:p w:rsidR="00D322FB" w:rsidRPr="00842630" w:rsidRDefault="00D322FB" w:rsidP="00DE18BD">
            <w:pPr>
              <w:autoSpaceDE w:val="0"/>
              <w:autoSpaceDN w:val="0"/>
              <w:adjustRightInd w:val="0"/>
              <w:jc w:val="right"/>
              <w:rPr>
                <w:rFonts w:ascii="Arial" w:hAnsi="Arial" w:cs="Arial"/>
                <w:color w:val="000000"/>
                <w:sz w:val="18"/>
                <w:szCs w:val="18"/>
                <w:lang w:val="de-DE"/>
              </w:rPr>
            </w:pP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 Dönem vergi geliri/(gideri)</w:t>
            </w: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Pr="00B13567" w:rsidRDefault="00D322FB" w:rsidP="00121AF9">
            <w:pPr>
              <w:jc w:val="right"/>
              <w:rPr>
                <w:rFonts w:ascii="Arial" w:hAnsi="Arial" w:cs="Arial"/>
                <w:b/>
                <w:bCs/>
                <w:color w:val="000000"/>
                <w:sz w:val="18"/>
                <w:szCs w:val="18"/>
              </w:rPr>
            </w:pPr>
            <w:r w:rsidRPr="00B13567">
              <w:rPr>
                <w:rFonts w:ascii="Arial" w:hAnsi="Arial" w:cs="Arial"/>
                <w:b/>
                <w:bCs/>
                <w:color w:val="000000"/>
                <w:sz w:val="18"/>
                <w:szCs w:val="18"/>
              </w:rPr>
              <w:t>-</w:t>
            </w:r>
          </w:p>
        </w:tc>
        <w:tc>
          <w:tcPr>
            <w:tcW w:w="1572" w:type="dxa"/>
            <w:tcBorders>
              <w:top w:val="nil"/>
              <w:left w:val="nil"/>
              <w:bottom w:val="nil"/>
              <w:right w:val="nil"/>
            </w:tcBorders>
            <w:vAlign w:val="bottom"/>
          </w:tcPr>
          <w:p w:rsidR="00D322FB" w:rsidRPr="00B13567" w:rsidRDefault="00D322FB" w:rsidP="00DE18BD">
            <w:pPr>
              <w:jc w:val="right"/>
              <w:rPr>
                <w:rFonts w:ascii="Arial" w:hAnsi="Arial" w:cs="Arial"/>
                <w:b/>
                <w:bCs/>
                <w:color w:val="000000"/>
                <w:sz w:val="18"/>
                <w:szCs w:val="18"/>
              </w:rPr>
            </w:pPr>
            <w:r w:rsidRPr="00B13567">
              <w:rPr>
                <w:rFonts w:ascii="Arial" w:hAnsi="Arial" w:cs="Arial"/>
                <w:b/>
                <w:bCs/>
                <w:color w:val="000000"/>
                <w:sz w:val="18"/>
                <w:szCs w:val="18"/>
              </w:rPr>
              <w:t>-</w:t>
            </w: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 Ertelenmiş vergi geliri/(gideri)</w:t>
            </w: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21</w:t>
            </w:r>
          </w:p>
        </w:tc>
        <w:tc>
          <w:tcPr>
            <w:tcW w:w="1572" w:type="dxa"/>
            <w:tcBorders>
              <w:top w:val="nil"/>
              <w:left w:val="nil"/>
              <w:bottom w:val="nil"/>
              <w:right w:val="nil"/>
            </w:tcBorders>
            <w:vAlign w:val="bottom"/>
          </w:tcPr>
          <w:p w:rsidR="00D322FB" w:rsidRPr="00B13567" w:rsidRDefault="0003780E" w:rsidP="00B15F02">
            <w:pPr>
              <w:jc w:val="right"/>
              <w:rPr>
                <w:rFonts w:ascii="Arial" w:hAnsi="Arial" w:cs="Arial"/>
                <w:b/>
                <w:bCs/>
                <w:color w:val="000000"/>
                <w:sz w:val="18"/>
                <w:szCs w:val="18"/>
              </w:rPr>
            </w:pPr>
            <w:r>
              <w:rPr>
                <w:rFonts w:ascii="Arial" w:hAnsi="Arial" w:cs="Arial"/>
                <w:b/>
                <w:bCs/>
                <w:color w:val="000000"/>
                <w:sz w:val="18"/>
                <w:szCs w:val="18"/>
              </w:rPr>
              <w:t>(1</w:t>
            </w:r>
            <w:r w:rsidR="00B15F02">
              <w:rPr>
                <w:rFonts w:ascii="Arial" w:hAnsi="Arial" w:cs="Arial"/>
                <w:b/>
                <w:bCs/>
                <w:color w:val="000000"/>
                <w:sz w:val="18"/>
                <w:szCs w:val="18"/>
              </w:rPr>
              <w:t>6</w:t>
            </w:r>
            <w:r>
              <w:rPr>
                <w:rFonts w:ascii="Arial" w:hAnsi="Arial" w:cs="Arial"/>
                <w:b/>
                <w:bCs/>
                <w:color w:val="000000"/>
                <w:sz w:val="18"/>
                <w:szCs w:val="18"/>
              </w:rPr>
              <w:t>.</w:t>
            </w:r>
            <w:r w:rsidR="00B15F02">
              <w:rPr>
                <w:rFonts w:ascii="Arial" w:hAnsi="Arial" w:cs="Arial"/>
                <w:b/>
                <w:bCs/>
                <w:color w:val="000000"/>
                <w:sz w:val="18"/>
                <w:szCs w:val="18"/>
              </w:rPr>
              <w:t>792</w:t>
            </w:r>
            <w:r>
              <w:rPr>
                <w:rFonts w:ascii="Arial" w:hAnsi="Arial" w:cs="Arial"/>
                <w:b/>
                <w:bCs/>
                <w:color w:val="000000"/>
                <w:sz w:val="18"/>
                <w:szCs w:val="18"/>
              </w:rPr>
              <w:t>)</w:t>
            </w:r>
          </w:p>
        </w:tc>
        <w:tc>
          <w:tcPr>
            <w:tcW w:w="1572" w:type="dxa"/>
            <w:tcBorders>
              <w:top w:val="nil"/>
              <w:left w:val="nil"/>
              <w:bottom w:val="nil"/>
              <w:right w:val="nil"/>
            </w:tcBorders>
            <w:vAlign w:val="bottom"/>
          </w:tcPr>
          <w:p w:rsidR="00D322FB" w:rsidRPr="00B13567" w:rsidRDefault="0035204E" w:rsidP="0035204E">
            <w:pPr>
              <w:jc w:val="right"/>
              <w:rPr>
                <w:rFonts w:ascii="Arial" w:hAnsi="Arial" w:cs="Arial"/>
                <w:b/>
                <w:bCs/>
                <w:color w:val="000000"/>
                <w:sz w:val="18"/>
                <w:szCs w:val="18"/>
              </w:rPr>
            </w:pPr>
            <w:r>
              <w:rPr>
                <w:rFonts w:ascii="Arial" w:hAnsi="Arial" w:cs="Arial"/>
                <w:b/>
                <w:bCs/>
                <w:color w:val="000000"/>
                <w:sz w:val="18"/>
                <w:szCs w:val="18"/>
              </w:rPr>
              <w:t>57.801</w:t>
            </w:r>
          </w:p>
        </w:tc>
      </w:tr>
      <w:tr w:rsidR="00D322FB" w:rsidRPr="00CD7CE3" w:rsidTr="00FB2688">
        <w:trPr>
          <w:trHeight w:val="113"/>
        </w:trPr>
        <w:tc>
          <w:tcPr>
            <w:tcW w:w="4820" w:type="dxa"/>
            <w:tcBorders>
              <w:top w:val="nil"/>
              <w:left w:val="nil"/>
              <w:bottom w:val="single" w:sz="6" w:space="0" w:color="auto"/>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single" w:sz="6" w:space="0" w:color="auto"/>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single" w:sz="6" w:space="0" w:color="auto"/>
              <w:right w:val="nil"/>
            </w:tcBorders>
            <w:vAlign w:val="bottom"/>
          </w:tcPr>
          <w:p w:rsidR="00D322FB" w:rsidRDefault="00D322FB" w:rsidP="005B1440">
            <w:pPr>
              <w:jc w:val="right"/>
              <w:rPr>
                <w:rFonts w:ascii="Arial" w:hAnsi="Arial" w:cs="Arial"/>
                <w:b/>
                <w:bCs/>
                <w:color w:val="000000"/>
                <w:sz w:val="18"/>
                <w:szCs w:val="18"/>
              </w:rPr>
            </w:pPr>
          </w:p>
        </w:tc>
        <w:tc>
          <w:tcPr>
            <w:tcW w:w="1572" w:type="dxa"/>
            <w:tcBorders>
              <w:top w:val="nil"/>
              <w:left w:val="nil"/>
              <w:bottom w:val="single" w:sz="6" w:space="0" w:color="auto"/>
              <w:right w:val="nil"/>
            </w:tcBorders>
            <w:vAlign w:val="bottom"/>
          </w:tcPr>
          <w:p w:rsidR="00D322FB" w:rsidRDefault="00D322FB" w:rsidP="00DE18BD">
            <w:pPr>
              <w:jc w:val="right"/>
              <w:rPr>
                <w:rFonts w:ascii="Arial" w:hAnsi="Arial" w:cs="Arial"/>
                <w:b/>
                <w:bCs/>
                <w:color w:val="000000"/>
                <w:sz w:val="18"/>
                <w:szCs w:val="18"/>
              </w:rPr>
            </w:pPr>
          </w:p>
        </w:tc>
      </w:tr>
      <w:tr w:rsidR="00D322FB" w:rsidRPr="00CD7CE3" w:rsidTr="00FB2688">
        <w:trPr>
          <w:trHeight w:val="113"/>
        </w:trPr>
        <w:tc>
          <w:tcPr>
            <w:tcW w:w="4820" w:type="dxa"/>
            <w:tcBorders>
              <w:top w:val="single" w:sz="6" w:space="0" w:color="auto"/>
              <w:left w:val="nil"/>
              <w:bottom w:val="single" w:sz="4" w:space="0" w:color="auto"/>
              <w:right w:val="nil"/>
            </w:tcBorders>
            <w:vAlign w:val="bottom"/>
          </w:tcPr>
          <w:p w:rsidR="00D322FB" w:rsidRPr="00842630" w:rsidRDefault="00D322FB" w:rsidP="00712AC0">
            <w:pPr>
              <w:autoSpaceDE w:val="0"/>
              <w:autoSpaceDN w:val="0"/>
              <w:adjustRightInd w:val="0"/>
              <w:ind w:hanging="108"/>
              <w:rPr>
                <w:rFonts w:ascii="Arial" w:hAnsi="Arial" w:cs="Arial"/>
                <w:b/>
                <w:bCs/>
                <w:color w:val="000000"/>
                <w:sz w:val="18"/>
                <w:szCs w:val="18"/>
                <w:lang w:val="de-DE"/>
              </w:rPr>
            </w:pPr>
            <w:r w:rsidRPr="00842630">
              <w:rPr>
                <w:rFonts w:ascii="Arial" w:hAnsi="Arial" w:cs="Arial"/>
                <w:b/>
                <w:bCs/>
                <w:color w:val="000000"/>
                <w:sz w:val="18"/>
                <w:szCs w:val="18"/>
                <w:lang w:val="de-DE"/>
              </w:rPr>
              <w:t>Sürdürülen faaliyetler dönem kar / ( zararı)</w:t>
            </w:r>
          </w:p>
        </w:tc>
        <w:tc>
          <w:tcPr>
            <w:tcW w:w="1103" w:type="dxa"/>
            <w:tcBorders>
              <w:top w:val="single" w:sz="6" w:space="0" w:color="auto"/>
              <w:left w:val="nil"/>
              <w:bottom w:val="single" w:sz="4" w:space="0" w:color="auto"/>
              <w:right w:val="nil"/>
            </w:tcBorders>
            <w:vAlign w:val="bottom"/>
          </w:tcPr>
          <w:p w:rsidR="00D322FB" w:rsidRPr="00842630" w:rsidRDefault="00D322FB" w:rsidP="00712AC0">
            <w:pPr>
              <w:autoSpaceDE w:val="0"/>
              <w:autoSpaceDN w:val="0"/>
              <w:adjustRightInd w:val="0"/>
              <w:jc w:val="right"/>
              <w:rPr>
                <w:rFonts w:ascii="Arial" w:hAnsi="Arial" w:cs="Arial"/>
                <w:color w:val="000000"/>
                <w:sz w:val="18"/>
                <w:szCs w:val="18"/>
                <w:lang w:val="de-DE"/>
              </w:rPr>
            </w:pPr>
          </w:p>
        </w:tc>
        <w:tc>
          <w:tcPr>
            <w:tcW w:w="1572" w:type="dxa"/>
            <w:tcBorders>
              <w:top w:val="single" w:sz="6" w:space="0" w:color="auto"/>
              <w:left w:val="nil"/>
              <w:bottom w:val="single" w:sz="4" w:space="0" w:color="auto"/>
              <w:right w:val="nil"/>
            </w:tcBorders>
            <w:vAlign w:val="bottom"/>
          </w:tcPr>
          <w:p w:rsidR="00D322FB" w:rsidRDefault="0003780E" w:rsidP="00B15F02">
            <w:pPr>
              <w:jc w:val="right"/>
              <w:rPr>
                <w:rFonts w:ascii="Arial" w:hAnsi="Arial" w:cs="Arial"/>
                <w:b/>
                <w:bCs/>
                <w:color w:val="000000"/>
                <w:sz w:val="18"/>
                <w:szCs w:val="18"/>
              </w:rPr>
            </w:pPr>
            <w:r>
              <w:rPr>
                <w:rFonts w:ascii="Arial" w:hAnsi="Arial" w:cs="Arial"/>
                <w:b/>
                <w:bCs/>
                <w:color w:val="000000"/>
                <w:sz w:val="18"/>
                <w:szCs w:val="18"/>
              </w:rPr>
              <w:t>(1</w:t>
            </w:r>
            <w:r w:rsidR="00B15F02">
              <w:rPr>
                <w:rFonts w:ascii="Arial" w:hAnsi="Arial" w:cs="Arial"/>
                <w:b/>
                <w:bCs/>
                <w:color w:val="000000"/>
                <w:sz w:val="18"/>
                <w:szCs w:val="18"/>
              </w:rPr>
              <w:t>6</w:t>
            </w:r>
            <w:r>
              <w:rPr>
                <w:rFonts w:ascii="Arial" w:hAnsi="Arial" w:cs="Arial"/>
                <w:b/>
                <w:bCs/>
                <w:color w:val="000000"/>
                <w:sz w:val="18"/>
                <w:szCs w:val="18"/>
              </w:rPr>
              <w:t>.</w:t>
            </w:r>
            <w:r w:rsidR="00B15F02">
              <w:rPr>
                <w:rFonts w:ascii="Arial" w:hAnsi="Arial" w:cs="Arial"/>
                <w:b/>
                <w:bCs/>
                <w:color w:val="000000"/>
                <w:sz w:val="18"/>
                <w:szCs w:val="18"/>
              </w:rPr>
              <w:t>792</w:t>
            </w:r>
            <w:r>
              <w:rPr>
                <w:rFonts w:ascii="Arial" w:hAnsi="Arial" w:cs="Arial"/>
                <w:b/>
                <w:bCs/>
                <w:color w:val="000000"/>
                <w:sz w:val="18"/>
                <w:szCs w:val="18"/>
              </w:rPr>
              <w:t>)</w:t>
            </w:r>
          </w:p>
        </w:tc>
        <w:tc>
          <w:tcPr>
            <w:tcW w:w="1572" w:type="dxa"/>
            <w:tcBorders>
              <w:top w:val="single" w:sz="6" w:space="0" w:color="auto"/>
              <w:left w:val="nil"/>
              <w:bottom w:val="single" w:sz="4" w:space="0" w:color="auto"/>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57.801</w:t>
            </w:r>
          </w:p>
        </w:tc>
      </w:tr>
      <w:tr w:rsidR="00D322FB" w:rsidRPr="00CD7CE3" w:rsidTr="00FB2688">
        <w:trPr>
          <w:trHeight w:val="113"/>
        </w:trPr>
        <w:tc>
          <w:tcPr>
            <w:tcW w:w="4820" w:type="dxa"/>
            <w:tcBorders>
              <w:top w:val="single" w:sz="4" w:space="0" w:color="auto"/>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p>
        </w:tc>
        <w:tc>
          <w:tcPr>
            <w:tcW w:w="1103" w:type="dxa"/>
            <w:tcBorders>
              <w:top w:val="single" w:sz="4" w:space="0" w:color="auto"/>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single" w:sz="4" w:space="0" w:color="auto"/>
              <w:left w:val="nil"/>
              <w:bottom w:val="nil"/>
              <w:right w:val="nil"/>
            </w:tcBorders>
            <w:vAlign w:val="bottom"/>
          </w:tcPr>
          <w:p w:rsidR="00D322FB" w:rsidRPr="005321EC" w:rsidRDefault="00D322FB" w:rsidP="005B1440">
            <w:pPr>
              <w:autoSpaceDE w:val="0"/>
              <w:autoSpaceDN w:val="0"/>
              <w:adjustRightInd w:val="0"/>
              <w:jc w:val="right"/>
              <w:rPr>
                <w:rFonts w:ascii="Arial" w:hAnsi="Arial" w:cs="Arial"/>
                <w:color w:val="000000"/>
                <w:sz w:val="18"/>
                <w:szCs w:val="18"/>
              </w:rPr>
            </w:pPr>
          </w:p>
        </w:tc>
        <w:tc>
          <w:tcPr>
            <w:tcW w:w="1572" w:type="dxa"/>
            <w:tcBorders>
              <w:top w:val="single" w:sz="4" w:space="0" w:color="auto"/>
              <w:left w:val="nil"/>
              <w:bottom w:val="nil"/>
              <w:right w:val="nil"/>
            </w:tcBorders>
            <w:vAlign w:val="bottom"/>
          </w:tcPr>
          <w:p w:rsidR="00D322FB" w:rsidRPr="005321EC" w:rsidRDefault="00D322FB" w:rsidP="00DE18BD">
            <w:pPr>
              <w:autoSpaceDE w:val="0"/>
              <w:autoSpaceDN w:val="0"/>
              <w:adjustRightInd w:val="0"/>
              <w:jc w:val="right"/>
              <w:rPr>
                <w:rFonts w:ascii="Arial" w:hAnsi="Arial" w:cs="Arial"/>
                <w:color w:val="000000"/>
                <w:sz w:val="18"/>
                <w:szCs w:val="18"/>
              </w:rPr>
            </w:pPr>
          </w:p>
        </w:tc>
      </w:tr>
      <w:tr w:rsidR="00D322FB" w:rsidRPr="00CD7CE3" w:rsidTr="00FB2688">
        <w:trPr>
          <w:trHeight w:val="113"/>
        </w:trPr>
        <w:tc>
          <w:tcPr>
            <w:tcW w:w="4820" w:type="dxa"/>
            <w:tcBorders>
              <w:top w:val="nil"/>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Diğer kapsamlı gelir</w:t>
            </w:r>
            <w:r>
              <w:rPr>
                <w:rFonts w:ascii="Arial" w:hAnsi="Arial" w:cs="Arial"/>
                <w:color w:val="000000"/>
                <w:sz w:val="18"/>
                <w:szCs w:val="18"/>
              </w:rPr>
              <w:t xml:space="preserve"> </w:t>
            </w:r>
            <w:r w:rsidRPr="00083E3A">
              <w:rPr>
                <w:rFonts w:ascii="Arial" w:hAnsi="Arial" w:cs="Arial"/>
                <w:color w:val="000000"/>
                <w:sz w:val="18"/>
                <w:szCs w:val="18"/>
              </w:rPr>
              <w:t>/ (gider)</w:t>
            </w:r>
          </w:p>
        </w:tc>
        <w:tc>
          <w:tcPr>
            <w:tcW w:w="1103" w:type="dxa"/>
            <w:tcBorders>
              <w:top w:val="nil"/>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D322FB" w:rsidRPr="005321EC" w:rsidRDefault="00D322FB" w:rsidP="005B1440">
            <w:pPr>
              <w:autoSpaceDE w:val="0"/>
              <w:autoSpaceDN w:val="0"/>
              <w:adjustRightInd w:val="0"/>
              <w:jc w:val="right"/>
              <w:rPr>
                <w:rFonts w:ascii="Arial" w:hAnsi="Arial" w:cs="Arial"/>
                <w:color w:val="000000"/>
                <w:sz w:val="18"/>
                <w:szCs w:val="18"/>
              </w:rPr>
            </w:pPr>
            <w:r>
              <w:rPr>
                <w:rFonts w:ascii="Arial" w:hAnsi="Arial" w:cs="Arial"/>
                <w:color w:val="000000"/>
                <w:sz w:val="18"/>
                <w:szCs w:val="18"/>
              </w:rPr>
              <w:t>-</w:t>
            </w:r>
          </w:p>
        </w:tc>
        <w:tc>
          <w:tcPr>
            <w:tcW w:w="1572" w:type="dxa"/>
            <w:tcBorders>
              <w:top w:val="nil"/>
              <w:left w:val="nil"/>
              <w:bottom w:val="nil"/>
              <w:right w:val="nil"/>
            </w:tcBorders>
            <w:vAlign w:val="bottom"/>
          </w:tcPr>
          <w:p w:rsidR="00D322FB" w:rsidRPr="005321EC" w:rsidRDefault="00D322FB" w:rsidP="00DE18BD">
            <w:pPr>
              <w:autoSpaceDE w:val="0"/>
              <w:autoSpaceDN w:val="0"/>
              <w:adjustRightInd w:val="0"/>
              <w:jc w:val="right"/>
              <w:rPr>
                <w:rFonts w:ascii="Arial" w:hAnsi="Arial" w:cs="Arial"/>
                <w:color w:val="000000"/>
                <w:sz w:val="18"/>
                <w:szCs w:val="18"/>
              </w:rPr>
            </w:pPr>
            <w:r>
              <w:rPr>
                <w:rFonts w:ascii="Arial" w:hAnsi="Arial" w:cs="Arial"/>
                <w:color w:val="000000"/>
                <w:sz w:val="18"/>
                <w:szCs w:val="18"/>
              </w:rPr>
              <w:t>-</w:t>
            </w:r>
          </w:p>
        </w:tc>
      </w:tr>
      <w:tr w:rsidR="00D322FB" w:rsidRPr="00CD7CE3" w:rsidTr="00FB2688">
        <w:trPr>
          <w:trHeight w:val="113"/>
        </w:trPr>
        <w:tc>
          <w:tcPr>
            <w:tcW w:w="4820" w:type="dxa"/>
            <w:tcBorders>
              <w:top w:val="nil"/>
              <w:left w:val="nil"/>
              <w:bottom w:val="single" w:sz="6" w:space="0" w:color="auto"/>
              <w:right w:val="nil"/>
            </w:tcBorders>
            <w:vAlign w:val="bottom"/>
          </w:tcPr>
          <w:p w:rsidR="00D322FB" w:rsidRPr="00083E3A" w:rsidRDefault="00D322FB"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single" w:sz="6" w:space="0" w:color="auto"/>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single" w:sz="6" w:space="0" w:color="auto"/>
              <w:right w:val="nil"/>
            </w:tcBorders>
            <w:vAlign w:val="bottom"/>
          </w:tcPr>
          <w:p w:rsidR="00D322FB" w:rsidRPr="005321EC" w:rsidRDefault="00D322FB" w:rsidP="005B1440">
            <w:pPr>
              <w:autoSpaceDE w:val="0"/>
              <w:autoSpaceDN w:val="0"/>
              <w:adjustRightInd w:val="0"/>
              <w:jc w:val="right"/>
              <w:rPr>
                <w:rFonts w:ascii="Arial" w:hAnsi="Arial" w:cs="Arial"/>
                <w:color w:val="000000"/>
                <w:sz w:val="18"/>
                <w:szCs w:val="18"/>
              </w:rPr>
            </w:pPr>
          </w:p>
        </w:tc>
        <w:tc>
          <w:tcPr>
            <w:tcW w:w="1572" w:type="dxa"/>
            <w:tcBorders>
              <w:top w:val="nil"/>
              <w:left w:val="nil"/>
              <w:bottom w:val="single" w:sz="6" w:space="0" w:color="auto"/>
              <w:right w:val="nil"/>
            </w:tcBorders>
            <w:vAlign w:val="bottom"/>
          </w:tcPr>
          <w:p w:rsidR="00D322FB" w:rsidRPr="005321EC" w:rsidRDefault="00D322FB" w:rsidP="00DE18BD">
            <w:pPr>
              <w:autoSpaceDE w:val="0"/>
              <w:autoSpaceDN w:val="0"/>
              <w:adjustRightInd w:val="0"/>
              <w:jc w:val="right"/>
              <w:rPr>
                <w:rFonts w:ascii="Arial" w:hAnsi="Arial" w:cs="Arial"/>
                <w:color w:val="000000"/>
                <w:sz w:val="18"/>
                <w:szCs w:val="18"/>
              </w:rPr>
            </w:pPr>
          </w:p>
        </w:tc>
      </w:tr>
      <w:tr w:rsidR="00D322FB" w:rsidRPr="00CD7CE3" w:rsidTr="00FB2688">
        <w:trPr>
          <w:trHeight w:val="113"/>
        </w:trPr>
        <w:tc>
          <w:tcPr>
            <w:tcW w:w="4820" w:type="dxa"/>
            <w:tcBorders>
              <w:top w:val="single" w:sz="6" w:space="0" w:color="auto"/>
              <w:left w:val="nil"/>
              <w:bottom w:val="single" w:sz="4" w:space="0" w:color="auto"/>
              <w:right w:val="nil"/>
            </w:tcBorders>
            <w:vAlign w:val="bottom"/>
          </w:tcPr>
          <w:p w:rsidR="00D322FB" w:rsidRPr="00083E3A" w:rsidRDefault="00D322FB"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Diğer kapsamlı gider</w:t>
            </w:r>
          </w:p>
        </w:tc>
        <w:tc>
          <w:tcPr>
            <w:tcW w:w="1103" w:type="dxa"/>
            <w:tcBorders>
              <w:top w:val="single" w:sz="6" w:space="0" w:color="auto"/>
              <w:left w:val="nil"/>
              <w:bottom w:val="single" w:sz="4" w:space="0" w:color="auto"/>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4" w:space="0" w:color="auto"/>
              <w:right w:val="nil"/>
            </w:tcBorders>
            <w:vAlign w:val="bottom"/>
          </w:tcPr>
          <w:p w:rsidR="00D322FB" w:rsidRDefault="00B15F02" w:rsidP="00B15F02">
            <w:pPr>
              <w:jc w:val="right"/>
              <w:rPr>
                <w:rFonts w:ascii="Arial" w:hAnsi="Arial" w:cs="Arial"/>
                <w:b/>
                <w:bCs/>
                <w:color w:val="000000"/>
                <w:sz w:val="18"/>
                <w:szCs w:val="18"/>
              </w:rPr>
            </w:pPr>
            <w:r>
              <w:rPr>
                <w:rFonts w:ascii="Arial" w:hAnsi="Arial" w:cs="Arial"/>
                <w:b/>
                <w:bCs/>
                <w:color w:val="000000"/>
                <w:sz w:val="18"/>
                <w:szCs w:val="18"/>
              </w:rPr>
              <w:t>65</w:t>
            </w:r>
            <w:r w:rsidR="0035204E">
              <w:rPr>
                <w:rFonts w:ascii="Arial" w:hAnsi="Arial" w:cs="Arial"/>
                <w:b/>
                <w:bCs/>
                <w:color w:val="000000"/>
                <w:sz w:val="18"/>
                <w:szCs w:val="18"/>
              </w:rPr>
              <w:t>.</w:t>
            </w:r>
            <w:r>
              <w:rPr>
                <w:rFonts w:ascii="Arial" w:hAnsi="Arial" w:cs="Arial"/>
                <w:b/>
                <w:bCs/>
                <w:color w:val="000000"/>
                <w:sz w:val="18"/>
                <w:szCs w:val="18"/>
              </w:rPr>
              <w:t>459</w:t>
            </w:r>
          </w:p>
        </w:tc>
        <w:tc>
          <w:tcPr>
            <w:tcW w:w="1572" w:type="dxa"/>
            <w:tcBorders>
              <w:top w:val="single" w:sz="6" w:space="0" w:color="auto"/>
              <w:left w:val="nil"/>
              <w:bottom w:val="single" w:sz="4" w:space="0" w:color="auto"/>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(232.026)</w:t>
            </w:r>
          </w:p>
        </w:tc>
      </w:tr>
      <w:tr w:rsidR="00D322FB" w:rsidRPr="00CD7CE3" w:rsidTr="00FB2688">
        <w:trPr>
          <w:trHeight w:val="113"/>
        </w:trPr>
        <w:tc>
          <w:tcPr>
            <w:tcW w:w="4820" w:type="dxa"/>
            <w:tcBorders>
              <w:top w:val="single" w:sz="4" w:space="0" w:color="auto"/>
              <w:left w:val="nil"/>
              <w:bottom w:val="nil"/>
              <w:right w:val="nil"/>
            </w:tcBorders>
            <w:vAlign w:val="bottom"/>
          </w:tcPr>
          <w:p w:rsidR="00D322FB" w:rsidRPr="00083E3A" w:rsidRDefault="00D322FB" w:rsidP="00712AC0">
            <w:pPr>
              <w:autoSpaceDE w:val="0"/>
              <w:autoSpaceDN w:val="0"/>
              <w:adjustRightInd w:val="0"/>
              <w:ind w:hanging="108"/>
              <w:rPr>
                <w:rFonts w:ascii="Arial" w:hAnsi="Arial" w:cs="Arial"/>
                <w:b/>
                <w:bCs/>
                <w:color w:val="000000"/>
                <w:sz w:val="18"/>
                <w:szCs w:val="18"/>
              </w:rPr>
            </w:pPr>
          </w:p>
        </w:tc>
        <w:tc>
          <w:tcPr>
            <w:tcW w:w="1103" w:type="dxa"/>
            <w:tcBorders>
              <w:top w:val="single" w:sz="4" w:space="0" w:color="auto"/>
              <w:left w:val="nil"/>
              <w:bottom w:val="nil"/>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single" w:sz="4" w:space="0" w:color="auto"/>
              <w:left w:val="nil"/>
              <w:bottom w:val="nil"/>
              <w:right w:val="nil"/>
            </w:tcBorders>
            <w:vAlign w:val="bottom"/>
          </w:tcPr>
          <w:p w:rsidR="00D322FB" w:rsidRDefault="00D322FB" w:rsidP="005B1440">
            <w:pPr>
              <w:jc w:val="right"/>
              <w:rPr>
                <w:rFonts w:ascii="Arial" w:hAnsi="Arial" w:cs="Arial"/>
                <w:b/>
                <w:bCs/>
                <w:color w:val="000000"/>
                <w:sz w:val="18"/>
                <w:szCs w:val="18"/>
              </w:rPr>
            </w:pPr>
          </w:p>
        </w:tc>
        <w:tc>
          <w:tcPr>
            <w:tcW w:w="1572" w:type="dxa"/>
            <w:tcBorders>
              <w:top w:val="single" w:sz="4" w:space="0" w:color="auto"/>
              <w:left w:val="nil"/>
              <w:bottom w:val="nil"/>
              <w:right w:val="nil"/>
            </w:tcBorders>
            <w:vAlign w:val="bottom"/>
          </w:tcPr>
          <w:p w:rsidR="00D322FB" w:rsidRDefault="00D322FB" w:rsidP="00DE18BD">
            <w:pPr>
              <w:jc w:val="right"/>
              <w:rPr>
                <w:rFonts w:ascii="Arial" w:hAnsi="Arial" w:cs="Arial"/>
                <w:b/>
                <w:bCs/>
                <w:color w:val="000000"/>
                <w:sz w:val="18"/>
                <w:szCs w:val="18"/>
              </w:rPr>
            </w:pPr>
          </w:p>
        </w:tc>
      </w:tr>
      <w:tr w:rsidR="00D322FB" w:rsidRPr="00CD7CE3" w:rsidTr="00FB2688">
        <w:trPr>
          <w:trHeight w:val="113"/>
        </w:trPr>
        <w:tc>
          <w:tcPr>
            <w:tcW w:w="4820" w:type="dxa"/>
            <w:tcBorders>
              <w:top w:val="single" w:sz="6" w:space="0" w:color="auto"/>
              <w:left w:val="nil"/>
              <w:bottom w:val="double" w:sz="6" w:space="0" w:color="auto"/>
              <w:right w:val="nil"/>
            </w:tcBorders>
            <w:vAlign w:val="bottom"/>
          </w:tcPr>
          <w:p w:rsidR="00D322FB" w:rsidRPr="00083E3A" w:rsidRDefault="00D322FB"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Toplam kapsamlı gider</w:t>
            </w:r>
          </w:p>
        </w:tc>
        <w:tc>
          <w:tcPr>
            <w:tcW w:w="1103" w:type="dxa"/>
            <w:tcBorders>
              <w:top w:val="single" w:sz="6" w:space="0" w:color="auto"/>
              <w:left w:val="nil"/>
              <w:bottom w:val="double" w:sz="6" w:space="0" w:color="auto"/>
              <w:right w:val="nil"/>
            </w:tcBorders>
            <w:vAlign w:val="bottom"/>
          </w:tcPr>
          <w:p w:rsidR="00D322FB" w:rsidRPr="005321EC" w:rsidRDefault="00D322FB"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double" w:sz="6" w:space="0" w:color="auto"/>
              <w:right w:val="nil"/>
            </w:tcBorders>
            <w:vAlign w:val="bottom"/>
          </w:tcPr>
          <w:p w:rsidR="00D322FB" w:rsidRDefault="00B15F02" w:rsidP="00B15F02">
            <w:pPr>
              <w:jc w:val="right"/>
              <w:rPr>
                <w:rFonts w:ascii="Arial" w:hAnsi="Arial" w:cs="Arial"/>
                <w:b/>
                <w:bCs/>
                <w:color w:val="000000"/>
                <w:sz w:val="18"/>
                <w:szCs w:val="18"/>
              </w:rPr>
            </w:pPr>
            <w:r>
              <w:rPr>
                <w:rFonts w:ascii="Arial" w:hAnsi="Arial" w:cs="Arial"/>
                <w:b/>
                <w:bCs/>
                <w:color w:val="000000"/>
                <w:sz w:val="18"/>
                <w:szCs w:val="18"/>
              </w:rPr>
              <w:t>65</w:t>
            </w:r>
            <w:r w:rsidR="0035204E">
              <w:rPr>
                <w:rFonts w:ascii="Arial" w:hAnsi="Arial" w:cs="Arial"/>
                <w:b/>
                <w:bCs/>
                <w:color w:val="000000"/>
                <w:sz w:val="18"/>
                <w:szCs w:val="18"/>
              </w:rPr>
              <w:t>.</w:t>
            </w:r>
            <w:r>
              <w:rPr>
                <w:rFonts w:ascii="Arial" w:hAnsi="Arial" w:cs="Arial"/>
                <w:b/>
                <w:bCs/>
                <w:color w:val="000000"/>
                <w:sz w:val="18"/>
                <w:szCs w:val="18"/>
              </w:rPr>
              <w:t>459</w:t>
            </w:r>
          </w:p>
        </w:tc>
        <w:tc>
          <w:tcPr>
            <w:tcW w:w="1572" w:type="dxa"/>
            <w:tcBorders>
              <w:top w:val="single" w:sz="6" w:space="0" w:color="auto"/>
              <w:left w:val="nil"/>
              <w:bottom w:val="double" w:sz="6" w:space="0" w:color="auto"/>
              <w:right w:val="nil"/>
            </w:tcBorders>
            <w:vAlign w:val="bottom"/>
          </w:tcPr>
          <w:p w:rsidR="00D322FB" w:rsidRDefault="0035204E" w:rsidP="00DE18BD">
            <w:pPr>
              <w:jc w:val="right"/>
              <w:rPr>
                <w:rFonts w:ascii="Arial" w:hAnsi="Arial" w:cs="Arial"/>
                <w:b/>
                <w:bCs/>
                <w:color w:val="000000"/>
                <w:sz w:val="18"/>
                <w:szCs w:val="18"/>
              </w:rPr>
            </w:pPr>
            <w:r>
              <w:rPr>
                <w:rFonts w:ascii="Arial" w:hAnsi="Arial" w:cs="Arial"/>
                <w:b/>
                <w:bCs/>
                <w:color w:val="000000"/>
                <w:sz w:val="18"/>
                <w:szCs w:val="18"/>
              </w:rPr>
              <w:t>(232.026)</w:t>
            </w:r>
          </w:p>
        </w:tc>
      </w:tr>
    </w:tbl>
    <w:p w:rsidR="00D322FB" w:rsidRPr="00727376" w:rsidRDefault="00D322FB" w:rsidP="00AE0484">
      <w:pPr>
        <w:rPr>
          <w:rFonts w:ascii="Arial" w:hAnsi="Arial" w:cs="Arial"/>
          <w:highlight w:val="yellow"/>
          <w:lang w:val="tr-TR"/>
        </w:rPr>
      </w:pPr>
    </w:p>
    <w:p w:rsidR="00D322FB" w:rsidRPr="00727376" w:rsidRDefault="00D322FB" w:rsidP="00AE0484">
      <w:pPr>
        <w:rPr>
          <w:rFonts w:ascii="Arial" w:hAnsi="Arial" w:cs="Arial"/>
          <w:highlight w:val="yellow"/>
          <w:lang w:val="tr-TR"/>
        </w:rPr>
        <w:sectPr w:rsidR="00D322FB" w:rsidRPr="00727376" w:rsidSect="00AE0484">
          <w:headerReference w:type="default" r:id="rId10"/>
          <w:pgSz w:w="11907" w:h="16834" w:code="9"/>
          <w:pgMar w:top="1418" w:right="1418" w:bottom="1418" w:left="1418" w:header="708" w:footer="1140" w:gutter="0"/>
          <w:cols w:space="708"/>
          <w:docGrid w:linePitch="272"/>
        </w:sectPr>
      </w:pPr>
    </w:p>
    <w:tbl>
      <w:tblPr>
        <w:tblW w:w="13982" w:type="dxa"/>
        <w:tblInd w:w="108" w:type="dxa"/>
        <w:tblLayout w:type="fixed"/>
        <w:tblLook w:val="0000" w:firstRow="0" w:lastRow="0" w:firstColumn="0" w:lastColumn="0" w:noHBand="0" w:noVBand="0"/>
      </w:tblPr>
      <w:tblGrid>
        <w:gridCol w:w="4251"/>
        <w:gridCol w:w="850"/>
        <w:gridCol w:w="1134"/>
        <w:gridCol w:w="1276"/>
        <w:gridCol w:w="1669"/>
        <w:gridCol w:w="1649"/>
        <w:gridCol w:w="1681"/>
        <w:gridCol w:w="1464"/>
        <w:gridCol w:w="8"/>
      </w:tblGrid>
      <w:tr w:rsidR="00D322FB" w:rsidRPr="00727376" w:rsidTr="005321EC">
        <w:trPr>
          <w:trHeight w:val="113"/>
        </w:trPr>
        <w:tc>
          <w:tcPr>
            <w:tcW w:w="4251" w:type="dxa"/>
            <w:tcBorders>
              <w:left w:val="nil"/>
              <w:bottom w:val="single" w:sz="4" w:space="0" w:color="auto"/>
              <w:right w:val="nil"/>
            </w:tcBorders>
            <w:vAlign w:val="bottom"/>
          </w:tcPr>
          <w:p w:rsidR="00D322FB" w:rsidRPr="00727376" w:rsidRDefault="00D322FB" w:rsidP="003C359E">
            <w:pPr>
              <w:autoSpaceDE w:val="0"/>
              <w:autoSpaceDN w:val="0"/>
              <w:adjustRightInd w:val="0"/>
              <w:spacing w:line="230" w:lineRule="auto"/>
              <w:ind w:left="-108"/>
              <w:rPr>
                <w:rFonts w:ascii="Arial" w:hAnsi="Arial" w:cs="Arial"/>
                <w:color w:val="000000"/>
                <w:sz w:val="18"/>
                <w:szCs w:val="18"/>
                <w:highlight w:val="yellow"/>
              </w:rPr>
            </w:pPr>
          </w:p>
        </w:tc>
        <w:tc>
          <w:tcPr>
            <w:tcW w:w="850" w:type="dxa"/>
            <w:tcBorders>
              <w:left w:val="nil"/>
              <w:bottom w:val="single" w:sz="4" w:space="0" w:color="auto"/>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bCs/>
                <w:color w:val="000000"/>
                <w:sz w:val="18"/>
                <w:szCs w:val="18"/>
                <w:highlight w:val="yellow"/>
              </w:rPr>
            </w:pPr>
          </w:p>
        </w:tc>
        <w:tc>
          <w:tcPr>
            <w:tcW w:w="1134" w:type="dxa"/>
            <w:tcBorders>
              <w:left w:val="nil"/>
              <w:bottom w:val="single" w:sz="4" w:space="0" w:color="auto"/>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bCs/>
                <w:color w:val="000000"/>
                <w:sz w:val="18"/>
                <w:szCs w:val="18"/>
                <w:highlight w:val="yellow"/>
              </w:rPr>
            </w:pPr>
          </w:p>
        </w:tc>
        <w:tc>
          <w:tcPr>
            <w:tcW w:w="1276" w:type="dxa"/>
            <w:tcBorders>
              <w:left w:val="nil"/>
              <w:bottom w:val="single" w:sz="4" w:space="0" w:color="auto"/>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bCs/>
                <w:color w:val="000000"/>
                <w:sz w:val="18"/>
                <w:szCs w:val="18"/>
                <w:highlight w:val="yellow"/>
              </w:rPr>
            </w:pPr>
          </w:p>
        </w:tc>
        <w:tc>
          <w:tcPr>
            <w:tcW w:w="1669" w:type="dxa"/>
            <w:tcBorders>
              <w:left w:val="nil"/>
              <w:bottom w:val="single" w:sz="4" w:space="0" w:color="auto"/>
            </w:tcBorders>
            <w:vAlign w:val="bottom"/>
          </w:tcPr>
          <w:p w:rsidR="00D322FB" w:rsidRPr="00727376" w:rsidRDefault="00D322FB" w:rsidP="003C359E">
            <w:pPr>
              <w:autoSpaceDE w:val="0"/>
              <w:autoSpaceDN w:val="0"/>
              <w:adjustRightInd w:val="0"/>
              <w:spacing w:line="230" w:lineRule="auto"/>
              <w:jc w:val="right"/>
              <w:rPr>
                <w:rFonts w:ascii="Arial" w:hAnsi="Arial" w:cs="Arial"/>
                <w:bCs/>
                <w:color w:val="000000"/>
                <w:sz w:val="18"/>
                <w:szCs w:val="18"/>
                <w:highlight w:val="yellow"/>
              </w:rPr>
            </w:pPr>
          </w:p>
        </w:tc>
        <w:tc>
          <w:tcPr>
            <w:tcW w:w="3330" w:type="dxa"/>
            <w:gridSpan w:val="2"/>
            <w:tcBorders>
              <w:bottom w:val="single" w:sz="4" w:space="0" w:color="auto"/>
            </w:tcBorders>
            <w:vAlign w:val="bottom"/>
          </w:tcPr>
          <w:p w:rsidR="00D322FB" w:rsidRPr="00727376" w:rsidRDefault="00D322FB" w:rsidP="005F44AB">
            <w:pPr>
              <w:autoSpaceDE w:val="0"/>
              <w:autoSpaceDN w:val="0"/>
              <w:adjustRightInd w:val="0"/>
              <w:spacing w:line="230" w:lineRule="auto"/>
              <w:jc w:val="center"/>
              <w:rPr>
                <w:rFonts w:ascii="Arial" w:hAnsi="Arial" w:cs="Arial"/>
                <w:bCs/>
                <w:color w:val="000000"/>
                <w:sz w:val="18"/>
                <w:szCs w:val="18"/>
                <w:highlight w:val="yellow"/>
              </w:rPr>
            </w:pPr>
          </w:p>
        </w:tc>
        <w:tc>
          <w:tcPr>
            <w:tcW w:w="1472" w:type="dxa"/>
            <w:gridSpan w:val="2"/>
            <w:tcBorders>
              <w:bottom w:val="single" w:sz="4" w:space="0" w:color="auto"/>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bCs/>
                <w:color w:val="000000"/>
                <w:sz w:val="18"/>
                <w:szCs w:val="18"/>
                <w:highlight w:val="yellow"/>
              </w:rPr>
            </w:pPr>
          </w:p>
        </w:tc>
      </w:tr>
      <w:tr w:rsidR="00D322FB" w:rsidRPr="00727376" w:rsidTr="005321EC">
        <w:trPr>
          <w:trHeight w:val="113"/>
        </w:trPr>
        <w:tc>
          <w:tcPr>
            <w:tcW w:w="4251" w:type="dxa"/>
            <w:tcBorders>
              <w:top w:val="single" w:sz="4" w:space="0" w:color="auto"/>
              <w:left w:val="nil"/>
              <w:bottom w:val="single" w:sz="6" w:space="0" w:color="auto"/>
              <w:right w:val="nil"/>
            </w:tcBorders>
            <w:vAlign w:val="bottom"/>
          </w:tcPr>
          <w:p w:rsidR="00D322FB" w:rsidRPr="00727376" w:rsidRDefault="00D322FB" w:rsidP="003C359E">
            <w:pPr>
              <w:autoSpaceDE w:val="0"/>
              <w:autoSpaceDN w:val="0"/>
              <w:adjustRightInd w:val="0"/>
              <w:spacing w:line="230" w:lineRule="auto"/>
              <w:ind w:left="-108"/>
              <w:rPr>
                <w:rFonts w:ascii="Arial" w:hAnsi="Arial" w:cs="Arial"/>
                <w:color w:val="000000"/>
                <w:sz w:val="18"/>
                <w:szCs w:val="18"/>
                <w:highlight w:val="yellow"/>
              </w:rPr>
            </w:pPr>
          </w:p>
        </w:tc>
        <w:tc>
          <w:tcPr>
            <w:tcW w:w="850" w:type="dxa"/>
            <w:tcBorders>
              <w:top w:val="single" w:sz="4" w:space="0" w:color="auto"/>
              <w:left w:val="nil"/>
              <w:bottom w:val="single" w:sz="6" w:space="0" w:color="auto"/>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bCs/>
                <w:color w:val="000000"/>
                <w:sz w:val="18"/>
                <w:szCs w:val="18"/>
                <w:highlight w:val="yellow"/>
              </w:rPr>
            </w:pPr>
            <w:r w:rsidRPr="000C3D06">
              <w:rPr>
                <w:rFonts w:ascii="Arial" w:hAnsi="Arial" w:cs="Arial"/>
                <w:b/>
                <w:sz w:val="18"/>
                <w:szCs w:val="18"/>
                <w:lang w:val="tr-TR"/>
              </w:rPr>
              <w:t>Notlar</w:t>
            </w:r>
          </w:p>
        </w:tc>
        <w:tc>
          <w:tcPr>
            <w:tcW w:w="1134" w:type="dxa"/>
            <w:tcBorders>
              <w:top w:val="single" w:sz="4" w:space="0" w:color="auto"/>
              <w:left w:val="nil"/>
              <w:bottom w:val="single" w:sz="6" w:space="0" w:color="auto"/>
              <w:right w:val="nil"/>
            </w:tcBorders>
            <w:vAlign w:val="bottom"/>
          </w:tcPr>
          <w:p w:rsidR="00D322FB" w:rsidRPr="00B168FA" w:rsidRDefault="00D322FB" w:rsidP="00E125AB">
            <w:pPr>
              <w:jc w:val="right"/>
              <w:rPr>
                <w:rFonts w:ascii="Arial" w:hAnsi="Arial" w:cs="Arial"/>
                <w:b/>
                <w:sz w:val="18"/>
                <w:szCs w:val="18"/>
                <w:lang w:val="tr-TR"/>
              </w:rPr>
            </w:pPr>
            <w:r w:rsidRPr="00B168FA">
              <w:rPr>
                <w:rFonts w:ascii="Arial" w:hAnsi="Arial" w:cs="Arial"/>
                <w:b/>
                <w:sz w:val="18"/>
                <w:szCs w:val="18"/>
                <w:lang w:val="tr-TR"/>
              </w:rPr>
              <w:t>Ödenmiş</w:t>
            </w:r>
          </w:p>
          <w:p w:rsidR="00D322FB" w:rsidRPr="00B168FA" w:rsidRDefault="00D322FB" w:rsidP="00E125AB">
            <w:pPr>
              <w:jc w:val="right"/>
              <w:rPr>
                <w:rFonts w:ascii="Arial" w:hAnsi="Arial" w:cs="Arial"/>
                <w:b/>
                <w:sz w:val="18"/>
                <w:szCs w:val="18"/>
                <w:lang w:val="tr-TR"/>
              </w:rPr>
            </w:pPr>
            <w:r>
              <w:rPr>
                <w:rFonts w:ascii="Arial" w:hAnsi="Arial" w:cs="Arial"/>
                <w:b/>
                <w:sz w:val="18"/>
                <w:szCs w:val="18"/>
                <w:lang w:val="tr-TR"/>
              </w:rPr>
              <w:t>s</w:t>
            </w:r>
            <w:r w:rsidRPr="00B168FA">
              <w:rPr>
                <w:rFonts w:ascii="Arial" w:hAnsi="Arial" w:cs="Arial"/>
                <w:b/>
                <w:sz w:val="18"/>
                <w:szCs w:val="18"/>
                <w:lang w:val="tr-TR"/>
              </w:rPr>
              <w:t>ermaye</w:t>
            </w:r>
          </w:p>
        </w:tc>
        <w:tc>
          <w:tcPr>
            <w:tcW w:w="1276" w:type="dxa"/>
            <w:tcBorders>
              <w:top w:val="single" w:sz="4" w:space="0" w:color="auto"/>
              <w:left w:val="nil"/>
              <w:bottom w:val="single" w:sz="6" w:space="0" w:color="auto"/>
              <w:right w:val="nil"/>
            </w:tcBorders>
            <w:vAlign w:val="bottom"/>
          </w:tcPr>
          <w:p w:rsidR="00D322FB" w:rsidRPr="00B168FA" w:rsidRDefault="00D322FB" w:rsidP="00E125AB">
            <w:pPr>
              <w:jc w:val="right"/>
              <w:rPr>
                <w:rFonts w:ascii="Arial" w:hAnsi="Arial" w:cs="Arial"/>
                <w:b/>
                <w:sz w:val="18"/>
                <w:szCs w:val="18"/>
                <w:lang w:val="tr-TR"/>
              </w:rPr>
            </w:pPr>
            <w:r w:rsidRPr="00B168FA">
              <w:rPr>
                <w:rFonts w:ascii="Arial" w:hAnsi="Arial" w:cs="Arial"/>
                <w:b/>
                <w:sz w:val="18"/>
                <w:szCs w:val="18"/>
                <w:lang w:val="tr-TR"/>
              </w:rPr>
              <w:t xml:space="preserve">Sermaye </w:t>
            </w:r>
          </w:p>
          <w:p w:rsidR="00D322FB" w:rsidRPr="00B168FA" w:rsidRDefault="00D322FB" w:rsidP="00E125AB">
            <w:pPr>
              <w:jc w:val="right"/>
              <w:rPr>
                <w:rFonts w:ascii="Arial" w:hAnsi="Arial" w:cs="Arial"/>
                <w:b/>
                <w:sz w:val="18"/>
                <w:szCs w:val="18"/>
                <w:lang w:val="tr-TR"/>
              </w:rPr>
            </w:pPr>
            <w:r w:rsidRPr="00B168FA">
              <w:rPr>
                <w:rFonts w:ascii="Arial" w:hAnsi="Arial" w:cs="Arial"/>
                <w:b/>
                <w:sz w:val="18"/>
                <w:szCs w:val="18"/>
                <w:lang w:val="tr-TR"/>
              </w:rPr>
              <w:t xml:space="preserve">düzeltmesi </w:t>
            </w:r>
          </w:p>
          <w:p w:rsidR="00D322FB" w:rsidRPr="00B168FA" w:rsidRDefault="00D322FB" w:rsidP="00E125AB">
            <w:pPr>
              <w:jc w:val="right"/>
              <w:rPr>
                <w:rFonts w:ascii="Arial" w:hAnsi="Arial" w:cs="Arial"/>
                <w:b/>
                <w:sz w:val="18"/>
                <w:szCs w:val="18"/>
                <w:lang w:val="tr-TR"/>
              </w:rPr>
            </w:pPr>
            <w:r w:rsidRPr="00B168FA">
              <w:rPr>
                <w:rFonts w:ascii="Arial" w:hAnsi="Arial" w:cs="Arial"/>
                <w:b/>
                <w:sz w:val="18"/>
                <w:szCs w:val="18"/>
                <w:lang w:val="tr-TR"/>
              </w:rPr>
              <w:t>farkları</w:t>
            </w:r>
          </w:p>
        </w:tc>
        <w:tc>
          <w:tcPr>
            <w:tcW w:w="1669" w:type="dxa"/>
            <w:tcBorders>
              <w:top w:val="single" w:sz="4" w:space="0" w:color="auto"/>
              <w:left w:val="nil"/>
              <w:bottom w:val="single" w:sz="6" w:space="0" w:color="auto"/>
              <w:right w:val="nil"/>
            </w:tcBorders>
            <w:vAlign w:val="bottom"/>
          </w:tcPr>
          <w:p w:rsidR="00D322FB" w:rsidRPr="00B168FA" w:rsidRDefault="00D322FB" w:rsidP="00E125AB">
            <w:pPr>
              <w:jc w:val="right"/>
              <w:rPr>
                <w:rFonts w:ascii="Arial" w:hAnsi="Arial" w:cs="Arial"/>
                <w:b/>
                <w:sz w:val="18"/>
                <w:szCs w:val="18"/>
                <w:lang w:val="tr-TR"/>
              </w:rPr>
            </w:pPr>
            <w:r w:rsidRPr="00B168FA">
              <w:rPr>
                <w:rFonts w:ascii="Arial" w:hAnsi="Arial" w:cs="Arial"/>
                <w:b/>
                <w:sz w:val="18"/>
                <w:szCs w:val="18"/>
                <w:lang w:val="tr-TR"/>
              </w:rPr>
              <w:t xml:space="preserve">Kardan ayrılan </w:t>
            </w:r>
          </w:p>
          <w:p w:rsidR="00D322FB" w:rsidRPr="00B168FA" w:rsidRDefault="00D322FB" w:rsidP="00E125AB">
            <w:pPr>
              <w:jc w:val="right"/>
              <w:rPr>
                <w:rFonts w:ascii="Arial" w:hAnsi="Arial" w:cs="Arial"/>
                <w:b/>
                <w:sz w:val="18"/>
                <w:szCs w:val="18"/>
                <w:lang w:val="tr-TR"/>
              </w:rPr>
            </w:pPr>
            <w:r w:rsidRPr="00B168FA">
              <w:rPr>
                <w:rFonts w:ascii="Arial" w:hAnsi="Arial" w:cs="Arial"/>
                <w:b/>
                <w:sz w:val="18"/>
                <w:szCs w:val="18"/>
                <w:lang w:val="tr-TR"/>
              </w:rPr>
              <w:t>kısıtlanmış</w:t>
            </w:r>
          </w:p>
          <w:p w:rsidR="00D322FB" w:rsidRPr="00B168FA" w:rsidRDefault="00D322FB" w:rsidP="00E125AB">
            <w:pPr>
              <w:jc w:val="right"/>
              <w:rPr>
                <w:rFonts w:ascii="Arial" w:hAnsi="Arial" w:cs="Arial"/>
                <w:b/>
                <w:sz w:val="18"/>
                <w:szCs w:val="18"/>
                <w:lang w:val="tr-TR"/>
              </w:rPr>
            </w:pPr>
            <w:r w:rsidRPr="00B168FA">
              <w:rPr>
                <w:rFonts w:ascii="Arial" w:hAnsi="Arial" w:cs="Arial"/>
                <w:b/>
                <w:sz w:val="18"/>
                <w:szCs w:val="18"/>
                <w:lang w:val="tr-TR"/>
              </w:rPr>
              <w:t xml:space="preserve"> yedekler</w:t>
            </w:r>
          </w:p>
        </w:tc>
        <w:tc>
          <w:tcPr>
            <w:tcW w:w="1649" w:type="dxa"/>
            <w:tcBorders>
              <w:top w:val="single" w:sz="4" w:space="0" w:color="auto"/>
              <w:left w:val="nil"/>
              <w:bottom w:val="single" w:sz="6" w:space="0" w:color="auto"/>
              <w:right w:val="nil"/>
            </w:tcBorders>
            <w:vAlign w:val="bottom"/>
          </w:tcPr>
          <w:p w:rsidR="00D322FB" w:rsidRPr="00B168FA" w:rsidRDefault="00D322FB" w:rsidP="00E125AB">
            <w:pPr>
              <w:jc w:val="right"/>
              <w:rPr>
                <w:rFonts w:ascii="Arial" w:hAnsi="Arial" w:cs="Arial"/>
                <w:b/>
                <w:sz w:val="18"/>
                <w:szCs w:val="18"/>
                <w:lang w:val="tr-TR"/>
              </w:rPr>
            </w:pPr>
            <w:r w:rsidRPr="00B168FA">
              <w:rPr>
                <w:rFonts w:ascii="Arial" w:hAnsi="Arial" w:cs="Arial"/>
                <w:b/>
                <w:sz w:val="18"/>
                <w:szCs w:val="18"/>
                <w:lang w:val="tr-TR"/>
              </w:rPr>
              <w:t xml:space="preserve">Net dönem </w:t>
            </w:r>
          </w:p>
          <w:p w:rsidR="00D322FB" w:rsidRPr="00B168FA" w:rsidRDefault="00D322FB" w:rsidP="00E125AB">
            <w:pPr>
              <w:jc w:val="right"/>
              <w:rPr>
                <w:rFonts w:ascii="Arial" w:hAnsi="Arial" w:cs="Arial"/>
                <w:b/>
                <w:sz w:val="18"/>
                <w:szCs w:val="18"/>
                <w:lang w:val="tr-TR"/>
              </w:rPr>
            </w:pPr>
            <w:r w:rsidRPr="00B168FA">
              <w:rPr>
                <w:rFonts w:ascii="Arial" w:hAnsi="Arial" w:cs="Arial"/>
                <w:b/>
                <w:sz w:val="18"/>
                <w:szCs w:val="18"/>
                <w:lang w:val="tr-TR"/>
              </w:rPr>
              <w:t>karı</w:t>
            </w:r>
          </w:p>
        </w:tc>
        <w:tc>
          <w:tcPr>
            <w:tcW w:w="1681" w:type="dxa"/>
            <w:tcBorders>
              <w:top w:val="single" w:sz="4" w:space="0" w:color="auto"/>
              <w:left w:val="nil"/>
              <w:bottom w:val="single" w:sz="6" w:space="0" w:color="auto"/>
              <w:right w:val="nil"/>
            </w:tcBorders>
            <w:vAlign w:val="bottom"/>
          </w:tcPr>
          <w:p w:rsidR="00D322FB" w:rsidRPr="00B168FA" w:rsidRDefault="00D322FB" w:rsidP="00E125AB">
            <w:pPr>
              <w:jc w:val="right"/>
              <w:rPr>
                <w:rFonts w:ascii="Arial" w:hAnsi="Arial" w:cs="Arial"/>
                <w:b/>
                <w:sz w:val="18"/>
                <w:szCs w:val="18"/>
                <w:lang w:val="tr-TR"/>
              </w:rPr>
            </w:pPr>
            <w:r w:rsidRPr="00ED3ABC">
              <w:rPr>
                <w:rFonts w:ascii="Arial" w:hAnsi="Arial" w:cs="Arial"/>
                <w:b/>
                <w:sz w:val="18"/>
                <w:szCs w:val="18"/>
                <w:lang w:val="tr-TR"/>
              </w:rPr>
              <w:t>Geçmiş yıllar karları</w:t>
            </w:r>
            <w:r>
              <w:rPr>
                <w:rFonts w:ascii="Arial" w:hAnsi="Arial" w:cs="Arial"/>
                <w:b/>
                <w:sz w:val="18"/>
                <w:szCs w:val="18"/>
                <w:lang w:val="tr-TR"/>
              </w:rPr>
              <w:t>/(zararları)</w:t>
            </w:r>
          </w:p>
        </w:tc>
        <w:tc>
          <w:tcPr>
            <w:tcW w:w="1472" w:type="dxa"/>
            <w:gridSpan w:val="2"/>
            <w:tcBorders>
              <w:top w:val="single" w:sz="4" w:space="0" w:color="auto"/>
              <w:left w:val="nil"/>
              <w:bottom w:val="single" w:sz="6" w:space="0" w:color="auto"/>
              <w:right w:val="nil"/>
            </w:tcBorders>
            <w:vAlign w:val="bottom"/>
          </w:tcPr>
          <w:p w:rsidR="00D322FB" w:rsidRPr="00B168FA" w:rsidRDefault="00D322FB" w:rsidP="00E125AB">
            <w:pPr>
              <w:jc w:val="right"/>
              <w:rPr>
                <w:rFonts w:ascii="Arial" w:hAnsi="Arial" w:cs="Arial"/>
                <w:b/>
                <w:sz w:val="18"/>
                <w:szCs w:val="18"/>
                <w:lang w:val="tr-TR"/>
              </w:rPr>
            </w:pPr>
            <w:r>
              <w:rPr>
                <w:rFonts w:ascii="Arial" w:hAnsi="Arial" w:cs="Arial"/>
                <w:b/>
                <w:sz w:val="18"/>
                <w:szCs w:val="18"/>
                <w:lang w:val="tr-TR"/>
              </w:rPr>
              <w:t>Özkaynaklar t</w:t>
            </w:r>
            <w:r w:rsidRPr="00B168FA">
              <w:rPr>
                <w:rFonts w:ascii="Arial" w:hAnsi="Arial" w:cs="Arial"/>
                <w:b/>
                <w:sz w:val="18"/>
                <w:szCs w:val="18"/>
                <w:lang w:val="tr-TR"/>
              </w:rPr>
              <w:t>oplam</w:t>
            </w:r>
            <w:r>
              <w:rPr>
                <w:rFonts w:ascii="Arial" w:hAnsi="Arial" w:cs="Arial"/>
                <w:b/>
                <w:sz w:val="18"/>
                <w:szCs w:val="18"/>
                <w:lang w:val="tr-TR"/>
              </w:rPr>
              <w:t>ı</w:t>
            </w:r>
          </w:p>
        </w:tc>
      </w:tr>
      <w:tr w:rsidR="00D322FB" w:rsidRPr="00727376" w:rsidTr="00D36F88">
        <w:trPr>
          <w:trHeight w:val="113"/>
        </w:trPr>
        <w:tc>
          <w:tcPr>
            <w:tcW w:w="4251" w:type="dxa"/>
            <w:tcBorders>
              <w:top w:val="nil"/>
              <w:left w:val="nil"/>
              <w:bottom w:val="nil"/>
              <w:right w:val="nil"/>
            </w:tcBorders>
            <w:vAlign w:val="bottom"/>
          </w:tcPr>
          <w:p w:rsidR="00D322FB" w:rsidRPr="00727376" w:rsidRDefault="00D322FB" w:rsidP="003C359E">
            <w:pPr>
              <w:autoSpaceDE w:val="0"/>
              <w:autoSpaceDN w:val="0"/>
              <w:adjustRightInd w:val="0"/>
              <w:spacing w:line="230" w:lineRule="auto"/>
              <w:ind w:left="-108"/>
              <w:rPr>
                <w:rFonts w:ascii="Arial" w:hAnsi="Arial" w:cs="Arial"/>
                <w:color w:val="000000"/>
                <w:sz w:val="18"/>
                <w:szCs w:val="18"/>
                <w:highlight w:val="yellow"/>
              </w:rPr>
            </w:pPr>
          </w:p>
        </w:tc>
        <w:tc>
          <w:tcPr>
            <w:tcW w:w="850" w:type="dxa"/>
            <w:tcBorders>
              <w:top w:val="nil"/>
              <w:left w:val="nil"/>
              <w:bottom w:val="nil"/>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color w:val="000000"/>
                <w:sz w:val="18"/>
                <w:szCs w:val="18"/>
                <w:highlight w:val="yellow"/>
              </w:rPr>
            </w:pPr>
          </w:p>
        </w:tc>
        <w:tc>
          <w:tcPr>
            <w:tcW w:w="1134" w:type="dxa"/>
            <w:tcBorders>
              <w:top w:val="nil"/>
              <w:left w:val="nil"/>
              <w:bottom w:val="nil"/>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color w:val="000000"/>
                <w:sz w:val="18"/>
                <w:szCs w:val="18"/>
                <w:highlight w:val="yellow"/>
              </w:rPr>
            </w:pPr>
          </w:p>
        </w:tc>
        <w:tc>
          <w:tcPr>
            <w:tcW w:w="1276" w:type="dxa"/>
            <w:tcBorders>
              <w:top w:val="nil"/>
              <w:left w:val="nil"/>
              <w:bottom w:val="nil"/>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color w:val="000000"/>
                <w:sz w:val="18"/>
                <w:szCs w:val="18"/>
                <w:highlight w:val="yellow"/>
              </w:rPr>
            </w:pPr>
          </w:p>
        </w:tc>
        <w:tc>
          <w:tcPr>
            <w:tcW w:w="1669" w:type="dxa"/>
            <w:tcBorders>
              <w:top w:val="nil"/>
              <w:left w:val="nil"/>
              <w:bottom w:val="nil"/>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color w:val="000000"/>
                <w:sz w:val="18"/>
                <w:szCs w:val="18"/>
                <w:highlight w:val="yellow"/>
              </w:rPr>
            </w:pPr>
          </w:p>
        </w:tc>
        <w:tc>
          <w:tcPr>
            <w:tcW w:w="1649" w:type="dxa"/>
            <w:tcBorders>
              <w:top w:val="nil"/>
              <w:left w:val="nil"/>
              <w:bottom w:val="nil"/>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color w:val="000000"/>
                <w:sz w:val="18"/>
                <w:szCs w:val="18"/>
                <w:highlight w:val="yellow"/>
              </w:rPr>
            </w:pPr>
          </w:p>
        </w:tc>
        <w:tc>
          <w:tcPr>
            <w:tcW w:w="1681" w:type="dxa"/>
            <w:tcBorders>
              <w:top w:val="nil"/>
              <w:left w:val="nil"/>
              <w:bottom w:val="nil"/>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color w:val="000000"/>
                <w:sz w:val="18"/>
                <w:szCs w:val="18"/>
                <w:highlight w:val="yellow"/>
              </w:rPr>
            </w:pPr>
          </w:p>
        </w:tc>
        <w:tc>
          <w:tcPr>
            <w:tcW w:w="1472" w:type="dxa"/>
            <w:gridSpan w:val="2"/>
            <w:tcBorders>
              <w:top w:val="nil"/>
              <w:left w:val="nil"/>
              <w:bottom w:val="nil"/>
              <w:right w:val="nil"/>
            </w:tcBorders>
            <w:vAlign w:val="bottom"/>
          </w:tcPr>
          <w:p w:rsidR="00D322FB" w:rsidRPr="00727376" w:rsidRDefault="00D322FB" w:rsidP="003C359E">
            <w:pPr>
              <w:autoSpaceDE w:val="0"/>
              <w:autoSpaceDN w:val="0"/>
              <w:adjustRightInd w:val="0"/>
              <w:spacing w:line="230" w:lineRule="auto"/>
              <w:jc w:val="right"/>
              <w:rPr>
                <w:rFonts w:ascii="Arial" w:hAnsi="Arial" w:cs="Arial"/>
                <w:color w:val="000000"/>
                <w:sz w:val="18"/>
                <w:szCs w:val="18"/>
                <w:highlight w:val="yellow"/>
              </w:rPr>
            </w:pPr>
          </w:p>
        </w:tc>
      </w:tr>
      <w:tr w:rsidR="00D322FB" w:rsidRPr="00727376" w:rsidTr="00D36F88">
        <w:trPr>
          <w:trHeight w:val="113"/>
        </w:trPr>
        <w:tc>
          <w:tcPr>
            <w:tcW w:w="4251" w:type="dxa"/>
            <w:tcBorders>
              <w:top w:val="single" w:sz="6" w:space="0" w:color="auto"/>
              <w:left w:val="nil"/>
              <w:bottom w:val="single" w:sz="6" w:space="0" w:color="auto"/>
              <w:right w:val="nil"/>
            </w:tcBorders>
            <w:vAlign w:val="bottom"/>
          </w:tcPr>
          <w:p w:rsidR="00D322FB" w:rsidRPr="00C1550D" w:rsidRDefault="00D322FB" w:rsidP="00E125AB">
            <w:pPr>
              <w:autoSpaceDE w:val="0"/>
              <w:autoSpaceDN w:val="0"/>
              <w:adjustRightInd w:val="0"/>
              <w:spacing w:line="230" w:lineRule="auto"/>
              <w:ind w:left="-78" w:hanging="30"/>
              <w:rPr>
                <w:rFonts w:ascii="Arial" w:hAnsi="Arial" w:cs="Arial"/>
                <w:color w:val="000000"/>
                <w:sz w:val="18"/>
                <w:szCs w:val="18"/>
                <w:lang w:val="tr-TR"/>
              </w:rPr>
            </w:pPr>
            <w:r>
              <w:rPr>
                <w:rFonts w:ascii="Arial" w:hAnsi="Arial" w:cs="Arial"/>
                <w:sz w:val="18"/>
                <w:szCs w:val="18"/>
                <w:lang w:val="tr-TR"/>
              </w:rPr>
              <w:t>1 Ocak 2014</w:t>
            </w:r>
            <w:r w:rsidRPr="00C1550D">
              <w:rPr>
                <w:rFonts w:ascii="Arial" w:hAnsi="Arial" w:cs="Arial"/>
                <w:sz w:val="18"/>
                <w:szCs w:val="18"/>
                <w:lang w:val="tr-TR"/>
              </w:rPr>
              <w:t xml:space="preserve"> tarihi </w:t>
            </w:r>
            <w:r>
              <w:rPr>
                <w:rFonts w:ascii="Arial" w:hAnsi="Arial" w:cs="Arial"/>
                <w:sz w:val="18"/>
                <w:szCs w:val="18"/>
                <w:lang w:val="tr-TR"/>
              </w:rPr>
              <w:t>itibariyle</w:t>
            </w:r>
            <w:r w:rsidRPr="00C1550D">
              <w:rPr>
                <w:rFonts w:ascii="Arial" w:hAnsi="Arial" w:cs="Arial"/>
                <w:sz w:val="18"/>
                <w:szCs w:val="18"/>
                <w:lang w:val="tr-TR"/>
              </w:rPr>
              <w:t xml:space="preserve"> bakiyeler</w:t>
            </w:r>
          </w:p>
        </w:tc>
        <w:tc>
          <w:tcPr>
            <w:tcW w:w="850" w:type="dxa"/>
            <w:tcBorders>
              <w:top w:val="single" w:sz="6" w:space="0" w:color="auto"/>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single" w:sz="6" w:space="0" w:color="auto"/>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1.700.000</w:t>
            </w:r>
          </w:p>
        </w:tc>
        <w:tc>
          <w:tcPr>
            <w:tcW w:w="1276" w:type="dxa"/>
            <w:tcBorders>
              <w:top w:val="single" w:sz="6" w:space="0" w:color="auto"/>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133.130</w:t>
            </w:r>
          </w:p>
        </w:tc>
        <w:tc>
          <w:tcPr>
            <w:tcW w:w="1669" w:type="dxa"/>
            <w:tcBorders>
              <w:top w:val="single" w:sz="6" w:space="0" w:color="auto"/>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44.772</w:t>
            </w:r>
          </w:p>
        </w:tc>
        <w:tc>
          <w:tcPr>
            <w:tcW w:w="1649" w:type="dxa"/>
            <w:tcBorders>
              <w:top w:val="single" w:sz="6" w:space="0" w:color="auto"/>
              <w:left w:val="nil"/>
              <w:bottom w:val="single" w:sz="6" w:space="0" w:color="auto"/>
              <w:right w:val="nil"/>
            </w:tcBorders>
            <w:vAlign w:val="bottom"/>
          </w:tcPr>
          <w:p w:rsidR="00D322FB" w:rsidRPr="00C1550D" w:rsidRDefault="0035204E" w:rsidP="00E125AB">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(353.940)</w:t>
            </w:r>
          </w:p>
        </w:tc>
        <w:tc>
          <w:tcPr>
            <w:tcW w:w="1681" w:type="dxa"/>
            <w:tcBorders>
              <w:top w:val="single" w:sz="6" w:space="0" w:color="auto"/>
              <w:left w:val="nil"/>
              <w:bottom w:val="single" w:sz="6" w:space="0" w:color="auto"/>
              <w:right w:val="nil"/>
            </w:tcBorders>
            <w:vAlign w:val="bottom"/>
          </w:tcPr>
          <w:p w:rsidR="00D322FB" w:rsidRPr="00C1550D" w:rsidRDefault="0035204E" w:rsidP="00E125AB">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(316.912)</w:t>
            </w:r>
          </w:p>
        </w:tc>
        <w:tc>
          <w:tcPr>
            <w:tcW w:w="1472" w:type="dxa"/>
            <w:gridSpan w:val="2"/>
            <w:tcBorders>
              <w:top w:val="single" w:sz="6" w:space="0" w:color="auto"/>
              <w:left w:val="nil"/>
              <w:bottom w:val="single" w:sz="6" w:space="0" w:color="auto"/>
              <w:right w:val="nil"/>
            </w:tcBorders>
            <w:vAlign w:val="bottom"/>
          </w:tcPr>
          <w:p w:rsidR="00D322FB" w:rsidRPr="00C1550D" w:rsidRDefault="0035204E" w:rsidP="00E125AB">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1.207.050</w:t>
            </w:r>
          </w:p>
        </w:tc>
      </w:tr>
      <w:tr w:rsidR="0035204E" w:rsidRPr="00727376" w:rsidTr="00D36F88">
        <w:trPr>
          <w:trHeight w:val="113"/>
        </w:trPr>
        <w:tc>
          <w:tcPr>
            <w:tcW w:w="4251" w:type="dxa"/>
            <w:tcBorders>
              <w:top w:val="nil"/>
              <w:left w:val="nil"/>
              <w:bottom w:val="nil"/>
              <w:right w:val="nil"/>
            </w:tcBorders>
            <w:vAlign w:val="bottom"/>
          </w:tcPr>
          <w:p w:rsidR="0035204E" w:rsidRPr="00C1550D" w:rsidRDefault="0035204E" w:rsidP="00E125AB">
            <w:pPr>
              <w:autoSpaceDE w:val="0"/>
              <w:autoSpaceDN w:val="0"/>
              <w:adjustRightInd w:val="0"/>
              <w:spacing w:line="230" w:lineRule="auto"/>
              <w:ind w:left="-78" w:hanging="30"/>
              <w:rPr>
                <w:rFonts w:ascii="Arial" w:hAnsi="Arial" w:cs="Arial"/>
                <w:color w:val="000000"/>
                <w:sz w:val="18"/>
                <w:szCs w:val="18"/>
              </w:rPr>
            </w:pPr>
          </w:p>
        </w:tc>
        <w:tc>
          <w:tcPr>
            <w:tcW w:w="850" w:type="dxa"/>
            <w:tcBorders>
              <w:top w:val="nil"/>
              <w:left w:val="nil"/>
              <w:bottom w:val="nil"/>
              <w:right w:val="nil"/>
            </w:tcBorders>
            <w:vAlign w:val="bottom"/>
          </w:tcPr>
          <w:p w:rsidR="0035204E" w:rsidRPr="00C1550D" w:rsidRDefault="0035204E"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35204E" w:rsidRPr="00C1550D" w:rsidRDefault="0035204E" w:rsidP="00E125AB">
            <w:pPr>
              <w:autoSpaceDE w:val="0"/>
              <w:autoSpaceDN w:val="0"/>
              <w:adjustRightInd w:val="0"/>
              <w:spacing w:line="230" w:lineRule="auto"/>
              <w:jc w:val="right"/>
              <w:rPr>
                <w:rFonts w:ascii="Arial" w:hAnsi="Arial" w:cs="Arial"/>
                <w:color w:val="000000"/>
                <w:sz w:val="18"/>
                <w:szCs w:val="18"/>
              </w:rPr>
            </w:pPr>
          </w:p>
        </w:tc>
        <w:tc>
          <w:tcPr>
            <w:tcW w:w="1276" w:type="dxa"/>
            <w:tcBorders>
              <w:top w:val="nil"/>
              <w:left w:val="nil"/>
              <w:bottom w:val="nil"/>
              <w:right w:val="nil"/>
            </w:tcBorders>
            <w:vAlign w:val="bottom"/>
          </w:tcPr>
          <w:p w:rsidR="0035204E" w:rsidRPr="00C1550D" w:rsidRDefault="0035204E" w:rsidP="00E125AB">
            <w:pPr>
              <w:autoSpaceDE w:val="0"/>
              <w:autoSpaceDN w:val="0"/>
              <w:adjustRightInd w:val="0"/>
              <w:spacing w:line="230" w:lineRule="auto"/>
              <w:jc w:val="right"/>
              <w:rPr>
                <w:rFonts w:ascii="Arial" w:hAnsi="Arial" w:cs="Arial"/>
                <w:color w:val="000000"/>
                <w:sz w:val="18"/>
                <w:szCs w:val="18"/>
              </w:rPr>
            </w:pPr>
          </w:p>
        </w:tc>
        <w:tc>
          <w:tcPr>
            <w:tcW w:w="1669" w:type="dxa"/>
            <w:tcBorders>
              <w:top w:val="nil"/>
              <w:left w:val="nil"/>
              <w:bottom w:val="nil"/>
              <w:right w:val="nil"/>
            </w:tcBorders>
            <w:vAlign w:val="bottom"/>
          </w:tcPr>
          <w:p w:rsidR="0035204E" w:rsidRPr="00C1550D" w:rsidRDefault="0035204E" w:rsidP="00E125AB">
            <w:pPr>
              <w:autoSpaceDE w:val="0"/>
              <w:autoSpaceDN w:val="0"/>
              <w:adjustRightInd w:val="0"/>
              <w:spacing w:line="230" w:lineRule="auto"/>
              <w:jc w:val="right"/>
              <w:rPr>
                <w:rFonts w:ascii="Arial" w:hAnsi="Arial" w:cs="Arial"/>
                <w:color w:val="000000"/>
                <w:sz w:val="18"/>
                <w:szCs w:val="18"/>
              </w:rPr>
            </w:pPr>
          </w:p>
        </w:tc>
        <w:tc>
          <w:tcPr>
            <w:tcW w:w="1649" w:type="dxa"/>
            <w:tcBorders>
              <w:top w:val="nil"/>
              <w:left w:val="nil"/>
              <w:bottom w:val="nil"/>
              <w:right w:val="nil"/>
            </w:tcBorders>
            <w:vAlign w:val="bottom"/>
          </w:tcPr>
          <w:p w:rsidR="0035204E" w:rsidRPr="00C1550D" w:rsidRDefault="0035204E" w:rsidP="00E125AB">
            <w:pPr>
              <w:autoSpaceDE w:val="0"/>
              <w:autoSpaceDN w:val="0"/>
              <w:adjustRightInd w:val="0"/>
              <w:spacing w:line="230" w:lineRule="auto"/>
              <w:jc w:val="right"/>
              <w:rPr>
                <w:rFonts w:ascii="Arial" w:hAnsi="Arial" w:cs="Arial"/>
                <w:color w:val="000000"/>
                <w:sz w:val="18"/>
                <w:szCs w:val="18"/>
              </w:rPr>
            </w:pPr>
          </w:p>
        </w:tc>
        <w:tc>
          <w:tcPr>
            <w:tcW w:w="1681" w:type="dxa"/>
            <w:tcBorders>
              <w:top w:val="nil"/>
              <w:left w:val="nil"/>
              <w:bottom w:val="nil"/>
              <w:right w:val="nil"/>
            </w:tcBorders>
            <w:vAlign w:val="bottom"/>
          </w:tcPr>
          <w:p w:rsidR="0035204E" w:rsidRPr="00C1550D" w:rsidRDefault="0035204E" w:rsidP="00E125AB">
            <w:pPr>
              <w:autoSpaceDE w:val="0"/>
              <w:autoSpaceDN w:val="0"/>
              <w:adjustRightInd w:val="0"/>
              <w:spacing w:line="230" w:lineRule="auto"/>
              <w:jc w:val="right"/>
              <w:rPr>
                <w:rFonts w:ascii="Arial" w:hAnsi="Arial" w:cs="Arial"/>
                <w:color w:val="000000"/>
                <w:sz w:val="18"/>
                <w:szCs w:val="18"/>
              </w:rPr>
            </w:pPr>
          </w:p>
        </w:tc>
        <w:tc>
          <w:tcPr>
            <w:tcW w:w="1472" w:type="dxa"/>
            <w:gridSpan w:val="2"/>
            <w:tcBorders>
              <w:top w:val="nil"/>
              <w:left w:val="nil"/>
              <w:bottom w:val="nil"/>
              <w:right w:val="nil"/>
            </w:tcBorders>
            <w:vAlign w:val="bottom"/>
          </w:tcPr>
          <w:p w:rsidR="0035204E" w:rsidRPr="00C1550D" w:rsidRDefault="0035204E" w:rsidP="00E125AB">
            <w:pPr>
              <w:autoSpaceDE w:val="0"/>
              <w:autoSpaceDN w:val="0"/>
              <w:adjustRightInd w:val="0"/>
              <w:spacing w:line="230" w:lineRule="auto"/>
              <w:jc w:val="right"/>
              <w:rPr>
                <w:rFonts w:ascii="Arial" w:hAnsi="Arial" w:cs="Arial"/>
                <w:color w:val="000000"/>
                <w:sz w:val="18"/>
                <w:szCs w:val="18"/>
              </w:rPr>
            </w:pPr>
          </w:p>
        </w:tc>
      </w:tr>
      <w:tr w:rsidR="00D322FB" w:rsidRPr="00727376" w:rsidTr="00D36F88">
        <w:trPr>
          <w:trHeight w:val="113"/>
        </w:trPr>
        <w:tc>
          <w:tcPr>
            <w:tcW w:w="4251" w:type="dxa"/>
            <w:tcBorders>
              <w:top w:val="nil"/>
              <w:left w:val="nil"/>
              <w:bottom w:val="nil"/>
              <w:right w:val="nil"/>
            </w:tcBorders>
            <w:vAlign w:val="bottom"/>
          </w:tcPr>
          <w:p w:rsidR="00D322FB" w:rsidRPr="00C1550D" w:rsidRDefault="00D322FB" w:rsidP="00E125AB">
            <w:pPr>
              <w:autoSpaceDE w:val="0"/>
              <w:autoSpaceDN w:val="0"/>
              <w:adjustRightInd w:val="0"/>
              <w:spacing w:line="230" w:lineRule="auto"/>
              <w:ind w:left="-78" w:hanging="30"/>
              <w:rPr>
                <w:rFonts w:ascii="Arial" w:hAnsi="Arial" w:cs="Arial"/>
                <w:color w:val="000000"/>
                <w:sz w:val="18"/>
                <w:szCs w:val="18"/>
                <w:lang w:val="tr-TR"/>
              </w:rPr>
            </w:pPr>
            <w:r w:rsidRPr="00C1550D">
              <w:rPr>
                <w:rFonts w:ascii="Arial" w:hAnsi="Arial" w:cs="Arial"/>
                <w:color w:val="000000"/>
                <w:sz w:val="18"/>
                <w:szCs w:val="18"/>
              </w:rPr>
              <w:t>Transferler</w:t>
            </w:r>
          </w:p>
        </w:tc>
        <w:tc>
          <w:tcPr>
            <w:tcW w:w="850" w:type="dxa"/>
            <w:tcBorders>
              <w:top w:val="nil"/>
              <w:left w:val="nil"/>
              <w:bottom w:val="nil"/>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276" w:type="dxa"/>
            <w:tcBorders>
              <w:top w:val="nil"/>
              <w:left w:val="nil"/>
              <w:bottom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669" w:type="dxa"/>
            <w:tcBorders>
              <w:top w:val="nil"/>
              <w:left w:val="nil"/>
              <w:bottom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649" w:type="dxa"/>
            <w:tcBorders>
              <w:top w:val="nil"/>
              <w:left w:val="nil"/>
              <w:bottom w:val="nil"/>
              <w:right w:val="nil"/>
            </w:tcBorders>
          </w:tcPr>
          <w:p w:rsidR="00D322FB" w:rsidRPr="00C1550D" w:rsidRDefault="00D37038" w:rsidP="00D37038">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353.940</w:t>
            </w:r>
          </w:p>
        </w:tc>
        <w:tc>
          <w:tcPr>
            <w:tcW w:w="1681" w:type="dxa"/>
            <w:tcBorders>
              <w:top w:val="nil"/>
              <w:left w:val="nil"/>
              <w:bottom w:val="nil"/>
              <w:right w:val="nil"/>
            </w:tcBorders>
          </w:tcPr>
          <w:p w:rsidR="00D322FB" w:rsidRPr="00C1550D" w:rsidRDefault="00D37038" w:rsidP="00D37038">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(353.940)</w:t>
            </w:r>
          </w:p>
        </w:tc>
        <w:tc>
          <w:tcPr>
            <w:tcW w:w="1472" w:type="dxa"/>
            <w:gridSpan w:val="2"/>
            <w:tcBorders>
              <w:top w:val="nil"/>
              <w:left w:val="nil"/>
              <w:bottom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r>
      <w:tr w:rsidR="00D37038" w:rsidRPr="00727376" w:rsidTr="00D36F88">
        <w:trPr>
          <w:trHeight w:val="113"/>
        </w:trPr>
        <w:tc>
          <w:tcPr>
            <w:tcW w:w="4251" w:type="dxa"/>
            <w:tcBorders>
              <w:top w:val="nil"/>
              <w:left w:val="nil"/>
              <w:right w:val="nil"/>
            </w:tcBorders>
            <w:vAlign w:val="bottom"/>
          </w:tcPr>
          <w:p w:rsidR="00D37038" w:rsidRPr="00C1550D" w:rsidRDefault="00D37038" w:rsidP="00E125AB">
            <w:pPr>
              <w:autoSpaceDE w:val="0"/>
              <w:autoSpaceDN w:val="0"/>
              <w:adjustRightInd w:val="0"/>
              <w:spacing w:line="230" w:lineRule="auto"/>
              <w:ind w:left="-78" w:hanging="30"/>
              <w:rPr>
                <w:rFonts w:ascii="Arial" w:hAnsi="Arial" w:cs="Arial"/>
                <w:color w:val="000000"/>
                <w:sz w:val="18"/>
                <w:szCs w:val="18"/>
              </w:rPr>
            </w:pPr>
            <w:r>
              <w:rPr>
                <w:rFonts w:ascii="Arial" w:hAnsi="Arial" w:cs="Arial"/>
                <w:color w:val="000000"/>
                <w:sz w:val="18"/>
                <w:szCs w:val="18"/>
              </w:rPr>
              <w:t>Nakit ilaveler</w:t>
            </w:r>
          </w:p>
        </w:tc>
        <w:tc>
          <w:tcPr>
            <w:tcW w:w="850" w:type="dxa"/>
            <w:tcBorders>
              <w:top w:val="nil"/>
              <w:left w:val="nil"/>
              <w:right w:val="nil"/>
            </w:tcBorders>
            <w:vAlign w:val="bottom"/>
          </w:tcPr>
          <w:p w:rsidR="00D37038" w:rsidRPr="00C1550D" w:rsidRDefault="00D37038"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right w:val="nil"/>
            </w:tcBorders>
          </w:tcPr>
          <w:p w:rsidR="00D37038" w:rsidRPr="00C1550D" w:rsidRDefault="00D37038" w:rsidP="00E125AB">
            <w:pPr>
              <w:autoSpaceDE w:val="0"/>
              <w:autoSpaceDN w:val="0"/>
              <w:adjustRightInd w:val="0"/>
              <w:spacing w:line="230" w:lineRule="auto"/>
              <w:jc w:val="right"/>
              <w:rPr>
                <w:rFonts w:ascii="Arial" w:hAnsi="Arial" w:cs="Arial"/>
                <w:color w:val="000000"/>
                <w:sz w:val="18"/>
                <w:szCs w:val="18"/>
              </w:rPr>
            </w:pPr>
            <w:r>
              <w:rPr>
                <w:rFonts w:ascii="Arial" w:hAnsi="Arial" w:cs="Arial"/>
                <w:color w:val="000000"/>
                <w:sz w:val="18"/>
                <w:szCs w:val="18"/>
              </w:rPr>
              <w:t>366.275</w:t>
            </w:r>
          </w:p>
        </w:tc>
        <w:tc>
          <w:tcPr>
            <w:tcW w:w="1276" w:type="dxa"/>
            <w:tcBorders>
              <w:top w:val="nil"/>
              <w:left w:val="nil"/>
              <w:right w:val="nil"/>
            </w:tcBorders>
          </w:tcPr>
          <w:p w:rsidR="00D37038" w:rsidRPr="00C1550D" w:rsidRDefault="00D37038" w:rsidP="00E125AB">
            <w:pPr>
              <w:autoSpaceDE w:val="0"/>
              <w:autoSpaceDN w:val="0"/>
              <w:adjustRightInd w:val="0"/>
              <w:spacing w:line="230" w:lineRule="auto"/>
              <w:jc w:val="right"/>
              <w:rPr>
                <w:rFonts w:ascii="Arial" w:hAnsi="Arial" w:cs="Arial"/>
                <w:color w:val="000000"/>
                <w:sz w:val="18"/>
                <w:szCs w:val="18"/>
              </w:rPr>
            </w:pPr>
          </w:p>
        </w:tc>
        <w:tc>
          <w:tcPr>
            <w:tcW w:w="1669" w:type="dxa"/>
            <w:tcBorders>
              <w:top w:val="nil"/>
              <w:left w:val="nil"/>
              <w:right w:val="nil"/>
            </w:tcBorders>
          </w:tcPr>
          <w:p w:rsidR="00D37038" w:rsidRPr="00C1550D" w:rsidRDefault="00D37038" w:rsidP="00E125AB">
            <w:pPr>
              <w:autoSpaceDE w:val="0"/>
              <w:autoSpaceDN w:val="0"/>
              <w:adjustRightInd w:val="0"/>
              <w:spacing w:line="230" w:lineRule="auto"/>
              <w:jc w:val="right"/>
              <w:rPr>
                <w:rFonts w:ascii="Arial" w:hAnsi="Arial" w:cs="Arial"/>
                <w:color w:val="000000"/>
                <w:sz w:val="18"/>
                <w:szCs w:val="18"/>
              </w:rPr>
            </w:pPr>
          </w:p>
        </w:tc>
        <w:tc>
          <w:tcPr>
            <w:tcW w:w="1649" w:type="dxa"/>
            <w:tcBorders>
              <w:top w:val="nil"/>
              <w:left w:val="nil"/>
              <w:right w:val="nil"/>
            </w:tcBorders>
          </w:tcPr>
          <w:p w:rsidR="00D37038" w:rsidRPr="00C1550D" w:rsidRDefault="00D37038" w:rsidP="00E125AB">
            <w:pPr>
              <w:autoSpaceDE w:val="0"/>
              <w:autoSpaceDN w:val="0"/>
              <w:adjustRightInd w:val="0"/>
              <w:spacing w:line="230" w:lineRule="auto"/>
              <w:jc w:val="right"/>
              <w:rPr>
                <w:rFonts w:ascii="Arial" w:hAnsi="Arial" w:cs="Arial"/>
                <w:color w:val="000000"/>
                <w:sz w:val="18"/>
                <w:szCs w:val="18"/>
              </w:rPr>
            </w:pPr>
          </w:p>
        </w:tc>
        <w:tc>
          <w:tcPr>
            <w:tcW w:w="1681" w:type="dxa"/>
            <w:tcBorders>
              <w:top w:val="nil"/>
              <w:left w:val="nil"/>
              <w:right w:val="nil"/>
            </w:tcBorders>
          </w:tcPr>
          <w:p w:rsidR="00D37038" w:rsidRPr="00C1550D" w:rsidRDefault="00D37038" w:rsidP="00E125AB">
            <w:pPr>
              <w:autoSpaceDE w:val="0"/>
              <w:autoSpaceDN w:val="0"/>
              <w:adjustRightInd w:val="0"/>
              <w:spacing w:line="230" w:lineRule="auto"/>
              <w:jc w:val="right"/>
              <w:rPr>
                <w:rFonts w:ascii="Arial" w:hAnsi="Arial" w:cs="Arial"/>
                <w:color w:val="000000"/>
                <w:sz w:val="18"/>
                <w:szCs w:val="18"/>
              </w:rPr>
            </w:pPr>
          </w:p>
        </w:tc>
        <w:tc>
          <w:tcPr>
            <w:tcW w:w="1472" w:type="dxa"/>
            <w:gridSpan w:val="2"/>
            <w:tcBorders>
              <w:top w:val="nil"/>
              <w:left w:val="nil"/>
              <w:right w:val="nil"/>
            </w:tcBorders>
          </w:tcPr>
          <w:p w:rsidR="00D37038" w:rsidRPr="00C1550D" w:rsidRDefault="00D37038" w:rsidP="00E125AB">
            <w:pPr>
              <w:autoSpaceDE w:val="0"/>
              <w:autoSpaceDN w:val="0"/>
              <w:adjustRightInd w:val="0"/>
              <w:spacing w:line="230" w:lineRule="auto"/>
              <w:jc w:val="right"/>
              <w:rPr>
                <w:rFonts w:ascii="Arial" w:hAnsi="Arial" w:cs="Arial"/>
                <w:color w:val="000000"/>
                <w:sz w:val="18"/>
                <w:szCs w:val="18"/>
              </w:rPr>
            </w:pPr>
            <w:r>
              <w:rPr>
                <w:rFonts w:ascii="Arial" w:hAnsi="Arial" w:cs="Arial"/>
                <w:color w:val="000000"/>
                <w:sz w:val="18"/>
                <w:szCs w:val="18"/>
              </w:rPr>
              <w:t>366.275</w:t>
            </w:r>
          </w:p>
        </w:tc>
      </w:tr>
      <w:tr w:rsidR="00D322FB" w:rsidRPr="00727376" w:rsidTr="00D36F88">
        <w:trPr>
          <w:trHeight w:val="113"/>
        </w:trPr>
        <w:tc>
          <w:tcPr>
            <w:tcW w:w="4251" w:type="dxa"/>
            <w:tcBorders>
              <w:top w:val="nil"/>
              <w:left w:val="nil"/>
              <w:right w:val="nil"/>
            </w:tcBorders>
            <w:vAlign w:val="bottom"/>
          </w:tcPr>
          <w:p w:rsidR="00D322FB" w:rsidRPr="00C1550D" w:rsidRDefault="00D322FB" w:rsidP="00E125AB">
            <w:pPr>
              <w:autoSpaceDE w:val="0"/>
              <w:autoSpaceDN w:val="0"/>
              <w:adjustRightInd w:val="0"/>
              <w:spacing w:line="230" w:lineRule="auto"/>
              <w:ind w:left="-78" w:hanging="30"/>
              <w:rPr>
                <w:rFonts w:ascii="Arial" w:hAnsi="Arial" w:cs="Arial"/>
                <w:color w:val="000000"/>
                <w:sz w:val="18"/>
                <w:szCs w:val="18"/>
                <w:lang w:val="tr-TR"/>
              </w:rPr>
            </w:pPr>
            <w:r w:rsidRPr="00C1550D">
              <w:rPr>
                <w:rFonts w:ascii="Arial" w:hAnsi="Arial" w:cs="Arial"/>
                <w:color w:val="000000"/>
                <w:sz w:val="18"/>
                <w:szCs w:val="18"/>
              </w:rPr>
              <w:t>Sermaye artırımı taahhütleri (*)</w:t>
            </w:r>
          </w:p>
        </w:tc>
        <w:tc>
          <w:tcPr>
            <w:tcW w:w="850" w:type="dxa"/>
            <w:tcBorders>
              <w:top w:val="nil"/>
              <w:left w:val="nil"/>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right w:val="nil"/>
            </w:tcBorders>
          </w:tcPr>
          <w:p w:rsidR="00D322FB" w:rsidRPr="00C1550D" w:rsidRDefault="00D37038" w:rsidP="00D37038">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290.225</w:t>
            </w:r>
          </w:p>
        </w:tc>
        <w:tc>
          <w:tcPr>
            <w:tcW w:w="1276" w:type="dxa"/>
            <w:tcBorders>
              <w:top w:val="nil"/>
              <w:left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669" w:type="dxa"/>
            <w:tcBorders>
              <w:top w:val="nil"/>
              <w:left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649" w:type="dxa"/>
            <w:tcBorders>
              <w:top w:val="nil"/>
              <w:left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681" w:type="dxa"/>
            <w:tcBorders>
              <w:top w:val="nil"/>
              <w:left w:val="nil"/>
              <w:right w:val="nil"/>
            </w:tcBorders>
          </w:tcPr>
          <w:p w:rsidR="00D322FB" w:rsidRPr="00C1550D" w:rsidRDefault="00D37038" w:rsidP="00E125AB">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w:t>
            </w:r>
            <w:r w:rsidR="00D322FB" w:rsidRPr="00C1550D">
              <w:rPr>
                <w:rFonts w:ascii="Arial" w:hAnsi="Arial" w:cs="Arial"/>
                <w:color w:val="000000"/>
                <w:sz w:val="18"/>
                <w:szCs w:val="18"/>
              </w:rPr>
              <w:t>290.225</w:t>
            </w:r>
            <w:r>
              <w:rPr>
                <w:rFonts w:ascii="Arial" w:hAnsi="Arial" w:cs="Arial"/>
                <w:color w:val="000000"/>
                <w:sz w:val="18"/>
                <w:szCs w:val="18"/>
              </w:rPr>
              <w:t>)</w:t>
            </w:r>
          </w:p>
        </w:tc>
        <w:tc>
          <w:tcPr>
            <w:tcW w:w="1472" w:type="dxa"/>
            <w:gridSpan w:val="2"/>
            <w:tcBorders>
              <w:top w:val="nil"/>
              <w:left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290.225</w:t>
            </w:r>
          </w:p>
        </w:tc>
      </w:tr>
      <w:tr w:rsidR="00D322FB" w:rsidRPr="00727376" w:rsidTr="00D36F88">
        <w:trPr>
          <w:trHeight w:val="113"/>
        </w:trPr>
        <w:tc>
          <w:tcPr>
            <w:tcW w:w="4251" w:type="dxa"/>
            <w:tcBorders>
              <w:top w:val="nil"/>
              <w:left w:val="nil"/>
              <w:right w:val="nil"/>
            </w:tcBorders>
            <w:vAlign w:val="bottom"/>
          </w:tcPr>
          <w:p w:rsidR="00D322FB" w:rsidRPr="00C1550D" w:rsidRDefault="00D322FB" w:rsidP="00316622">
            <w:pPr>
              <w:autoSpaceDE w:val="0"/>
              <w:autoSpaceDN w:val="0"/>
              <w:adjustRightInd w:val="0"/>
              <w:spacing w:line="230" w:lineRule="auto"/>
              <w:ind w:left="-78" w:hanging="30"/>
              <w:rPr>
                <w:rFonts w:ascii="Arial" w:hAnsi="Arial" w:cs="Arial"/>
                <w:color w:val="000000"/>
                <w:sz w:val="18"/>
                <w:szCs w:val="18"/>
                <w:lang w:val="tr-TR"/>
              </w:rPr>
            </w:pPr>
            <w:r w:rsidRPr="00C1550D">
              <w:rPr>
                <w:rFonts w:ascii="Arial" w:hAnsi="Arial" w:cs="Arial"/>
                <w:color w:val="000000"/>
                <w:sz w:val="18"/>
                <w:szCs w:val="18"/>
              </w:rPr>
              <w:t>Toplam kapsamlı gider</w:t>
            </w:r>
          </w:p>
        </w:tc>
        <w:tc>
          <w:tcPr>
            <w:tcW w:w="850" w:type="dxa"/>
            <w:tcBorders>
              <w:top w:val="nil"/>
              <w:left w:val="nil"/>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276" w:type="dxa"/>
            <w:tcBorders>
              <w:top w:val="nil"/>
              <w:left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669" w:type="dxa"/>
            <w:tcBorders>
              <w:top w:val="nil"/>
              <w:left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649" w:type="dxa"/>
            <w:tcBorders>
              <w:top w:val="nil"/>
              <w:left w:val="nil"/>
              <w:right w:val="nil"/>
            </w:tcBorders>
          </w:tcPr>
          <w:p w:rsidR="00D322FB" w:rsidRPr="00C1550D" w:rsidRDefault="00D322FB" w:rsidP="00D37038">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r w:rsidR="00D37038">
              <w:rPr>
                <w:rFonts w:ascii="Arial" w:hAnsi="Arial" w:cs="Arial"/>
                <w:color w:val="000000"/>
                <w:sz w:val="18"/>
                <w:szCs w:val="18"/>
              </w:rPr>
              <w:t>232.026</w:t>
            </w:r>
            <w:r w:rsidRPr="00C1550D">
              <w:rPr>
                <w:rFonts w:ascii="Arial" w:hAnsi="Arial" w:cs="Arial"/>
                <w:color w:val="000000"/>
                <w:sz w:val="18"/>
                <w:szCs w:val="18"/>
              </w:rPr>
              <w:t>)</w:t>
            </w:r>
          </w:p>
        </w:tc>
        <w:tc>
          <w:tcPr>
            <w:tcW w:w="1681" w:type="dxa"/>
            <w:tcBorders>
              <w:top w:val="nil"/>
              <w:left w:val="nil"/>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w:t>
            </w:r>
          </w:p>
        </w:tc>
        <w:tc>
          <w:tcPr>
            <w:tcW w:w="1472" w:type="dxa"/>
            <w:gridSpan w:val="2"/>
            <w:tcBorders>
              <w:top w:val="nil"/>
              <w:left w:val="nil"/>
              <w:right w:val="nil"/>
            </w:tcBorders>
          </w:tcPr>
          <w:p w:rsidR="00D322FB" w:rsidRPr="00C1550D" w:rsidRDefault="00D37038" w:rsidP="00E125AB">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(232.026)</w:t>
            </w:r>
          </w:p>
        </w:tc>
      </w:tr>
      <w:tr w:rsidR="00D322FB" w:rsidRPr="00727376" w:rsidTr="00D36F88">
        <w:trPr>
          <w:trHeight w:val="113"/>
        </w:trPr>
        <w:tc>
          <w:tcPr>
            <w:tcW w:w="4251" w:type="dxa"/>
            <w:tcBorders>
              <w:left w:val="nil"/>
              <w:bottom w:val="single" w:sz="6" w:space="0" w:color="auto"/>
              <w:right w:val="nil"/>
            </w:tcBorders>
            <w:vAlign w:val="bottom"/>
          </w:tcPr>
          <w:p w:rsidR="00D322FB" w:rsidRPr="00C1550D" w:rsidRDefault="00D322FB" w:rsidP="00E125AB">
            <w:pPr>
              <w:autoSpaceDE w:val="0"/>
              <w:autoSpaceDN w:val="0"/>
              <w:adjustRightInd w:val="0"/>
              <w:spacing w:line="230" w:lineRule="auto"/>
              <w:ind w:left="-78" w:hanging="30"/>
              <w:rPr>
                <w:rFonts w:ascii="Arial" w:hAnsi="Arial" w:cs="Arial"/>
                <w:color w:val="000000"/>
                <w:sz w:val="18"/>
                <w:szCs w:val="18"/>
              </w:rPr>
            </w:pPr>
          </w:p>
        </w:tc>
        <w:tc>
          <w:tcPr>
            <w:tcW w:w="850" w:type="dxa"/>
            <w:tcBorders>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134" w:type="dxa"/>
            <w:tcBorders>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276" w:type="dxa"/>
            <w:tcBorders>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669" w:type="dxa"/>
            <w:tcBorders>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649" w:type="dxa"/>
            <w:tcBorders>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681" w:type="dxa"/>
            <w:tcBorders>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c>
          <w:tcPr>
            <w:tcW w:w="1472" w:type="dxa"/>
            <w:gridSpan w:val="2"/>
            <w:tcBorders>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rPr>
            </w:pPr>
          </w:p>
        </w:tc>
      </w:tr>
      <w:tr w:rsidR="00D322FB" w:rsidRPr="00727376" w:rsidTr="00D36F88">
        <w:trPr>
          <w:trHeight w:val="113"/>
        </w:trPr>
        <w:tc>
          <w:tcPr>
            <w:tcW w:w="4251" w:type="dxa"/>
            <w:tcBorders>
              <w:top w:val="single" w:sz="6" w:space="0" w:color="auto"/>
              <w:left w:val="nil"/>
              <w:bottom w:val="single" w:sz="6" w:space="0" w:color="auto"/>
              <w:right w:val="nil"/>
            </w:tcBorders>
            <w:vAlign w:val="bottom"/>
          </w:tcPr>
          <w:p w:rsidR="00D322FB" w:rsidRPr="00C1550D" w:rsidRDefault="00D322FB" w:rsidP="00E125AB">
            <w:pPr>
              <w:ind w:left="-108" w:right="-108"/>
              <w:rPr>
                <w:rFonts w:ascii="Arial" w:hAnsi="Arial" w:cs="Arial"/>
                <w:sz w:val="18"/>
                <w:szCs w:val="18"/>
                <w:lang w:val="tr-TR"/>
              </w:rPr>
            </w:pPr>
            <w:r w:rsidRPr="00C1550D">
              <w:rPr>
                <w:rFonts w:ascii="Arial" w:hAnsi="Arial" w:cs="Arial"/>
                <w:sz w:val="18"/>
                <w:szCs w:val="18"/>
                <w:lang w:val="tr-TR"/>
              </w:rPr>
              <w:t xml:space="preserve">31 </w:t>
            </w:r>
            <w:r>
              <w:rPr>
                <w:rFonts w:ascii="Arial" w:hAnsi="Arial" w:cs="Arial"/>
                <w:sz w:val="18"/>
                <w:szCs w:val="18"/>
                <w:lang w:val="tr-TR"/>
              </w:rPr>
              <w:t>Mart 2014</w:t>
            </w:r>
            <w:r w:rsidRPr="00C1550D">
              <w:rPr>
                <w:rFonts w:ascii="Arial" w:hAnsi="Arial" w:cs="Arial"/>
                <w:sz w:val="18"/>
                <w:szCs w:val="18"/>
                <w:lang w:val="tr-TR"/>
              </w:rPr>
              <w:t xml:space="preserve"> tarihi </w:t>
            </w:r>
            <w:r>
              <w:rPr>
                <w:rFonts w:ascii="Arial" w:hAnsi="Arial" w:cs="Arial"/>
                <w:sz w:val="18"/>
                <w:szCs w:val="18"/>
                <w:lang w:val="tr-TR"/>
              </w:rPr>
              <w:t>itibariyle</w:t>
            </w:r>
            <w:r w:rsidRPr="00C1550D">
              <w:rPr>
                <w:rFonts w:ascii="Arial" w:hAnsi="Arial" w:cs="Arial"/>
                <w:sz w:val="18"/>
                <w:szCs w:val="18"/>
                <w:lang w:val="tr-TR"/>
              </w:rPr>
              <w:t xml:space="preserve"> bakiyeler</w:t>
            </w:r>
          </w:p>
        </w:tc>
        <w:tc>
          <w:tcPr>
            <w:tcW w:w="850" w:type="dxa"/>
            <w:tcBorders>
              <w:top w:val="single" w:sz="6" w:space="0" w:color="auto"/>
              <w:left w:val="nil"/>
              <w:bottom w:val="single" w:sz="6" w:space="0" w:color="auto"/>
              <w:right w:val="nil"/>
            </w:tcBorders>
            <w:vAlign w:val="bottom"/>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15</w:t>
            </w:r>
          </w:p>
        </w:tc>
        <w:tc>
          <w:tcPr>
            <w:tcW w:w="1134" w:type="dxa"/>
            <w:tcBorders>
              <w:top w:val="single" w:sz="6" w:space="0" w:color="auto"/>
              <w:left w:val="nil"/>
              <w:bottom w:val="single" w:sz="6" w:space="0" w:color="auto"/>
              <w:right w:val="nil"/>
            </w:tcBorders>
          </w:tcPr>
          <w:p w:rsidR="00D322FB" w:rsidRPr="00C1550D" w:rsidRDefault="00D37038" w:rsidP="00D37038">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2.356.500</w:t>
            </w:r>
          </w:p>
        </w:tc>
        <w:tc>
          <w:tcPr>
            <w:tcW w:w="1276" w:type="dxa"/>
            <w:tcBorders>
              <w:top w:val="single" w:sz="6" w:space="0" w:color="auto"/>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133.130</w:t>
            </w:r>
          </w:p>
        </w:tc>
        <w:tc>
          <w:tcPr>
            <w:tcW w:w="1669" w:type="dxa"/>
            <w:tcBorders>
              <w:top w:val="single" w:sz="6" w:space="0" w:color="auto"/>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44.772</w:t>
            </w:r>
          </w:p>
        </w:tc>
        <w:tc>
          <w:tcPr>
            <w:tcW w:w="1649" w:type="dxa"/>
            <w:tcBorders>
              <w:top w:val="single" w:sz="6" w:space="0" w:color="auto"/>
              <w:left w:val="nil"/>
              <w:bottom w:val="single" w:sz="6" w:space="0" w:color="auto"/>
              <w:right w:val="nil"/>
            </w:tcBorders>
          </w:tcPr>
          <w:p w:rsidR="00D322FB" w:rsidRPr="00C1550D" w:rsidRDefault="00D37038" w:rsidP="00E125AB">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(232.026)</w:t>
            </w:r>
          </w:p>
        </w:tc>
        <w:tc>
          <w:tcPr>
            <w:tcW w:w="1681" w:type="dxa"/>
            <w:tcBorders>
              <w:top w:val="single" w:sz="6" w:space="0" w:color="auto"/>
              <w:left w:val="nil"/>
              <w:bottom w:val="single" w:sz="6" w:space="0" w:color="auto"/>
              <w:right w:val="nil"/>
            </w:tcBorders>
          </w:tcPr>
          <w:p w:rsidR="00D322FB" w:rsidRPr="00C1550D" w:rsidRDefault="00D37038" w:rsidP="00E125AB">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(961.077)</w:t>
            </w:r>
          </w:p>
        </w:tc>
        <w:tc>
          <w:tcPr>
            <w:tcW w:w="1472" w:type="dxa"/>
            <w:gridSpan w:val="2"/>
            <w:tcBorders>
              <w:top w:val="single" w:sz="6" w:space="0" w:color="auto"/>
              <w:left w:val="nil"/>
              <w:bottom w:val="single" w:sz="6" w:space="0" w:color="auto"/>
              <w:right w:val="nil"/>
            </w:tcBorders>
          </w:tcPr>
          <w:p w:rsidR="00D322FB" w:rsidRPr="00C1550D" w:rsidRDefault="00D37038" w:rsidP="00E125AB">
            <w:pPr>
              <w:autoSpaceDE w:val="0"/>
              <w:autoSpaceDN w:val="0"/>
              <w:adjustRightInd w:val="0"/>
              <w:spacing w:line="230" w:lineRule="auto"/>
              <w:jc w:val="right"/>
              <w:rPr>
                <w:rFonts w:ascii="Arial" w:hAnsi="Arial" w:cs="Arial"/>
                <w:color w:val="000000"/>
                <w:sz w:val="18"/>
                <w:szCs w:val="18"/>
                <w:lang w:val="tr-TR"/>
              </w:rPr>
            </w:pPr>
            <w:r>
              <w:rPr>
                <w:rFonts w:ascii="Arial" w:hAnsi="Arial" w:cs="Arial"/>
                <w:color w:val="000000"/>
                <w:sz w:val="18"/>
                <w:szCs w:val="18"/>
              </w:rPr>
              <w:t>1.341.299</w:t>
            </w:r>
          </w:p>
        </w:tc>
      </w:tr>
      <w:tr w:rsidR="00D322FB" w:rsidRPr="00727376" w:rsidTr="00D36F88">
        <w:trPr>
          <w:gridAfter w:val="1"/>
          <w:wAfter w:w="8" w:type="dxa"/>
          <w:trHeight w:val="113"/>
        </w:trPr>
        <w:tc>
          <w:tcPr>
            <w:tcW w:w="4251" w:type="dxa"/>
            <w:tcBorders>
              <w:left w:val="nil"/>
              <w:right w:val="nil"/>
            </w:tcBorders>
            <w:vAlign w:val="bottom"/>
          </w:tcPr>
          <w:p w:rsidR="00D322FB" w:rsidRPr="00C1550D" w:rsidRDefault="00D322FB" w:rsidP="00E125AB">
            <w:pPr>
              <w:ind w:left="-108" w:right="-108"/>
              <w:rPr>
                <w:rFonts w:ascii="Arial" w:hAnsi="Arial" w:cs="Arial"/>
                <w:sz w:val="18"/>
                <w:szCs w:val="18"/>
                <w:lang w:val="tr-TR"/>
              </w:rPr>
            </w:pPr>
          </w:p>
        </w:tc>
        <w:tc>
          <w:tcPr>
            <w:tcW w:w="850" w:type="dxa"/>
            <w:tcBorders>
              <w:left w:val="nil"/>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color w:val="000000"/>
                <w:sz w:val="18"/>
                <w:szCs w:val="18"/>
              </w:rPr>
            </w:pPr>
          </w:p>
        </w:tc>
        <w:tc>
          <w:tcPr>
            <w:tcW w:w="1134" w:type="dxa"/>
            <w:tcBorders>
              <w:left w:val="nil"/>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276" w:type="dxa"/>
            <w:tcBorders>
              <w:left w:val="nil"/>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669" w:type="dxa"/>
            <w:tcBorders>
              <w:left w:val="nil"/>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649" w:type="dxa"/>
            <w:tcBorders>
              <w:left w:val="nil"/>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681" w:type="dxa"/>
            <w:tcBorders>
              <w:left w:val="nil"/>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464" w:type="dxa"/>
            <w:tcBorders>
              <w:left w:val="nil"/>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r>
      <w:tr w:rsidR="00D322FB" w:rsidRPr="00727376" w:rsidTr="00D36F88">
        <w:trPr>
          <w:gridAfter w:val="1"/>
          <w:wAfter w:w="8" w:type="dxa"/>
          <w:trHeight w:val="113"/>
        </w:trPr>
        <w:tc>
          <w:tcPr>
            <w:tcW w:w="4251" w:type="dxa"/>
            <w:tcBorders>
              <w:left w:val="nil"/>
              <w:bottom w:val="single" w:sz="6" w:space="0" w:color="auto"/>
              <w:right w:val="nil"/>
            </w:tcBorders>
            <w:vAlign w:val="bottom"/>
          </w:tcPr>
          <w:p w:rsidR="00D322FB" w:rsidRPr="00C1550D" w:rsidRDefault="00D322FB" w:rsidP="00E125AB">
            <w:pPr>
              <w:ind w:left="-108"/>
              <w:rPr>
                <w:rFonts w:ascii="Arial" w:hAnsi="Arial" w:cs="Arial"/>
                <w:b/>
                <w:sz w:val="18"/>
                <w:szCs w:val="18"/>
                <w:lang w:val="tr-TR"/>
              </w:rPr>
            </w:pPr>
          </w:p>
        </w:tc>
        <w:tc>
          <w:tcPr>
            <w:tcW w:w="850" w:type="dxa"/>
            <w:tcBorders>
              <w:left w:val="nil"/>
              <w:bottom w:val="single" w:sz="6" w:space="0" w:color="auto"/>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color w:val="000000"/>
                <w:sz w:val="18"/>
                <w:szCs w:val="18"/>
              </w:rPr>
            </w:pPr>
          </w:p>
        </w:tc>
        <w:tc>
          <w:tcPr>
            <w:tcW w:w="1134" w:type="dxa"/>
            <w:tcBorders>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276" w:type="dxa"/>
            <w:tcBorders>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669" w:type="dxa"/>
            <w:tcBorders>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649" w:type="dxa"/>
            <w:tcBorders>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681" w:type="dxa"/>
            <w:tcBorders>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c>
          <w:tcPr>
            <w:tcW w:w="1464" w:type="dxa"/>
            <w:tcBorders>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rPr>
            </w:pPr>
          </w:p>
        </w:tc>
      </w:tr>
      <w:tr w:rsidR="00D322FB" w:rsidRPr="00D26CDE" w:rsidTr="00D36F88">
        <w:trPr>
          <w:gridAfter w:val="1"/>
          <w:wAfter w:w="8" w:type="dxa"/>
          <w:trHeight w:val="113"/>
        </w:trPr>
        <w:tc>
          <w:tcPr>
            <w:tcW w:w="4251" w:type="dxa"/>
            <w:tcBorders>
              <w:top w:val="single" w:sz="6" w:space="0" w:color="auto"/>
              <w:left w:val="nil"/>
              <w:bottom w:val="single" w:sz="6" w:space="0" w:color="auto"/>
              <w:right w:val="nil"/>
            </w:tcBorders>
            <w:vAlign w:val="bottom"/>
          </w:tcPr>
          <w:p w:rsidR="00D322FB" w:rsidRPr="00C1550D" w:rsidRDefault="00D322FB" w:rsidP="00E125AB">
            <w:pPr>
              <w:ind w:left="-108" w:right="-108"/>
              <w:rPr>
                <w:rFonts w:ascii="Arial" w:eastAsia="Arial Unicode MS" w:hAnsi="Arial" w:cs="Arial"/>
                <w:b/>
                <w:sz w:val="18"/>
                <w:szCs w:val="18"/>
                <w:lang w:val="tr-TR"/>
              </w:rPr>
            </w:pPr>
            <w:r>
              <w:rPr>
                <w:rFonts w:ascii="Arial" w:hAnsi="Arial" w:cs="Arial"/>
                <w:b/>
                <w:sz w:val="18"/>
                <w:szCs w:val="18"/>
                <w:lang w:val="tr-TR"/>
              </w:rPr>
              <w:t>1 Ocak 2015</w:t>
            </w:r>
            <w:r w:rsidRPr="00C1550D">
              <w:rPr>
                <w:rFonts w:ascii="Arial" w:hAnsi="Arial" w:cs="Arial"/>
                <w:b/>
                <w:sz w:val="18"/>
                <w:szCs w:val="18"/>
                <w:lang w:val="tr-TR"/>
              </w:rPr>
              <w:t xml:space="preserve"> tarihi </w:t>
            </w:r>
            <w:r>
              <w:rPr>
                <w:rFonts w:ascii="Arial" w:hAnsi="Arial" w:cs="Arial"/>
                <w:b/>
                <w:sz w:val="18"/>
                <w:szCs w:val="18"/>
                <w:lang w:val="tr-TR"/>
              </w:rPr>
              <w:t>itibariyle</w:t>
            </w:r>
            <w:r w:rsidRPr="00C1550D">
              <w:rPr>
                <w:rFonts w:ascii="Arial" w:hAnsi="Arial" w:cs="Arial"/>
                <w:b/>
                <w:sz w:val="18"/>
                <w:szCs w:val="18"/>
                <w:lang w:val="tr-TR"/>
              </w:rPr>
              <w:t xml:space="preserve"> bakiyeler</w:t>
            </w:r>
          </w:p>
        </w:tc>
        <w:tc>
          <w:tcPr>
            <w:tcW w:w="850" w:type="dxa"/>
            <w:tcBorders>
              <w:top w:val="single" w:sz="6" w:space="0" w:color="auto"/>
              <w:left w:val="nil"/>
              <w:bottom w:val="single" w:sz="6" w:space="0" w:color="auto"/>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single" w:sz="6" w:space="0" w:color="auto"/>
              <w:left w:val="nil"/>
              <w:bottom w:val="single" w:sz="6" w:space="0" w:color="auto"/>
              <w:right w:val="nil"/>
            </w:tcBorders>
          </w:tcPr>
          <w:p w:rsidR="00D322FB" w:rsidRPr="00C1550D" w:rsidRDefault="00D37038" w:rsidP="00D37038">
            <w:pPr>
              <w:autoSpaceDE w:val="0"/>
              <w:autoSpaceDN w:val="0"/>
              <w:adjustRightInd w:val="0"/>
              <w:spacing w:line="230" w:lineRule="auto"/>
              <w:jc w:val="right"/>
              <w:rPr>
                <w:rFonts w:ascii="Arial" w:hAnsi="Arial" w:cs="Arial"/>
                <w:b/>
                <w:color w:val="000000"/>
                <w:sz w:val="18"/>
                <w:szCs w:val="18"/>
                <w:lang w:val="tr-TR"/>
              </w:rPr>
            </w:pPr>
            <w:r>
              <w:rPr>
                <w:rFonts w:ascii="Arial" w:hAnsi="Arial" w:cs="Arial"/>
                <w:b/>
                <w:color w:val="000000"/>
                <w:sz w:val="18"/>
                <w:szCs w:val="18"/>
              </w:rPr>
              <w:t>3</w:t>
            </w:r>
            <w:r w:rsidR="00D322FB" w:rsidRPr="00C1550D">
              <w:rPr>
                <w:rFonts w:ascii="Arial" w:hAnsi="Arial" w:cs="Arial"/>
                <w:b/>
                <w:color w:val="000000"/>
                <w:sz w:val="18"/>
                <w:szCs w:val="18"/>
              </w:rPr>
              <w:t>.</w:t>
            </w:r>
            <w:r>
              <w:rPr>
                <w:rFonts w:ascii="Arial" w:hAnsi="Arial" w:cs="Arial"/>
                <w:b/>
                <w:color w:val="000000"/>
                <w:sz w:val="18"/>
                <w:szCs w:val="18"/>
              </w:rPr>
              <w:t>0</w:t>
            </w:r>
            <w:r w:rsidR="00D322FB" w:rsidRPr="00C1550D">
              <w:rPr>
                <w:rFonts w:ascii="Arial" w:hAnsi="Arial" w:cs="Arial"/>
                <w:b/>
                <w:color w:val="000000"/>
                <w:sz w:val="18"/>
                <w:szCs w:val="18"/>
              </w:rPr>
              <w:t>00.000</w:t>
            </w:r>
          </w:p>
        </w:tc>
        <w:tc>
          <w:tcPr>
            <w:tcW w:w="1276" w:type="dxa"/>
            <w:tcBorders>
              <w:top w:val="single" w:sz="6" w:space="0" w:color="auto"/>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lang w:val="tr-TR"/>
              </w:rPr>
            </w:pPr>
            <w:r w:rsidRPr="00C1550D">
              <w:rPr>
                <w:rFonts w:ascii="Arial" w:hAnsi="Arial" w:cs="Arial"/>
                <w:b/>
                <w:color w:val="000000"/>
                <w:sz w:val="18"/>
                <w:szCs w:val="18"/>
              </w:rPr>
              <w:t>133.130</w:t>
            </w:r>
          </w:p>
        </w:tc>
        <w:tc>
          <w:tcPr>
            <w:tcW w:w="1669" w:type="dxa"/>
            <w:tcBorders>
              <w:top w:val="single" w:sz="6" w:space="0" w:color="auto"/>
              <w:left w:val="nil"/>
              <w:bottom w:val="single" w:sz="6" w:space="0" w:color="auto"/>
              <w:right w:val="nil"/>
            </w:tcBorders>
          </w:tcPr>
          <w:p w:rsidR="00D322FB" w:rsidRPr="00C1550D" w:rsidRDefault="00D322FB" w:rsidP="00E125AB">
            <w:pPr>
              <w:autoSpaceDE w:val="0"/>
              <w:autoSpaceDN w:val="0"/>
              <w:adjustRightInd w:val="0"/>
              <w:spacing w:line="230" w:lineRule="auto"/>
              <w:jc w:val="right"/>
              <w:rPr>
                <w:rFonts w:ascii="Arial" w:hAnsi="Arial" w:cs="Arial"/>
                <w:b/>
                <w:color w:val="000000"/>
                <w:sz w:val="18"/>
                <w:szCs w:val="18"/>
                <w:lang w:val="tr-TR"/>
              </w:rPr>
            </w:pPr>
            <w:r w:rsidRPr="00C1550D">
              <w:rPr>
                <w:rFonts w:ascii="Arial" w:hAnsi="Arial" w:cs="Arial"/>
                <w:b/>
                <w:color w:val="000000"/>
                <w:sz w:val="18"/>
                <w:szCs w:val="18"/>
              </w:rPr>
              <w:t>44.772</w:t>
            </w:r>
          </w:p>
        </w:tc>
        <w:tc>
          <w:tcPr>
            <w:tcW w:w="1649" w:type="dxa"/>
            <w:tcBorders>
              <w:top w:val="single" w:sz="6" w:space="0" w:color="auto"/>
              <w:left w:val="nil"/>
              <w:bottom w:val="single" w:sz="6" w:space="0" w:color="auto"/>
              <w:right w:val="nil"/>
            </w:tcBorders>
          </w:tcPr>
          <w:p w:rsidR="00D322FB" w:rsidRPr="00C1550D" w:rsidRDefault="00D322FB" w:rsidP="00D37038">
            <w:pPr>
              <w:autoSpaceDE w:val="0"/>
              <w:autoSpaceDN w:val="0"/>
              <w:adjustRightInd w:val="0"/>
              <w:spacing w:line="230" w:lineRule="auto"/>
              <w:jc w:val="right"/>
              <w:rPr>
                <w:rFonts w:ascii="Arial" w:hAnsi="Arial" w:cs="Arial"/>
                <w:b/>
                <w:color w:val="000000"/>
                <w:sz w:val="18"/>
                <w:szCs w:val="18"/>
                <w:lang w:val="tr-TR"/>
              </w:rPr>
            </w:pPr>
            <w:r w:rsidRPr="00C1550D">
              <w:rPr>
                <w:rFonts w:ascii="Arial" w:hAnsi="Arial" w:cs="Arial"/>
                <w:b/>
                <w:color w:val="000000"/>
                <w:sz w:val="18"/>
                <w:szCs w:val="18"/>
              </w:rPr>
              <w:t>(</w:t>
            </w:r>
            <w:r w:rsidR="00D37038">
              <w:rPr>
                <w:rFonts w:ascii="Arial" w:hAnsi="Arial" w:cs="Arial"/>
                <w:b/>
                <w:color w:val="000000"/>
                <w:sz w:val="18"/>
                <w:szCs w:val="18"/>
              </w:rPr>
              <w:t>720.224</w:t>
            </w:r>
            <w:r w:rsidRPr="00C1550D">
              <w:rPr>
                <w:rFonts w:ascii="Arial" w:hAnsi="Arial" w:cs="Arial"/>
                <w:b/>
                <w:color w:val="000000"/>
                <w:sz w:val="18"/>
                <w:szCs w:val="18"/>
              </w:rPr>
              <w:t>)</w:t>
            </w:r>
          </w:p>
        </w:tc>
        <w:tc>
          <w:tcPr>
            <w:tcW w:w="1681" w:type="dxa"/>
            <w:tcBorders>
              <w:top w:val="single" w:sz="6" w:space="0" w:color="auto"/>
              <w:left w:val="nil"/>
              <w:bottom w:val="single" w:sz="6" w:space="0" w:color="auto"/>
              <w:right w:val="nil"/>
            </w:tcBorders>
          </w:tcPr>
          <w:p w:rsidR="00D322FB" w:rsidRPr="00C1550D" w:rsidRDefault="00D322FB" w:rsidP="00D37038">
            <w:pPr>
              <w:autoSpaceDE w:val="0"/>
              <w:autoSpaceDN w:val="0"/>
              <w:adjustRightInd w:val="0"/>
              <w:spacing w:line="230" w:lineRule="auto"/>
              <w:jc w:val="right"/>
              <w:rPr>
                <w:rFonts w:ascii="Arial" w:hAnsi="Arial" w:cs="Arial"/>
                <w:b/>
                <w:color w:val="000000"/>
                <w:sz w:val="18"/>
                <w:szCs w:val="18"/>
                <w:lang w:val="tr-TR"/>
              </w:rPr>
            </w:pPr>
            <w:r w:rsidRPr="00C1550D">
              <w:rPr>
                <w:rFonts w:ascii="Arial" w:hAnsi="Arial" w:cs="Arial"/>
                <w:b/>
                <w:color w:val="000000"/>
                <w:sz w:val="18"/>
                <w:szCs w:val="18"/>
              </w:rPr>
              <w:t>(</w:t>
            </w:r>
            <w:r w:rsidR="00D37038">
              <w:rPr>
                <w:rFonts w:ascii="Arial" w:hAnsi="Arial" w:cs="Arial"/>
                <w:b/>
                <w:color w:val="000000"/>
                <w:sz w:val="18"/>
                <w:szCs w:val="18"/>
              </w:rPr>
              <w:t>961.077</w:t>
            </w:r>
            <w:r w:rsidRPr="00C1550D">
              <w:rPr>
                <w:rFonts w:ascii="Arial" w:hAnsi="Arial" w:cs="Arial"/>
                <w:b/>
                <w:color w:val="000000"/>
                <w:sz w:val="18"/>
                <w:szCs w:val="18"/>
              </w:rPr>
              <w:t>)</w:t>
            </w:r>
          </w:p>
        </w:tc>
        <w:tc>
          <w:tcPr>
            <w:tcW w:w="1464" w:type="dxa"/>
            <w:tcBorders>
              <w:top w:val="single" w:sz="6" w:space="0" w:color="auto"/>
              <w:left w:val="nil"/>
              <w:bottom w:val="single" w:sz="6" w:space="0" w:color="auto"/>
              <w:right w:val="nil"/>
            </w:tcBorders>
          </w:tcPr>
          <w:p w:rsidR="00D322FB" w:rsidRPr="00C1550D" w:rsidRDefault="00D322FB" w:rsidP="00D37038">
            <w:pPr>
              <w:autoSpaceDE w:val="0"/>
              <w:autoSpaceDN w:val="0"/>
              <w:adjustRightInd w:val="0"/>
              <w:spacing w:line="230" w:lineRule="auto"/>
              <w:jc w:val="right"/>
              <w:rPr>
                <w:rFonts w:ascii="Arial" w:hAnsi="Arial" w:cs="Arial"/>
                <w:b/>
                <w:color w:val="000000"/>
                <w:sz w:val="18"/>
                <w:szCs w:val="18"/>
                <w:lang w:val="tr-TR"/>
              </w:rPr>
            </w:pPr>
            <w:r w:rsidRPr="00C1550D">
              <w:rPr>
                <w:rFonts w:ascii="Arial" w:hAnsi="Arial" w:cs="Arial"/>
                <w:b/>
                <w:color w:val="000000"/>
                <w:sz w:val="18"/>
                <w:szCs w:val="18"/>
              </w:rPr>
              <w:t>1.</w:t>
            </w:r>
            <w:r w:rsidR="00D37038">
              <w:rPr>
                <w:rFonts w:ascii="Arial" w:hAnsi="Arial" w:cs="Arial"/>
                <w:b/>
                <w:color w:val="000000"/>
                <w:sz w:val="18"/>
                <w:szCs w:val="18"/>
              </w:rPr>
              <w:t>496</w:t>
            </w:r>
            <w:r w:rsidRPr="00C1550D">
              <w:rPr>
                <w:rFonts w:ascii="Arial" w:hAnsi="Arial" w:cs="Arial"/>
                <w:b/>
                <w:color w:val="000000"/>
                <w:sz w:val="18"/>
                <w:szCs w:val="18"/>
              </w:rPr>
              <w:t>.</w:t>
            </w:r>
            <w:r w:rsidR="00D37038">
              <w:rPr>
                <w:rFonts w:ascii="Arial" w:hAnsi="Arial" w:cs="Arial"/>
                <w:b/>
                <w:color w:val="000000"/>
                <w:sz w:val="18"/>
                <w:szCs w:val="18"/>
              </w:rPr>
              <w:t>601</w:t>
            </w:r>
          </w:p>
        </w:tc>
      </w:tr>
      <w:tr w:rsidR="00D322FB" w:rsidRPr="00D26CDE" w:rsidTr="00D36F88">
        <w:trPr>
          <w:gridAfter w:val="1"/>
          <w:wAfter w:w="8" w:type="dxa"/>
          <w:trHeight w:val="113"/>
        </w:trPr>
        <w:tc>
          <w:tcPr>
            <w:tcW w:w="4251" w:type="dxa"/>
            <w:tcBorders>
              <w:top w:val="nil"/>
              <w:left w:val="nil"/>
              <w:bottom w:val="nil"/>
              <w:right w:val="nil"/>
            </w:tcBorders>
            <w:vAlign w:val="bottom"/>
          </w:tcPr>
          <w:p w:rsidR="00D322FB" w:rsidRPr="00C1550D" w:rsidRDefault="00D322FB" w:rsidP="003C359E">
            <w:pPr>
              <w:autoSpaceDE w:val="0"/>
              <w:autoSpaceDN w:val="0"/>
              <w:adjustRightInd w:val="0"/>
              <w:spacing w:line="230" w:lineRule="auto"/>
              <w:ind w:left="-78" w:hanging="30"/>
              <w:rPr>
                <w:rFonts w:ascii="Arial" w:hAnsi="Arial" w:cs="Arial"/>
                <w:color w:val="000000"/>
                <w:sz w:val="18"/>
                <w:szCs w:val="18"/>
              </w:rPr>
            </w:pPr>
          </w:p>
        </w:tc>
        <w:tc>
          <w:tcPr>
            <w:tcW w:w="850" w:type="dxa"/>
            <w:tcBorders>
              <w:top w:val="nil"/>
              <w:left w:val="nil"/>
              <w:bottom w:val="nil"/>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b/>
                <w:color w:val="000000"/>
                <w:sz w:val="18"/>
                <w:szCs w:val="18"/>
              </w:rPr>
            </w:pPr>
          </w:p>
        </w:tc>
        <w:tc>
          <w:tcPr>
            <w:tcW w:w="1276" w:type="dxa"/>
            <w:tcBorders>
              <w:top w:val="nil"/>
              <w:left w:val="nil"/>
              <w:bottom w:val="nil"/>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b/>
                <w:color w:val="000000"/>
                <w:sz w:val="18"/>
                <w:szCs w:val="18"/>
              </w:rPr>
            </w:pPr>
          </w:p>
        </w:tc>
        <w:tc>
          <w:tcPr>
            <w:tcW w:w="1669" w:type="dxa"/>
            <w:tcBorders>
              <w:top w:val="nil"/>
              <w:left w:val="nil"/>
              <w:bottom w:val="nil"/>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b/>
                <w:color w:val="000000"/>
                <w:sz w:val="18"/>
                <w:szCs w:val="18"/>
              </w:rPr>
            </w:pPr>
          </w:p>
        </w:tc>
        <w:tc>
          <w:tcPr>
            <w:tcW w:w="1649" w:type="dxa"/>
            <w:tcBorders>
              <w:top w:val="nil"/>
              <w:left w:val="nil"/>
              <w:bottom w:val="nil"/>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b/>
                <w:color w:val="000000"/>
                <w:sz w:val="18"/>
                <w:szCs w:val="18"/>
              </w:rPr>
            </w:pPr>
          </w:p>
        </w:tc>
        <w:tc>
          <w:tcPr>
            <w:tcW w:w="1681" w:type="dxa"/>
            <w:tcBorders>
              <w:top w:val="nil"/>
              <w:left w:val="nil"/>
              <w:bottom w:val="nil"/>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b/>
                <w:color w:val="000000"/>
                <w:sz w:val="18"/>
                <w:szCs w:val="18"/>
              </w:rPr>
            </w:pPr>
          </w:p>
        </w:tc>
        <w:tc>
          <w:tcPr>
            <w:tcW w:w="1464" w:type="dxa"/>
            <w:tcBorders>
              <w:top w:val="nil"/>
              <w:left w:val="nil"/>
              <w:bottom w:val="nil"/>
              <w:right w:val="nil"/>
            </w:tcBorders>
            <w:vAlign w:val="bottom"/>
          </w:tcPr>
          <w:p w:rsidR="00D322FB" w:rsidRPr="00C1550D" w:rsidRDefault="00D322FB" w:rsidP="003C359E">
            <w:pPr>
              <w:autoSpaceDE w:val="0"/>
              <w:autoSpaceDN w:val="0"/>
              <w:adjustRightInd w:val="0"/>
              <w:spacing w:line="230" w:lineRule="auto"/>
              <w:jc w:val="right"/>
              <w:rPr>
                <w:rFonts w:ascii="Arial" w:hAnsi="Arial" w:cs="Arial"/>
                <w:b/>
                <w:color w:val="000000"/>
                <w:sz w:val="18"/>
                <w:szCs w:val="18"/>
              </w:rPr>
            </w:pPr>
          </w:p>
        </w:tc>
      </w:tr>
      <w:tr w:rsidR="00D37038" w:rsidRPr="00D26CDE" w:rsidTr="00C1550D">
        <w:trPr>
          <w:gridAfter w:val="1"/>
          <w:wAfter w:w="8" w:type="dxa"/>
          <w:trHeight w:val="113"/>
        </w:trPr>
        <w:tc>
          <w:tcPr>
            <w:tcW w:w="4251" w:type="dxa"/>
            <w:tcBorders>
              <w:top w:val="nil"/>
              <w:left w:val="nil"/>
              <w:bottom w:val="nil"/>
              <w:right w:val="nil"/>
            </w:tcBorders>
            <w:vAlign w:val="bottom"/>
          </w:tcPr>
          <w:p w:rsidR="00D37038" w:rsidRPr="00C1550D" w:rsidRDefault="00D37038" w:rsidP="003C359E">
            <w:pPr>
              <w:autoSpaceDE w:val="0"/>
              <w:autoSpaceDN w:val="0"/>
              <w:adjustRightInd w:val="0"/>
              <w:spacing w:line="230" w:lineRule="auto"/>
              <w:ind w:left="-78" w:hanging="30"/>
              <w:rPr>
                <w:rFonts w:ascii="Arial" w:hAnsi="Arial" w:cs="Arial"/>
                <w:color w:val="000000"/>
                <w:sz w:val="18"/>
                <w:szCs w:val="18"/>
                <w:lang w:val="tr-TR"/>
              </w:rPr>
            </w:pPr>
            <w:r w:rsidRPr="00C1550D">
              <w:rPr>
                <w:rFonts w:ascii="Arial" w:hAnsi="Arial" w:cs="Arial"/>
                <w:color w:val="000000"/>
                <w:sz w:val="18"/>
                <w:szCs w:val="18"/>
              </w:rPr>
              <w:t>Transferler</w:t>
            </w:r>
          </w:p>
        </w:tc>
        <w:tc>
          <w:tcPr>
            <w:tcW w:w="850" w:type="dxa"/>
            <w:tcBorders>
              <w:top w:val="nil"/>
              <w:left w:val="nil"/>
              <w:bottom w:val="nil"/>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276"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69"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49" w:type="dxa"/>
            <w:tcBorders>
              <w:top w:val="nil"/>
              <w:left w:val="nil"/>
              <w:bottom w:val="nil"/>
              <w:right w:val="nil"/>
            </w:tcBorders>
            <w:vAlign w:val="bottom"/>
          </w:tcPr>
          <w:p w:rsidR="00D37038" w:rsidRPr="00C1550D" w:rsidRDefault="00D37038" w:rsidP="00224B5D">
            <w:pPr>
              <w:jc w:val="right"/>
              <w:rPr>
                <w:rFonts w:ascii="Arial" w:hAnsi="Arial" w:cs="Arial"/>
                <w:b/>
                <w:bCs/>
                <w:color w:val="000000"/>
                <w:sz w:val="18"/>
                <w:szCs w:val="18"/>
              </w:rPr>
            </w:pPr>
            <w:r w:rsidRPr="00C1550D">
              <w:rPr>
                <w:rFonts w:ascii="Arial" w:hAnsi="Arial" w:cs="Arial"/>
                <w:b/>
                <w:bCs/>
                <w:color w:val="000000"/>
                <w:sz w:val="18"/>
                <w:szCs w:val="18"/>
              </w:rPr>
              <w:t>720.224</w:t>
            </w:r>
          </w:p>
        </w:tc>
        <w:tc>
          <w:tcPr>
            <w:tcW w:w="1681" w:type="dxa"/>
            <w:tcBorders>
              <w:top w:val="nil"/>
              <w:left w:val="nil"/>
              <w:bottom w:val="nil"/>
              <w:right w:val="nil"/>
            </w:tcBorders>
            <w:vAlign w:val="bottom"/>
          </w:tcPr>
          <w:p w:rsidR="00D37038" w:rsidRPr="00C1550D" w:rsidRDefault="00D37038" w:rsidP="00224B5D">
            <w:pPr>
              <w:jc w:val="right"/>
              <w:rPr>
                <w:rFonts w:ascii="Arial" w:hAnsi="Arial" w:cs="Arial"/>
                <w:color w:val="000000"/>
                <w:sz w:val="18"/>
                <w:szCs w:val="18"/>
              </w:rPr>
            </w:pPr>
            <w:r>
              <w:rPr>
                <w:rFonts w:ascii="Arial" w:hAnsi="Arial" w:cs="Arial"/>
                <w:color w:val="000000"/>
                <w:sz w:val="18"/>
                <w:szCs w:val="18"/>
              </w:rPr>
              <w:t>(720.224)</w:t>
            </w:r>
          </w:p>
        </w:tc>
        <w:tc>
          <w:tcPr>
            <w:tcW w:w="1464" w:type="dxa"/>
            <w:tcBorders>
              <w:top w:val="nil"/>
              <w:left w:val="nil"/>
              <w:bottom w:val="nil"/>
              <w:right w:val="nil"/>
            </w:tcBorders>
            <w:vAlign w:val="bottom"/>
          </w:tcPr>
          <w:p w:rsidR="00D37038" w:rsidRPr="00C1550D" w:rsidRDefault="00D37038" w:rsidP="00224B5D">
            <w:pPr>
              <w:jc w:val="right"/>
              <w:rPr>
                <w:rFonts w:ascii="Arial" w:hAnsi="Arial" w:cs="Arial"/>
                <w:b/>
                <w:bCs/>
                <w:color w:val="000000"/>
                <w:sz w:val="18"/>
                <w:szCs w:val="18"/>
              </w:rPr>
            </w:pPr>
            <w:r>
              <w:rPr>
                <w:rFonts w:ascii="Arial" w:hAnsi="Arial" w:cs="Arial"/>
                <w:b/>
                <w:bCs/>
                <w:color w:val="000000"/>
                <w:sz w:val="18"/>
                <w:szCs w:val="18"/>
              </w:rPr>
              <w:t>-</w:t>
            </w:r>
          </w:p>
        </w:tc>
      </w:tr>
      <w:tr w:rsidR="00D37038" w:rsidRPr="00D26CDE" w:rsidTr="00C1550D">
        <w:trPr>
          <w:gridAfter w:val="1"/>
          <w:wAfter w:w="8" w:type="dxa"/>
          <w:trHeight w:val="113"/>
        </w:trPr>
        <w:tc>
          <w:tcPr>
            <w:tcW w:w="4251" w:type="dxa"/>
            <w:tcBorders>
              <w:top w:val="nil"/>
              <w:left w:val="nil"/>
              <w:bottom w:val="nil"/>
              <w:right w:val="nil"/>
            </w:tcBorders>
            <w:vAlign w:val="bottom"/>
          </w:tcPr>
          <w:p w:rsidR="00D37038" w:rsidRPr="00C1550D" w:rsidRDefault="00D37038" w:rsidP="000A514F">
            <w:pPr>
              <w:autoSpaceDE w:val="0"/>
              <w:autoSpaceDN w:val="0"/>
              <w:adjustRightInd w:val="0"/>
              <w:spacing w:line="230" w:lineRule="auto"/>
              <w:ind w:left="-78" w:hanging="30"/>
              <w:rPr>
                <w:rFonts w:ascii="Arial" w:hAnsi="Arial" w:cs="Arial"/>
                <w:color w:val="000000"/>
                <w:sz w:val="18"/>
                <w:szCs w:val="18"/>
                <w:lang w:val="tr-TR"/>
              </w:rPr>
            </w:pPr>
            <w:r w:rsidRPr="00C1550D">
              <w:rPr>
                <w:rFonts w:ascii="Arial" w:hAnsi="Arial" w:cs="Arial"/>
                <w:color w:val="000000"/>
                <w:sz w:val="18"/>
                <w:szCs w:val="18"/>
                <w:lang w:val="tr-TR"/>
              </w:rPr>
              <w:t xml:space="preserve">Nakit sermaye arttırımı </w:t>
            </w:r>
          </w:p>
        </w:tc>
        <w:tc>
          <w:tcPr>
            <w:tcW w:w="850" w:type="dxa"/>
            <w:tcBorders>
              <w:top w:val="nil"/>
              <w:left w:val="nil"/>
              <w:bottom w:val="nil"/>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D37038" w:rsidRPr="00C1550D" w:rsidRDefault="00D37038" w:rsidP="00C1550D">
            <w:pPr>
              <w:jc w:val="right"/>
              <w:rPr>
                <w:rFonts w:ascii="Arial" w:hAnsi="Arial" w:cs="Arial"/>
                <w:b/>
                <w:bCs/>
                <w:color w:val="000000"/>
                <w:sz w:val="18"/>
                <w:szCs w:val="18"/>
              </w:rPr>
            </w:pPr>
            <w:r>
              <w:rPr>
                <w:rFonts w:ascii="Arial" w:hAnsi="Arial" w:cs="Arial"/>
                <w:b/>
                <w:bCs/>
                <w:color w:val="000000"/>
                <w:sz w:val="18"/>
                <w:szCs w:val="18"/>
              </w:rPr>
              <w:t>-</w:t>
            </w:r>
          </w:p>
        </w:tc>
        <w:tc>
          <w:tcPr>
            <w:tcW w:w="1276"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69"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49"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81" w:type="dxa"/>
            <w:tcBorders>
              <w:top w:val="nil"/>
              <w:left w:val="nil"/>
              <w:bottom w:val="nil"/>
              <w:right w:val="nil"/>
            </w:tcBorders>
            <w:vAlign w:val="bottom"/>
          </w:tcPr>
          <w:p w:rsidR="00D37038" w:rsidRPr="00224B5D" w:rsidRDefault="00D37038" w:rsidP="00C1550D">
            <w:pPr>
              <w:jc w:val="right"/>
              <w:rPr>
                <w:rFonts w:ascii="Arial" w:hAnsi="Arial" w:cs="Arial"/>
                <w:b/>
                <w:bCs/>
                <w:color w:val="000000"/>
                <w:sz w:val="18"/>
                <w:szCs w:val="18"/>
              </w:rPr>
            </w:pPr>
            <w:r w:rsidRPr="00224B5D">
              <w:rPr>
                <w:rFonts w:ascii="Arial" w:hAnsi="Arial" w:cs="Arial"/>
                <w:b/>
                <w:bCs/>
                <w:color w:val="000000"/>
                <w:sz w:val="18"/>
                <w:szCs w:val="18"/>
              </w:rPr>
              <w:t>-</w:t>
            </w:r>
          </w:p>
        </w:tc>
        <w:tc>
          <w:tcPr>
            <w:tcW w:w="1464" w:type="dxa"/>
            <w:tcBorders>
              <w:top w:val="nil"/>
              <w:left w:val="nil"/>
              <w:bottom w:val="nil"/>
              <w:right w:val="nil"/>
            </w:tcBorders>
            <w:vAlign w:val="bottom"/>
          </w:tcPr>
          <w:p w:rsidR="00D37038" w:rsidRPr="00224B5D" w:rsidRDefault="00D37038" w:rsidP="00C1550D">
            <w:pPr>
              <w:jc w:val="right"/>
              <w:rPr>
                <w:rFonts w:ascii="Arial" w:hAnsi="Arial" w:cs="Arial"/>
                <w:b/>
                <w:bCs/>
                <w:color w:val="000000"/>
                <w:sz w:val="18"/>
                <w:szCs w:val="18"/>
              </w:rPr>
            </w:pPr>
            <w:r w:rsidRPr="00224B5D">
              <w:rPr>
                <w:rFonts w:ascii="Arial" w:hAnsi="Arial" w:cs="Arial"/>
                <w:b/>
                <w:bCs/>
                <w:color w:val="000000"/>
                <w:sz w:val="18"/>
                <w:szCs w:val="18"/>
              </w:rPr>
              <w:t>-</w:t>
            </w:r>
          </w:p>
        </w:tc>
      </w:tr>
      <w:tr w:rsidR="00D37038" w:rsidRPr="00D26CDE" w:rsidTr="00C1550D">
        <w:trPr>
          <w:gridAfter w:val="1"/>
          <w:wAfter w:w="8" w:type="dxa"/>
          <w:trHeight w:val="113"/>
        </w:trPr>
        <w:tc>
          <w:tcPr>
            <w:tcW w:w="4251" w:type="dxa"/>
            <w:tcBorders>
              <w:top w:val="nil"/>
              <w:left w:val="nil"/>
              <w:bottom w:val="nil"/>
              <w:right w:val="nil"/>
            </w:tcBorders>
            <w:vAlign w:val="bottom"/>
          </w:tcPr>
          <w:p w:rsidR="00D37038" w:rsidRPr="00C1550D" w:rsidRDefault="00D37038" w:rsidP="000A514F">
            <w:pPr>
              <w:autoSpaceDE w:val="0"/>
              <w:autoSpaceDN w:val="0"/>
              <w:adjustRightInd w:val="0"/>
              <w:spacing w:line="230" w:lineRule="auto"/>
              <w:ind w:left="-78" w:hanging="30"/>
              <w:rPr>
                <w:rFonts w:ascii="Arial" w:hAnsi="Arial" w:cs="Arial"/>
                <w:color w:val="000000"/>
                <w:sz w:val="18"/>
                <w:szCs w:val="18"/>
                <w:lang w:val="tr-TR"/>
              </w:rPr>
            </w:pPr>
            <w:r w:rsidRPr="00C1550D">
              <w:rPr>
                <w:rFonts w:ascii="Arial" w:hAnsi="Arial" w:cs="Arial"/>
                <w:color w:val="000000"/>
                <w:sz w:val="18"/>
                <w:szCs w:val="18"/>
              </w:rPr>
              <w:t xml:space="preserve">Sermaye artırımı taahhütleri </w:t>
            </w:r>
          </w:p>
        </w:tc>
        <w:tc>
          <w:tcPr>
            <w:tcW w:w="850" w:type="dxa"/>
            <w:tcBorders>
              <w:top w:val="nil"/>
              <w:left w:val="nil"/>
              <w:bottom w:val="nil"/>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276"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69"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49"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81" w:type="dxa"/>
            <w:tcBorders>
              <w:top w:val="nil"/>
              <w:left w:val="nil"/>
              <w:bottom w:val="nil"/>
              <w:right w:val="nil"/>
            </w:tcBorders>
            <w:vAlign w:val="bottom"/>
          </w:tcPr>
          <w:p w:rsidR="00D37038" w:rsidRPr="00224B5D" w:rsidRDefault="00D37038" w:rsidP="00C1550D">
            <w:pPr>
              <w:jc w:val="right"/>
              <w:rPr>
                <w:rFonts w:ascii="Arial" w:hAnsi="Arial" w:cs="Arial"/>
                <w:color w:val="000000"/>
                <w:sz w:val="18"/>
                <w:szCs w:val="18"/>
              </w:rPr>
            </w:pPr>
            <w:r w:rsidRPr="00224B5D">
              <w:rPr>
                <w:rFonts w:ascii="Arial" w:hAnsi="Arial" w:cs="Arial"/>
                <w:color w:val="000000"/>
                <w:sz w:val="18"/>
                <w:szCs w:val="18"/>
              </w:rPr>
              <w:t>-</w:t>
            </w:r>
          </w:p>
        </w:tc>
        <w:tc>
          <w:tcPr>
            <w:tcW w:w="1464" w:type="dxa"/>
            <w:tcBorders>
              <w:top w:val="nil"/>
              <w:left w:val="nil"/>
              <w:bottom w:val="nil"/>
              <w:right w:val="nil"/>
            </w:tcBorders>
            <w:vAlign w:val="bottom"/>
          </w:tcPr>
          <w:p w:rsidR="00D37038" w:rsidRPr="00224B5D" w:rsidRDefault="00D37038" w:rsidP="00C1550D">
            <w:pPr>
              <w:jc w:val="right"/>
              <w:rPr>
                <w:rFonts w:ascii="Arial" w:hAnsi="Arial" w:cs="Arial"/>
                <w:b/>
                <w:bCs/>
                <w:color w:val="000000"/>
                <w:sz w:val="18"/>
                <w:szCs w:val="18"/>
              </w:rPr>
            </w:pPr>
            <w:r w:rsidRPr="00224B5D">
              <w:rPr>
                <w:rFonts w:ascii="Arial" w:hAnsi="Arial" w:cs="Arial"/>
                <w:b/>
                <w:bCs/>
                <w:color w:val="000000"/>
                <w:sz w:val="18"/>
                <w:szCs w:val="18"/>
              </w:rPr>
              <w:t>-</w:t>
            </w:r>
          </w:p>
        </w:tc>
      </w:tr>
      <w:tr w:rsidR="00D37038" w:rsidRPr="00D26CDE" w:rsidTr="00C1550D">
        <w:trPr>
          <w:gridAfter w:val="1"/>
          <w:wAfter w:w="8" w:type="dxa"/>
          <w:trHeight w:val="113"/>
        </w:trPr>
        <w:tc>
          <w:tcPr>
            <w:tcW w:w="4251" w:type="dxa"/>
            <w:tcBorders>
              <w:top w:val="nil"/>
              <w:left w:val="nil"/>
              <w:bottom w:val="nil"/>
              <w:right w:val="nil"/>
            </w:tcBorders>
            <w:vAlign w:val="bottom"/>
          </w:tcPr>
          <w:p w:rsidR="00D37038" w:rsidRPr="00C1550D" w:rsidRDefault="00D37038" w:rsidP="003C359E">
            <w:pPr>
              <w:autoSpaceDE w:val="0"/>
              <w:autoSpaceDN w:val="0"/>
              <w:adjustRightInd w:val="0"/>
              <w:spacing w:line="230" w:lineRule="auto"/>
              <w:ind w:left="-78" w:hanging="30"/>
              <w:rPr>
                <w:rFonts w:ascii="Arial" w:hAnsi="Arial" w:cs="Arial"/>
                <w:color w:val="000000"/>
                <w:sz w:val="18"/>
                <w:szCs w:val="18"/>
                <w:lang w:val="tr-TR"/>
              </w:rPr>
            </w:pPr>
            <w:r w:rsidRPr="00C1550D">
              <w:rPr>
                <w:rFonts w:ascii="Arial" w:hAnsi="Arial" w:cs="Arial"/>
                <w:color w:val="000000"/>
                <w:sz w:val="18"/>
                <w:szCs w:val="18"/>
              </w:rPr>
              <w:t>Toplam kapsamlı gider</w:t>
            </w:r>
          </w:p>
        </w:tc>
        <w:tc>
          <w:tcPr>
            <w:tcW w:w="850" w:type="dxa"/>
            <w:tcBorders>
              <w:top w:val="nil"/>
              <w:left w:val="nil"/>
              <w:bottom w:val="nil"/>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276"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69" w:type="dxa"/>
            <w:tcBorders>
              <w:top w:val="nil"/>
              <w:left w:val="nil"/>
              <w:bottom w:val="nil"/>
              <w:right w:val="nil"/>
            </w:tcBorders>
            <w:vAlign w:val="bottom"/>
          </w:tcPr>
          <w:p w:rsidR="00D37038" w:rsidRPr="00C1550D" w:rsidRDefault="00D37038"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49" w:type="dxa"/>
            <w:tcBorders>
              <w:top w:val="nil"/>
              <w:left w:val="nil"/>
              <w:bottom w:val="nil"/>
              <w:right w:val="nil"/>
            </w:tcBorders>
            <w:vAlign w:val="bottom"/>
          </w:tcPr>
          <w:p w:rsidR="00D37038" w:rsidRPr="00C1550D" w:rsidRDefault="00D37038" w:rsidP="00D37038">
            <w:pPr>
              <w:jc w:val="right"/>
              <w:rPr>
                <w:rFonts w:ascii="Arial" w:hAnsi="Arial" w:cs="Arial"/>
                <w:b/>
                <w:bCs/>
                <w:color w:val="000000"/>
                <w:sz w:val="18"/>
                <w:szCs w:val="18"/>
              </w:rPr>
            </w:pPr>
            <w:r>
              <w:rPr>
                <w:rFonts w:ascii="Arial" w:hAnsi="Arial" w:cs="Arial"/>
                <w:b/>
                <w:bCs/>
                <w:color w:val="000000"/>
                <w:sz w:val="18"/>
                <w:szCs w:val="18"/>
              </w:rPr>
              <w:t>65.459</w:t>
            </w:r>
          </w:p>
        </w:tc>
        <w:tc>
          <w:tcPr>
            <w:tcW w:w="1681" w:type="dxa"/>
            <w:tcBorders>
              <w:top w:val="nil"/>
              <w:left w:val="nil"/>
              <w:bottom w:val="nil"/>
              <w:right w:val="nil"/>
            </w:tcBorders>
            <w:vAlign w:val="bottom"/>
          </w:tcPr>
          <w:p w:rsidR="00D37038" w:rsidRPr="00C1550D" w:rsidRDefault="00D37038" w:rsidP="00D37038">
            <w:pPr>
              <w:jc w:val="right"/>
              <w:rPr>
                <w:rFonts w:ascii="Arial" w:hAnsi="Arial" w:cs="Arial"/>
                <w:color w:val="000000"/>
                <w:sz w:val="18"/>
                <w:szCs w:val="18"/>
              </w:rPr>
            </w:pPr>
          </w:p>
        </w:tc>
        <w:tc>
          <w:tcPr>
            <w:tcW w:w="1464" w:type="dxa"/>
            <w:tcBorders>
              <w:top w:val="nil"/>
              <w:left w:val="nil"/>
              <w:bottom w:val="nil"/>
              <w:right w:val="nil"/>
            </w:tcBorders>
            <w:vAlign w:val="bottom"/>
          </w:tcPr>
          <w:p w:rsidR="00D37038" w:rsidRPr="00C1550D" w:rsidRDefault="00D37038" w:rsidP="00C1550D">
            <w:pPr>
              <w:jc w:val="right"/>
              <w:rPr>
                <w:rFonts w:ascii="Arial" w:hAnsi="Arial" w:cs="Arial"/>
                <w:b/>
                <w:bCs/>
                <w:color w:val="000000"/>
                <w:sz w:val="18"/>
                <w:szCs w:val="18"/>
              </w:rPr>
            </w:pPr>
            <w:r>
              <w:rPr>
                <w:rFonts w:ascii="Arial" w:hAnsi="Arial" w:cs="Arial"/>
                <w:b/>
                <w:bCs/>
                <w:color w:val="000000"/>
                <w:sz w:val="18"/>
                <w:szCs w:val="18"/>
              </w:rPr>
              <w:t>65.459</w:t>
            </w:r>
          </w:p>
        </w:tc>
      </w:tr>
      <w:tr w:rsidR="00D37038" w:rsidRPr="00D26CDE" w:rsidTr="00D36F88">
        <w:trPr>
          <w:gridAfter w:val="1"/>
          <w:wAfter w:w="8" w:type="dxa"/>
          <w:trHeight w:val="113"/>
        </w:trPr>
        <w:tc>
          <w:tcPr>
            <w:tcW w:w="4251" w:type="dxa"/>
            <w:tcBorders>
              <w:top w:val="nil"/>
              <w:left w:val="nil"/>
              <w:bottom w:val="single" w:sz="6" w:space="0" w:color="auto"/>
              <w:right w:val="nil"/>
            </w:tcBorders>
            <w:vAlign w:val="bottom"/>
          </w:tcPr>
          <w:p w:rsidR="00D37038" w:rsidRPr="00C1550D" w:rsidRDefault="00D37038" w:rsidP="003C359E">
            <w:pPr>
              <w:autoSpaceDE w:val="0"/>
              <w:autoSpaceDN w:val="0"/>
              <w:adjustRightInd w:val="0"/>
              <w:spacing w:line="230" w:lineRule="auto"/>
              <w:ind w:left="-78" w:hanging="30"/>
              <w:rPr>
                <w:rFonts w:ascii="Arial" w:hAnsi="Arial" w:cs="Arial"/>
                <w:color w:val="000000"/>
                <w:sz w:val="18"/>
                <w:szCs w:val="18"/>
              </w:rPr>
            </w:pPr>
          </w:p>
        </w:tc>
        <w:tc>
          <w:tcPr>
            <w:tcW w:w="850" w:type="dxa"/>
            <w:tcBorders>
              <w:top w:val="nil"/>
              <w:left w:val="nil"/>
              <w:bottom w:val="single" w:sz="6" w:space="0" w:color="auto"/>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single" w:sz="6" w:space="0" w:color="auto"/>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b/>
                <w:color w:val="000000"/>
                <w:sz w:val="18"/>
                <w:szCs w:val="18"/>
              </w:rPr>
            </w:pPr>
          </w:p>
        </w:tc>
        <w:tc>
          <w:tcPr>
            <w:tcW w:w="1276" w:type="dxa"/>
            <w:tcBorders>
              <w:top w:val="nil"/>
              <w:left w:val="nil"/>
              <w:bottom w:val="single" w:sz="6" w:space="0" w:color="auto"/>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b/>
                <w:color w:val="000000"/>
                <w:sz w:val="18"/>
                <w:szCs w:val="18"/>
              </w:rPr>
            </w:pPr>
          </w:p>
        </w:tc>
        <w:tc>
          <w:tcPr>
            <w:tcW w:w="1669" w:type="dxa"/>
            <w:tcBorders>
              <w:top w:val="nil"/>
              <w:left w:val="nil"/>
              <w:bottom w:val="single" w:sz="6" w:space="0" w:color="auto"/>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b/>
                <w:color w:val="000000"/>
                <w:sz w:val="18"/>
                <w:szCs w:val="18"/>
              </w:rPr>
            </w:pPr>
          </w:p>
        </w:tc>
        <w:tc>
          <w:tcPr>
            <w:tcW w:w="1649" w:type="dxa"/>
            <w:tcBorders>
              <w:top w:val="nil"/>
              <w:left w:val="nil"/>
              <w:bottom w:val="single" w:sz="6" w:space="0" w:color="auto"/>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b/>
                <w:color w:val="000000"/>
                <w:sz w:val="18"/>
                <w:szCs w:val="18"/>
              </w:rPr>
            </w:pPr>
          </w:p>
        </w:tc>
        <w:tc>
          <w:tcPr>
            <w:tcW w:w="1681" w:type="dxa"/>
            <w:tcBorders>
              <w:top w:val="nil"/>
              <w:left w:val="nil"/>
              <w:bottom w:val="single" w:sz="6" w:space="0" w:color="auto"/>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b/>
                <w:color w:val="000000"/>
                <w:sz w:val="18"/>
                <w:szCs w:val="18"/>
              </w:rPr>
            </w:pPr>
          </w:p>
        </w:tc>
        <w:tc>
          <w:tcPr>
            <w:tcW w:w="1464" w:type="dxa"/>
            <w:tcBorders>
              <w:top w:val="nil"/>
              <w:left w:val="nil"/>
              <w:bottom w:val="single" w:sz="6" w:space="0" w:color="auto"/>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b/>
                <w:color w:val="000000"/>
                <w:sz w:val="18"/>
                <w:szCs w:val="18"/>
              </w:rPr>
            </w:pPr>
          </w:p>
        </w:tc>
      </w:tr>
      <w:tr w:rsidR="00D37038" w:rsidRPr="00D26CDE" w:rsidTr="00C1550D">
        <w:trPr>
          <w:gridAfter w:val="1"/>
          <w:wAfter w:w="8" w:type="dxa"/>
          <w:trHeight w:val="113"/>
        </w:trPr>
        <w:tc>
          <w:tcPr>
            <w:tcW w:w="4251" w:type="dxa"/>
            <w:tcBorders>
              <w:top w:val="single" w:sz="6" w:space="0" w:color="auto"/>
              <w:left w:val="nil"/>
              <w:bottom w:val="double" w:sz="4" w:space="0" w:color="auto"/>
              <w:right w:val="nil"/>
            </w:tcBorders>
            <w:vAlign w:val="bottom"/>
          </w:tcPr>
          <w:p w:rsidR="00D37038" w:rsidRPr="00C1550D" w:rsidRDefault="00D37038" w:rsidP="003C359E">
            <w:pPr>
              <w:autoSpaceDE w:val="0"/>
              <w:autoSpaceDN w:val="0"/>
              <w:adjustRightInd w:val="0"/>
              <w:spacing w:line="230" w:lineRule="auto"/>
              <w:ind w:left="-78" w:hanging="30"/>
              <w:rPr>
                <w:rFonts w:ascii="Arial" w:hAnsi="Arial" w:cs="Arial"/>
                <w:b/>
                <w:color w:val="000000"/>
                <w:sz w:val="18"/>
                <w:szCs w:val="18"/>
                <w:lang w:val="tr-TR"/>
              </w:rPr>
            </w:pPr>
            <w:r>
              <w:rPr>
                <w:rFonts w:ascii="Arial" w:hAnsi="Arial" w:cs="Arial"/>
                <w:b/>
                <w:sz w:val="18"/>
                <w:szCs w:val="18"/>
                <w:lang w:val="tr-TR"/>
              </w:rPr>
              <w:t>31 Mart 2015</w:t>
            </w:r>
            <w:r w:rsidRPr="00C1550D">
              <w:rPr>
                <w:rFonts w:ascii="Arial" w:hAnsi="Arial" w:cs="Arial"/>
                <w:b/>
                <w:sz w:val="18"/>
                <w:szCs w:val="18"/>
                <w:lang w:val="tr-TR"/>
              </w:rPr>
              <w:t xml:space="preserve"> tarihi </w:t>
            </w:r>
            <w:r>
              <w:rPr>
                <w:rFonts w:ascii="Arial" w:hAnsi="Arial" w:cs="Arial"/>
                <w:b/>
                <w:sz w:val="18"/>
                <w:szCs w:val="18"/>
                <w:lang w:val="tr-TR"/>
              </w:rPr>
              <w:t>itibariyle</w:t>
            </w:r>
            <w:r w:rsidRPr="00C1550D">
              <w:rPr>
                <w:rFonts w:ascii="Arial" w:hAnsi="Arial" w:cs="Arial"/>
                <w:b/>
                <w:sz w:val="18"/>
                <w:szCs w:val="18"/>
                <w:lang w:val="tr-TR"/>
              </w:rPr>
              <w:t xml:space="preserve"> bakiyeler</w:t>
            </w:r>
          </w:p>
        </w:tc>
        <w:tc>
          <w:tcPr>
            <w:tcW w:w="850" w:type="dxa"/>
            <w:tcBorders>
              <w:top w:val="single" w:sz="6" w:space="0" w:color="auto"/>
              <w:left w:val="nil"/>
              <w:bottom w:val="double" w:sz="4" w:space="0" w:color="auto"/>
              <w:right w:val="nil"/>
            </w:tcBorders>
            <w:vAlign w:val="bottom"/>
          </w:tcPr>
          <w:p w:rsidR="00D37038" w:rsidRPr="00C1550D" w:rsidRDefault="00D37038" w:rsidP="003C359E">
            <w:pPr>
              <w:autoSpaceDE w:val="0"/>
              <w:autoSpaceDN w:val="0"/>
              <w:adjustRightInd w:val="0"/>
              <w:spacing w:line="230" w:lineRule="auto"/>
              <w:jc w:val="right"/>
              <w:rPr>
                <w:rFonts w:ascii="Arial" w:hAnsi="Arial" w:cs="Arial"/>
                <w:color w:val="000000"/>
                <w:sz w:val="18"/>
                <w:szCs w:val="18"/>
                <w:lang w:val="tr-TR"/>
              </w:rPr>
            </w:pPr>
            <w:r w:rsidRPr="00C1550D">
              <w:rPr>
                <w:rFonts w:ascii="Arial" w:hAnsi="Arial" w:cs="Arial"/>
                <w:color w:val="000000"/>
                <w:sz w:val="18"/>
                <w:szCs w:val="18"/>
              </w:rPr>
              <w:t>15</w:t>
            </w:r>
          </w:p>
        </w:tc>
        <w:tc>
          <w:tcPr>
            <w:tcW w:w="1134" w:type="dxa"/>
            <w:tcBorders>
              <w:top w:val="single" w:sz="6" w:space="0" w:color="auto"/>
              <w:left w:val="nil"/>
              <w:bottom w:val="double" w:sz="4" w:space="0" w:color="auto"/>
              <w:right w:val="nil"/>
            </w:tcBorders>
            <w:vAlign w:val="bottom"/>
          </w:tcPr>
          <w:p w:rsidR="00D37038" w:rsidRPr="00C1550D" w:rsidRDefault="00D37038" w:rsidP="00C1550D">
            <w:pPr>
              <w:jc w:val="right"/>
              <w:rPr>
                <w:rFonts w:ascii="Arial" w:hAnsi="Arial" w:cs="Arial"/>
                <w:b/>
                <w:bCs/>
                <w:color w:val="000000"/>
                <w:sz w:val="18"/>
                <w:szCs w:val="18"/>
              </w:rPr>
            </w:pPr>
            <w:r w:rsidRPr="00C1550D">
              <w:rPr>
                <w:rFonts w:ascii="Arial" w:hAnsi="Arial" w:cs="Arial"/>
                <w:b/>
                <w:bCs/>
                <w:color w:val="000000"/>
                <w:sz w:val="18"/>
                <w:szCs w:val="18"/>
              </w:rPr>
              <w:t>3.000.000</w:t>
            </w:r>
          </w:p>
        </w:tc>
        <w:tc>
          <w:tcPr>
            <w:tcW w:w="1276" w:type="dxa"/>
            <w:tcBorders>
              <w:top w:val="single" w:sz="6" w:space="0" w:color="auto"/>
              <w:left w:val="nil"/>
              <w:bottom w:val="double" w:sz="4" w:space="0" w:color="auto"/>
              <w:right w:val="nil"/>
            </w:tcBorders>
            <w:vAlign w:val="bottom"/>
          </w:tcPr>
          <w:p w:rsidR="00D37038" w:rsidRPr="00C1550D" w:rsidRDefault="00D37038" w:rsidP="00C1550D">
            <w:pPr>
              <w:jc w:val="right"/>
              <w:rPr>
                <w:rFonts w:ascii="Arial" w:hAnsi="Arial" w:cs="Arial"/>
                <w:b/>
                <w:bCs/>
                <w:color w:val="000000"/>
                <w:sz w:val="18"/>
                <w:szCs w:val="18"/>
              </w:rPr>
            </w:pPr>
            <w:r w:rsidRPr="00C1550D">
              <w:rPr>
                <w:rFonts w:ascii="Arial" w:hAnsi="Arial" w:cs="Arial"/>
                <w:b/>
                <w:bCs/>
                <w:color w:val="000000"/>
                <w:sz w:val="18"/>
                <w:szCs w:val="18"/>
              </w:rPr>
              <w:t>133.130</w:t>
            </w:r>
          </w:p>
        </w:tc>
        <w:tc>
          <w:tcPr>
            <w:tcW w:w="1669" w:type="dxa"/>
            <w:tcBorders>
              <w:top w:val="single" w:sz="6" w:space="0" w:color="auto"/>
              <w:left w:val="nil"/>
              <w:bottom w:val="double" w:sz="4" w:space="0" w:color="auto"/>
              <w:right w:val="nil"/>
            </w:tcBorders>
            <w:vAlign w:val="bottom"/>
          </w:tcPr>
          <w:p w:rsidR="00D37038" w:rsidRPr="00C1550D" w:rsidRDefault="00D37038" w:rsidP="00C1550D">
            <w:pPr>
              <w:jc w:val="right"/>
              <w:rPr>
                <w:rFonts w:ascii="Arial" w:hAnsi="Arial" w:cs="Arial"/>
                <w:b/>
                <w:bCs/>
                <w:color w:val="000000"/>
                <w:sz w:val="18"/>
                <w:szCs w:val="18"/>
              </w:rPr>
            </w:pPr>
            <w:r w:rsidRPr="00C1550D">
              <w:rPr>
                <w:rFonts w:ascii="Arial" w:hAnsi="Arial" w:cs="Arial"/>
                <w:b/>
                <w:bCs/>
                <w:color w:val="000000"/>
                <w:sz w:val="18"/>
                <w:szCs w:val="18"/>
              </w:rPr>
              <w:t>44.772</w:t>
            </w:r>
          </w:p>
        </w:tc>
        <w:tc>
          <w:tcPr>
            <w:tcW w:w="1649" w:type="dxa"/>
            <w:tcBorders>
              <w:top w:val="single" w:sz="6" w:space="0" w:color="auto"/>
              <w:left w:val="nil"/>
              <w:bottom w:val="double" w:sz="4" w:space="0" w:color="auto"/>
              <w:right w:val="nil"/>
            </w:tcBorders>
            <w:vAlign w:val="bottom"/>
          </w:tcPr>
          <w:p w:rsidR="00D37038" w:rsidRPr="00C1550D" w:rsidRDefault="00D37038" w:rsidP="00D37038">
            <w:pPr>
              <w:jc w:val="right"/>
              <w:rPr>
                <w:rFonts w:ascii="Arial" w:hAnsi="Arial" w:cs="Arial"/>
                <w:b/>
                <w:bCs/>
                <w:color w:val="000000"/>
                <w:sz w:val="18"/>
                <w:szCs w:val="18"/>
              </w:rPr>
            </w:pPr>
            <w:r>
              <w:rPr>
                <w:rFonts w:ascii="Arial" w:hAnsi="Arial" w:cs="Arial"/>
                <w:b/>
                <w:bCs/>
                <w:color w:val="000000"/>
                <w:sz w:val="18"/>
                <w:szCs w:val="18"/>
              </w:rPr>
              <w:t>65.459</w:t>
            </w:r>
          </w:p>
        </w:tc>
        <w:tc>
          <w:tcPr>
            <w:tcW w:w="1681" w:type="dxa"/>
            <w:tcBorders>
              <w:top w:val="single" w:sz="6" w:space="0" w:color="auto"/>
              <w:left w:val="nil"/>
              <w:bottom w:val="double" w:sz="4" w:space="0" w:color="auto"/>
              <w:right w:val="nil"/>
            </w:tcBorders>
            <w:vAlign w:val="bottom"/>
          </w:tcPr>
          <w:p w:rsidR="00D37038" w:rsidRPr="00C1550D" w:rsidRDefault="00D37038" w:rsidP="00D37038">
            <w:pPr>
              <w:jc w:val="right"/>
              <w:rPr>
                <w:rFonts w:ascii="Arial" w:hAnsi="Arial" w:cs="Arial"/>
                <w:b/>
                <w:bCs/>
                <w:color w:val="000000"/>
                <w:sz w:val="18"/>
                <w:szCs w:val="18"/>
              </w:rPr>
            </w:pPr>
            <w:r>
              <w:rPr>
                <w:rFonts w:ascii="Arial" w:hAnsi="Arial" w:cs="Arial"/>
                <w:b/>
                <w:bCs/>
                <w:color w:val="000000"/>
                <w:sz w:val="18"/>
                <w:szCs w:val="18"/>
              </w:rPr>
              <w:t>(1.681.301</w:t>
            </w:r>
            <w:r w:rsidRPr="00C1550D">
              <w:rPr>
                <w:rFonts w:ascii="Arial" w:hAnsi="Arial" w:cs="Arial"/>
                <w:b/>
                <w:bCs/>
                <w:color w:val="000000"/>
                <w:sz w:val="18"/>
                <w:szCs w:val="18"/>
              </w:rPr>
              <w:t>)</w:t>
            </w:r>
          </w:p>
        </w:tc>
        <w:tc>
          <w:tcPr>
            <w:tcW w:w="1464" w:type="dxa"/>
            <w:tcBorders>
              <w:top w:val="single" w:sz="6" w:space="0" w:color="auto"/>
              <w:left w:val="nil"/>
              <w:bottom w:val="double" w:sz="4" w:space="0" w:color="auto"/>
              <w:right w:val="nil"/>
            </w:tcBorders>
            <w:vAlign w:val="bottom"/>
          </w:tcPr>
          <w:p w:rsidR="00D37038" w:rsidRPr="00C1550D" w:rsidRDefault="00D37038" w:rsidP="00C1550D">
            <w:pPr>
              <w:jc w:val="right"/>
              <w:rPr>
                <w:rFonts w:ascii="Arial" w:hAnsi="Arial" w:cs="Arial"/>
                <w:b/>
                <w:bCs/>
                <w:color w:val="000000"/>
                <w:sz w:val="18"/>
                <w:szCs w:val="18"/>
              </w:rPr>
            </w:pPr>
            <w:r>
              <w:rPr>
                <w:rFonts w:ascii="Arial" w:hAnsi="Arial" w:cs="Arial"/>
                <w:b/>
                <w:bCs/>
                <w:color w:val="000000"/>
                <w:sz w:val="18"/>
                <w:szCs w:val="18"/>
              </w:rPr>
              <w:t>1.562.060</w:t>
            </w:r>
          </w:p>
        </w:tc>
      </w:tr>
    </w:tbl>
    <w:p w:rsidR="00D322FB" w:rsidRPr="001B3FB6" w:rsidRDefault="00D322FB" w:rsidP="003C359E">
      <w:pPr>
        <w:spacing w:line="230" w:lineRule="auto"/>
        <w:rPr>
          <w:rFonts w:ascii="Arial" w:hAnsi="Arial" w:cs="Arial"/>
          <w:sz w:val="16"/>
          <w:szCs w:val="16"/>
          <w:lang w:val="tr-TR"/>
        </w:rPr>
      </w:pPr>
      <w:r w:rsidRPr="001B3FB6">
        <w:rPr>
          <w:rFonts w:ascii="Arial" w:hAnsi="Arial" w:cs="Arial"/>
          <w:sz w:val="16"/>
          <w:szCs w:val="16"/>
          <w:lang w:val="tr-TR"/>
        </w:rPr>
        <w:t xml:space="preserve"> </w:t>
      </w:r>
      <w:r w:rsidRPr="001B3FB6">
        <w:rPr>
          <w:rFonts w:ascii="Arial" w:hAnsi="Arial" w:cs="Arial"/>
          <w:sz w:val="16"/>
          <w:szCs w:val="16"/>
          <w:lang w:val="tr-TR"/>
        </w:rPr>
        <w:tab/>
      </w:r>
    </w:p>
    <w:p w:rsidR="00D322FB" w:rsidRPr="001B3FB6" w:rsidRDefault="00D322FB" w:rsidP="003C359E">
      <w:pPr>
        <w:spacing w:line="230" w:lineRule="auto"/>
        <w:rPr>
          <w:rFonts w:ascii="Arial" w:hAnsi="Arial" w:cs="Arial"/>
          <w:lang w:val="tr-TR"/>
        </w:rPr>
      </w:pPr>
    </w:p>
    <w:p w:rsidR="00D322FB" w:rsidRPr="001B3FB6" w:rsidRDefault="00D322FB" w:rsidP="003C359E">
      <w:pPr>
        <w:spacing w:line="230" w:lineRule="auto"/>
        <w:ind w:left="567" w:hanging="567"/>
        <w:rPr>
          <w:rFonts w:ascii="Arial" w:hAnsi="Arial" w:cs="Arial"/>
          <w:sz w:val="16"/>
          <w:szCs w:val="16"/>
          <w:lang w:val="tr-TR"/>
        </w:rPr>
      </w:pPr>
      <w:r w:rsidRPr="00660A69">
        <w:rPr>
          <w:rFonts w:ascii="Arial" w:hAnsi="Arial" w:cs="Arial"/>
          <w:sz w:val="16"/>
          <w:szCs w:val="16"/>
          <w:lang w:val="tr-TR"/>
        </w:rPr>
        <w:t xml:space="preserve">(*) </w:t>
      </w:r>
      <w:r w:rsidRPr="00660A69">
        <w:rPr>
          <w:rFonts w:ascii="Arial" w:hAnsi="Arial" w:cs="Arial"/>
          <w:sz w:val="16"/>
          <w:szCs w:val="16"/>
          <w:lang w:val="tr-TR"/>
        </w:rPr>
        <w:tab/>
        <w:t>30.09.2013 tarih ve 2013/10 sayılı Yönetim Kurulu kararına istinaden Şirket’in sermayesi 1.700.000 TL’den 3.000.000 TL’ye çıkarılmıştır. Bu kapsamda önceki sermayeyi teşkil eden 1.700.000 TL’nin tamamı pay sahipleri tarafından muvazaadan ari olarak nakden ödenmiştir. Arttırılan 1.300.000 TL pay sahipleri tarafından payları oranında muvazaadan ari olarak nakden ve tamamen ödenmiştir.Sermaye Piyasası Kurulu’nun 24.12.2013 tarihli yazısına istinaden, sermaye artırım talebi; esas sözleşme değişikliğinin görüşüleceği genel kurul toplantısında Gümrük ve Ticaret Bakanlığı tarafından yayınlanan 25.01.2013 tarih ve 548 sayılı Genelge’de yer alan esaslar çerçevesinde, bütün pay sahiplerinin temsil edilmeleri ve sermaye artırımına ilişkin kararın oybirliğiyle alınması şartıyla olumlu karşılanmıştır. Bu sermaye artırımına istinaden Şirket’in hissedarları tarafından 30.09.2013 tarihinde 6102 Türk Ticaret Kanunu’nun hükmü gereğince Şirket adına Yapı ve Kredi Bankası A.Ş tarafından özel bir hesap açılması talep edilmiştir ve banka tarafından 290.225 TL “Sermaye artırımına ilişkin taahhüt edilen sermaye payı” açıklaması ile bloke edilmiştir, Şirket’in finansal tablolarında geçmiş yıllar kar/zararlarına eklenmiştir.</w:t>
      </w:r>
    </w:p>
    <w:p w:rsidR="00D322FB" w:rsidRPr="00727376" w:rsidRDefault="00D322FB" w:rsidP="003C359E">
      <w:pPr>
        <w:spacing w:line="230" w:lineRule="auto"/>
        <w:ind w:left="567" w:hanging="567"/>
        <w:rPr>
          <w:rFonts w:ascii="Arial" w:hAnsi="Arial" w:cs="Arial"/>
          <w:sz w:val="16"/>
          <w:szCs w:val="16"/>
          <w:highlight w:val="yellow"/>
          <w:lang w:val="tr-TR"/>
        </w:rPr>
        <w:sectPr w:rsidR="00D322FB" w:rsidRPr="00727376" w:rsidSect="003C359E">
          <w:headerReference w:type="default" r:id="rId11"/>
          <w:pgSz w:w="16834" w:h="11907" w:orient="landscape" w:code="9"/>
          <w:pgMar w:top="1418" w:right="1418" w:bottom="1418" w:left="1418" w:header="709" w:footer="703" w:gutter="0"/>
          <w:cols w:space="708"/>
          <w:docGrid w:linePitch="272"/>
        </w:sectPr>
      </w:pPr>
    </w:p>
    <w:tbl>
      <w:tblPr>
        <w:tblW w:w="8930" w:type="dxa"/>
        <w:tblInd w:w="108" w:type="dxa"/>
        <w:tblLayout w:type="fixed"/>
        <w:tblLook w:val="0000" w:firstRow="0" w:lastRow="0" w:firstColumn="0" w:lastColumn="0" w:noHBand="0" w:noVBand="0"/>
      </w:tblPr>
      <w:tblGrid>
        <w:gridCol w:w="5245"/>
        <w:gridCol w:w="851"/>
        <w:gridCol w:w="1417"/>
        <w:gridCol w:w="1417"/>
      </w:tblGrid>
      <w:tr w:rsidR="00D322FB" w:rsidRPr="00727376" w:rsidTr="00C713F3">
        <w:trPr>
          <w:trHeight w:val="113"/>
        </w:trPr>
        <w:tc>
          <w:tcPr>
            <w:tcW w:w="5245" w:type="dxa"/>
            <w:tcBorders>
              <w:top w:val="single" w:sz="2" w:space="0" w:color="000000"/>
              <w:bottom w:val="single" w:sz="2" w:space="0" w:color="000000"/>
            </w:tcBorders>
          </w:tcPr>
          <w:p w:rsidR="00D322FB" w:rsidRPr="00842630" w:rsidRDefault="00D322FB" w:rsidP="00C917DA">
            <w:pPr>
              <w:autoSpaceDE w:val="0"/>
              <w:autoSpaceDN w:val="0"/>
              <w:adjustRightInd w:val="0"/>
              <w:ind w:right="-108" w:hanging="108"/>
              <w:rPr>
                <w:rFonts w:ascii="Arial" w:hAnsi="Arial" w:cs="Arial"/>
                <w:color w:val="000000"/>
                <w:sz w:val="18"/>
                <w:szCs w:val="16"/>
                <w:highlight w:val="yellow"/>
                <w:lang w:val="tr-TR"/>
              </w:rPr>
            </w:pPr>
          </w:p>
        </w:tc>
        <w:tc>
          <w:tcPr>
            <w:tcW w:w="851" w:type="dxa"/>
            <w:tcBorders>
              <w:top w:val="single" w:sz="2" w:space="0" w:color="000000"/>
              <w:bottom w:val="single" w:sz="2" w:space="0" w:color="000000"/>
            </w:tcBorders>
            <w:vAlign w:val="bottom"/>
          </w:tcPr>
          <w:p w:rsidR="00D322FB" w:rsidRPr="00842630" w:rsidRDefault="00D322FB" w:rsidP="00C917DA">
            <w:pPr>
              <w:autoSpaceDE w:val="0"/>
              <w:autoSpaceDN w:val="0"/>
              <w:adjustRightInd w:val="0"/>
              <w:jc w:val="right"/>
              <w:rPr>
                <w:rFonts w:ascii="Arial" w:hAnsi="Arial" w:cs="Arial"/>
                <w:b/>
                <w:bCs/>
                <w:color w:val="000000"/>
                <w:sz w:val="18"/>
                <w:szCs w:val="16"/>
                <w:highlight w:val="yellow"/>
                <w:lang w:val="tr-TR"/>
              </w:rPr>
            </w:pPr>
          </w:p>
        </w:tc>
        <w:tc>
          <w:tcPr>
            <w:tcW w:w="1417" w:type="dxa"/>
            <w:tcBorders>
              <w:top w:val="single" w:sz="2" w:space="0" w:color="000000"/>
              <w:bottom w:val="single" w:sz="2" w:space="0" w:color="000000"/>
            </w:tcBorders>
            <w:vAlign w:val="bottom"/>
          </w:tcPr>
          <w:p w:rsidR="00D322FB" w:rsidRPr="00D30A95" w:rsidRDefault="00D322FB" w:rsidP="00C917DA">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 xml:space="preserve">Bağımsız </w:t>
            </w:r>
          </w:p>
          <w:p w:rsidR="00D322FB" w:rsidRPr="00D30A95" w:rsidRDefault="00D322FB" w:rsidP="00C917DA">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denetimden geçm</w:t>
            </w:r>
            <w:r>
              <w:rPr>
                <w:rFonts w:ascii="Arial" w:hAnsi="Arial" w:cs="Arial"/>
                <w:b/>
                <w:bCs/>
                <w:color w:val="000000"/>
                <w:sz w:val="18"/>
                <w:szCs w:val="16"/>
              </w:rPr>
              <w:t>em</w:t>
            </w:r>
            <w:r w:rsidRPr="00D30A95">
              <w:rPr>
                <w:rFonts w:ascii="Arial" w:hAnsi="Arial" w:cs="Arial"/>
                <w:b/>
                <w:bCs/>
                <w:color w:val="000000"/>
                <w:sz w:val="18"/>
                <w:szCs w:val="16"/>
              </w:rPr>
              <w:t>iş</w:t>
            </w:r>
          </w:p>
        </w:tc>
        <w:tc>
          <w:tcPr>
            <w:tcW w:w="1417" w:type="dxa"/>
            <w:tcBorders>
              <w:top w:val="single" w:sz="2" w:space="0" w:color="000000"/>
              <w:bottom w:val="single" w:sz="2" w:space="0" w:color="000000"/>
            </w:tcBorders>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 xml:space="preserve">Bağımsız </w:t>
            </w:r>
          </w:p>
          <w:p w:rsidR="00D322FB" w:rsidRPr="00D30A95" w:rsidRDefault="00D322FB" w:rsidP="00DE18BD">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denetimden geçm</w:t>
            </w:r>
            <w:r>
              <w:rPr>
                <w:rFonts w:ascii="Arial" w:hAnsi="Arial" w:cs="Arial"/>
                <w:b/>
                <w:bCs/>
                <w:color w:val="000000"/>
                <w:sz w:val="18"/>
                <w:szCs w:val="16"/>
              </w:rPr>
              <w:t>em</w:t>
            </w:r>
            <w:r w:rsidRPr="00D30A95">
              <w:rPr>
                <w:rFonts w:ascii="Arial" w:hAnsi="Arial" w:cs="Arial"/>
                <w:b/>
                <w:bCs/>
                <w:color w:val="000000"/>
                <w:sz w:val="18"/>
                <w:szCs w:val="16"/>
              </w:rPr>
              <w:t>iş</w:t>
            </w:r>
          </w:p>
        </w:tc>
      </w:tr>
      <w:tr w:rsidR="00D322FB" w:rsidRPr="00727376" w:rsidTr="00C713F3">
        <w:trPr>
          <w:trHeight w:val="113"/>
        </w:trPr>
        <w:tc>
          <w:tcPr>
            <w:tcW w:w="5245" w:type="dxa"/>
            <w:tcBorders>
              <w:top w:val="single" w:sz="2" w:space="0" w:color="000000"/>
              <w:bottom w:val="single" w:sz="2" w:space="0" w:color="000000"/>
            </w:tcBorders>
          </w:tcPr>
          <w:p w:rsidR="00D322FB" w:rsidRPr="00727376" w:rsidRDefault="00D322FB" w:rsidP="00C917DA">
            <w:pPr>
              <w:autoSpaceDE w:val="0"/>
              <w:autoSpaceDN w:val="0"/>
              <w:adjustRightInd w:val="0"/>
              <w:ind w:right="-108" w:hanging="108"/>
              <w:rPr>
                <w:rFonts w:ascii="Arial" w:hAnsi="Arial" w:cs="Arial"/>
                <w:color w:val="000000"/>
                <w:sz w:val="18"/>
                <w:szCs w:val="16"/>
                <w:highlight w:val="yellow"/>
              </w:rPr>
            </w:pPr>
          </w:p>
        </w:tc>
        <w:tc>
          <w:tcPr>
            <w:tcW w:w="851" w:type="dxa"/>
            <w:tcBorders>
              <w:top w:val="single" w:sz="2" w:space="0" w:color="000000"/>
              <w:bottom w:val="single" w:sz="2" w:space="0" w:color="000000"/>
            </w:tcBorders>
            <w:vAlign w:val="bottom"/>
          </w:tcPr>
          <w:p w:rsidR="00D322FB" w:rsidRPr="00727376" w:rsidRDefault="00D322FB" w:rsidP="00C917DA">
            <w:pPr>
              <w:autoSpaceDE w:val="0"/>
              <w:autoSpaceDN w:val="0"/>
              <w:adjustRightInd w:val="0"/>
              <w:jc w:val="right"/>
              <w:rPr>
                <w:rFonts w:ascii="Arial" w:hAnsi="Arial" w:cs="Arial"/>
                <w:b/>
                <w:bCs/>
                <w:color w:val="000000"/>
                <w:sz w:val="18"/>
                <w:szCs w:val="16"/>
                <w:highlight w:val="yellow"/>
              </w:rPr>
            </w:pPr>
          </w:p>
        </w:tc>
        <w:tc>
          <w:tcPr>
            <w:tcW w:w="1417" w:type="dxa"/>
            <w:tcBorders>
              <w:top w:val="single" w:sz="2" w:space="0" w:color="000000"/>
              <w:bottom w:val="single" w:sz="2" w:space="0" w:color="000000"/>
            </w:tcBorders>
            <w:vAlign w:val="bottom"/>
          </w:tcPr>
          <w:p w:rsidR="00D322FB" w:rsidRPr="00D30A95" w:rsidRDefault="00D322FB" w:rsidP="00E125AB">
            <w:pPr>
              <w:ind w:left="-98"/>
              <w:jc w:val="right"/>
              <w:rPr>
                <w:rFonts w:ascii="Arial" w:hAnsi="Arial" w:cs="Arial"/>
                <w:b/>
                <w:bCs/>
                <w:color w:val="000000"/>
                <w:sz w:val="18"/>
                <w:szCs w:val="16"/>
              </w:rPr>
            </w:pPr>
            <w:r w:rsidRPr="00D30A95">
              <w:rPr>
                <w:rFonts w:ascii="Arial" w:hAnsi="Arial" w:cs="Arial"/>
                <w:b/>
                <w:bCs/>
                <w:color w:val="000000"/>
                <w:sz w:val="18"/>
                <w:szCs w:val="16"/>
              </w:rPr>
              <w:t>Cari dönem</w:t>
            </w:r>
          </w:p>
        </w:tc>
        <w:tc>
          <w:tcPr>
            <w:tcW w:w="1417" w:type="dxa"/>
            <w:tcBorders>
              <w:top w:val="single" w:sz="2" w:space="0" w:color="000000"/>
              <w:bottom w:val="single" w:sz="2" w:space="0" w:color="000000"/>
            </w:tcBorders>
            <w:vAlign w:val="bottom"/>
          </w:tcPr>
          <w:p w:rsidR="00D322FB" w:rsidRPr="00D30A95" w:rsidRDefault="00D322FB" w:rsidP="00DE18BD">
            <w:pPr>
              <w:ind w:left="-98"/>
              <w:jc w:val="right"/>
              <w:rPr>
                <w:rFonts w:ascii="Arial" w:hAnsi="Arial" w:cs="Arial"/>
                <w:b/>
                <w:bCs/>
                <w:color w:val="000000"/>
                <w:sz w:val="18"/>
                <w:szCs w:val="16"/>
              </w:rPr>
            </w:pPr>
            <w:r w:rsidRPr="00D30A95">
              <w:rPr>
                <w:rFonts w:ascii="Arial" w:hAnsi="Arial" w:cs="Arial"/>
                <w:b/>
                <w:bCs/>
                <w:color w:val="000000"/>
                <w:sz w:val="18"/>
                <w:szCs w:val="16"/>
              </w:rPr>
              <w:t>Cari dönem</w:t>
            </w:r>
          </w:p>
        </w:tc>
      </w:tr>
      <w:tr w:rsidR="00D322FB" w:rsidRPr="00727376" w:rsidTr="00C713F3">
        <w:trPr>
          <w:trHeight w:val="113"/>
        </w:trPr>
        <w:tc>
          <w:tcPr>
            <w:tcW w:w="5245" w:type="dxa"/>
            <w:tcBorders>
              <w:top w:val="single" w:sz="2" w:space="0" w:color="000000"/>
              <w:bottom w:val="single" w:sz="2" w:space="0" w:color="000000"/>
            </w:tcBorders>
          </w:tcPr>
          <w:p w:rsidR="00D322FB" w:rsidRPr="00727376" w:rsidRDefault="00D322FB" w:rsidP="00C917DA">
            <w:pPr>
              <w:autoSpaceDE w:val="0"/>
              <w:autoSpaceDN w:val="0"/>
              <w:adjustRightInd w:val="0"/>
              <w:ind w:right="-108" w:hanging="108"/>
              <w:rPr>
                <w:rFonts w:ascii="Arial" w:hAnsi="Arial" w:cs="Arial"/>
                <w:color w:val="000000"/>
                <w:sz w:val="18"/>
                <w:szCs w:val="16"/>
                <w:highlight w:val="yellow"/>
              </w:rPr>
            </w:pPr>
          </w:p>
        </w:tc>
        <w:tc>
          <w:tcPr>
            <w:tcW w:w="851" w:type="dxa"/>
            <w:tcBorders>
              <w:top w:val="single" w:sz="2" w:space="0" w:color="000000"/>
              <w:bottom w:val="single" w:sz="2" w:space="0" w:color="000000"/>
            </w:tcBorders>
            <w:vAlign w:val="bottom"/>
          </w:tcPr>
          <w:p w:rsidR="00D322FB" w:rsidRPr="00727376" w:rsidRDefault="00D322FB" w:rsidP="00C917DA">
            <w:pPr>
              <w:autoSpaceDE w:val="0"/>
              <w:autoSpaceDN w:val="0"/>
              <w:adjustRightInd w:val="0"/>
              <w:jc w:val="right"/>
              <w:rPr>
                <w:rFonts w:ascii="Arial" w:hAnsi="Arial" w:cs="Arial"/>
                <w:b/>
                <w:bCs/>
                <w:color w:val="000000"/>
                <w:sz w:val="18"/>
                <w:szCs w:val="16"/>
                <w:highlight w:val="yellow"/>
              </w:rPr>
            </w:pPr>
            <w:r w:rsidRPr="00F333EC">
              <w:rPr>
                <w:rFonts w:ascii="Arial" w:hAnsi="Arial" w:cs="Arial"/>
                <w:b/>
                <w:bCs/>
                <w:color w:val="000000"/>
                <w:sz w:val="18"/>
                <w:szCs w:val="16"/>
              </w:rPr>
              <w:t>Notlar</w:t>
            </w:r>
          </w:p>
        </w:tc>
        <w:tc>
          <w:tcPr>
            <w:tcW w:w="1417" w:type="dxa"/>
            <w:tcBorders>
              <w:top w:val="single" w:sz="2" w:space="0" w:color="000000"/>
              <w:bottom w:val="single" w:sz="2" w:space="0" w:color="000000"/>
            </w:tcBorders>
            <w:vAlign w:val="bottom"/>
          </w:tcPr>
          <w:p w:rsidR="00D322FB" w:rsidRPr="00D30A95" w:rsidRDefault="00D322FB" w:rsidP="00C917DA">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 xml:space="preserve">1 Ocak- </w:t>
            </w:r>
          </w:p>
          <w:p w:rsidR="00D322FB" w:rsidRPr="00D30A95" w:rsidRDefault="00D322FB" w:rsidP="00C917DA">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 xml:space="preserve">31 </w:t>
            </w:r>
            <w:r>
              <w:rPr>
                <w:rFonts w:ascii="Arial" w:hAnsi="Arial" w:cs="Arial"/>
                <w:b/>
                <w:bCs/>
                <w:color w:val="000000"/>
                <w:sz w:val="18"/>
                <w:szCs w:val="16"/>
              </w:rPr>
              <w:t>Mart 2015</w:t>
            </w:r>
          </w:p>
        </w:tc>
        <w:tc>
          <w:tcPr>
            <w:tcW w:w="1417" w:type="dxa"/>
            <w:tcBorders>
              <w:top w:val="single" w:sz="2" w:space="0" w:color="000000"/>
              <w:bottom w:val="single" w:sz="2" w:space="0" w:color="000000"/>
            </w:tcBorders>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 xml:space="preserve">1 Ocak- </w:t>
            </w:r>
          </w:p>
          <w:p w:rsidR="00D322FB" w:rsidRPr="00D30A95" w:rsidRDefault="00D322FB" w:rsidP="00DE18BD">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 xml:space="preserve">31 </w:t>
            </w:r>
            <w:r>
              <w:rPr>
                <w:rFonts w:ascii="Arial" w:hAnsi="Arial" w:cs="Arial"/>
                <w:b/>
                <w:bCs/>
                <w:color w:val="000000"/>
                <w:sz w:val="18"/>
                <w:szCs w:val="16"/>
              </w:rPr>
              <w:t>Mart</w:t>
            </w:r>
            <w:r w:rsidRPr="00D30A95">
              <w:rPr>
                <w:rFonts w:ascii="Arial" w:hAnsi="Arial" w:cs="Arial"/>
                <w:b/>
                <w:bCs/>
                <w:color w:val="000000"/>
                <w:sz w:val="18"/>
                <w:szCs w:val="16"/>
              </w:rPr>
              <w:t xml:space="preserve"> 2014</w:t>
            </w:r>
          </w:p>
        </w:tc>
      </w:tr>
      <w:tr w:rsidR="00D322FB" w:rsidRPr="00727376" w:rsidTr="00C713F3">
        <w:trPr>
          <w:trHeight w:val="113"/>
        </w:trPr>
        <w:tc>
          <w:tcPr>
            <w:tcW w:w="5245" w:type="dxa"/>
            <w:tcBorders>
              <w:top w:val="single" w:sz="2" w:space="0" w:color="000000"/>
            </w:tcBorders>
          </w:tcPr>
          <w:p w:rsidR="00D322FB" w:rsidRPr="00727376" w:rsidRDefault="00D322FB" w:rsidP="00C917DA">
            <w:pPr>
              <w:autoSpaceDE w:val="0"/>
              <w:autoSpaceDN w:val="0"/>
              <w:adjustRightInd w:val="0"/>
              <w:ind w:right="-108" w:hanging="108"/>
              <w:rPr>
                <w:rFonts w:ascii="Arial" w:hAnsi="Arial" w:cs="Arial"/>
                <w:color w:val="000000"/>
                <w:sz w:val="18"/>
                <w:szCs w:val="16"/>
                <w:highlight w:val="yellow"/>
              </w:rPr>
            </w:pPr>
          </w:p>
        </w:tc>
        <w:tc>
          <w:tcPr>
            <w:tcW w:w="851" w:type="dxa"/>
            <w:tcBorders>
              <w:top w:val="single" w:sz="2" w:space="0" w:color="000000"/>
            </w:tcBorders>
            <w:vAlign w:val="bottom"/>
          </w:tcPr>
          <w:p w:rsidR="00D322FB" w:rsidRPr="00727376" w:rsidRDefault="00D322FB" w:rsidP="00C917DA">
            <w:pPr>
              <w:autoSpaceDE w:val="0"/>
              <w:autoSpaceDN w:val="0"/>
              <w:adjustRightInd w:val="0"/>
              <w:jc w:val="right"/>
              <w:rPr>
                <w:rFonts w:ascii="Arial" w:hAnsi="Arial" w:cs="Arial"/>
                <w:b/>
                <w:bCs/>
                <w:color w:val="000000"/>
                <w:sz w:val="18"/>
                <w:szCs w:val="16"/>
                <w:highlight w:val="yellow"/>
              </w:rPr>
            </w:pPr>
          </w:p>
        </w:tc>
        <w:tc>
          <w:tcPr>
            <w:tcW w:w="1417" w:type="dxa"/>
            <w:tcBorders>
              <w:top w:val="single" w:sz="2" w:space="0" w:color="000000"/>
            </w:tcBorders>
            <w:vAlign w:val="bottom"/>
          </w:tcPr>
          <w:p w:rsidR="00D322FB" w:rsidRPr="00D30A95" w:rsidRDefault="00D322FB" w:rsidP="00C917DA">
            <w:pPr>
              <w:autoSpaceDE w:val="0"/>
              <w:autoSpaceDN w:val="0"/>
              <w:adjustRightInd w:val="0"/>
              <w:jc w:val="right"/>
              <w:rPr>
                <w:rFonts w:ascii="Arial" w:hAnsi="Arial" w:cs="Arial"/>
                <w:b/>
                <w:bCs/>
                <w:color w:val="000000"/>
                <w:sz w:val="18"/>
                <w:szCs w:val="16"/>
              </w:rPr>
            </w:pPr>
          </w:p>
        </w:tc>
        <w:tc>
          <w:tcPr>
            <w:tcW w:w="1417" w:type="dxa"/>
            <w:tcBorders>
              <w:top w:val="single" w:sz="2" w:space="0" w:color="000000"/>
            </w:tcBorders>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842630" w:rsidTr="00C713F3">
        <w:trPr>
          <w:trHeight w:val="113"/>
        </w:trPr>
        <w:tc>
          <w:tcPr>
            <w:tcW w:w="5245" w:type="dxa"/>
          </w:tcPr>
          <w:p w:rsidR="00D322FB" w:rsidRPr="00842630" w:rsidRDefault="00D322FB" w:rsidP="00C917DA">
            <w:pPr>
              <w:autoSpaceDE w:val="0"/>
              <w:autoSpaceDN w:val="0"/>
              <w:adjustRightInd w:val="0"/>
              <w:ind w:right="-108" w:hanging="108"/>
              <w:rPr>
                <w:rFonts w:ascii="Arial" w:hAnsi="Arial" w:cs="Arial"/>
                <w:b/>
                <w:color w:val="000000"/>
                <w:sz w:val="18"/>
                <w:szCs w:val="16"/>
                <w:highlight w:val="yellow"/>
                <w:lang w:val="de-DE"/>
              </w:rPr>
            </w:pPr>
            <w:r w:rsidRPr="00842630">
              <w:rPr>
                <w:rFonts w:ascii="Arial" w:hAnsi="Arial" w:cs="Arial"/>
                <w:b/>
                <w:color w:val="000000"/>
                <w:sz w:val="18"/>
                <w:szCs w:val="16"/>
                <w:lang w:val="de-DE"/>
              </w:rPr>
              <w:t>A. İşletme faaliyetlerinden elde edilen nakit akışları</w:t>
            </w:r>
          </w:p>
        </w:tc>
        <w:tc>
          <w:tcPr>
            <w:tcW w:w="851" w:type="dxa"/>
            <w:vAlign w:val="bottom"/>
          </w:tcPr>
          <w:p w:rsidR="00D322FB" w:rsidRPr="00842630" w:rsidRDefault="00D322FB" w:rsidP="00C917DA">
            <w:pPr>
              <w:autoSpaceDE w:val="0"/>
              <w:autoSpaceDN w:val="0"/>
              <w:adjustRightInd w:val="0"/>
              <w:jc w:val="right"/>
              <w:rPr>
                <w:rFonts w:ascii="Arial" w:hAnsi="Arial" w:cs="Arial"/>
                <w:color w:val="000000"/>
                <w:sz w:val="18"/>
                <w:szCs w:val="16"/>
                <w:highlight w:val="yellow"/>
                <w:lang w:val="de-DE"/>
              </w:rPr>
            </w:pPr>
          </w:p>
        </w:tc>
        <w:tc>
          <w:tcPr>
            <w:tcW w:w="1417" w:type="dxa"/>
            <w:vAlign w:val="bottom"/>
          </w:tcPr>
          <w:p w:rsidR="00D322FB" w:rsidRPr="00842630" w:rsidRDefault="00D322FB" w:rsidP="00C917DA">
            <w:pPr>
              <w:autoSpaceDE w:val="0"/>
              <w:autoSpaceDN w:val="0"/>
              <w:adjustRightInd w:val="0"/>
              <w:jc w:val="right"/>
              <w:rPr>
                <w:rFonts w:ascii="Arial" w:hAnsi="Arial" w:cs="Arial"/>
                <w:b/>
                <w:bCs/>
                <w:color w:val="000000"/>
                <w:sz w:val="18"/>
                <w:szCs w:val="16"/>
                <w:lang w:val="de-DE"/>
              </w:rPr>
            </w:pPr>
          </w:p>
        </w:tc>
        <w:tc>
          <w:tcPr>
            <w:tcW w:w="1417" w:type="dxa"/>
            <w:vAlign w:val="bottom"/>
          </w:tcPr>
          <w:p w:rsidR="00D322FB" w:rsidRPr="00842630" w:rsidRDefault="00D322FB" w:rsidP="00DE18BD">
            <w:pPr>
              <w:autoSpaceDE w:val="0"/>
              <w:autoSpaceDN w:val="0"/>
              <w:adjustRightInd w:val="0"/>
              <w:jc w:val="right"/>
              <w:rPr>
                <w:rFonts w:ascii="Arial" w:hAnsi="Arial" w:cs="Arial"/>
                <w:b/>
                <w:bCs/>
                <w:color w:val="000000"/>
                <w:sz w:val="18"/>
                <w:szCs w:val="16"/>
                <w:lang w:val="de-DE"/>
              </w:rPr>
            </w:pPr>
          </w:p>
        </w:tc>
      </w:tr>
      <w:tr w:rsidR="00D322FB" w:rsidRPr="00842630" w:rsidTr="00C713F3">
        <w:trPr>
          <w:trHeight w:val="113"/>
        </w:trPr>
        <w:tc>
          <w:tcPr>
            <w:tcW w:w="5245" w:type="dxa"/>
          </w:tcPr>
          <w:p w:rsidR="00D322FB" w:rsidRPr="00842630" w:rsidRDefault="00D322FB" w:rsidP="00C917DA">
            <w:pPr>
              <w:autoSpaceDE w:val="0"/>
              <w:autoSpaceDN w:val="0"/>
              <w:adjustRightInd w:val="0"/>
              <w:ind w:right="-108" w:hanging="108"/>
              <w:rPr>
                <w:rFonts w:ascii="Arial" w:hAnsi="Arial" w:cs="Arial"/>
                <w:color w:val="000000"/>
                <w:sz w:val="18"/>
                <w:szCs w:val="16"/>
                <w:highlight w:val="yellow"/>
                <w:lang w:val="de-DE"/>
              </w:rPr>
            </w:pPr>
          </w:p>
        </w:tc>
        <w:tc>
          <w:tcPr>
            <w:tcW w:w="851" w:type="dxa"/>
            <w:vAlign w:val="bottom"/>
          </w:tcPr>
          <w:p w:rsidR="00D322FB" w:rsidRPr="00842630" w:rsidRDefault="00D322FB" w:rsidP="00C917DA">
            <w:pPr>
              <w:autoSpaceDE w:val="0"/>
              <w:autoSpaceDN w:val="0"/>
              <w:adjustRightInd w:val="0"/>
              <w:jc w:val="right"/>
              <w:rPr>
                <w:rFonts w:ascii="Arial" w:hAnsi="Arial" w:cs="Arial"/>
                <w:color w:val="000000"/>
                <w:sz w:val="18"/>
                <w:szCs w:val="16"/>
                <w:highlight w:val="yellow"/>
                <w:lang w:val="de-DE"/>
              </w:rPr>
            </w:pPr>
          </w:p>
        </w:tc>
        <w:tc>
          <w:tcPr>
            <w:tcW w:w="1417" w:type="dxa"/>
            <w:vAlign w:val="bottom"/>
          </w:tcPr>
          <w:p w:rsidR="00D322FB" w:rsidRPr="00842630" w:rsidRDefault="00D322FB" w:rsidP="00C917DA">
            <w:pPr>
              <w:autoSpaceDE w:val="0"/>
              <w:autoSpaceDN w:val="0"/>
              <w:adjustRightInd w:val="0"/>
              <w:jc w:val="right"/>
              <w:rPr>
                <w:rFonts w:ascii="Arial" w:hAnsi="Arial" w:cs="Arial"/>
                <w:b/>
                <w:bCs/>
                <w:color w:val="000000"/>
                <w:sz w:val="18"/>
                <w:szCs w:val="16"/>
                <w:lang w:val="de-DE"/>
              </w:rPr>
            </w:pPr>
          </w:p>
        </w:tc>
        <w:tc>
          <w:tcPr>
            <w:tcW w:w="1417" w:type="dxa"/>
            <w:vAlign w:val="bottom"/>
          </w:tcPr>
          <w:p w:rsidR="00D322FB" w:rsidRPr="00842630" w:rsidRDefault="00D322FB" w:rsidP="00DE18BD">
            <w:pPr>
              <w:autoSpaceDE w:val="0"/>
              <w:autoSpaceDN w:val="0"/>
              <w:adjustRightInd w:val="0"/>
              <w:jc w:val="right"/>
              <w:rPr>
                <w:rFonts w:ascii="Arial" w:hAnsi="Arial" w:cs="Arial"/>
                <w:b/>
                <w:bCs/>
                <w:color w:val="000000"/>
                <w:sz w:val="18"/>
                <w:szCs w:val="16"/>
                <w:lang w:val="de-DE"/>
              </w:rPr>
            </w:pPr>
          </w:p>
        </w:tc>
      </w:tr>
      <w:tr w:rsidR="00D322FB" w:rsidRPr="00727376" w:rsidTr="00C713F3">
        <w:trPr>
          <w:trHeight w:val="113"/>
        </w:trPr>
        <w:tc>
          <w:tcPr>
            <w:tcW w:w="5245" w:type="dxa"/>
          </w:tcPr>
          <w:p w:rsidR="00D322FB" w:rsidRPr="00727376" w:rsidRDefault="00D322FB" w:rsidP="00C917DA">
            <w:pPr>
              <w:autoSpaceDE w:val="0"/>
              <w:autoSpaceDN w:val="0"/>
              <w:adjustRightInd w:val="0"/>
              <w:ind w:right="-108" w:hanging="108"/>
              <w:rPr>
                <w:rFonts w:ascii="Arial" w:hAnsi="Arial" w:cs="Arial"/>
                <w:bCs/>
                <w:color w:val="000000"/>
                <w:sz w:val="18"/>
                <w:szCs w:val="16"/>
                <w:highlight w:val="yellow"/>
              </w:rPr>
            </w:pPr>
            <w:r>
              <w:rPr>
                <w:rFonts w:ascii="Arial" w:hAnsi="Arial" w:cs="Arial"/>
                <w:b/>
                <w:bCs/>
                <w:color w:val="000000"/>
                <w:sz w:val="18"/>
                <w:szCs w:val="16"/>
              </w:rPr>
              <w:t>Net dönem zararı</w:t>
            </w:r>
          </w:p>
        </w:tc>
        <w:tc>
          <w:tcPr>
            <w:tcW w:w="851" w:type="dxa"/>
            <w:vAlign w:val="bottom"/>
          </w:tcPr>
          <w:p w:rsidR="00D322FB" w:rsidRPr="00727376" w:rsidRDefault="00D322FB" w:rsidP="00C917DA">
            <w:pPr>
              <w:autoSpaceDE w:val="0"/>
              <w:autoSpaceDN w:val="0"/>
              <w:adjustRightInd w:val="0"/>
              <w:jc w:val="right"/>
              <w:rPr>
                <w:rFonts w:ascii="Arial" w:hAnsi="Arial" w:cs="Arial"/>
                <w:color w:val="000000"/>
                <w:sz w:val="18"/>
                <w:szCs w:val="16"/>
                <w:highlight w:val="yellow"/>
              </w:rPr>
            </w:pPr>
          </w:p>
        </w:tc>
        <w:tc>
          <w:tcPr>
            <w:tcW w:w="1417" w:type="dxa"/>
            <w:vAlign w:val="bottom"/>
          </w:tcPr>
          <w:p w:rsidR="00D322FB" w:rsidRPr="006A29AE" w:rsidRDefault="00D322FB" w:rsidP="005C4C08">
            <w:pPr>
              <w:jc w:val="right"/>
              <w:rPr>
                <w:rFonts w:ascii="Arial" w:hAnsi="Arial" w:cs="Arial"/>
                <w:b/>
                <w:bCs/>
                <w:color w:val="000000"/>
                <w:sz w:val="18"/>
                <w:szCs w:val="18"/>
              </w:rPr>
            </w:pPr>
            <w:r>
              <w:rPr>
                <w:rFonts w:ascii="Arial" w:hAnsi="Arial" w:cs="Arial"/>
                <w:b/>
                <w:bCs/>
                <w:color w:val="000000"/>
                <w:sz w:val="18"/>
                <w:szCs w:val="18"/>
              </w:rPr>
              <w:t xml:space="preserve">                                </w:t>
            </w:r>
            <w:r w:rsidR="005C4C08">
              <w:rPr>
                <w:rFonts w:ascii="Arial" w:hAnsi="Arial" w:cs="Arial"/>
                <w:b/>
                <w:bCs/>
                <w:color w:val="000000"/>
                <w:sz w:val="18"/>
                <w:szCs w:val="18"/>
              </w:rPr>
              <w:t>65.459</w:t>
            </w:r>
          </w:p>
        </w:tc>
        <w:tc>
          <w:tcPr>
            <w:tcW w:w="1417" w:type="dxa"/>
            <w:vAlign w:val="bottom"/>
          </w:tcPr>
          <w:p w:rsidR="00D322FB" w:rsidRPr="006A29AE" w:rsidRDefault="00AC1CDC" w:rsidP="00DE18BD">
            <w:pPr>
              <w:jc w:val="right"/>
              <w:rPr>
                <w:rFonts w:ascii="Arial" w:hAnsi="Arial" w:cs="Arial"/>
                <w:b/>
                <w:bCs/>
                <w:color w:val="000000"/>
                <w:sz w:val="18"/>
                <w:szCs w:val="18"/>
              </w:rPr>
            </w:pPr>
            <w:r>
              <w:rPr>
                <w:rFonts w:ascii="Arial" w:hAnsi="Arial" w:cs="Arial"/>
                <w:b/>
                <w:bCs/>
                <w:color w:val="000000"/>
                <w:sz w:val="18"/>
                <w:szCs w:val="18"/>
              </w:rPr>
              <w:t>(232.026)</w:t>
            </w:r>
          </w:p>
        </w:tc>
      </w:tr>
      <w:tr w:rsidR="00D322FB" w:rsidRPr="00727376" w:rsidTr="00C713F3">
        <w:trPr>
          <w:trHeight w:val="113"/>
        </w:trPr>
        <w:tc>
          <w:tcPr>
            <w:tcW w:w="5245" w:type="dxa"/>
          </w:tcPr>
          <w:p w:rsidR="00D322FB" w:rsidRPr="00727376" w:rsidRDefault="00D322FB" w:rsidP="00C917DA">
            <w:pPr>
              <w:autoSpaceDE w:val="0"/>
              <w:autoSpaceDN w:val="0"/>
              <w:adjustRightInd w:val="0"/>
              <w:ind w:right="-108" w:hanging="108"/>
              <w:rPr>
                <w:rFonts w:ascii="Arial" w:hAnsi="Arial" w:cs="Arial"/>
                <w:color w:val="000000"/>
                <w:sz w:val="18"/>
                <w:szCs w:val="16"/>
                <w:highlight w:val="yellow"/>
              </w:rPr>
            </w:pPr>
          </w:p>
        </w:tc>
        <w:tc>
          <w:tcPr>
            <w:tcW w:w="851" w:type="dxa"/>
            <w:vAlign w:val="bottom"/>
          </w:tcPr>
          <w:p w:rsidR="00D322FB" w:rsidRPr="00727376" w:rsidRDefault="00D322FB" w:rsidP="00C917DA">
            <w:pPr>
              <w:autoSpaceDE w:val="0"/>
              <w:autoSpaceDN w:val="0"/>
              <w:adjustRightInd w:val="0"/>
              <w:jc w:val="right"/>
              <w:rPr>
                <w:rFonts w:ascii="Arial" w:hAnsi="Arial" w:cs="Arial"/>
                <w:color w:val="000000"/>
                <w:sz w:val="18"/>
                <w:szCs w:val="16"/>
                <w:highlight w:val="yellow"/>
              </w:rPr>
            </w:pPr>
          </w:p>
        </w:tc>
        <w:tc>
          <w:tcPr>
            <w:tcW w:w="1417" w:type="dxa"/>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842630" w:rsidTr="00C713F3">
        <w:trPr>
          <w:trHeight w:val="113"/>
        </w:trPr>
        <w:tc>
          <w:tcPr>
            <w:tcW w:w="5245" w:type="dxa"/>
          </w:tcPr>
          <w:p w:rsidR="00D322FB" w:rsidRPr="00842630" w:rsidRDefault="00D322FB" w:rsidP="00FF1135">
            <w:pPr>
              <w:autoSpaceDE w:val="0"/>
              <w:autoSpaceDN w:val="0"/>
              <w:adjustRightInd w:val="0"/>
              <w:ind w:right="-108" w:hanging="108"/>
              <w:rPr>
                <w:rFonts w:ascii="Arial" w:hAnsi="Arial" w:cs="Arial"/>
                <w:color w:val="000000"/>
                <w:sz w:val="18"/>
                <w:szCs w:val="16"/>
                <w:highlight w:val="yellow"/>
                <w:lang w:val="de-DE"/>
              </w:rPr>
            </w:pPr>
            <w:r w:rsidRPr="00842630">
              <w:rPr>
                <w:rFonts w:ascii="Arial" w:hAnsi="Arial" w:cs="Arial"/>
                <w:b/>
                <w:color w:val="000000"/>
                <w:sz w:val="18"/>
                <w:szCs w:val="16"/>
                <w:lang w:val="de-DE"/>
              </w:rPr>
              <w:t>Net dönem karı mutabakatı ile ilgili düzeltmeler</w:t>
            </w:r>
          </w:p>
        </w:tc>
        <w:tc>
          <w:tcPr>
            <w:tcW w:w="851" w:type="dxa"/>
            <w:vAlign w:val="bottom"/>
          </w:tcPr>
          <w:p w:rsidR="00D322FB" w:rsidRPr="00842630" w:rsidRDefault="00D322FB" w:rsidP="00C917DA">
            <w:pPr>
              <w:autoSpaceDE w:val="0"/>
              <w:autoSpaceDN w:val="0"/>
              <w:adjustRightInd w:val="0"/>
              <w:jc w:val="right"/>
              <w:rPr>
                <w:rFonts w:ascii="Arial" w:hAnsi="Arial" w:cs="Arial"/>
                <w:color w:val="000000"/>
                <w:sz w:val="18"/>
                <w:szCs w:val="16"/>
                <w:highlight w:val="yellow"/>
                <w:lang w:val="de-DE"/>
              </w:rPr>
            </w:pPr>
          </w:p>
        </w:tc>
        <w:tc>
          <w:tcPr>
            <w:tcW w:w="1417" w:type="dxa"/>
            <w:vAlign w:val="bottom"/>
          </w:tcPr>
          <w:p w:rsidR="00D322FB" w:rsidRPr="00842630" w:rsidRDefault="00D322FB" w:rsidP="00E125AB">
            <w:pPr>
              <w:autoSpaceDE w:val="0"/>
              <w:autoSpaceDN w:val="0"/>
              <w:adjustRightInd w:val="0"/>
              <w:jc w:val="right"/>
              <w:rPr>
                <w:rFonts w:ascii="Arial" w:hAnsi="Arial" w:cs="Arial"/>
                <w:b/>
                <w:bCs/>
                <w:color w:val="000000"/>
                <w:sz w:val="18"/>
                <w:szCs w:val="16"/>
                <w:lang w:val="de-DE"/>
              </w:rPr>
            </w:pPr>
          </w:p>
        </w:tc>
        <w:tc>
          <w:tcPr>
            <w:tcW w:w="1417" w:type="dxa"/>
            <w:vAlign w:val="bottom"/>
          </w:tcPr>
          <w:p w:rsidR="00D322FB" w:rsidRPr="00842630" w:rsidRDefault="00D322FB" w:rsidP="00DE18BD">
            <w:pPr>
              <w:autoSpaceDE w:val="0"/>
              <w:autoSpaceDN w:val="0"/>
              <w:adjustRightInd w:val="0"/>
              <w:jc w:val="right"/>
              <w:rPr>
                <w:rFonts w:ascii="Arial" w:hAnsi="Arial" w:cs="Arial"/>
                <w:b/>
                <w:bCs/>
                <w:color w:val="000000"/>
                <w:sz w:val="18"/>
                <w:szCs w:val="16"/>
                <w:lang w:val="de-DE"/>
              </w:rPr>
            </w:pPr>
          </w:p>
        </w:tc>
      </w:tr>
      <w:tr w:rsidR="00D322FB" w:rsidRPr="00842630" w:rsidTr="00C713F3">
        <w:trPr>
          <w:trHeight w:val="113"/>
        </w:trPr>
        <w:tc>
          <w:tcPr>
            <w:tcW w:w="5245" w:type="dxa"/>
          </w:tcPr>
          <w:p w:rsidR="00D322FB" w:rsidRPr="00842630" w:rsidRDefault="00D322FB" w:rsidP="00C917DA">
            <w:pPr>
              <w:autoSpaceDE w:val="0"/>
              <w:autoSpaceDN w:val="0"/>
              <w:adjustRightInd w:val="0"/>
              <w:ind w:right="-108" w:hanging="108"/>
              <w:rPr>
                <w:rFonts w:ascii="Arial" w:hAnsi="Arial" w:cs="Arial"/>
                <w:color w:val="000000"/>
                <w:sz w:val="18"/>
                <w:szCs w:val="16"/>
                <w:highlight w:val="yellow"/>
                <w:lang w:val="de-DE"/>
              </w:rPr>
            </w:pPr>
          </w:p>
        </w:tc>
        <w:tc>
          <w:tcPr>
            <w:tcW w:w="851" w:type="dxa"/>
            <w:vAlign w:val="bottom"/>
          </w:tcPr>
          <w:p w:rsidR="00D322FB" w:rsidRPr="00842630" w:rsidRDefault="00D322FB" w:rsidP="00C917DA">
            <w:pPr>
              <w:autoSpaceDE w:val="0"/>
              <w:autoSpaceDN w:val="0"/>
              <w:adjustRightInd w:val="0"/>
              <w:jc w:val="right"/>
              <w:rPr>
                <w:rFonts w:ascii="Arial" w:hAnsi="Arial" w:cs="Arial"/>
                <w:color w:val="000000"/>
                <w:sz w:val="18"/>
                <w:szCs w:val="16"/>
                <w:highlight w:val="yellow"/>
                <w:lang w:val="de-DE"/>
              </w:rPr>
            </w:pPr>
          </w:p>
        </w:tc>
        <w:tc>
          <w:tcPr>
            <w:tcW w:w="1417" w:type="dxa"/>
            <w:vAlign w:val="bottom"/>
          </w:tcPr>
          <w:p w:rsidR="00D322FB" w:rsidRPr="00842630" w:rsidRDefault="00D322FB" w:rsidP="00E125AB">
            <w:pPr>
              <w:autoSpaceDE w:val="0"/>
              <w:autoSpaceDN w:val="0"/>
              <w:adjustRightInd w:val="0"/>
              <w:jc w:val="right"/>
              <w:rPr>
                <w:rFonts w:ascii="Arial" w:hAnsi="Arial" w:cs="Arial"/>
                <w:b/>
                <w:bCs/>
                <w:color w:val="000000"/>
                <w:sz w:val="18"/>
                <w:szCs w:val="16"/>
                <w:lang w:val="de-DE"/>
              </w:rPr>
            </w:pPr>
          </w:p>
        </w:tc>
        <w:tc>
          <w:tcPr>
            <w:tcW w:w="1417" w:type="dxa"/>
            <w:vAlign w:val="bottom"/>
          </w:tcPr>
          <w:p w:rsidR="00D322FB" w:rsidRPr="00842630" w:rsidRDefault="00D322FB" w:rsidP="00DE18BD">
            <w:pPr>
              <w:autoSpaceDE w:val="0"/>
              <w:autoSpaceDN w:val="0"/>
              <w:adjustRightInd w:val="0"/>
              <w:jc w:val="right"/>
              <w:rPr>
                <w:rFonts w:ascii="Arial" w:hAnsi="Arial" w:cs="Arial"/>
                <w:b/>
                <w:bCs/>
                <w:color w:val="000000"/>
                <w:sz w:val="18"/>
                <w:szCs w:val="16"/>
                <w:lang w:val="de-DE"/>
              </w:rPr>
            </w:pPr>
          </w:p>
        </w:tc>
      </w:tr>
      <w:tr w:rsidR="00D322FB" w:rsidRPr="00727376" w:rsidTr="00C713F3">
        <w:trPr>
          <w:trHeight w:val="113"/>
        </w:trPr>
        <w:tc>
          <w:tcPr>
            <w:tcW w:w="5245" w:type="dxa"/>
            <w:vAlign w:val="bottom"/>
          </w:tcPr>
          <w:p w:rsidR="00D322FB" w:rsidRPr="00DD53BB" w:rsidRDefault="00D322FB" w:rsidP="00E125AB">
            <w:pPr>
              <w:ind w:left="318" w:hanging="426"/>
              <w:rPr>
                <w:rFonts w:ascii="Arial" w:hAnsi="Arial" w:cs="Arial"/>
                <w:color w:val="000000"/>
                <w:sz w:val="18"/>
                <w:szCs w:val="16"/>
              </w:rPr>
            </w:pPr>
            <w:r w:rsidRPr="00895F03">
              <w:rPr>
                <w:rFonts w:ascii="Arial" w:hAnsi="Arial" w:cs="Arial"/>
                <w:color w:val="000000"/>
                <w:sz w:val="18"/>
                <w:szCs w:val="16"/>
              </w:rPr>
              <w:t>Amortisman ve itfa payları</w:t>
            </w:r>
            <w:r>
              <w:rPr>
                <w:rFonts w:ascii="Arial" w:hAnsi="Arial" w:cs="Arial"/>
                <w:color w:val="000000"/>
                <w:sz w:val="18"/>
                <w:szCs w:val="16"/>
              </w:rPr>
              <w:t xml:space="preserve"> ile ilgili düzeltmeler</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10,11</w:t>
            </w:r>
          </w:p>
        </w:tc>
        <w:tc>
          <w:tcPr>
            <w:tcW w:w="1417" w:type="dxa"/>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5.199</w:t>
            </w:r>
          </w:p>
        </w:tc>
        <w:tc>
          <w:tcPr>
            <w:tcW w:w="1417" w:type="dxa"/>
            <w:vAlign w:val="bottom"/>
          </w:tcPr>
          <w:p w:rsidR="00D322FB" w:rsidRDefault="00AC1CDC" w:rsidP="00AC1CDC">
            <w:pPr>
              <w:jc w:val="right"/>
              <w:rPr>
                <w:rFonts w:ascii="Arial" w:hAnsi="Arial" w:cs="Arial"/>
                <w:b/>
                <w:bCs/>
                <w:color w:val="000000"/>
                <w:sz w:val="18"/>
                <w:szCs w:val="18"/>
              </w:rPr>
            </w:pPr>
            <w:r>
              <w:rPr>
                <w:rFonts w:ascii="Arial" w:hAnsi="Arial" w:cs="Arial"/>
                <w:b/>
                <w:bCs/>
                <w:color w:val="000000"/>
                <w:sz w:val="18"/>
                <w:szCs w:val="18"/>
              </w:rPr>
              <w:t>6.180</w:t>
            </w:r>
          </w:p>
        </w:tc>
      </w:tr>
      <w:tr w:rsidR="00D322FB" w:rsidRPr="00727376" w:rsidTr="00C713F3">
        <w:trPr>
          <w:trHeight w:val="113"/>
        </w:trPr>
        <w:tc>
          <w:tcPr>
            <w:tcW w:w="5245" w:type="dxa"/>
            <w:vAlign w:val="bottom"/>
          </w:tcPr>
          <w:p w:rsidR="00D322FB" w:rsidRPr="00DD53BB" w:rsidRDefault="00D322FB" w:rsidP="00E125AB">
            <w:pPr>
              <w:ind w:left="318" w:hanging="426"/>
              <w:rPr>
                <w:rFonts w:ascii="Arial" w:hAnsi="Arial" w:cs="Arial"/>
                <w:color w:val="000000"/>
                <w:sz w:val="18"/>
                <w:szCs w:val="16"/>
              </w:rPr>
            </w:pPr>
            <w:r>
              <w:rPr>
                <w:rFonts w:ascii="Arial" w:hAnsi="Arial" w:cs="Arial"/>
                <w:color w:val="000000"/>
                <w:sz w:val="18"/>
                <w:szCs w:val="16"/>
              </w:rPr>
              <w:t>Kıdem tazminatındaki artış (azalış) ile ilgili düzeltmeler</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13</w:t>
            </w:r>
          </w:p>
        </w:tc>
        <w:tc>
          <w:tcPr>
            <w:tcW w:w="1417" w:type="dxa"/>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10</w:t>
            </w:r>
            <w:r w:rsidR="00D322FB">
              <w:rPr>
                <w:rFonts w:ascii="Arial" w:hAnsi="Arial" w:cs="Arial"/>
                <w:b/>
                <w:bCs/>
                <w:color w:val="000000"/>
                <w:sz w:val="18"/>
                <w:szCs w:val="18"/>
              </w:rPr>
              <w:t>.</w:t>
            </w:r>
            <w:r>
              <w:rPr>
                <w:rFonts w:ascii="Arial" w:hAnsi="Arial" w:cs="Arial"/>
                <w:b/>
                <w:bCs/>
                <w:color w:val="000000"/>
                <w:sz w:val="18"/>
                <w:szCs w:val="18"/>
              </w:rPr>
              <w:t>675</w:t>
            </w:r>
          </w:p>
        </w:tc>
        <w:tc>
          <w:tcPr>
            <w:tcW w:w="1417" w:type="dxa"/>
            <w:vAlign w:val="bottom"/>
          </w:tcPr>
          <w:p w:rsidR="00D322FB" w:rsidRDefault="00AC1CDC" w:rsidP="00AC1CDC">
            <w:pPr>
              <w:jc w:val="right"/>
              <w:rPr>
                <w:rFonts w:ascii="Arial" w:hAnsi="Arial" w:cs="Arial"/>
                <w:b/>
                <w:bCs/>
                <w:color w:val="000000"/>
                <w:sz w:val="18"/>
                <w:szCs w:val="18"/>
              </w:rPr>
            </w:pPr>
            <w:r>
              <w:rPr>
                <w:rFonts w:ascii="Arial" w:hAnsi="Arial" w:cs="Arial"/>
                <w:b/>
                <w:bCs/>
                <w:color w:val="000000"/>
                <w:sz w:val="18"/>
                <w:szCs w:val="18"/>
              </w:rPr>
              <w:t>13.299</w:t>
            </w:r>
          </w:p>
        </w:tc>
      </w:tr>
      <w:tr w:rsidR="00D322FB" w:rsidRPr="00727376" w:rsidTr="00C713F3">
        <w:trPr>
          <w:trHeight w:val="113"/>
        </w:trPr>
        <w:tc>
          <w:tcPr>
            <w:tcW w:w="5245" w:type="dxa"/>
            <w:vAlign w:val="bottom"/>
          </w:tcPr>
          <w:p w:rsidR="00D322FB" w:rsidRPr="00DD53BB" w:rsidRDefault="00D322FB" w:rsidP="00E125AB">
            <w:pPr>
              <w:ind w:left="318" w:hanging="426"/>
              <w:rPr>
                <w:rFonts w:ascii="Arial" w:hAnsi="Arial" w:cs="Arial"/>
                <w:color w:val="000000"/>
                <w:sz w:val="18"/>
                <w:szCs w:val="16"/>
              </w:rPr>
            </w:pPr>
            <w:r w:rsidRPr="00895F03">
              <w:rPr>
                <w:rFonts w:ascii="Arial" w:hAnsi="Arial" w:cs="Arial"/>
                <w:color w:val="000000"/>
                <w:sz w:val="18"/>
                <w:szCs w:val="16"/>
              </w:rPr>
              <w:t>Kullanılmamış izin karşılığı</w:t>
            </w:r>
            <w:r>
              <w:rPr>
                <w:rFonts w:ascii="Arial" w:hAnsi="Arial" w:cs="Arial"/>
                <w:color w:val="000000"/>
                <w:sz w:val="18"/>
                <w:szCs w:val="16"/>
              </w:rPr>
              <w:t>ndaki artış (azalış) ile ilgili düzeltmeler</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13</w:t>
            </w:r>
          </w:p>
        </w:tc>
        <w:tc>
          <w:tcPr>
            <w:tcW w:w="1417" w:type="dxa"/>
            <w:vAlign w:val="bottom"/>
          </w:tcPr>
          <w:p w:rsidR="00D322FB" w:rsidRDefault="005C4C08" w:rsidP="005C4C08">
            <w:pPr>
              <w:jc w:val="right"/>
              <w:rPr>
                <w:rFonts w:ascii="Arial" w:hAnsi="Arial" w:cs="Arial"/>
                <w:b/>
                <w:bCs/>
                <w:color w:val="000000"/>
                <w:sz w:val="18"/>
                <w:szCs w:val="18"/>
              </w:rPr>
            </w:pPr>
            <w:r>
              <w:rPr>
                <w:rFonts w:ascii="Arial" w:hAnsi="Arial" w:cs="Arial"/>
                <w:b/>
                <w:bCs/>
                <w:color w:val="000000"/>
                <w:sz w:val="18"/>
                <w:szCs w:val="18"/>
              </w:rPr>
              <w:t>22.666</w:t>
            </w:r>
          </w:p>
        </w:tc>
        <w:tc>
          <w:tcPr>
            <w:tcW w:w="1417" w:type="dxa"/>
            <w:vAlign w:val="bottom"/>
          </w:tcPr>
          <w:p w:rsidR="00D322FB" w:rsidRDefault="00AC1CDC" w:rsidP="00AC1CDC">
            <w:pPr>
              <w:jc w:val="right"/>
              <w:rPr>
                <w:rFonts w:ascii="Arial" w:hAnsi="Arial" w:cs="Arial"/>
                <w:b/>
                <w:bCs/>
                <w:color w:val="000000"/>
                <w:sz w:val="18"/>
                <w:szCs w:val="18"/>
              </w:rPr>
            </w:pPr>
            <w:r>
              <w:rPr>
                <w:rFonts w:ascii="Arial" w:hAnsi="Arial" w:cs="Arial"/>
                <w:b/>
                <w:bCs/>
                <w:color w:val="000000"/>
                <w:sz w:val="18"/>
                <w:szCs w:val="18"/>
              </w:rPr>
              <w:t>2.785</w:t>
            </w:r>
          </w:p>
        </w:tc>
      </w:tr>
      <w:tr w:rsidR="00D322FB" w:rsidRPr="00727376" w:rsidTr="00C713F3">
        <w:trPr>
          <w:trHeight w:val="113"/>
        </w:trPr>
        <w:tc>
          <w:tcPr>
            <w:tcW w:w="5245" w:type="dxa"/>
            <w:vAlign w:val="bottom"/>
          </w:tcPr>
          <w:p w:rsidR="00D322FB" w:rsidRPr="00842630" w:rsidRDefault="00D322FB" w:rsidP="00E125AB">
            <w:pPr>
              <w:ind w:left="318" w:hanging="426"/>
              <w:rPr>
                <w:rFonts w:ascii="Arial" w:hAnsi="Arial" w:cs="Arial"/>
                <w:color w:val="000000"/>
                <w:sz w:val="18"/>
                <w:szCs w:val="16"/>
                <w:lang w:val="de-DE"/>
              </w:rPr>
            </w:pPr>
            <w:r w:rsidRPr="00842630">
              <w:rPr>
                <w:rFonts w:ascii="Arial" w:hAnsi="Arial" w:cs="Arial"/>
                <w:color w:val="000000"/>
                <w:sz w:val="18"/>
                <w:szCs w:val="16"/>
                <w:lang w:val="de-DE"/>
              </w:rPr>
              <w:t>Faiz gelirleri ile ilgili düzeltmeler</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4</w:t>
            </w:r>
          </w:p>
        </w:tc>
        <w:tc>
          <w:tcPr>
            <w:tcW w:w="1417" w:type="dxa"/>
            <w:vAlign w:val="bottom"/>
          </w:tcPr>
          <w:p w:rsidR="00D322FB" w:rsidRDefault="00145A33" w:rsidP="00145A33">
            <w:pPr>
              <w:rPr>
                <w:rFonts w:ascii="Arial" w:hAnsi="Arial" w:cs="Arial"/>
                <w:b/>
                <w:bCs/>
                <w:color w:val="000000"/>
                <w:sz w:val="18"/>
                <w:szCs w:val="18"/>
              </w:rPr>
            </w:pPr>
            <w:r>
              <w:rPr>
                <w:rFonts w:ascii="Arial" w:hAnsi="Arial" w:cs="Arial"/>
                <w:b/>
                <w:bCs/>
                <w:color w:val="000000"/>
                <w:sz w:val="18"/>
                <w:szCs w:val="18"/>
              </w:rPr>
              <w:t xml:space="preserve">               (303)</w:t>
            </w:r>
          </w:p>
        </w:tc>
        <w:tc>
          <w:tcPr>
            <w:tcW w:w="1417" w:type="dxa"/>
            <w:vAlign w:val="bottom"/>
          </w:tcPr>
          <w:p w:rsidR="00D322FB" w:rsidRDefault="00AC1CDC" w:rsidP="00AC1CDC">
            <w:pPr>
              <w:jc w:val="right"/>
              <w:rPr>
                <w:rFonts w:ascii="Arial" w:hAnsi="Arial" w:cs="Arial"/>
                <w:b/>
                <w:bCs/>
                <w:color w:val="000000"/>
                <w:sz w:val="18"/>
                <w:szCs w:val="18"/>
              </w:rPr>
            </w:pPr>
            <w:r>
              <w:rPr>
                <w:rFonts w:ascii="Arial" w:hAnsi="Arial" w:cs="Arial"/>
                <w:b/>
                <w:bCs/>
                <w:color w:val="000000"/>
                <w:sz w:val="18"/>
                <w:szCs w:val="18"/>
              </w:rPr>
              <w:t>(2.504)</w:t>
            </w:r>
          </w:p>
        </w:tc>
      </w:tr>
      <w:tr w:rsidR="00D322FB" w:rsidRPr="00727376" w:rsidTr="00C713F3">
        <w:trPr>
          <w:trHeight w:val="113"/>
        </w:trPr>
        <w:tc>
          <w:tcPr>
            <w:tcW w:w="5245" w:type="dxa"/>
          </w:tcPr>
          <w:p w:rsidR="00D322FB" w:rsidRPr="00842630" w:rsidRDefault="00D322FB" w:rsidP="00C917DA">
            <w:pPr>
              <w:autoSpaceDE w:val="0"/>
              <w:autoSpaceDN w:val="0"/>
              <w:adjustRightInd w:val="0"/>
              <w:ind w:right="-108" w:hanging="108"/>
              <w:rPr>
                <w:rFonts w:ascii="Arial" w:hAnsi="Arial" w:cs="Arial"/>
                <w:color w:val="000000"/>
                <w:sz w:val="18"/>
                <w:szCs w:val="16"/>
                <w:lang w:val="de-DE"/>
              </w:rPr>
            </w:pPr>
            <w:r w:rsidRPr="00842630">
              <w:rPr>
                <w:rFonts w:ascii="Arial" w:hAnsi="Arial" w:cs="Arial"/>
                <w:color w:val="000000"/>
                <w:sz w:val="18"/>
                <w:szCs w:val="16"/>
                <w:lang w:val="de-DE"/>
              </w:rPr>
              <w:t>Vergi geliri/ (gideri) ile ilgili düzeltmeler</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21</w:t>
            </w:r>
          </w:p>
        </w:tc>
        <w:tc>
          <w:tcPr>
            <w:tcW w:w="1417" w:type="dxa"/>
            <w:vAlign w:val="bottom"/>
          </w:tcPr>
          <w:p w:rsidR="00D322FB" w:rsidRDefault="00145A33" w:rsidP="00FD6A4D">
            <w:pPr>
              <w:jc w:val="right"/>
              <w:rPr>
                <w:rFonts w:ascii="Arial" w:hAnsi="Arial" w:cs="Arial"/>
                <w:b/>
                <w:bCs/>
                <w:color w:val="000000"/>
                <w:sz w:val="18"/>
                <w:szCs w:val="18"/>
              </w:rPr>
            </w:pPr>
            <w:r>
              <w:rPr>
                <w:rFonts w:ascii="Arial" w:hAnsi="Arial" w:cs="Arial"/>
                <w:b/>
                <w:bCs/>
                <w:color w:val="000000"/>
                <w:sz w:val="18"/>
                <w:szCs w:val="18"/>
              </w:rPr>
              <w:t>1</w:t>
            </w:r>
            <w:r w:rsidR="00FD6A4D">
              <w:rPr>
                <w:rFonts w:ascii="Arial" w:hAnsi="Arial" w:cs="Arial"/>
                <w:b/>
                <w:bCs/>
                <w:color w:val="000000"/>
                <w:sz w:val="18"/>
                <w:szCs w:val="18"/>
              </w:rPr>
              <w:t>6</w:t>
            </w:r>
            <w:r w:rsidR="00D322FB">
              <w:rPr>
                <w:rFonts w:ascii="Arial" w:hAnsi="Arial" w:cs="Arial"/>
                <w:b/>
                <w:bCs/>
                <w:color w:val="000000"/>
                <w:sz w:val="18"/>
                <w:szCs w:val="18"/>
              </w:rPr>
              <w:t>.</w:t>
            </w:r>
            <w:r w:rsidR="00FD6A4D">
              <w:rPr>
                <w:rFonts w:ascii="Arial" w:hAnsi="Arial" w:cs="Arial"/>
                <w:b/>
                <w:bCs/>
                <w:color w:val="000000"/>
                <w:sz w:val="18"/>
                <w:szCs w:val="18"/>
              </w:rPr>
              <w:t>792</w:t>
            </w:r>
          </w:p>
        </w:tc>
        <w:tc>
          <w:tcPr>
            <w:tcW w:w="1417" w:type="dxa"/>
            <w:vAlign w:val="bottom"/>
          </w:tcPr>
          <w:p w:rsidR="00D322FB" w:rsidRDefault="00D322FB" w:rsidP="00AC1CDC">
            <w:pPr>
              <w:jc w:val="right"/>
              <w:rPr>
                <w:rFonts w:ascii="Arial" w:hAnsi="Arial" w:cs="Arial"/>
                <w:b/>
                <w:bCs/>
                <w:color w:val="000000"/>
                <w:sz w:val="18"/>
                <w:szCs w:val="18"/>
              </w:rPr>
            </w:pPr>
            <w:r>
              <w:rPr>
                <w:rFonts w:ascii="Arial" w:hAnsi="Arial" w:cs="Arial"/>
                <w:b/>
                <w:bCs/>
                <w:color w:val="000000"/>
                <w:sz w:val="18"/>
                <w:szCs w:val="18"/>
              </w:rPr>
              <w:t>(</w:t>
            </w:r>
            <w:r w:rsidR="00AC1CDC">
              <w:rPr>
                <w:rFonts w:ascii="Arial" w:hAnsi="Arial" w:cs="Arial"/>
                <w:b/>
                <w:bCs/>
                <w:color w:val="000000"/>
                <w:sz w:val="18"/>
                <w:szCs w:val="18"/>
              </w:rPr>
              <w:t>57</w:t>
            </w:r>
            <w:r>
              <w:rPr>
                <w:rFonts w:ascii="Arial" w:hAnsi="Arial" w:cs="Arial"/>
                <w:b/>
                <w:bCs/>
                <w:color w:val="000000"/>
                <w:sz w:val="18"/>
                <w:szCs w:val="18"/>
              </w:rPr>
              <w:t>.</w:t>
            </w:r>
            <w:r w:rsidR="00AC1CDC">
              <w:rPr>
                <w:rFonts w:ascii="Arial" w:hAnsi="Arial" w:cs="Arial"/>
                <w:b/>
                <w:bCs/>
                <w:color w:val="000000"/>
                <w:sz w:val="18"/>
                <w:szCs w:val="18"/>
              </w:rPr>
              <w:t>801</w:t>
            </w:r>
            <w:r>
              <w:rPr>
                <w:rFonts w:ascii="Arial" w:hAnsi="Arial" w:cs="Arial"/>
                <w:b/>
                <w:bCs/>
                <w:color w:val="000000"/>
                <w:sz w:val="18"/>
                <w:szCs w:val="18"/>
              </w:rPr>
              <w:t>)</w:t>
            </w:r>
          </w:p>
        </w:tc>
      </w:tr>
      <w:tr w:rsidR="00D322FB" w:rsidRPr="00727376" w:rsidTr="00C713F3">
        <w:trPr>
          <w:trHeight w:val="113"/>
        </w:trPr>
        <w:tc>
          <w:tcPr>
            <w:tcW w:w="5245" w:type="dxa"/>
          </w:tcPr>
          <w:p w:rsidR="00D322FB" w:rsidRPr="00170E57" w:rsidRDefault="00D322FB" w:rsidP="00C917DA">
            <w:pPr>
              <w:autoSpaceDE w:val="0"/>
              <w:autoSpaceDN w:val="0"/>
              <w:adjustRightInd w:val="0"/>
              <w:ind w:right="-108" w:hanging="108"/>
              <w:rPr>
                <w:rFonts w:ascii="Arial" w:hAnsi="Arial" w:cs="Arial"/>
                <w:color w:val="000000"/>
                <w:sz w:val="18"/>
                <w:szCs w:val="16"/>
              </w:rPr>
            </w:pPr>
            <w:r w:rsidRPr="00170E57">
              <w:rPr>
                <w:rFonts w:ascii="Arial" w:hAnsi="Arial" w:cs="Arial"/>
                <w:color w:val="000000"/>
                <w:sz w:val="18"/>
                <w:szCs w:val="16"/>
              </w:rPr>
              <w:t>Gerçeğe uygun değer kayıp/kazançları ile ilgili düzeltmeler</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5</w:t>
            </w:r>
          </w:p>
        </w:tc>
        <w:tc>
          <w:tcPr>
            <w:tcW w:w="1417" w:type="dxa"/>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2.061</w:t>
            </w:r>
          </w:p>
        </w:tc>
        <w:tc>
          <w:tcPr>
            <w:tcW w:w="1417" w:type="dxa"/>
            <w:vAlign w:val="bottom"/>
          </w:tcPr>
          <w:p w:rsidR="00D322FB" w:rsidRDefault="00AC1CDC" w:rsidP="00AC1CDC">
            <w:pPr>
              <w:jc w:val="right"/>
              <w:rPr>
                <w:rFonts w:ascii="Arial" w:hAnsi="Arial" w:cs="Arial"/>
                <w:b/>
                <w:bCs/>
                <w:color w:val="000000"/>
                <w:sz w:val="18"/>
                <w:szCs w:val="18"/>
              </w:rPr>
            </w:pPr>
            <w:r>
              <w:rPr>
                <w:rFonts w:ascii="Arial" w:hAnsi="Arial" w:cs="Arial"/>
                <w:b/>
                <w:bCs/>
                <w:color w:val="000000"/>
                <w:sz w:val="18"/>
                <w:szCs w:val="18"/>
              </w:rPr>
              <w:t>(4.584)</w:t>
            </w:r>
          </w:p>
        </w:tc>
      </w:tr>
      <w:tr w:rsidR="00D322FB" w:rsidRPr="00727376" w:rsidTr="00C713F3">
        <w:trPr>
          <w:trHeight w:val="113"/>
        </w:trPr>
        <w:tc>
          <w:tcPr>
            <w:tcW w:w="5245" w:type="dxa"/>
          </w:tcPr>
          <w:p w:rsidR="00D322FB" w:rsidRPr="00727376" w:rsidRDefault="00D322FB" w:rsidP="00C917DA">
            <w:pPr>
              <w:autoSpaceDE w:val="0"/>
              <w:autoSpaceDN w:val="0"/>
              <w:adjustRightInd w:val="0"/>
              <w:ind w:right="-108" w:hanging="108"/>
              <w:rPr>
                <w:rFonts w:ascii="Arial" w:hAnsi="Arial" w:cs="Arial"/>
                <w:color w:val="000000"/>
                <w:sz w:val="18"/>
                <w:szCs w:val="16"/>
                <w:highlight w:val="yellow"/>
              </w:rPr>
            </w:pPr>
          </w:p>
        </w:tc>
        <w:tc>
          <w:tcPr>
            <w:tcW w:w="851" w:type="dxa"/>
            <w:vAlign w:val="bottom"/>
          </w:tcPr>
          <w:p w:rsidR="00D322FB" w:rsidRDefault="00D322FB" w:rsidP="00D30A95">
            <w:pPr>
              <w:jc w:val="right"/>
              <w:rPr>
                <w:rFonts w:ascii="Arial" w:hAnsi="Arial" w:cs="Arial"/>
                <w:color w:val="000000"/>
                <w:sz w:val="18"/>
                <w:szCs w:val="18"/>
              </w:rPr>
            </w:pPr>
          </w:p>
        </w:tc>
        <w:tc>
          <w:tcPr>
            <w:tcW w:w="1417" w:type="dxa"/>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Pr>
          <w:p w:rsidR="00D322FB" w:rsidRPr="00727376" w:rsidRDefault="00D322FB" w:rsidP="00C917DA">
            <w:pPr>
              <w:autoSpaceDE w:val="0"/>
              <w:autoSpaceDN w:val="0"/>
              <w:adjustRightInd w:val="0"/>
              <w:ind w:right="-108" w:hanging="108"/>
              <w:rPr>
                <w:rFonts w:ascii="Arial" w:hAnsi="Arial" w:cs="Arial"/>
                <w:b/>
                <w:bCs/>
                <w:color w:val="000000"/>
                <w:sz w:val="18"/>
                <w:szCs w:val="16"/>
                <w:highlight w:val="yellow"/>
              </w:rPr>
            </w:pPr>
            <w:r>
              <w:rPr>
                <w:rFonts w:ascii="Arial" w:hAnsi="Arial" w:cs="Arial"/>
                <w:b/>
                <w:color w:val="000000"/>
                <w:sz w:val="18"/>
                <w:szCs w:val="16"/>
              </w:rPr>
              <w:t>İşletme sermayesindeki deği</w:t>
            </w:r>
            <w:r w:rsidRPr="004D7225">
              <w:rPr>
                <w:rFonts w:ascii="Arial" w:hAnsi="Arial" w:cs="Arial"/>
                <w:b/>
                <w:color w:val="000000"/>
                <w:sz w:val="18"/>
                <w:szCs w:val="16"/>
              </w:rPr>
              <w:t>şikliklerden önceki faaliyet karı</w:t>
            </w:r>
          </w:p>
        </w:tc>
        <w:tc>
          <w:tcPr>
            <w:tcW w:w="851" w:type="dxa"/>
            <w:vAlign w:val="bottom"/>
          </w:tcPr>
          <w:p w:rsidR="00D322FB" w:rsidRDefault="00D322FB" w:rsidP="00D30A95">
            <w:pPr>
              <w:jc w:val="right"/>
              <w:rPr>
                <w:rFonts w:ascii="Arial" w:hAnsi="Arial" w:cs="Arial"/>
                <w:b/>
                <w:bCs/>
                <w:color w:val="000000"/>
                <w:sz w:val="18"/>
                <w:szCs w:val="18"/>
              </w:rPr>
            </w:pPr>
          </w:p>
        </w:tc>
        <w:tc>
          <w:tcPr>
            <w:tcW w:w="1417" w:type="dxa"/>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Pr>
          <w:p w:rsidR="00D322FB" w:rsidRPr="00727376" w:rsidRDefault="00D322FB" w:rsidP="00C917DA">
            <w:pPr>
              <w:autoSpaceDE w:val="0"/>
              <w:autoSpaceDN w:val="0"/>
              <w:adjustRightInd w:val="0"/>
              <w:ind w:right="-108" w:hanging="108"/>
              <w:rPr>
                <w:rFonts w:ascii="Arial" w:hAnsi="Arial" w:cs="Arial"/>
                <w:b/>
                <w:bCs/>
                <w:color w:val="000000"/>
                <w:sz w:val="18"/>
                <w:szCs w:val="16"/>
                <w:highlight w:val="yellow"/>
              </w:rPr>
            </w:pPr>
          </w:p>
        </w:tc>
        <w:tc>
          <w:tcPr>
            <w:tcW w:w="851" w:type="dxa"/>
            <w:vAlign w:val="bottom"/>
          </w:tcPr>
          <w:p w:rsidR="00D322FB" w:rsidRDefault="00D322FB" w:rsidP="00D30A95">
            <w:pPr>
              <w:jc w:val="right"/>
              <w:rPr>
                <w:rFonts w:ascii="Arial" w:hAnsi="Arial" w:cs="Arial"/>
                <w:b/>
                <w:bCs/>
                <w:color w:val="000000"/>
                <w:sz w:val="18"/>
                <w:szCs w:val="18"/>
              </w:rPr>
            </w:pPr>
          </w:p>
        </w:tc>
        <w:tc>
          <w:tcPr>
            <w:tcW w:w="1417" w:type="dxa"/>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Pr>
          <w:p w:rsidR="00D322FB" w:rsidRPr="00DE0763" w:rsidRDefault="00D322FB" w:rsidP="00E755E9">
            <w:pPr>
              <w:autoSpaceDE w:val="0"/>
              <w:autoSpaceDN w:val="0"/>
              <w:adjustRightInd w:val="0"/>
              <w:ind w:right="-108" w:hanging="108"/>
              <w:rPr>
                <w:rFonts w:ascii="Arial" w:hAnsi="Arial" w:cs="Arial"/>
                <w:color w:val="000000"/>
                <w:sz w:val="18"/>
                <w:szCs w:val="16"/>
              </w:rPr>
            </w:pPr>
            <w:r w:rsidRPr="00DE0763">
              <w:rPr>
                <w:rFonts w:ascii="Arial" w:hAnsi="Arial" w:cs="Arial"/>
                <w:color w:val="000000"/>
                <w:sz w:val="18"/>
                <w:szCs w:val="16"/>
              </w:rPr>
              <w:t>Ticari alacaklardaki değişim</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6,9</w:t>
            </w:r>
          </w:p>
        </w:tc>
        <w:tc>
          <w:tcPr>
            <w:tcW w:w="1417" w:type="dxa"/>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625</w:t>
            </w:r>
          </w:p>
        </w:tc>
        <w:tc>
          <w:tcPr>
            <w:tcW w:w="1417" w:type="dxa"/>
            <w:vAlign w:val="bottom"/>
          </w:tcPr>
          <w:p w:rsidR="00D322FB" w:rsidRDefault="00D322FB" w:rsidP="00AC1CDC">
            <w:pPr>
              <w:jc w:val="right"/>
              <w:rPr>
                <w:rFonts w:ascii="Arial" w:hAnsi="Arial" w:cs="Arial"/>
                <w:b/>
                <w:bCs/>
                <w:color w:val="000000"/>
                <w:sz w:val="18"/>
                <w:szCs w:val="18"/>
              </w:rPr>
            </w:pPr>
            <w:r>
              <w:rPr>
                <w:rFonts w:ascii="Arial" w:hAnsi="Arial" w:cs="Arial"/>
                <w:b/>
                <w:bCs/>
                <w:color w:val="000000"/>
                <w:sz w:val="18"/>
                <w:szCs w:val="18"/>
              </w:rPr>
              <w:t>(</w:t>
            </w:r>
            <w:r w:rsidR="00AC1CDC">
              <w:rPr>
                <w:rFonts w:ascii="Arial" w:hAnsi="Arial" w:cs="Arial"/>
                <w:b/>
                <w:bCs/>
                <w:color w:val="000000"/>
                <w:sz w:val="18"/>
                <w:szCs w:val="18"/>
              </w:rPr>
              <w:t>3.500</w:t>
            </w:r>
            <w:r>
              <w:rPr>
                <w:rFonts w:ascii="Arial" w:hAnsi="Arial" w:cs="Arial"/>
                <w:b/>
                <w:bCs/>
                <w:color w:val="000000"/>
                <w:sz w:val="18"/>
                <w:szCs w:val="18"/>
              </w:rPr>
              <w:t>)</w:t>
            </w:r>
          </w:p>
        </w:tc>
      </w:tr>
      <w:tr w:rsidR="00D322FB" w:rsidRPr="00727376" w:rsidTr="00C713F3">
        <w:trPr>
          <w:trHeight w:val="113"/>
        </w:trPr>
        <w:tc>
          <w:tcPr>
            <w:tcW w:w="5245" w:type="dxa"/>
          </w:tcPr>
          <w:p w:rsidR="00D322FB" w:rsidRPr="00DE0763" w:rsidRDefault="00D322FB" w:rsidP="00E755E9">
            <w:pPr>
              <w:autoSpaceDE w:val="0"/>
              <w:autoSpaceDN w:val="0"/>
              <w:adjustRightInd w:val="0"/>
              <w:ind w:right="-108" w:hanging="108"/>
              <w:rPr>
                <w:rFonts w:ascii="Arial" w:hAnsi="Arial" w:cs="Arial"/>
                <w:color w:val="000000"/>
                <w:sz w:val="18"/>
                <w:szCs w:val="16"/>
              </w:rPr>
            </w:pPr>
            <w:r w:rsidRPr="00DE0763">
              <w:rPr>
                <w:rFonts w:ascii="Arial" w:hAnsi="Arial" w:cs="Arial"/>
                <w:color w:val="000000"/>
                <w:sz w:val="18"/>
                <w:szCs w:val="16"/>
              </w:rPr>
              <w:t>Faaliyetlerle ilgili diğer alacaklardaki (artış)/ azalış</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7,8</w:t>
            </w:r>
          </w:p>
        </w:tc>
        <w:tc>
          <w:tcPr>
            <w:tcW w:w="1417" w:type="dxa"/>
            <w:vAlign w:val="bottom"/>
          </w:tcPr>
          <w:p w:rsidR="00D322FB" w:rsidRDefault="00D322FB" w:rsidP="00145A33">
            <w:pPr>
              <w:jc w:val="right"/>
              <w:rPr>
                <w:rFonts w:ascii="Arial" w:hAnsi="Arial" w:cs="Arial"/>
                <w:b/>
                <w:bCs/>
                <w:color w:val="000000"/>
                <w:sz w:val="18"/>
                <w:szCs w:val="18"/>
              </w:rPr>
            </w:pPr>
            <w:r>
              <w:rPr>
                <w:rFonts w:ascii="Arial" w:hAnsi="Arial" w:cs="Arial"/>
                <w:b/>
                <w:bCs/>
                <w:color w:val="000000"/>
                <w:sz w:val="18"/>
                <w:szCs w:val="18"/>
              </w:rPr>
              <w:t>(</w:t>
            </w:r>
            <w:r w:rsidR="00145A33">
              <w:rPr>
                <w:rFonts w:ascii="Arial" w:hAnsi="Arial" w:cs="Arial"/>
                <w:b/>
                <w:bCs/>
                <w:color w:val="000000"/>
                <w:sz w:val="18"/>
                <w:szCs w:val="18"/>
              </w:rPr>
              <w:t>37</w:t>
            </w:r>
            <w:r>
              <w:rPr>
                <w:rFonts w:ascii="Arial" w:hAnsi="Arial" w:cs="Arial"/>
                <w:b/>
                <w:bCs/>
                <w:color w:val="000000"/>
                <w:sz w:val="18"/>
                <w:szCs w:val="18"/>
              </w:rPr>
              <w:t>.</w:t>
            </w:r>
            <w:r w:rsidR="00145A33">
              <w:rPr>
                <w:rFonts w:ascii="Arial" w:hAnsi="Arial" w:cs="Arial"/>
                <w:b/>
                <w:bCs/>
                <w:color w:val="000000"/>
                <w:sz w:val="18"/>
                <w:szCs w:val="18"/>
              </w:rPr>
              <w:t>683</w:t>
            </w:r>
            <w:r>
              <w:rPr>
                <w:rFonts w:ascii="Arial" w:hAnsi="Arial" w:cs="Arial"/>
                <w:b/>
                <w:bCs/>
                <w:color w:val="000000"/>
                <w:sz w:val="18"/>
                <w:szCs w:val="18"/>
              </w:rPr>
              <w:t>)</w:t>
            </w:r>
          </w:p>
        </w:tc>
        <w:tc>
          <w:tcPr>
            <w:tcW w:w="1417" w:type="dxa"/>
            <w:vAlign w:val="bottom"/>
          </w:tcPr>
          <w:p w:rsidR="00D322FB" w:rsidRDefault="00D322FB" w:rsidP="00AC1CDC">
            <w:pPr>
              <w:jc w:val="right"/>
              <w:rPr>
                <w:rFonts w:ascii="Arial" w:hAnsi="Arial" w:cs="Arial"/>
                <w:b/>
                <w:bCs/>
                <w:color w:val="000000"/>
                <w:sz w:val="18"/>
                <w:szCs w:val="18"/>
              </w:rPr>
            </w:pPr>
            <w:r>
              <w:rPr>
                <w:rFonts w:ascii="Arial" w:hAnsi="Arial" w:cs="Arial"/>
                <w:b/>
                <w:bCs/>
                <w:color w:val="000000"/>
                <w:sz w:val="18"/>
                <w:szCs w:val="18"/>
              </w:rPr>
              <w:t>(</w:t>
            </w:r>
            <w:r w:rsidR="00AC1CDC">
              <w:rPr>
                <w:rFonts w:ascii="Arial" w:hAnsi="Arial" w:cs="Arial"/>
                <w:b/>
                <w:bCs/>
                <w:color w:val="000000"/>
                <w:sz w:val="18"/>
                <w:szCs w:val="18"/>
              </w:rPr>
              <w:t>36</w:t>
            </w:r>
            <w:r>
              <w:rPr>
                <w:rFonts w:ascii="Arial" w:hAnsi="Arial" w:cs="Arial"/>
                <w:b/>
                <w:bCs/>
                <w:color w:val="000000"/>
                <w:sz w:val="18"/>
                <w:szCs w:val="18"/>
              </w:rPr>
              <w:t>.</w:t>
            </w:r>
            <w:r w:rsidR="00AC1CDC">
              <w:rPr>
                <w:rFonts w:ascii="Arial" w:hAnsi="Arial" w:cs="Arial"/>
                <w:b/>
                <w:bCs/>
                <w:color w:val="000000"/>
                <w:sz w:val="18"/>
                <w:szCs w:val="18"/>
              </w:rPr>
              <w:t>263</w:t>
            </w:r>
            <w:r>
              <w:rPr>
                <w:rFonts w:ascii="Arial" w:hAnsi="Arial" w:cs="Arial"/>
                <w:b/>
                <w:bCs/>
                <w:color w:val="000000"/>
                <w:sz w:val="18"/>
                <w:szCs w:val="18"/>
              </w:rPr>
              <w:t>)</w:t>
            </w:r>
          </w:p>
        </w:tc>
      </w:tr>
      <w:tr w:rsidR="00D322FB" w:rsidRPr="00727376" w:rsidTr="00C713F3">
        <w:trPr>
          <w:trHeight w:val="113"/>
        </w:trPr>
        <w:tc>
          <w:tcPr>
            <w:tcW w:w="5245" w:type="dxa"/>
          </w:tcPr>
          <w:p w:rsidR="00D322FB" w:rsidRPr="00DE0763" w:rsidRDefault="00D322FB" w:rsidP="00C917DA">
            <w:pPr>
              <w:autoSpaceDE w:val="0"/>
              <w:autoSpaceDN w:val="0"/>
              <w:adjustRightInd w:val="0"/>
              <w:ind w:right="-108" w:hanging="108"/>
              <w:rPr>
                <w:rFonts w:ascii="Arial" w:hAnsi="Arial" w:cs="Arial"/>
                <w:color w:val="000000"/>
                <w:sz w:val="18"/>
                <w:szCs w:val="16"/>
              </w:rPr>
            </w:pPr>
            <w:r w:rsidRPr="00DE0763">
              <w:rPr>
                <w:rFonts w:ascii="Arial" w:hAnsi="Arial" w:cs="Arial"/>
                <w:color w:val="000000"/>
                <w:sz w:val="18"/>
                <w:szCs w:val="16"/>
              </w:rPr>
              <w:t>Ticari borçlardaki değişim</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6</w:t>
            </w:r>
          </w:p>
        </w:tc>
        <w:tc>
          <w:tcPr>
            <w:tcW w:w="1417" w:type="dxa"/>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21.600</w:t>
            </w:r>
          </w:p>
        </w:tc>
        <w:tc>
          <w:tcPr>
            <w:tcW w:w="1417" w:type="dxa"/>
            <w:vAlign w:val="bottom"/>
          </w:tcPr>
          <w:p w:rsidR="00D322FB" w:rsidRDefault="00D322FB" w:rsidP="00AC1CDC">
            <w:pPr>
              <w:jc w:val="right"/>
              <w:rPr>
                <w:rFonts w:ascii="Arial" w:hAnsi="Arial" w:cs="Arial"/>
                <w:b/>
                <w:bCs/>
                <w:color w:val="000000"/>
                <w:sz w:val="18"/>
                <w:szCs w:val="18"/>
              </w:rPr>
            </w:pPr>
            <w:r>
              <w:rPr>
                <w:rFonts w:ascii="Arial" w:hAnsi="Arial" w:cs="Arial"/>
                <w:b/>
                <w:bCs/>
                <w:color w:val="000000"/>
                <w:sz w:val="18"/>
                <w:szCs w:val="18"/>
              </w:rPr>
              <w:t>(</w:t>
            </w:r>
            <w:r w:rsidR="00AC1CDC">
              <w:rPr>
                <w:rFonts w:ascii="Arial" w:hAnsi="Arial" w:cs="Arial"/>
                <w:b/>
                <w:bCs/>
                <w:color w:val="000000"/>
                <w:sz w:val="18"/>
                <w:szCs w:val="18"/>
              </w:rPr>
              <w:t>29.947</w:t>
            </w:r>
            <w:r>
              <w:rPr>
                <w:rFonts w:ascii="Arial" w:hAnsi="Arial" w:cs="Arial"/>
                <w:b/>
                <w:bCs/>
                <w:color w:val="000000"/>
                <w:sz w:val="18"/>
                <w:szCs w:val="18"/>
              </w:rPr>
              <w:t>)</w:t>
            </w:r>
          </w:p>
        </w:tc>
      </w:tr>
      <w:tr w:rsidR="00D322FB" w:rsidRPr="00727376" w:rsidTr="00C713F3">
        <w:trPr>
          <w:trHeight w:val="113"/>
        </w:trPr>
        <w:tc>
          <w:tcPr>
            <w:tcW w:w="5245" w:type="dxa"/>
          </w:tcPr>
          <w:p w:rsidR="00D322FB" w:rsidRPr="00DE0763" w:rsidRDefault="00D322FB" w:rsidP="00C917DA">
            <w:pPr>
              <w:autoSpaceDE w:val="0"/>
              <w:autoSpaceDN w:val="0"/>
              <w:adjustRightInd w:val="0"/>
              <w:ind w:right="-108" w:hanging="108"/>
              <w:rPr>
                <w:rFonts w:ascii="Arial" w:hAnsi="Arial" w:cs="Arial"/>
                <w:color w:val="000000"/>
                <w:sz w:val="18"/>
                <w:szCs w:val="16"/>
              </w:rPr>
            </w:pPr>
            <w:r w:rsidRPr="00DE0763">
              <w:rPr>
                <w:rFonts w:ascii="Arial" w:hAnsi="Arial" w:cs="Arial"/>
                <w:color w:val="000000"/>
                <w:sz w:val="18"/>
                <w:szCs w:val="16"/>
              </w:rPr>
              <w:t>Faaliyetlerle ilgili diğer borçlardaki artış/ (azalış)</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9,12</w:t>
            </w:r>
          </w:p>
        </w:tc>
        <w:tc>
          <w:tcPr>
            <w:tcW w:w="1417" w:type="dxa"/>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6.190</w:t>
            </w:r>
          </w:p>
        </w:tc>
        <w:tc>
          <w:tcPr>
            <w:tcW w:w="1417" w:type="dxa"/>
            <w:vAlign w:val="bottom"/>
          </w:tcPr>
          <w:p w:rsidR="00D322FB" w:rsidRDefault="00AC1CDC" w:rsidP="00AC1CDC">
            <w:pPr>
              <w:jc w:val="right"/>
              <w:rPr>
                <w:rFonts w:ascii="Arial" w:hAnsi="Arial" w:cs="Arial"/>
                <w:b/>
                <w:bCs/>
                <w:color w:val="000000"/>
                <w:sz w:val="18"/>
                <w:szCs w:val="18"/>
              </w:rPr>
            </w:pPr>
            <w:r>
              <w:rPr>
                <w:rFonts w:ascii="Arial" w:hAnsi="Arial" w:cs="Arial"/>
                <w:b/>
                <w:bCs/>
                <w:color w:val="000000"/>
                <w:sz w:val="18"/>
                <w:szCs w:val="18"/>
              </w:rPr>
              <w:t>(5.797)</w:t>
            </w:r>
          </w:p>
        </w:tc>
      </w:tr>
      <w:tr w:rsidR="00D322FB" w:rsidRPr="00727376" w:rsidTr="00C713F3">
        <w:trPr>
          <w:trHeight w:val="113"/>
        </w:trPr>
        <w:tc>
          <w:tcPr>
            <w:tcW w:w="5245" w:type="dxa"/>
            <w:tcBorders>
              <w:bottom w:val="single" w:sz="2" w:space="0" w:color="000000"/>
            </w:tcBorders>
          </w:tcPr>
          <w:p w:rsidR="00D322FB" w:rsidRPr="00727376" w:rsidRDefault="00D322FB" w:rsidP="00C917DA">
            <w:pPr>
              <w:autoSpaceDE w:val="0"/>
              <w:autoSpaceDN w:val="0"/>
              <w:adjustRightInd w:val="0"/>
              <w:ind w:right="-108" w:hanging="108"/>
              <w:rPr>
                <w:rFonts w:ascii="Arial" w:hAnsi="Arial" w:cs="Arial"/>
                <w:color w:val="000000"/>
                <w:sz w:val="18"/>
                <w:szCs w:val="16"/>
                <w:highlight w:val="yellow"/>
              </w:rPr>
            </w:pPr>
          </w:p>
        </w:tc>
        <w:tc>
          <w:tcPr>
            <w:tcW w:w="851" w:type="dxa"/>
            <w:tcBorders>
              <w:bottom w:val="single" w:sz="2" w:space="0" w:color="000000"/>
            </w:tcBorders>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bottom w:val="single" w:sz="2" w:space="0" w:color="000000"/>
            </w:tcBorders>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tcBorders>
              <w:bottom w:val="single" w:sz="2" w:space="0" w:color="000000"/>
            </w:tcBorders>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Borders>
              <w:top w:val="single" w:sz="2" w:space="0" w:color="000000"/>
              <w:bottom w:val="single" w:sz="2" w:space="0" w:color="000000"/>
            </w:tcBorders>
          </w:tcPr>
          <w:p w:rsidR="00D322FB" w:rsidRPr="00842630" w:rsidRDefault="00D322FB" w:rsidP="00C917DA">
            <w:pPr>
              <w:autoSpaceDE w:val="0"/>
              <w:autoSpaceDN w:val="0"/>
              <w:adjustRightInd w:val="0"/>
              <w:ind w:right="-108" w:hanging="108"/>
              <w:rPr>
                <w:rFonts w:ascii="Arial" w:hAnsi="Arial" w:cs="Arial"/>
                <w:b/>
                <w:bCs/>
                <w:color w:val="000000"/>
                <w:sz w:val="18"/>
                <w:szCs w:val="16"/>
                <w:highlight w:val="yellow"/>
                <w:lang w:val="de-DE"/>
              </w:rPr>
            </w:pPr>
            <w:r w:rsidRPr="00842630">
              <w:rPr>
                <w:rFonts w:ascii="Arial" w:hAnsi="Arial" w:cs="Arial"/>
                <w:b/>
                <w:bCs/>
                <w:color w:val="000000"/>
                <w:sz w:val="18"/>
                <w:szCs w:val="16"/>
                <w:lang w:val="de-DE"/>
              </w:rPr>
              <w:t>İşletme faaliyetlerinden sağlanan net nakit</w:t>
            </w:r>
          </w:p>
        </w:tc>
        <w:tc>
          <w:tcPr>
            <w:tcW w:w="851" w:type="dxa"/>
            <w:tcBorders>
              <w:top w:val="single" w:sz="2" w:space="0" w:color="000000"/>
              <w:bottom w:val="single" w:sz="2" w:space="0" w:color="000000"/>
            </w:tcBorders>
            <w:vAlign w:val="bottom"/>
          </w:tcPr>
          <w:p w:rsidR="00D322FB" w:rsidRPr="00842630" w:rsidRDefault="00D322FB" w:rsidP="00D30A95">
            <w:pPr>
              <w:jc w:val="right"/>
              <w:rPr>
                <w:rFonts w:ascii="Arial" w:hAnsi="Arial" w:cs="Arial"/>
                <w:color w:val="000000"/>
                <w:sz w:val="18"/>
                <w:szCs w:val="18"/>
                <w:lang w:val="de-DE"/>
              </w:rPr>
            </w:pPr>
            <w:r w:rsidRPr="00842630">
              <w:rPr>
                <w:rFonts w:ascii="Arial" w:hAnsi="Arial" w:cs="Arial"/>
                <w:color w:val="000000"/>
                <w:sz w:val="18"/>
                <w:szCs w:val="18"/>
                <w:lang w:val="de-DE"/>
              </w:rPr>
              <w:t> </w:t>
            </w:r>
          </w:p>
        </w:tc>
        <w:tc>
          <w:tcPr>
            <w:tcW w:w="1417" w:type="dxa"/>
            <w:tcBorders>
              <w:top w:val="single" w:sz="2" w:space="0" w:color="000000"/>
              <w:bottom w:val="single" w:sz="2" w:space="0" w:color="000000"/>
            </w:tcBorders>
            <w:vAlign w:val="bottom"/>
          </w:tcPr>
          <w:p w:rsidR="00D322FB" w:rsidRPr="006A29AE" w:rsidRDefault="00145A33" w:rsidP="00145A33">
            <w:pPr>
              <w:jc w:val="right"/>
              <w:rPr>
                <w:rFonts w:ascii="Arial" w:hAnsi="Arial" w:cs="Arial"/>
                <w:b/>
                <w:bCs/>
                <w:color w:val="000000"/>
                <w:sz w:val="18"/>
                <w:szCs w:val="18"/>
              </w:rPr>
            </w:pPr>
            <w:r>
              <w:rPr>
                <w:rFonts w:ascii="Arial" w:hAnsi="Arial" w:cs="Arial"/>
                <w:b/>
                <w:bCs/>
                <w:color w:val="000000"/>
                <w:sz w:val="18"/>
                <w:szCs w:val="18"/>
              </w:rPr>
              <w:t>113</w:t>
            </w:r>
            <w:r w:rsidR="00D322FB">
              <w:rPr>
                <w:rFonts w:ascii="Arial" w:hAnsi="Arial" w:cs="Arial"/>
                <w:b/>
                <w:bCs/>
                <w:color w:val="000000"/>
                <w:sz w:val="18"/>
                <w:szCs w:val="18"/>
              </w:rPr>
              <w:t>.</w:t>
            </w:r>
            <w:r>
              <w:rPr>
                <w:rFonts w:ascii="Arial" w:hAnsi="Arial" w:cs="Arial"/>
                <w:b/>
                <w:bCs/>
                <w:color w:val="000000"/>
                <w:sz w:val="18"/>
                <w:szCs w:val="18"/>
              </w:rPr>
              <w:t>281</w:t>
            </w:r>
          </w:p>
        </w:tc>
        <w:tc>
          <w:tcPr>
            <w:tcW w:w="1417" w:type="dxa"/>
            <w:tcBorders>
              <w:top w:val="single" w:sz="2" w:space="0" w:color="000000"/>
              <w:bottom w:val="single" w:sz="2" w:space="0" w:color="000000"/>
            </w:tcBorders>
            <w:vAlign w:val="bottom"/>
          </w:tcPr>
          <w:p w:rsidR="00D322FB" w:rsidRPr="006A29AE" w:rsidRDefault="00D322FB" w:rsidP="00AC1CDC">
            <w:pPr>
              <w:jc w:val="right"/>
              <w:rPr>
                <w:rFonts w:ascii="Arial" w:hAnsi="Arial" w:cs="Arial"/>
                <w:b/>
                <w:bCs/>
                <w:color w:val="000000"/>
                <w:sz w:val="18"/>
                <w:szCs w:val="18"/>
              </w:rPr>
            </w:pPr>
            <w:r>
              <w:rPr>
                <w:rFonts w:ascii="Arial" w:hAnsi="Arial" w:cs="Arial"/>
                <w:b/>
                <w:bCs/>
                <w:color w:val="000000"/>
                <w:sz w:val="18"/>
                <w:szCs w:val="18"/>
              </w:rPr>
              <w:t>(</w:t>
            </w:r>
            <w:r w:rsidR="00AC1CDC">
              <w:rPr>
                <w:rFonts w:ascii="Arial" w:hAnsi="Arial" w:cs="Arial"/>
                <w:b/>
                <w:bCs/>
                <w:color w:val="000000"/>
                <w:sz w:val="18"/>
                <w:szCs w:val="18"/>
              </w:rPr>
              <w:t>350.158</w:t>
            </w:r>
            <w:r>
              <w:rPr>
                <w:rFonts w:ascii="Arial" w:hAnsi="Arial" w:cs="Arial"/>
                <w:b/>
                <w:bCs/>
                <w:color w:val="000000"/>
                <w:sz w:val="18"/>
                <w:szCs w:val="18"/>
              </w:rPr>
              <w:t>)</w:t>
            </w:r>
          </w:p>
        </w:tc>
      </w:tr>
      <w:tr w:rsidR="00D322FB" w:rsidRPr="00727376" w:rsidTr="00C713F3">
        <w:trPr>
          <w:trHeight w:val="113"/>
        </w:trPr>
        <w:tc>
          <w:tcPr>
            <w:tcW w:w="5245" w:type="dxa"/>
            <w:tcBorders>
              <w:top w:val="single" w:sz="2" w:space="0" w:color="000000"/>
            </w:tcBorders>
          </w:tcPr>
          <w:p w:rsidR="00D322FB" w:rsidRPr="00727376" w:rsidRDefault="00D322FB" w:rsidP="00C917DA">
            <w:pPr>
              <w:autoSpaceDE w:val="0"/>
              <w:autoSpaceDN w:val="0"/>
              <w:adjustRightInd w:val="0"/>
              <w:ind w:right="-108" w:hanging="108"/>
              <w:rPr>
                <w:rFonts w:ascii="Arial" w:hAnsi="Arial" w:cs="Arial"/>
                <w:b/>
                <w:bCs/>
                <w:color w:val="000000"/>
                <w:sz w:val="18"/>
                <w:szCs w:val="16"/>
                <w:highlight w:val="yellow"/>
              </w:rPr>
            </w:pPr>
          </w:p>
        </w:tc>
        <w:tc>
          <w:tcPr>
            <w:tcW w:w="851" w:type="dxa"/>
            <w:tcBorders>
              <w:top w:val="single" w:sz="2" w:space="0" w:color="000000"/>
            </w:tcBorders>
            <w:vAlign w:val="bottom"/>
          </w:tcPr>
          <w:p w:rsidR="00D322FB" w:rsidRDefault="00D322FB" w:rsidP="00D30A95">
            <w:pPr>
              <w:jc w:val="right"/>
              <w:rPr>
                <w:rFonts w:ascii="Arial" w:hAnsi="Arial" w:cs="Arial"/>
                <w:color w:val="000000"/>
                <w:sz w:val="18"/>
                <w:szCs w:val="18"/>
              </w:rPr>
            </w:pPr>
          </w:p>
        </w:tc>
        <w:tc>
          <w:tcPr>
            <w:tcW w:w="1417" w:type="dxa"/>
            <w:tcBorders>
              <w:top w:val="single" w:sz="2" w:space="0" w:color="000000"/>
            </w:tcBorders>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tcBorders>
              <w:top w:val="single" w:sz="2" w:space="0" w:color="000000"/>
            </w:tcBorders>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Pr>
          <w:p w:rsidR="00D322FB" w:rsidRPr="00727376" w:rsidRDefault="00D322FB" w:rsidP="00C917DA">
            <w:pPr>
              <w:autoSpaceDE w:val="0"/>
              <w:autoSpaceDN w:val="0"/>
              <w:adjustRightInd w:val="0"/>
              <w:ind w:right="-108" w:hanging="108"/>
              <w:rPr>
                <w:rFonts w:ascii="Arial" w:hAnsi="Arial" w:cs="Arial"/>
                <w:b/>
                <w:color w:val="000000"/>
                <w:sz w:val="18"/>
                <w:szCs w:val="16"/>
                <w:highlight w:val="yellow"/>
              </w:rPr>
            </w:pPr>
            <w:r>
              <w:rPr>
                <w:rFonts w:ascii="Arial" w:hAnsi="Arial" w:cs="Arial"/>
                <w:b/>
                <w:color w:val="000000"/>
                <w:sz w:val="18"/>
                <w:szCs w:val="16"/>
              </w:rPr>
              <w:t xml:space="preserve">B. </w:t>
            </w:r>
            <w:r w:rsidRPr="005C2F63">
              <w:rPr>
                <w:rFonts w:ascii="Arial" w:hAnsi="Arial" w:cs="Arial"/>
                <w:b/>
                <w:color w:val="000000"/>
                <w:sz w:val="18"/>
                <w:szCs w:val="16"/>
              </w:rPr>
              <w:t>Yatırım faaliyetlerinden kaynaklanan nakit akışları</w:t>
            </w:r>
          </w:p>
        </w:tc>
        <w:tc>
          <w:tcPr>
            <w:tcW w:w="851" w:type="dxa"/>
            <w:vAlign w:val="bottom"/>
          </w:tcPr>
          <w:p w:rsidR="00D322FB" w:rsidRDefault="00D322FB" w:rsidP="00D30A95">
            <w:pPr>
              <w:jc w:val="right"/>
              <w:rPr>
                <w:rFonts w:ascii="Arial" w:hAnsi="Arial" w:cs="Arial"/>
                <w:color w:val="000000"/>
                <w:sz w:val="18"/>
                <w:szCs w:val="18"/>
              </w:rPr>
            </w:pPr>
          </w:p>
        </w:tc>
        <w:tc>
          <w:tcPr>
            <w:tcW w:w="1417" w:type="dxa"/>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Pr>
          <w:p w:rsidR="00D322FB" w:rsidRPr="00727376" w:rsidRDefault="00D322FB" w:rsidP="00C917DA">
            <w:pPr>
              <w:autoSpaceDE w:val="0"/>
              <w:autoSpaceDN w:val="0"/>
              <w:adjustRightInd w:val="0"/>
              <w:ind w:right="-108" w:hanging="108"/>
              <w:rPr>
                <w:rFonts w:ascii="Arial" w:hAnsi="Arial" w:cs="Arial"/>
                <w:color w:val="000000"/>
                <w:sz w:val="18"/>
                <w:szCs w:val="16"/>
                <w:highlight w:val="yellow"/>
              </w:rPr>
            </w:pPr>
          </w:p>
        </w:tc>
        <w:tc>
          <w:tcPr>
            <w:tcW w:w="851" w:type="dxa"/>
            <w:vAlign w:val="bottom"/>
          </w:tcPr>
          <w:p w:rsidR="00D322FB" w:rsidRDefault="00D322FB" w:rsidP="00D30A95">
            <w:pPr>
              <w:jc w:val="right"/>
              <w:rPr>
                <w:rFonts w:ascii="Arial" w:hAnsi="Arial" w:cs="Arial"/>
                <w:color w:val="000000"/>
                <w:sz w:val="18"/>
                <w:szCs w:val="18"/>
              </w:rPr>
            </w:pPr>
          </w:p>
        </w:tc>
        <w:tc>
          <w:tcPr>
            <w:tcW w:w="1417" w:type="dxa"/>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Pr>
          <w:p w:rsidR="00D322FB" w:rsidRPr="008655AD" w:rsidRDefault="00D322FB" w:rsidP="00C917DA">
            <w:pPr>
              <w:autoSpaceDE w:val="0"/>
              <w:autoSpaceDN w:val="0"/>
              <w:adjustRightInd w:val="0"/>
              <w:ind w:right="-108" w:hanging="108"/>
              <w:rPr>
                <w:rFonts w:ascii="Arial" w:hAnsi="Arial" w:cs="Arial"/>
                <w:color w:val="000000"/>
                <w:sz w:val="18"/>
                <w:szCs w:val="16"/>
              </w:rPr>
            </w:pPr>
            <w:r w:rsidRPr="008655AD">
              <w:rPr>
                <w:rFonts w:ascii="Arial" w:hAnsi="Arial" w:cs="Arial"/>
                <w:color w:val="000000"/>
                <w:sz w:val="18"/>
                <w:szCs w:val="16"/>
              </w:rPr>
              <w:t>Finansal yatırımlardaki değişim</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5</w:t>
            </w:r>
          </w:p>
        </w:tc>
        <w:tc>
          <w:tcPr>
            <w:tcW w:w="1417" w:type="dxa"/>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(4.122)</w:t>
            </w:r>
          </w:p>
        </w:tc>
        <w:tc>
          <w:tcPr>
            <w:tcW w:w="1417" w:type="dxa"/>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9.168</w:t>
            </w:r>
          </w:p>
        </w:tc>
      </w:tr>
      <w:tr w:rsidR="00D322FB" w:rsidRPr="00727376" w:rsidTr="00C713F3">
        <w:trPr>
          <w:trHeight w:val="113"/>
        </w:trPr>
        <w:tc>
          <w:tcPr>
            <w:tcW w:w="5245" w:type="dxa"/>
          </w:tcPr>
          <w:p w:rsidR="00D322FB" w:rsidRPr="008655AD" w:rsidRDefault="00D322FB" w:rsidP="00C917DA">
            <w:pPr>
              <w:autoSpaceDE w:val="0"/>
              <w:autoSpaceDN w:val="0"/>
              <w:adjustRightInd w:val="0"/>
              <w:ind w:right="-108" w:hanging="108"/>
              <w:rPr>
                <w:rFonts w:ascii="Arial" w:hAnsi="Arial" w:cs="Arial"/>
                <w:color w:val="000000"/>
                <w:sz w:val="18"/>
                <w:szCs w:val="16"/>
              </w:rPr>
            </w:pPr>
            <w:r w:rsidRPr="008655AD">
              <w:rPr>
                <w:rFonts w:ascii="Arial" w:hAnsi="Arial" w:cs="Arial"/>
                <w:color w:val="000000"/>
                <w:sz w:val="18"/>
                <w:szCs w:val="16"/>
              </w:rPr>
              <w:t>Maddi ve maddi olmayan duran varlık satın alımı</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10,11</w:t>
            </w:r>
          </w:p>
        </w:tc>
        <w:tc>
          <w:tcPr>
            <w:tcW w:w="1417" w:type="dxa"/>
            <w:vAlign w:val="bottom"/>
          </w:tcPr>
          <w:p w:rsidR="00D322FB" w:rsidRDefault="00D322FB" w:rsidP="00A93372">
            <w:pPr>
              <w:jc w:val="right"/>
              <w:rPr>
                <w:rFonts w:ascii="Arial" w:hAnsi="Arial" w:cs="Arial"/>
                <w:b/>
                <w:bCs/>
                <w:color w:val="000000"/>
                <w:sz w:val="18"/>
                <w:szCs w:val="18"/>
              </w:rPr>
            </w:pPr>
            <w:r>
              <w:rPr>
                <w:rFonts w:ascii="Arial" w:hAnsi="Arial" w:cs="Arial"/>
                <w:b/>
                <w:bCs/>
                <w:color w:val="000000"/>
                <w:sz w:val="18"/>
                <w:szCs w:val="18"/>
              </w:rPr>
              <w:t>(</w:t>
            </w:r>
            <w:r w:rsidR="00145A33">
              <w:rPr>
                <w:rFonts w:ascii="Arial" w:hAnsi="Arial" w:cs="Arial"/>
                <w:b/>
                <w:bCs/>
                <w:color w:val="000000"/>
                <w:sz w:val="18"/>
                <w:szCs w:val="18"/>
              </w:rPr>
              <w:t>4.27</w:t>
            </w:r>
            <w:r w:rsidR="00A93372">
              <w:rPr>
                <w:rFonts w:ascii="Arial" w:hAnsi="Arial" w:cs="Arial"/>
                <w:b/>
                <w:bCs/>
                <w:color w:val="000000"/>
                <w:sz w:val="18"/>
                <w:szCs w:val="18"/>
              </w:rPr>
              <w:t>3</w:t>
            </w:r>
            <w:r>
              <w:rPr>
                <w:rFonts w:ascii="Arial" w:hAnsi="Arial" w:cs="Arial"/>
                <w:b/>
                <w:bCs/>
                <w:color w:val="000000"/>
                <w:sz w:val="18"/>
                <w:szCs w:val="18"/>
              </w:rPr>
              <w:t>)</w:t>
            </w:r>
          </w:p>
        </w:tc>
        <w:tc>
          <w:tcPr>
            <w:tcW w:w="1417" w:type="dxa"/>
            <w:vAlign w:val="bottom"/>
          </w:tcPr>
          <w:p w:rsidR="00D322FB" w:rsidRDefault="00D322FB" w:rsidP="00145A33">
            <w:pPr>
              <w:jc w:val="right"/>
              <w:rPr>
                <w:rFonts w:ascii="Arial" w:hAnsi="Arial" w:cs="Arial"/>
                <w:b/>
                <w:bCs/>
                <w:color w:val="000000"/>
                <w:sz w:val="18"/>
                <w:szCs w:val="18"/>
              </w:rPr>
            </w:pPr>
            <w:r>
              <w:rPr>
                <w:rFonts w:ascii="Arial" w:hAnsi="Arial" w:cs="Arial"/>
                <w:b/>
                <w:bCs/>
                <w:color w:val="000000"/>
                <w:sz w:val="18"/>
                <w:szCs w:val="18"/>
              </w:rPr>
              <w:t>(9</w:t>
            </w:r>
            <w:r w:rsidR="00145A33">
              <w:rPr>
                <w:rFonts w:ascii="Arial" w:hAnsi="Arial" w:cs="Arial"/>
                <w:b/>
                <w:bCs/>
                <w:color w:val="000000"/>
                <w:sz w:val="18"/>
                <w:szCs w:val="18"/>
              </w:rPr>
              <w:t>51</w:t>
            </w:r>
            <w:r>
              <w:rPr>
                <w:rFonts w:ascii="Arial" w:hAnsi="Arial" w:cs="Arial"/>
                <w:b/>
                <w:bCs/>
                <w:color w:val="000000"/>
                <w:sz w:val="18"/>
                <w:szCs w:val="18"/>
              </w:rPr>
              <w:t>)</w:t>
            </w:r>
          </w:p>
        </w:tc>
      </w:tr>
      <w:tr w:rsidR="00D322FB" w:rsidRPr="00727376" w:rsidTr="00C713F3">
        <w:trPr>
          <w:trHeight w:val="113"/>
        </w:trPr>
        <w:tc>
          <w:tcPr>
            <w:tcW w:w="5245" w:type="dxa"/>
            <w:tcBorders>
              <w:bottom w:val="single" w:sz="2" w:space="0" w:color="000000"/>
            </w:tcBorders>
          </w:tcPr>
          <w:p w:rsidR="00D322FB" w:rsidRPr="00727376" w:rsidRDefault="00D322FB" w:rsidP="00C917DA">
            <w:pPr>
              <w:autoSpaceDE w:val="0"/>
              <w:autoSpaceDN w:val="0"/>
              <w:adjustRightInd w:val="0"/>
              <w:ind w:right="-108" w:hanging="108"/>
              <w:rPr>
                <w:rFonts w:ascii="Arial" w:hAnsi="Arial" w:cs="Arial"/>
                <w:color w:val="000000"/>
                <w:sz w:val="18"/>
                <w:szCs w:val="16"/>
                <w:highlight w:val="yellow"/>
              </w:rPr>
            </w:pPr>
          </w:p>
        </w:tc>
        <w:tc>
          <w:tcPr>
            <w:tcW w:w="851" w:type="dxa"/>
            <w:tcBorders>
              <w:bottom w:val="single" w:sz="2" w:space="0" w:color="000000"/>
            </w:tcBorders>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bottom w:val="single" w:sz="2" w:space="0" w:color="000000"/>
            </w:tcBorders>
            <w:vAlign w:val="bottom"/>
          </w:tcPr>
          <w:p w:rsidR="00D322FB" w:rsidRDefault="00D322FB" w:rsidP="006A29AE">
            <w:pPr>
              <w:jc w:val="right"/>
              <w:rPr>
                <w:rFonts w:ascii="Arial" w:hAnsi="Arial" w:cs="Arial"/>
                <w:b/>
                <w:bCs/>
                <w:color w:val="000000"/>
                <w:sz w:val="18"/>
                <w:szCs w:val="18"/>
              </w:rPr>
            </w:pPr>
          </w:p>
        </w:tc>
        <w:tc>
          <w:tcPr>
            <w:tcW w:w="1417" w:type="dxa"/>
            <w:tcBorders>
              <w:bottom w:val="single" w:sz="2" w:space="0" w:color="000000"/>
            </w:tcBorders>
            <w:vAlign w:val="bottom"/>
          </w:tcPr>
          <w:p w:rsidR="00D322FB" w:rsidRDefault="00D322FB" w:rsidP="00DE18BD">
            <w:pPr>
              <w:jc w:val="right"/>
              <w:rPr>
                <w:rFonts w:ascii="Arial" w:hAnsi="Arial" w:cs="Arial"/>
                <w:b/>
                <w:bCs/>
                <w:color w:val="000000"/>
                <w:sz w:val="18"/>
                <w:szCs w:val="18"/>
              </w:rPr>
            </w:pPr>
          </w:p>
        </w:tc>
      </w:tr>
      <w:tr w:rsidR="00D322FB" w:rsidRPr="00727376" w:rsidTr="00C713F3">
        <w:trPr>
          <w:trHeight w:val="113"/>
        </w:trPr>
        <w:tc>
          <w:tcPr>
            <w:tcW w:w="5245" w:type="dxa"/>
            <w:tcBorders>
              <w:top w:val="single" w:sz="2" w:space="0" w:color="000000"/>
              <w:bottom w:val="single" w:sz="2" w:space="0" w:color="000000"/>
            </w:tcBorders>
            <w:vAlign w:val="bottom"/>
          </w:tcPr>
          <w:p w:rsidR="00D322FB" w:rsidRPr="00842630" w:rsidRDefault="00D322FB" w:rsidP="001A0C62">
            <w:pPr>
              <w:ind w:left="318" w:hanging="426"/>
              <w:rPr>
                <w:rFonts w:ascii="Arial" w:hAnsi="Arial" w:cs="Arial"/>
                <w:b/>
                <w:bCs/>
                <w:color w:val="000000"/>
                <w:sz w:val="18"/>
                <w:szCs w:val="16"/>
                <w:lang w:val="de-DE"/>
              </w:rPr>
            </w:pPr>
            <w:r w:rsidRPr="00842630">
              <w:rPr>
                <w:rFonts w:ascii="Arial" w:hAnsi="Arial" w:cs="Arial"/>
                <w:b/>
                <w:bCs/>
                <w:color w:val="000000"/>
                <w:sz w:val="18"/>
                <w:szCs w:val="16"/>
                <w:lang w:val="de-DE"/>
              </w:rPr>
              <w:t>Yatırım faaliyetlerinde kullanılan net nakit</w:t>
            </w:r>
          </w:p>
        </w:tc>
        <w:tc>
          <w:tcPr>
            <w:tcW w:w="851" w:type="dxa"/>
            <w:tcBorders>
              <w:top w:val="single" w:sz="2" w:space="0" w:color="000000"/>
              <w:bottom w:val="single" w:sz="2" w:space="0" w:color="000000"/>
            </w:tcBorders>
            <w:vAlign w:val="bottom"/>
          </w:tcPr>
          <w:p w:rsidR="00D322FB" w:rsidRPr="00842630" w:rsidRDefault="00D322FB" w:rsidP="00D30A95">
            <w:pPr>
              <w:jc w:val="right"/>
              <w:rPr>
                <w:rFonts w:ascii="Arial" w:hAnsi="Arial" w:cs="Arial"/>
                <w:b/>
                <w:bCs/>
                <w:color w:val="000000"/>
                <w:sz w:val="18"/>
                <w:szCs w:val="18"/>
                <w:lang w:val="de-DE"/>
              </w:rPr>
            </w:pPr>
            <w:r w:rsidRPr="00842630">
              <w:rPr>
                <w:rFonts w:ascii="Arial" w:hAnsi="Arial" w:cs="Arial"/>
                <w:b/>
                <w:bCs/>
                <w:color w:val="000000"/>
                <w:sz w:val="18"/>
                <w:szCs w:val="18"/>
                <w:lang w:val="de-DE"/>
              </w:rPr>
              <w:t> </w:t>
            </w:r>
          </w:p>
        </w:tc>
        <w:tc>
          <w:tcPr>
            <w:tcW w:w="1417" w:type="dxa"/>
            <w:tcBorders>
              <w:top w:val="single" w:sz="2" w:space="0" w:color="000000"/>
              <w:bottom w:val="single" w:sz="2" w:space="0" w:color="000000"/>
            </w:tcBorders>
            <w:vAlign w:val="bottom"/>
          </w:tcPr>
          <w:p w:rsidR="00D322FB" w:rsidRDefault="00D322FB" w:rsidP="00A93372">
            <w:pPr>
              <w:jc w:val="right"/>
              <w:rPr>
                <w:rFonts w:ascii="Arial" w:hAnsi="Arial" w:cs="Arial"/>
                <w:b/>
                <w:bCs/>
                <w:color w:val="000000"/>
                <w:sz w:val="18"/>
                <w:szCs w:val="18"/>
              </w:rPr>
            </w:pPr>
            <w:r>
              <w:rPr>
                <w:rFonts w:ascii="Arial" w:hAnsi="Arial" w:cs="Arial"/>
                <w:b/>
                <w:bCs/>
                <w:color w:val="000000"/>
                <w:sz w:val="18"/>
                <w:szCs w:val="18"/>
              </w:rPr>
              <w:t>(</w:t>
            </w:r>
            <w:r w:rsidR="00145A33">
              <w:rPr>
                <w:rFonts w:ascii="Arial" w:hAnsi="Arial" w:cs="Arial"/>
                <w:b/>
                <w:bCs/>
                <w:color w:val="000000"/>
                <w:sz w:val="18"/>
                <w:szCs w:val="18"/>
              </w:rPr>
              <w:t>8</w:t>
            </w:r>
            <w:r>
              <w:rPr>
                <w:rFonts w:ascii="Arial" w:hAnsi="Arial" w:cs="Arial"/>
                <w:b/>
                <w:bCs/>
                <w:color w:val="000000"/>
                <w:sz w:val="18"/>
                <w:szCs w:val="18"/>
              </w:rPr>
              <w:t>.</w:t>
            </w:r>
            <w:r w:rsidR="00145A33">
              <w:rPr>
                <w:rFonts w:ascii="Arial" w:hAnsi="Arial" w:cs="Arial"/>
                <w:b/>
                <w:bCs/>
                <w:color w:val="000000"/>
                <w:sz w:val="18"/>
                <w:szCs w:val="18"/>
              </w:rPr>
              <w:t>39</w:t>
            </w:r>
            <w:r w:rsidR="00A93372">
              <w:rPr>
                <w:rFonts w:ascii="Arial" w:hAnsi="Arial" w:cs="Arial"/>
                <w:b/>
                <w:bCs/>
                <w:color w:val="000000"/>
                <w:sz w:val="18"/>
                <w:szCs w:val="18"/>
              </w:rPr>
              <w:t>5</w:t>
            </w:r>
            <w:r>
              <w:rPr>
                <w:rFonts w:ascii="Arial" w:hAnsi="Arial" w:cs="Arial"/>
                <w:b/>
                <w:bCs/>
                <w:color w:val="000000"/>
                <w:sz w:val="18"/>
                <w:szCs w:val="18"/>
              </w:rPr>
              <w:t>)</w:t>
            </w:r>
          </w:p>
        </w:tc>
        <w:tc>
          <w:tcPr>
            <w:tcW w:w="1417" w:type="dxa"/>
            <w:tcBorders>
              <w:top w:val="single" w:sz="2" w:space="0" w:color="000000"/>
              <w:bottom w:val="single" w:sz="2" w:space="0" w:color="000000"/>
            </w:tcBorders>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8.217</w:t>
            </w:r>
          </w:p>
        </w:tc>
      </w:tr>
      <w:tr w:rsidR="00D322FB" w:rsidRPr="00727376" w:rsidTr="00C713F3">
        <w:trPr>
          <w:trHeight w:val="113"/>
        </w:trPr>
        <w:tc>
          <w:tcPr>
            <w:tcW w:w="5245" w:type="dxa"/>
            <w:tcBorders>
              <w:top w:val="single" w:sz="2" w:space="0" w:color="000000"/>
            </w:tcBorders>
          </w:tcPr>
          <w:p w:rsidR="00D322FB" w:rsidRPr="00727376" w:rsidRDefault="00D322FB" w:rsidP="00C917DA">
            <w:pPr>
              <w:autoSpaceDE w:val="0"/>
              <w:autoSpaceDN w:val="0"/>
              <w:adjustRightInd w:val="0"/>
              <w:ind w:right="-108" w:hanging="108"/>
              <w:rPr>
                <w:rFonts w:ascii="Arial" w:hAnsi="Arial" w:cs="Arial"/>
                <w:color w:val="000000"/>
                <w:sz w:val="18"/>
                <w:szCs w:val="16"/>
                <w:highlight w:val="yellow"/>
              </w:rPr>
            </w:pPr>
          </w:p>
        </w:tc>
        <w:tc>
          <w:tcPr>
            <w:tcW w:w="851" w:type="dxa"/>
            <w:tcBorders>
              <w:top w:val="single" w:sz="2" w:space="0" w:color="000000"/>
            </w:tcBorders>
            <w:vAlign w:val="bottom"/>
          </w:tcPr>
          <w:p w:rsidR="00D322FB" w:rsidRDefault="00D322FB" w:rsidP="00D30A95">
            <w:pPr>
              <w:jc w:val="right"/>
              <w:rPr>
                <w:rFonts w:ascii="Arial" w:hAnsi="Arial" w:cs="Arial"/>
                <w:color w:val="000000"/>
                <w:sz w:val="18"/>
                <w:szCs w:val="18"/>
              </w:rPr>
            </w:pPr>
          </w:p>
        </w:tc>
        <w:tc>
          <w:tcPr>
            <w:tcW w:w="1417" w:type="dxa"/>
            <w:tcBorders>
              <w:top w:val="single" w:sz="2" w:space="0" w:color="000000"/>
            </w:tcBorders>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tcBorders>
              <w:top w:val="single" w:sz="2" w:space="0" w:color="000000"/>
            </w:tcBorders>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842630" w:rsidTr="00C713F3">
        <w:trPr>
          <w:trHeight w:val="113"/>
        </w:trPr>
        <w:tc>
          <w:tcPr>
            <w:tcW w:w="5245" w:type="dxa"/>
            <w:vAlign w:val="bottom"/>
          </w:tcPr>
          <w:p w:rsidR="00D322FB" w:rsidRPr="00842630" w:rsidRDefault="00D322FB" w:rsidP="001A0C62">
            <w:pPr>
              <w:ind w:left="318" w:hanging="426"/>
              <w:jc w:val="both"/>
              <w:rPr>
                <w:rFonts w:ascii="Arial" w:hAnsi="Arial" w:cs="Arial"/>
                <w:b/>
                <w:color w:val="000000"/>
                <w:sz w:val="18"/>
                <w:szCs w:val="16"/>
                <w:lang w:val="de-DE"/>
              </w:rPr>
            </w:pPr>
            <w:r w:rsidRPr="00842630">
              <w:rPr>
                <w:rFonts w:ascii="Arial" w:hAnsi="Arial" w:cs="Arial"/>
                <w:b/>
                <w:color w:val="000000"/>
                <w:sz w:val="18"/>
                <w:szCs w:val="16"/>
                <w:lang w:val="de-DE"/>
              </w:rPr>
              <w:t>C. Finansman faaliyetlerinden kaynaklanan nakit akışları</w:t>
            </w:r>
          </w:p>
        </w:tc>
        <w:tc>
          <w:tcPr>
            <w:tcW w:w="851" w:type="dxa"/>
            <w:vAlign w:val="bottom"/>
          </w:tcPr>
          <w:p w:rsidR="00D322FB" w:rsidRPr="00842630" w:rsidRDefault="00D322FB" w:rsidP="00D30A95">
            <w:pPr>
              <w:jc w:val="right"/>
              <w:rPr>
                <w:rFonts w:ascii="Arial" w:hAnsi="Arial" w:cs="Arial"/>
                <w:color w:val="000000"/>
                <w:sz w:val="18"/>
                <w:szCs w:val="18"/>
                <w:lang w:val="de-DE"/>
              </w:rPr>
            </w:pPr>
          </w:p>
        </w:tc>
        <w:tc>
          <w:tcPr>
            <w:tcW w:w="1417" w:type="dxa"/>
            <w:vAlign w:val="bottom"/>
          </w:tcPr>
          <w:p w:rsidR="00D322FB" w:rsidRPr="00842630" w:rsidRDefault="00D322FB" w:rsidP="00E125AB">
            <w:pPr>
              <w:autoSpaceDE w:val="0"/>
              <w:autoSpaceDN w:val="0"/>
              <w:adjustRightInd w:val="0"/>
              <w:jc w:val="right"/>
              <w:rPr>
                <w:rFonts w:ascii="Arial" w:hAnsi="Arial" w:cs="Arial"/>
                <w:b/>
                <w:bCs/>
                <w:color w:val="000000"/>
                <w:sz w:val="18"/>
                <w:szCs w:val="16"/>
                <w:lang w:val="de-DE"/>
              </w:rPr>
            </w:pPr>
          </w:p>
        </w:tc>
        <w:tc>
          <w:tcPr>
            <w:tcW w:w="1417" w:type="dxa"/>
            <w:vAlign w:val="bottom"/>
          </w:tcPr>
          <w:p w:rsidR="00D322FB" w:rsidRPr="00842630" w:rsidRDefault="00D322FB" w:rsidP="00DE18BD">
            <w:pPr>
              <w:autoSpaceDE w:val="0"/>
              <w:autoSpaceDN w:val="0"/>
              <w:adjustRightInd w:val="0"/>
              <w:jc w:val="right"/>
              <w:rPr>
                <w:rFonts w:ascii="Arial" w:hAnsi="Arial" w:cs="Arial"/>
                <w:b/>
                <w:bCs/>
                <w:color w:val="000000"/>
                <w:sz w:val="18"/>
                <w:szCs w:val="16"/>
                <w:lang w:val="de-DE"/>
              </w:rPr>
            </w:pPr>
          </w:p>
        </w:tc>
      </w:tr>
      <w:tr w:rsidR="00D322FB" w:rsidRPr="00842630" w:rsidTr="00C713F3">
        <w:trPr>
          <w:trHeight w:val="113"/>
        </w:trPr>
        <w:tc>
          <w:tcPr>
            <w:tcW w:w="5245" w:type="dxa"/>
          </w:tcPr>
          <w:p w:rsidR="00D322FB" w:rsidRPr="00842630" w:rsidRDefault="00D322FB" w:rsidP="00C917DA">
            <w:pPr>
              <w:autoSpaceDE w:val="0"/>
              <w:autoSpaceDN w:val="0"/>
              <w:adjustRightInd w:val="0"/>
              <w:ind w:right="-108" w:hanging="108"/>
              <w:rPr>
                <w:rFonts w:ascii="Arial" w:hAnsi="Arial" w:cs="Arial"/>
                <w:color w:val="000000"/>
                <w:sz w:val="18"/>
                <w:szCs w:val="16"/>
                <w:highlight w:val="yellow"/>
                <w:lang w:val="de-DE"/>
              </w:rPr>
            </w:pPr>
          </w:p>
        </w:tc>
        <w:tc>
          <w:tcPr>
            <w:tcW w:w="851" w:type="dxa"/>
            <w:vAlign w:val="bottom"/>
          </w:tcPr>
          <w:p w:rsidR="00D322FB" w:rsidRPr="00842630" w:rsidRDefault="00D322FB" w:rsidP="00D30A95">
            <w:pPr>
              <w:jc w:val="right"/>
              <w:rPr>
                <w:rFonts w:ascii="Arial" w:hAnsi="Arial" w:cs="Arial"/>
                <w:color w:val="000000"/>
                <w:sz w:val="18"/>
                <w:szCs w:val="18"/>
                <w:lang w:val="de-DE"/>
              </w:rPr>
            </w:pPr>
          </w:p>
        </w:tc>
        <w:tc>
          <w:tcPr>
            <w:tcW w:w="1417" w:type="dxa"/>
            <w:vAlign w:val="bottom"/>
          </w:tcPr>
          <w:p w:rsidR="00D322FB" w:rsidRPr="00842630" w:rsidRDefault="00D322FB" w:rsidP="00E125AB">
            <w:pPr>
              <w:autoSpaceDE w:val="0"/>
              <w:autoSpaceDN w:val="0"/>
              <w:adjustRightInd w:val="0"/>
              <w:jc w:val="right"/>
              <w:rPr>
                <w:rFonts w:ascii="Arial" w:hAnsi="Arial" w:cs="Arial"/>
                <w:b/>
                <w:bCs/>
                <w:color w:val="000000"/>
                <w:sz w:val="18"/>
                <w:szCs w:val="16"/>
                <w:lang w:val="de-DE"/>
              </w:rPr>
            </w:pPr>
          </w:p>
        </w:tc>
        <w:tc>
          <w:tcPr>
            <w:tcW w:w="1417" w:type="dxa"/>
            <w:vAlign w:val="bottom"/>
          </w:tcPr>
          <w:p w:rsidR="00D322FB" w:rsidRPr="00842630" w:rsidRDefault="00D322FB" w:rsidP="00DE18BD">
            <w:pPr>
              <w:autoSpaceDE w:val="0"/>
              <w:autoSpaceDN w:val="0"/>
              <w:adjustRightInd w:val="0"/>
              <w:jc w:val="right"/>
              <w:rPr>
                <w:rFonts w:ascii="Arial" w:hAnsi="Arial" w:cs="Arial"/>
                <w:b/>
                <w:bCs/>
                <w:color w:val="000000"/>
                <w:sz w:val="18"/>
                <w:szCs w:val="16"/>
                <w:lang w:val="de-DE"/>
              </w:rPr>
            </w:pPr>
          </w:p>
        </w:tc>
      </w:tr>
      <w:tr w:rsidR="00D322FB" w:rsidRPr="00727376" w:rsidTr="00C713F3">
        <w:trPr>
          <w:trHeight w:val="113"/>
        </w:trPr>
        <w:tc>
          <w:tcPr>
            <w:tcW w:w="5245" w:type="dxa"/>
          </w:tcPr>
          <w:p w:rsidR="00D322FB" w:rsidRPr="005C701B" w:rsidRDefault="00D322FB" w:rsidP="00C917DA">
            <w:pPr>
              <w:autoSpaceDE w:val="0"/>
              <w:autoSpaceDN w:val="0"/>
              <w:adjustRightInd w:val="0"/>
              <w:ind w:right="-108" w:hanging="108"/>
              <w:rPr>
                <w:rFonts w:ascii="Arial" w:hAnsi="Arial" w:cs="Arial"/>
                <w:color w:val="000000"/>
                <w:sz w:val="18"/>
                <w:szCs w:val="16"/>
              </w:rPr>
            </w:pPr>
            <w:r w:rsidRPr="005C701B">
              <w:rPr>
                <w:rFonts w:ascii="Arial" w:hAnsi="Arial" w:cs="Arial"/>
                <w:color w:val="000000"/>
                <w:sz w:val="18"/>
                <w:szCs w:val="16"/>
              </w:rPr>
              <w:t>Nakit sermaye artırımı</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15</w:t>
            </w:r>
          </w:p>
        </w:tc>
        <w:tc>
          <w:tcPr>
            <w:tcW w:w="1417" w:type="dxa"/>
            <w:vAlign w:val="bottom"/>
          </w:tcPr>
          <w:p w:rsidR="00D322FB" w:rsidRDefault="00822DCC" w:rsidP="00145A33">
            <w:pPr>
              <w:jc w:val="right"/>
              <w:rPr>
                <w:rFonts w:ascii="Arial" w:hAnsi="Arial" w:cs="Arial"/>
                <w:b/>
                <w:bCs/>
                <w:color w:val="000000"/>
                <w:sz w:val="18"/>
                <w:szCs w:val="18"/>
              </w:rPr>
            </w:pPr>
            <w:r>
              <w:rPr>
                <w:rFonts w:ascii="Arial" w:hAnsi="Arial" w:cs="Arial"/>
                <w:b/>
                <w:bCs/>
                <w:color w:val="000000"/>
                <w:sz w:val="18"/>
                <w:szCs w:val="18"/>
              </w:rPr>
              <w:t>-</w:t>
            </w:r>
          </w:p>
        </w:tc>
        <w:tc>
          <w:tcPr>
            <w:tcW w:w="1417" w:type="dxa"/>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366.275</w:t>
            </w:r>
          </w:p>
        </w:tc>
      </w:tr>
      <w:tr w:rsidR="00D322FB" w:rsidRPr="00727376" w:rsidTr="00C713F3">
        <w:trPr>
          <w:trHeight w:val="113"/>
        </w:trPr>
        <w:tc>
          <w:tcPr>
            <w:tcW w:w="5245" w:type="dxa"/>
          </w:tcPr>
          <w:p w:rsidR="00D322FB" w:rsidRPr="005C701B" w:rsidRDefault="00D322FB" w:rsidP="00C917DA">
            <w:pPr>
              <w:autoSpaceDE w:val="0"/>
              <w:autoSpaceDN w:val="0"/>
              <w:adjustRightInd w:val="0"/>
              <w:ind w:right="-108" w:hanging="108"/>
              <w:rPr>
                <w:rFonts w:ascii="Arial" w:hAnsi="Arial" w:cs="Arial"/>
                <w:color w:val="000000"/>
                <w:sz w:val="18"/>
                <w:szCs w:val="16"/>
              </w:rPr>
            </w:pPr>
            <w:r w:rsidRPr="005C701B">
              <w:rPr>
                <w:rFonts w:ascii="Arial" w:hAnsi="Arial" w:cs="Arial"/>
                <w:color w:val="000000"/>
                <w:sz w:val="18"/>
                <w:szCs w:val="16"/>
              </w:rPr>
              <w:t>Sermaye arttırımı taahhütleri</w:t>
            </w:r>
          </w:p>
        </w:tc>
        <w:tc>
          <w:tcPr>
            <w:tcW w:w="851" w:type="dxa"/>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15</w:t>
            </w:r>
          </w:p>
        </w:tc>
        <w:tc>
          <w:tcPr>
            <w:tcW w:w="1417" w:type="dxa"/>
            <w:vAlign w:val="bottom"/>
          </w:tcPr>
          <w:p w:rsidR="00D322FB" w:rsidRDefault="00D322FB" w:rsidP="006A29AE">
            <w:pPr>
              <w:jc w:val="right"/>
              <w:rPr>
                <w:rFonts w:ascii="Arial" w:hAnsi="Arial" w:cs="Arial"/>
                <w:b/>
                <w:bCs/>
                <w:color w:val="000000"/>
                <w:sz w:val="18"/>
                <w:szCs w:val="18"/>
              </w:rPr>
            </w:pPr>
            <w:r>
              <w:rPr>
                <w:rFonts w:ascii="Arial" w:hAnsi="Arial" w:cs="Arial"/>
                <w:b/>
                <w:bCs/>
                <w:color w:val="000000"/>
                <w:sz w:val="18"/>
                <w:szCs w:val="18"/>
              </w:rPr>
              <w:t>-</w:t>
            </w:r>
          </w:p>
        </w:tc>
        <w:tc>
          <w:tcPr>
            <w:tcW w:w="1417" w:type="dxa"/>
            <w:vAlign w:val="bottom"/>
          </w:tcPr>
          <w:p w:rsidR="00D322FB" w:rsidRDefault="00D322FB" w:rsidP="00DE18BD">
            <w:pPr>
              <w:jc w:val="right"/>
              <w:rPr>
                <w:rFonts w:ascii="Arial" w:hAnsi="Arial" w:cs="Arial"/>
                <w:b/>
                <w:bCs/>
                <w:color w:val="000000"/>
                <w:sz w:val="18"/>
                <w:szCs w:val="18"/>
              </w:rPr>
            </w:pPr>
            <w:r>
              <w:rPr>
                <w:rFonts w:ascii="Arial" w:hAnsi="Arial" w:cs="Arial"/>
                <w:b/>
                <w:bCs/>
                <w:color w:val="000000"/>
                <w:sz w:val="18"/>
                <w:szCs w:val="18"/>
              </w:rPr>
              <w:t>-</w:t>
            </w:r>
          </w:p>
        </w:tc>
      </w:tr>
      <w:tr w:rsidR="00D322FB" w:rsidRPr="00727376" w:rsidTr="00C713F3">
        <w:trPr>
          <w:trHeight w:val="113"/>
        </w:trPr>
        <w:tc>
          <w:tcPr>
            <w:tcW w:w="5245" w:type="dxa"/>
            <w:tcBorders>
              <w:bottom w:val="single" w:sz="2" w:space="0" w:color="000000"/>
            </w:tcBorders>
          </w:tcPr>
          <w:p w:rsidR="00D322FB" w:rsidRPr="005C701B" w:rsidRDefault="00D322FB" w:rsidP="00C917DA">
            <w:pPr>
              <w:autoSpaceDE w:val="0"/>
              <w:autoSpaceDN w:val="0"/>
              <w:adjustRightInd w:val="0"/>
              <w:ind w:right="-108" w:hanging="108"/>
              <w:rPr>
                <w:rFonts w:ascii="Arial" w:hAnsi="Arial" w:cs="Arial"/>
                <w:color w:val="000000"/>
                <w:sz w:val="18"/>
                <w:szCs w:val="16"/>
              </w:rPr>
            </w:pPr>
          </w:p>
        </w:tc>
        <w:tc>
          <w:tcPr>
            <w:tcW w:w="851" w:type="dxa"/>
            <w:tcBorders>
              <w:bottom w:val="single" w:sz="2" w:space="0" w:color="000000"/>
            </w:tcBorders>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bottom w:val="single" w:sz="2" w:space="0" w:color="000000"/>
            </w:tcBorders>
            <w:vAlign w:val="bottom"/>
          </w:tcPr>
          <w:p w:rsidR="00D322FB" w:rsidRDefault="00D322FB" w:rsidP="006A29AE">
            <w:pPr>
              <w:jc w:val="right"/>
              <w:rPr>
                <w:rFonts w:ascii="Arial" w:hAnsi="Arial" w:cs="Arial"/>
                <w:b/>
                <w:bCs/>
                <w:color w:val="000000"/>
                <w:sz w:val="18"/>
                <w:szCs w:val="18"/>
              </w:rPr>
            </w:pPr>
          </w:p>
        </w:tc>
        <w:tc>
          <w:tcPr>
            <w:tcW w:w="1417" w:type="dxa"/>
            <w:tcBorders>
              <w:bottom w:val="single" w:sz="2" w:space="0" w:color="000000"/>
            </w:tcBorders>
            <w:vAlign w:val="bottom"/>
          </w:tcPr>
          <w:p w:rsidR="00D322FB" w:rsidRDefault="00D322FB" w:rsidP="00DE18BD">
            <w:pPr>
              <w:jc w:val="right"/>
              <w:rPr>
                <w:rFonts w:ascii="Arial" w:hAnsi="Arial" w:cs="Arial"/>
                <w:b/>
                <w:bCs/>
                <w:color w:val="000000"/>
                <w:sz w:val="18"/>
                <w:szCs w:val="18"/>
              </w:rPr>
            </w:pPr>
          </w:p>
        </w:tc>
      </w:tr>
      <w:tr w:rsidR="00D322FB" w:rsidRPr="00727376" w:rsidTr="00C713F3">
        <w:trPr>
          <w:trHeight w:val="113"/>
        </w:trPr>
        <w:tc>
          <w:tcPr>
            <w:tcW w:w="5245" w:type="dxa"/>
            <w:tcBorders>
              <w:top w:val="single" w:sz="2" w:space="0" w:color="000000"/>
              <w:bottom w:val="single" w:sz="2" w:space="0" w:color="000000"/>
            </w:tcBorders>
          </w:tcPr>
          <w:p w:rsidR="00D322FB" w:rsidRPr="00842630" w:rsidRDefault="00D322FB" w:rsidP="00C917DA">
            <w:pPr>
              <w:autoSpaceDE w:val="0"/>
              <w:autoSpaceDN w:val="0"/>
              <w:adjustRightInd w:val="0"/>
              <w:ind w:right="-108" w:hanging="108"/>
              <w:rPr>
                <w:rFonts w:ascii="Arial" w:hAnsi="Arial" w:cs="Arial"/>
                <w:b/>
                <w:bCs/>
                <w:color w:val="000000"/>
                <w:sz w:val="18"/>
                <w:szCs w:val="16"/>
                <w:lang w:val="de-DE"/>
              </w:rPr>
            </w:pPr>
            <w:r w:rsidRPr="00842630">
              <w:rPr>
                <w:rFonts w:ascii="Arial" w:hAnsi="Arial" w:cs="Arial"/>
                <w:b/>
                <w:bCs/>
                <w:color w:val="000000"/>
                <w:sz w:val="18"/>
                <w:szCs w:val="16"/>
                <w:lang w:val="de-DE"/>
              </w:rPr>
              <w:t>Finansman faaliyetlerinde kullanılan net nakit</w:t>
            </w:r>
          </w:p>
        </w:tc>
        <w:tc>
          <w:tcPr>
            <w:tcW w:w="851" w:type="dxa"/>
            <w:tcBorders>
              <w:top w:val="single" w:sz="2" w:space="0" w:color="000000"/>
              <w:bottom w:val="single" w:sz="2" w:space="0" w:color="000000"/>
            </w:tcBorders>
            <w:vAlign w:val="bottom"/>
          </w:tcPr>
          <w:p w:rsidR="00D322FB" w:rsidRPr="00842630" w:rsidRDefault="00D322FB" w:rsidP="00D30A95">
            <w:pPr>
              <w:jc w:val="right"/>
              <w:rPr>
                <w:rFonts w:ascii="Arial" w:hAnsi="Arial" w:cs="Arial"/>
                <w:color w:val="000000"/>
                <w:sz w:val="18"/>
                <w:szCs w:val="18"/>
                <w:lang w:val="de-DE"/>
              </w:rPr>
            </w:pPr>
            <w:r w:rsidRPr="00842630">
              <w:rPr>
                <w:rFonts w:ascii="Arial" w:hAnsi="Arial" w:cs="Arial"/>
                <w:color w:val="000000"/>
                <w:sz w:val="18"/>
                <w:szCs w:val="18"/>
                <w:lang w:val="de-DE"/>
              </w:rPr>
              <w:t> </w:t>
            </w:r>
          </w:p>
        </w:tc>
        <w:tc>
          <w:tcPr>
            <w:tcW w:w="1417" w:type="dxa"/>
            <w:tcBorders>
              <w:top w:val="single" w:sz="2" w:space="0" w:color="000000"/>
              <w:bottom w:val="single" w:sz="2" w:space="0" w:color="000000"/>
            </w:tcBorders>
            <w:vAlign w:val="bottom"/>
          </w:tcPr>
          <w:p w:rsidR="00D322FB" w:rsidRDefault="00D322FB" w:rsidP="00145A33">
            <w:pPr>
              <w:jc w:val="right"/>
              <w:rPr>
                <w:rFonts w:ascii="Arial" w:hAnsi="Arial" w:cs="Arial"/>
                <w:b/>
                <w:bCs/>
                <w:color w:val="000000"/>
                <w:sz w:val="18"/>
                <w:szCs w:val="18"/>
              </w:rPr>
            </w:pPr>
          </w:p>
        </w:tc>
        <w:tc>
          <w:tcPr>
            <w:tcW w:w="1417" w:type="dxa"/>
            <w:tcBorders>
              <w:top w:val="single" w:sz="2" w:space="0" w:color="000000"/>
              <w:bottom w:val="single" w:sz="2" w:space="0" w:color="000000"/>
            </w:tcBorders>
            <w:vAlign w:val="bottom"/>
          </w:tcPr>
          <w:p w:rsidR="00D322FB" w:rsidRDefault="00145A33" w:rsidP="00145A33">
            <w:pPr>
              <w:jc w:val="right"/>
              <w:rPr>
                <w:rFonts w:ascii="Arial" w:hAnsi="Arial" w:cs="Arial"/>
                <w:b/>
                <w:bCs/>
                <w:color w:val="000000"/>
                <w:sz w:val="18"/>
                <w:szCs w:val="18"/>
              </w:rPr>
            </w:pPr>
            <w:r>
              <w:rPr>
                <w:rFonts w:ascii="Arial" w:hAnsi="Arial" w:cs="Arial"/>
                <w:b/>
                <w:bCs/>
                <w:color w:val="000000"/>
                <w:sz w:val="18"/>
                <w:szCs w:val="18"/>
              </w:rPr>
              <w:t>366.275</w:t>
            </w:r>
          </w:p>
        </w:tc>
      </w:tr>
      <w:tr w:rsidR="00D322FB" w:rsidRPr="00727376" w:rsidTr="00C713F3">
        <w:trPr>
          <w:trHeight w:val="113"/>
        </w:trPr>
        <w:tc>
          <w:tcPr>
            <w:tcW w:w="5245" w:type="dxa"/>
            <w:tcBorders>
              <w:top w:val="single" w:sz="2" w:space="0" w:color="000000"/>
              <w:bottom w:val="single" w:sz="2" w:space="0" w:color="000000"/>
            </w:tcBorders>
          </w:tcPr>
          <w:p w:rsidR="00D322FB" w:rsidRPr="005C701B" w:rsidRDefault="00D322FB" w:rsidP="00C917DA">
            <w:pPr>
              <w:autoSpaceDE w:val="0"/>
              <w:autoSpaceDN w:val="0"/>
              <w:adjustRightInd w:val="0"/>
              <w:ind w:right="-108" w:hanging="108"/>
              <w:rPr>
                <w:rFonts w:ascii="Arial" w:hAnsi="Arial" w:cs="Arial"/>
                <w:color w:val="000000"/>
                <w:sz w:val="18"/>
                <w:szCs w:val="16"/>
              </w:rPr>
            </w:pPr>
          </w:p>
        </w:tc>
        <w:tc>
          <w:tcPr>
            <w:tcW w:w="851" w:type="dxa"/>
            <w:tcBorders>
              <w:top w:val="single" w:sz="2" w:space="0" w:color="000000"/>
              <w:bottom w:val="single" w:sz="2" w:space="0" w:color="000000"/>
            </w:tcBorders>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tcBorders>
              <w:top w:val="single" w:sz="2" w:space="0" w:color="000000"/>
              <w:bottom w:val="single" w:sz="2" w:space="0" w:color="000000"/>
            </w:tcBorders>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Borders>
              <w:top w:val="single" w:sz="2" w:space="0" w:color="000000"/>
              <w:bottom w:val="single" w:sz="2" w:space="0" w:color="000000"/>
            </w:tcBorders>
            <w:vAlign w:val="bottom"/>
          </w:tcPr>
          <w:p w:rsidR="00D322FB" w:rsidRPr="005C701B" w:rsidRDefault="00D322FB" w:rsidP="001A0C62">
            <w:pPr>
              <w:ind w:left="318" w:hanging="426"/>
              <w:rPr>
                <w:rFonts w:ascii="Arial" w:hAnsi="Arial" w:cs="Arial"/>
                <w:b/>
                <w:bCs/>
                <w:color w:val="000000"/>
                <w:sz w:val="18"/>
                <w:szCs w:val="16"/>
              </w:rPr>
            </w:pPr>
            <w:r w:rsidRPr="005C701B">
              <w:rPr>
                <w:rFonts w:ascii="Arial" w:hAnsi="Arial" w:cs="Arial"/>
                <w:b/>
                <w:bCs/>
                <w:color w:val="000000"/>
                <w:sz w:val="18"/>
                <w:szCs w:val="16"/>
              </w:rPr>
              <w:t>Nakit ve nakit benzeri değerlerdeki net artış / (azalış) (A+B+C)</w:t>
            </w:r>
          </w:p>
        </w:tc>
        <w:tc>
          <w:tcPr>
            <w:tcW w:w="851" w:type="dxa"/>
            <w:tcBorders>
              <w:top w:val="single" w:sz="2" w:space="0" w:color="000000"/>
              <w:bottom w:val="single" w:sz="2" w:space="0" w:color="000000"/>
            </w:tcBorders>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D322FB" w:rsidRPr="00D30A95" w:rsidRDefault="00D322FB" w:rsidP="0040242B">
            <w:pPr>
              <w:jc w:val="right"/>
              <w:rPr>
                <w:rFonts w:ascii="Arial" w:hAnsi="Arial" w:cs="Arial"/>
                <w:b/>
                <w:color w:val="000000"/>
                <w:sz w:val="18"/>
                <w:szCs w:val="18"/>
              </w:rPr>
            </w:pPr>
            <w:r w:rsidRPr="00D30A95">
              <w:rPr>
                <w:rFonts w:ascii="Arial" w:hAnsi="Arial" w:cs="Arial"/>
                <w:b/>
                <w:color w:val="000000"/>
                <w:sz w:val="18"/>
                <w:szCs w:val="18"/>
              </w:rPr>
              <w:t>1</w:t>
            </w:r>
            <w:r w:rsidR="0040242B">
              <w:rPr>
                <w:rFonts w:ascii="Arial" w:hAnsi="Arial" w:cs="Arial"/>
                <w:b/>
                <w:color w:val="000000"/>
                <w:sz w:val="18"/>
                <w:szCs w:val="18"/>
              </w:rPr>
              <w:t>04</w:t>
            </w:r>
            <w:r w:rsidRPr="00D30A95">
              <w:rPr>
                <w:rFonts w:ascii="Arial" w:hAnsi="Arial" w:cs="Arial"/>
                <w:b/>
                <w:color w:val="000000"/>
                <w:sz w:val="18"/>
                <w:szCs w:val="18"/>
              </w:rPr>
              <w:t>.</w:t>
            </w:r>
            <w:r w:rsidR="0040242B">
              <w:rPr>
                <w:rFonts w:ascii="Arial" w:hAnsi="Arial" w:cs="Arial"/>
                <w:b/>
                <w:color w:val="000000"/>
                <w:sz w:val="18"/>
                <w:szCs w:val="18"/>
              </w:rPr>
              <w:t>886</w:t>
            </w:r>
          </w:p>
        </w:tc>
        <w:tc>
          <w:tcPr>
            <w:tcW w:w="1417" w:type="dxa"/>
            <w:tcBorders>
              <w:top w:val="single" w:sz="2" w:space="0" w:color="000000"/>
              <w:bottom w:val="single" w:sz="2" w:space="0" w:color="000000"/>
            </w:tcBorders>
            <w:vAlign w:val="bottom"/>
          </w:tcPr>
          <w:p w:rsidR="00D322FB" w:rsidRPr="00D30A95" w:rsidRDefault="00145A33" w:rsidP="00145A33">
            <w:pPr>
              <w:jc w:val="right"/>
              <w:rPr>
                <w:rFonts w:ascii="Arial" w:hAnsi="Arial" w:cs="Arial"/>
                <w:b/>
                <w:color w:val="000000"/>
                <w:sz w:val="18"/>
                <w:szCs w:val="18"/>
              </w:rPr>
            </w:pPr>
            <w:r>
              <w:rPr>
                <w:rFonts w:ascii="Arial" w:hAnsi="Arial" w:cs="Arial"/>
                <w:b/>
                <w:color w:val="000000"/>
                <w:sz w:val="18"/>
                <w:szCs w:val="18"/>
              </w:rPr>
              <w:t>24.334</w:t>
            </w:r>
          </w:p>
        </w:tc>
      </w:tr>
      <w:tr w:rsidR="00D322FB" w:rsidRPr="00727376" w:rsidTr="00C713F3">
        <w:trPr>
          <w:trHeight w:val="113"/>
        </w:trPr>
        <w:tc>
          <w:tcPr>
            <w:tcW w:w="5245" w:type="dxa"/>
            <w:tcBorders>
              <w:top w:val="single" w:sz="2" w:space="0" w:color="000000"/>
              <w:bottom w:val="single" w:sz="2" w:space="0" w:color="000000"/>
            </w:tcBorders>
            <w:vAlign w:val="bottom"/>
          </w:tcPr>
          <w:p w:rsidR="00D322FB" w:rsidRPr="005C701B" w:rsidRDefault="00D322FB" w:rsidP="001A0C62">
            <w:pPr>
              <w:ind w:left="318" w:hanging="426"/>
              <w:rPr>
                <w:rFonts w:ascii="Arial" w:hAnsi="Arial" w:cs="Arial"/>
                <w:color w:val="000000"/>
                <w:sz w:val="18"/>
                <w:szCs w:val="16"/>
              </w:rPr>
            </w:pPr>
            <w:r w:rsidRPr="005C701B">
              <w:rPr>
                <w:rFonts w:ascii="Arial" w:hAnsi="Arial" w:cs="Arial"/>
                <w:color w:val="000000"/>
                <w:sz w:val="18"/>
                <w:szCs w:val="16"/>
              </w:rPr>
              <w:t> </w:t>
            </w:r>
          </w:p>
        </w:tc>
        <w:tc>
          <w:tcPr>
            <w:tcW w:w="851" w:type="dxa"/>
            <w:tcBorders>
              <w:top w:val="single" w:sz="2" w:space="0" w:color="000000"/>
              <w:bottom w:val="single" w:sz="2" w:space="0" w:color="000000"/>
            </w:tcBorders>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tcBorders>
              <w:top w:val="single" w:sz="2" w:space="0" w:color="000000"/>
              <w:bottom w:val="single" w:sz="2" w:space="0" w:color="000000"/>
            </w:tcBorders>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Borders>
              <w:top w:val="single" w:sz="2" w:space="0" w:color="000000"/>
              <w:bottom w:val="single" w:sz="2" w:space="0" w:color="000000"/>
            </w:tcBorders>
            <w:vAlign w:val="bottom"/>
          </w:tcPr>
          <w:p w:rsidR="00D322FB" w:rsidRPr="00842630" w:rsidRDefault="00D322FB" w:rsidP="001A0C62">
            <w:pPr>
              <w:ind w:left="318" w:hanging="426"/>
              <w:rPr>
                <w:rFonts w:ascii="Arial" w:hAnsi="Arial" w:cs="Arial"/>
                <w:b/>
                <w:bCs/>
                <w:color w:val="000000"/>
                <w:sz w:val="18"/>
                <w:szCs w:val="16"/>
                <w:lang w:val="de-DE"/>
              </w:rPr>
            </w:pPr>
            <w:r w:rsidRPr="00842630">
              <w:rPr>
                <w:rFonts w:ascii="Arial" w:hAnsi="Arial" w:cs="Arial"/>
                <w:b/>
                <w:bCs/>
                <w:color w:val="000000"/>
                <w:sz w:val="18"/>
                <w:szCs w:val="16"/>
                <w:lang w:val="de-DE"/>
              </w:rPr>
              <w:t>D. Dönem başı nakit ve nakit benzerleri</w:t>
            </w:r>
          </w:p>
        </w:tc>
        <w:tc>
          <w:tcPr>
            <w:tcW w:w="851" w:type="dxa"/>
            <w:tcBorders>
              <w:top w:val="single" w:sz="2" w:space="0" w:color="000000"/>
              <w:bottom w:val="single" w:sz="2" w:space="0" w:color="000000"/>
            </w:tcBorders>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4</w:t>
            </w:r>
          </w:p>
        </w:tc>
        <w:tc>
          <w:tcPr>
            <w:tcW w:w="1417" w:type="dxa"/>
            <w:tcBorders>
              <w:top w:val="single" w:sz="2" w:space="0" w:color="000000"/>
              <w:bottom w:val="single" w:sz="2" w:space="0" w:color="000000"/>
            </w:tcBorders>
            <w:vAlign w:val="bottom"/>
          </w:tcPr>
          <w:p w:rsidR="00D322FB" w:rsidRPr="00D30A95" w:rsidRDefault="0040242B" w:rsidP="0040242B">
            <w:pPr>
              <w:jc w:val="right"/>
              <w:rPr>
                <w:rFonts w:ascii="Arial" w:hAnsi="Arial" w:cs="Arial"/>
                <w:b/>
                <w:color w:val="000000"/>
                <w:sz w:val="18"/>
                <w:szCs w:val="18"/>
              </w:rPr>
            </w:pPr>
            <w:r>
              <w:rPr>
                <w:rFonts w:ascii="Arial" w:hAnsi="Arial" w:cs="Arial"/>
                <w:b/>
                <w:color w:val="000000"/>
                <w:sz w:val="18"/>
                <w:szCs w:val="18"/>
              </w:rPr>
              <w:t>1.122.347</w:t>
            </w:r>
          </w:p>
        </w:tc>
        <w:tc>
          <w:tcPr>
            <w:tcW w:w="1417" w:type="dxa"/>
            <w:tcBorders>
              <w:top w:val="single" w:sz="2" w:space="0" w:color="000000"/>
              <w:bottom w:val="single" w:sz="2" w:space="0" w:color="000000"/>
            </w:tcBorders>
            <w:vAlign w:val="bottom"/>
          </w:tcPr>
          <w:p w:rsidR="00D322FB" w:rsidRPr="00D30A95" w:rsidRDefault="00D322FB" w:rsidP="00DE18BD">
            <w:pPr>
              <w:jc w:val="right"/>
              <w:rPr>
                <w:rFonts w:ascii="Arial" w:hAnsi="Arial" w:cs="Arial"/>
                <w:b/>
                <w:color w:val="000000"/>
                <w:sz w:val="18"/>
                <w:szCs w:val="18"/>
              </w:rPr>
            </w:pPr>
            <w:r w:rsidRPr="00D30A95">
              <w:rPr>
                <w:rFonts w:ascii="Arial" w:hAnsi="Arial" w:cs="Arial"/>
                <w:b/>
                <w:color w:val="000000"/>
                <w:sz w:val="18"/>
                <w:szCs w:val="18"/>
              </w:rPr>
              <w:t>962.219</w:t>
            </w:r>
          </w:p>
        </w:tc>
      </w:tr>
      <w:tr w:rsidR="00D322FB" w:rsidRPr="00727376" w:rsidTr="00C713F3">
        <w:trPr>
          <w:trHeight w:val="113"/>
        </w:trPr>
        <w:tc>
          <w:tcPr>
            <w:tcW w:w="5245" w:type="dxa"/>
            <w:tcBorders>
              <w:top w:val="single" w:sz="2" w:space="0" w:color="000000"/>
              <w:bottom w:val="single" w:sz="2" w:space="0" w:color="000000"/>
            </w:tcBorders>
            <w:vAlign w:val="bottom"/>
          </w:tcPr>
          <w:p w:rsidR="00D322FB" w:rsidRPr="005C701B" w:rsidRDefault="00D322FB" w:rsidP="001A0C62">
            <w:pPr>
              <w:ind w:left="318" w:hanging="426"/>
              <w:rPr>
                <w:rFonts w:ascii="Arial" w:hAnsi="Arial" w:cs="Arial"/>
                <w:b/>
                <w:bCs/>
                <w:color w:val="000000"/>
                <w:sz w:val="18"/>
                <w:szCs w:val="16"/>
              </w:rPr>
            </w:pPr>
          </w:p>
        </w:tc>
        <w:tc>
          <w:tcPr>
            <w:tcW w:w="851" w:type="dxa"/>
            <w:tcBorders>
              <w:top w:val="single" w:sz="2" w:space="0" w:color="000000"/>
              <w:bottom w:val="single" w:sz="2" w:space="0" w:color="000000"/>
            </w:tcBorders>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D322FB" w:rsidRPr="00D30A95" w:rsidRDefault="00D322FB" w:rsidP="00E125AB">
            <w:pPr>
              <w:autoSpaceDE w:val="0"/>
              <w:autoSpaceDN w:val="0"/>
              <w:adjustRightInd w:val="0"/>
              <w:jc w:val="right"/>
              <w:rPr>
                <w:rFonts w:ascii="Arial" w:hAnsi="Arial" w:cs="Arial"/>
                <w:b/>
                <w:bCs/>
                <w:color w:val="000000"/>
                <w:sz w:val="18"/>
                <w:szCs w:val="16"/>
              </w:rPr>
            </w:pPr>
          </w:p>
        </w:tc>
        <w:tc>
          <w:tcPr>
            <w:tcW w:w="1417" w:type="dxa"/>
            <w:tcBorders>
              <w:top w:val="single" w:sz="2" w:space="0" w:color="000000"/>
              <w:bottom w:val="single" w:sz="2" w:space="0" w:color="000000"/>
            </w:tcBorders>
            <w:vAlign w:val="bottom"/>
          </w:tcPr>
          <w:p w:rsidR="00D322FB" w:rsidRPr="00D30A95" w:rsidRDefault="00D322FB" w:rsidP="00DE18BD">
            <w:pPr>
              <w:autoSpaceDE w:val="0"/>
              <w:autoSpaceDN w:val="0"/>
              <w:adjustRightInd w:val="0"/>
              <w:jc w:val="right"/>
              <w:rPr>
                <w:rFonts w:ascii="Arial" w:hAnsi="Arial" w:cs="Arial"/>
                <w:b/>
                <w:bCs/>
                <w:color w:val="000000"/>
                <w:sz w:val="18"/>
                <w:szCs w:val="16"/>
              </w:rPr>
            </w:pPr>
          </w:p>
        </w:tc>
      </w:tr>
      <w:tr w:rsidR="00D322FB" w:rsidRPr="00727376" w:rsidTr="00C713F3">
        <w:trPr>
          <w:trHeight w:val="113"/>
        </w:trPr>
        <w:tc>
          <w:tcPr>
            <w:tcW w:w="5245" w:type="dxa"/>
            <w:tcBorders>
              <w:top w:val="single" w:sz="2" w:space="0" w:color="000000"/>
              <w:bottom w:val="double" w:sz="4" w:space="0" w:color="auto"/>
            </w:tcBorders>
            <w:vAlign w:val="bottom"/>
          </w:tcPr>
          <w:p w:rsidR="00D322FB" w:rsidRPr="00842630" w:rsidRDefault="00D322FB" w:rsidP="001A0C62">
            <w:pPr>
              <w:ind w:left="318" w:hanging="426"/>
              <w:rPr>
                <w:rFonts w:ascii="Arial" w:hAnsi="Arial" w:cs="Arial"/>
                <w:b/>
                <w:bCs/>
                <w:color w:val="000000"/>
                <w:sz w:val="18"/>
                <w:szCs w:val="16"/>
                <w:lang w:val="de-DE"/>
              </w:rPr>
            </w:pPr>
            <w:r w:rsidRPr="00842630">
              <w:rPr>
                <w:rFonts w:ascii="Arial" w:hAnsi="Arial" w:cs="Arial"/>
                <w:b/>
                <w:bCs/>
                <w:color w:val="000000"/>
                <w:sz w:val="18"/>
                <w:szCs w:val="16"/>
                <w:lang w:val="de-DE"/>
              </w:rPr>
              <w:t>Dönem sonu nakit ve nakit benzerleri (A+B+C+D)</w:t>
            </w:r>
          </w:p>
        </w:tc>
        <w:tc>
          <w:tcPr>
            <w:tcW w:w="851" w:type="dxa"/>
            <w:tcBorders>
              <w:top w:val="single" w:sz="2" w:space="0" w:color="000000"/>
              <w:bottom w:val="double" w:sz="4" w:space="0" w:color="auto"/>
            </w:tcBorders>
            <w:vAlign w:val="bottom"/>
          </w:tcPr>
          <w:p w:rsidR="00D322FB" w:rsidRDefault="00D322FB" w:rsidP="00D30A95">
            <w:pPr>
              <w:jc w:val="right"/>
              <w:rPr>
                <w:rFonts w:ascii="Arial" w:hAnsi="Arial" w:cs="Arial"/>
                <w:color w:val="000000"/>
                <w:sz w:val="18"/>
                <w:szCs w:val="18"/>
              </w:rPr>
            </w:pPr>
            <w:r>
              <w:rPr>
                <w:rFonts w:ascii="Arial" w:hAnsi="Arial" w:cs="Arial"/>
                <w:color w:val="000000"/>
                <w:sz w:val="18"/>
                <w:szCs w:val="18"/>
              </w:rPr>
              <w:t>4</w:t>
            </w:r>
          </w:p>
        </w:tc>
        <w:tc>
          <w:tcPr>
            <w:tcW w:w="1417" w:type="dxa"/>
            <w:tcBorders>
              <w:top w:val="single" w:sz="2" w:space="0" w:color="000000"/>
              <w:bottom w:val="double" w:sz="4" w:space="0" w:color="auto"/>
            </w:tcBorders>
            <w:vAlign w:val="bottom"/>
          </w:tcPr>
          <w:p w:rsidR="00D322FB" w:rsidRPr="00E5025F" w:rsidRDefault="00D322FB" w:rsidP="008863E9">
            <w:pPr>
              <w:jc w:val="right"/>
              <w:rPr>
                <w:rFonts w:ascii="Arial" w:hAnsi="Arial" w:cs="Arial"/>
                <w:b/>
                <w:color w:val="000000"/>
                <w:sz w:val="18"/>
                <w:szCs w:val="18"/>
              </w:rPr>
            </w:pPr>
            <w:r w:rsidRPr="00155F70">
              <w:rPr>
                <w:rFonts w:ascii="Arial" w:hAnsi="Arial" w:cs="Arial"/>
                <w:b/>
                <w:color w:val="000000"/>
                <w:sz w:val="18"/>
                <w:szCs w:val="18"/>
              </w:rPr>
              <w:t>1.</w:t>
            </w:r>
            <w:r w:rsidR="005C4C08">
              <w:rPr>
                <w:rFonts w:ascii="Arial" w:hAnsi="Arial" w:cs="Arial"/>
                <w:b/>
                <w:color w:val="000000"/>
                <w:sz w:val="18"/>
                <w:szCs w:val="18"/>
              </w:rPr>
              <w:t>227</w:t>
            </w:r>
            <w:r w:rsidRPr="00155F70">
              <w:rPr>
                <w:rFonts w:ascii="Arial" w:hAnsi="Arial" w:cs="Arial"/>
                <w:b/>
                <w:color w:val="000000"/>
                <w:sz w:val="18"/>
                <w:szCs w:val="18"/>
              </w:rPr>
              <w:t>.</w:t>
            </w:r>
            <w:r w:rsidR="005C4C08">
              <w:rPr>
                <w:rFonts w:ascii="Arial" w:hAnsi="Arial" w:cs="Arial"/>
                <w:b/>
                <w:color w:val="000000"/>
                <w:sz w:val="18"/>
                <w:szCs w:val="18"/>
              </w:rPr>
              <w:t>23</w:t>
            </w:r>
            <w:r w:rsidR="008863E9">
              <w:rPr>
                <w:rFonts w:ascii="Arial" w:hAnsi="Arial" w:cs="Arial"/>
                <w:b/>
                <w:color w:val="000000"/>
                <w:sz w:val="18"/>
                <w:szCs w:val="18"/>
              </w:rPr>
              <w:t>3</w:t>
            </w:r>
          </w:p>
        </w:tc>
        <w:tc>
          <w:tcPr>
            <w:tcW w:w="1417" w:type="dxa"/>
            <w:tcBorders>
              <w:top w:val="single" w:sz="2" w:space="0" w:color="000000"/>
              <w:bottom w:val="double" w:sz="4" w:space="0" w:color="auto"/>
            </w:tcBorders>
            <w:vAlign w:val="bottom"/>
          </w:tcPr>
          <w:p w:rsidR="00D322FB" w:rsidRPr="00E5025F" w:rsidRDefault="00145A33" w:rsidP="00145A33">
            <w:pPr>
              <w:jc w:val="right"/>
              <w:rPr>
                <w:rFonts w:ascii="Arial" w:hAnsi="Arial" w:cs="Arial"/>
                <w:b/>
                <w:color w:val="000000"/>
                <w:sz w:val="18"/>
                <w:szCs w:val="18"/>
              </w:rPr>
            </w:pPr>
            <w:r>
              <w:rPr>
                <w:rFonts w:ascii="Arial" w:hAnsi="Arial" w:cs="Arial"/>
                <w:b/>
                <w:color w:val="000000"/>
                <w:sz w:val="18"/>
                <w:szCs w:val="18"/>
              </w:rPr>
              <w:t>986</w:t>
            </w:r>
            <w:r w:rsidR="00D322FB" w:rsidRPr="00155F70">
              <w:rPr>
                <w:rFonts w:ascii="Arial" w:hAnsi="Arial" w:cs="Arial"/>
                <w:b/>
                <w:color w:val="000000"/>
                <w:sz w:val="18"/>
                <w:szCs w:val="18"/>
              </w:rPr>
              <w:t>.</w:t>
            </w:r>
            <w:r>
              <w:rPr>
                <w:rFonts w:ascii="Arial" w:hAnsi="Arial" w:cs="Arial"/>
                <w:b/>
                <w:color w:val="000000"/>
                <w:sz w:val="18"/>
                <w:szCs w:val="18"/>
              </w:rPr>
              <w:t>552</w:t>
            </w:r>
          </w:p>
        </w:tc>
      </w:tr>
    </w:tbl>
    <w:p w:rsidR="00D322FB" w:rsidRPr="00727376" w:rsidRDefault="00D322FB" w:rsidP="00AE0484">
      <w:pPr>
        <w:rPr>
          <w:rFonts w:ascii="Arial" w:hAnsi="Arial" w:cs="Arial"/>
          <w:highlight w:val="yellow"/>
          <w:lang w:val="tr-TR"/>
        </w:rPr>
        <w:sectPr w:rsidR="00D322FB" w:rsidRPr="00727376" w:rsidSect="00C917DA">
          <w:headerReference w:type="default" r:id="rId12"/>
          <w:pgSz w:w="11907" w:h="16834" w:code="9"/>
          <w:pgMar w:top="1418" w:right="1418" w:bottom="1418" w:left="1418" w:header="709" w:footer="703" w:gutter="0"/>
          <w:cols w:space="708"/>
          <w:docGrid w:linePitch="272"/>
        </w:sectPr>
      </w:pPr>
    </w:p>
    <w:p w:rsidR="00D322FB" w:rsidRPr="00891B5D" w:rsidRDefault="00D322FB" w:rsidP="00A644B0">
      <w:pPr>
        <w:pStyle w:val="Heading1"/>
        <w:rPr>
          <w:rStyle w:val="Emphasis"/>
          <w:rFonts w:ascii="Arial" w:hAnsi="Arial" w:cs="Arial"/>
          <w:i w:val="0"/>
          <w:color w:val="auto"/>
          <w:sz w:val="20"/>
        </w:rPr>
      </w:pPr>
      <w:r w:rsidRPr="00891B5D">
        <w:rPr>
          <w:rStyle w:val="Emphasis"/>
          <w:rFonts w:ascii="Arial" w:hAnsi="Arial" w:cs="Arial"/>
          <w:i w:val="0"/>
          <w:color w:val="auto"/>
          <w:sz w:val="20"/>
        </w:rPr>
        <w:lastRenderedPageBreak/>
        <w:t>1.</w:t>
      </w:r>
      <w:r w:rsidRPr="00891B5D">
        <w:rPr>
          <w:rStyle w:val="Emphasis"/>
          <w:rFonts w:ascii="Arial" w:hAnsi="Arial" w:cs="Arial"/>
          <w:i w:val="0"/>
          <w:color w:val="auto"/>
          <w:sz w:val="20"/>
        </w:rPr>
        <w:tab/>
        <w:t>Şirket’in organizasyonu ve faaliyet konusu</w:t>
      </w:r>
    </w:p>
    <w:p w:rsidR="00D322FB" w:rsidRPr="00537467" w:rsidRDefault="00D322FB" w:rsidP="000E0F91">
      <w:pPr>
        <w:ind w:right="-23"/>
        <w:rPr>
          <w:rFonts w:ascii="Arial" w:hAnsi="Arial" w:cs="Arial"/>
          <w:lang w:val="tr-TR"/>
        </w:rPr>
      </w:pPr>
    </w:p>
    <w:p w:rsidR="00D322FB" w:rsidRPr="00537467" w:rsidRDefault="00D322FB" w:rsidP="00273AA4">
      <w:pPr>
        <w:ind w:right="-23"/>
        <w:rPr>
          <w:rFonts w:ascii="Arial" w:hAnsi="Arial" w:cs="Arial"/>
          <w:lang w:val="tr-TR"/>
        </w:rPr>
      </w:pPr>
      <w:r w:rsidRPr="00537467">
        <w:rPr>
          <w:rFonts w:ascii="Arial" w:hAnsi="Arial" w:cs="Arial"/>
          <w:lang w:val="tr-TR"/>
        </w:rPr>
        <w:t>Ata Portföy Yönetimi A.Ş. ("Şirket"), 22 Kasım 2000 tarihinde İstanbul’da İstanbul Ticaret Sicili’ne tescil ve 27 Kasım 2000 tarih, 5183 Sayılı Türk Ticaret Sicili Gazetesi'nde ilan edilerek kurulmuş ve 2000 yılında faaliyete geçmiştir.</w:t>
      </w:r>
    </w:p>
    <w:p w:rsidR="00D322FB" w:rsidRDefault="00D322FB" w:rsidP="00273AA4">
      <w:pPr>
        <w:ind w:right="-23"/>
        <w:rPr>
          <w:rFonts w:ascii="Arial" w:hAnsi="Arial" w:cs="Arial"/>
          <w:lang w:val="tr-TR"/>
        </w:rPr>
      </w:pPr>
    </w:p>
    <w:p w:rsidR="00D322FB" w:rsidRPr="00B816A0" w:rsidRDefault="00D322FB" w:rsidP="00B816A0">
      <w:pPr>
        <w:ind w:right="14"/>
        <w:rPr>
          <w:rFonts w:ascii="Arial" w:hAnsi="Arial" w:cs="Arial"/>
          <w:lang w:val="tr-TR"/>
        </w:rPr>
      </w:pPr>
      <w:r w:rsidRPr="00B816A0">
        <w:rPr>
          <w:rFonts w:ascii="Arial" w:hAnsi="Arial" w:cs="Arial"/>
          <w:lang w:val="tr-TR"/>
        </w:rPr>
        <w:t>Şirket’in amacı, Sermaye Piyasası Kanunu ve ilgili mevzuat hükümleri çerçevesinde sermaye piyasası araçlarından oluşan portföyleri, müşterilerle portföy yönetim sözleşmesi yapmak suretiyle vekil sıfatı ile yönetmek ve sermaye piyasası faaliyetlerinde bulunmaktır. Şirket ayrıca portföy yöneticiliği kapsamında yerli ve yabancı yatırım fonları, yatırım ortaklıkları ile yerli ve yabancı özel ve tüzel kişilerle yatırım şirketleri ve benzeri girişimlerin portföylerini de mevzuat hükümleri çerçevesinde yönetebilir.</w:t>
      </w:r>
    </w:p>
    <w:p w:rsidR="00D322FB" w:rsidRPr="00537467" w:rsidRDefault="00D322FB" w:rsidP="00273AA4">
      <w:pPr>
        <w:ind w:right="-23"/>
        <w:rPr>
          <w:rFonts w:ascii="Arial" w:hAnsi="Arial" w:cs="Arial"/>
          <w:lang w:val="tr-TR"/>
        </w:rPr>
      </w:pPr>
    </w:p>
    <w:p w:rsidR="00D322FB" w:rsidRPr="00537467" w:rsidRDefault="00D322FB">
      <w:pPr>
        <w:ind w:right="-23"/>
        <w:rPr>
          <w:rFonts w:ascii="Arial" w:hAnsi="Arial" w:cs="Arial"/>
          <w:lang w:val="tr-TR"/>
        </w:rPr>
      </w:pPr>
      <w:r w:rsidRPr="00537467">
        <w:rPr>
          <w:rFonts w:ascii="Arial" w:hAnsi="Arial" w:cs="Arial"/>
          <w:lang w:val="tr-TR"/>
        </w:rPr>
        <w:t xml:space="preserve">Şirket </w:t>
      </w:r>
      <w:r w:rsidRPr="00842630">
        <w:rPr>
          <w:rFonts w:ascii="Arial" w:hAnsi="Arial" w:cs="Arial"/>
          <w:lang w:val="tr-TR"/>
        </w:rPr>
        <w:t xml:space="preserve">faaliyetlerini tek bir coğrafi bölümde (Türkiye) ve tek bir endüstriyel bölümde (ortaklık portföyü oluşturmak) yürütmekte olup </w:t>
      </w:r>
      <w:r w:rsidRPr="00537467">
        <w:rPr>
          <w:rFonts w:ascii="Arial" w:hAnsi="Arial" w:cs="Arial"/>
          <w:lang w:val="tr-TR"/>
        </w:rPr>
        <w:t xml:space="preserve">Genel Müdürlüğü Emirhan Cad. No: 109 Atakule Balmumcu adresinde bulunmaktadır. Şirket </w:t>
      </w:r>
      <w:r w:rsidRPr="006D4ADD">
        <w:rPr>
          <w:rFonts w:ascii="Arial" w:hAnsi="Arial" w:cs="Arial"/>
          <w:lang w:val="tr-TR"/>
        </w:rPr>
        <w:t>hisselerinin %89,30’u Ata Yatırım Menkul Kıymetler A.Ş.’nin mülkiyetindedir. Şirket’in nihai ortağı, Ata Yatırım Menkul Kıymetler</w:t>
      </w:r>
      <w:r w:rsidRPr="00537467">
        <w:rPr>
          <w:rFonts w:ascii="Arial" w:hAnsi="Arial" w:cs="Arial"/>
          <w:lang w:val="tr-TR"/>
        </w:rPr>
        <w:t xml:space="preserve"> A.Ş.’nin hakim ortağı olan ve aynı zamanda Şirket’in %9,70’lik payına sahip olan Ata Holding A.Ş.’dir.</w:t>
      </w:r>
    </w:p>
    <w:p w:rsidR="00D322FB" w:rsidRPr="00727376" w:rsidRDefault="00D322FB">
      <w:pPr>
        <w:ind w:right="-23"/>
        <w:rPr>
          <w:rFonts w:ascii="Arial" w:hAnsi="Arial" w:cs="Arial"/>
          <w:highlight w:val="yellow"/>
          <w:lang w:val="tr-TR"/>
        </w:rPr>
      </w:pPr>
    </w:p>
    <w:p w:rsidR="00D322FB" w:rsidRPr="00727376" w:rsidRDefault="00D322FB">
      <w:pPr>
        <w:ind w:right="-23"/>
        <w:rPr>
          <w:rFonts w:ascii="Arial" w:hAnsi="Arial" w:cs="Arial"/>
          <w:highlight w:val="yellow"/>
          <w:lang w:val="tr-TR"/>
        </w:rPr>
      </w:pPr>
      <w:r w:rsidRPr="00D134ED">
        <w:rPr>
          <w:rFonts w:ascii="Arial" w:hAnsi="Arial" w:cs="Arial"/>
          <w:lang w:val="tr-TR"/>
        </w:rPr>
        <w:t xml:space="preserve">Şirket, 2499 sayılı Sermaye Piyasası Kanunu (“SPK”) ve ilgili mevzuat hükümlerine uygun olarak müşterilerle portföy yöneticiliği sözleşmeleri yaparak sermaye piyasası araçlarından oluşan portföy </w:t>
      </w:r>
      <w:r w:rsidRPr="007E75EA">
        <w:rPr>
          <w:rFonts w:ascii="Arial" w:hAnsi="Arial" w:cs="Arial"/>
          <w:lang w:val="tr-TR"/>
        </w:rPr>
        <w:t xml:space="preserve">yöneticiliği faaliyetlerinde bulunmaktadır. Şirket’in 31 </w:t>
      </w:r>
      <w:r w:rsidR="009D2834">
        <w:rPr>
          <w:rFonts w:ascii="Arial" w:hAnsi="Arial" w:cs="Arial"/>
          <w:lang w:val="tr-TR"/>
        </w:rPr>
        <w:t>Mart</w:t>
      </w:r>
      <w:r w:rsidRPr="007E75EA">
        <w:rPr>
          <w:rFonts w:ascii="Arial" w:hAnsi="Arial" w:cs="Arial"/>
          <w:lang w:val="tr-TR"/>
        </w:rPr>
        <w:t xml:space="preserve"> 201</w:t>
      </w:r>
      <w:r w:rsidR="009D2834">
        <w:rPr>
          <w:rFonts w:ascii="Arial" w:hAnsi="Arial" w:cs="Arial"/>
          <w:lang w:val="tr-TR"/>
        </w:rPr>
        <w:t>5</w:t>
      </w:r>
      <w:r w:rsidRPr="007E75EA">
        <w:rPr>
          <w:rFonts w:ascii="Arial" w:hAnsi="Arial" w:cs="Arial"/>
          <w:lang w:val="tr-TR"/>
        </w:rPr>
        <w:t xml:space="preserve"> tarihi itibariyle sahip olduğu SPK faaliyet yetki belgesi  Portföy Yöneticiliği Yetki Belgesi’dir.</w:t>
      </w:r>
    </w:p>
    <w:p w:rsidR="00D322FB" w:rsidRPr="00727376" w:rsidRDefault="00D322FB">
      <w:pPr>
        <w:ind w:right="-23"/>
        <w:rPr>
          <w:rFonts w:ascii="Arial" w:hAnsi="Arial" w:cs="Arial"/>
          <w:highlight w:val="yellow"/>
          <w:lang w:val="tr-TR"/>
        </w:rPr>
      </w:pPr>
    </w:p>
    <w:p w:rsidR="00D322FB" w:rsidRPr="00D134ED" w:rsidRDefault="00D322FB" w:rsidP="003C359E">
      <w:pPr>
        <w:rPr>
          <w:rFonts w:ascii="Arial" w:hAnsi="Arial" w:cs="Arial"/>
          <w:lang w:val="tr-TR"/>
        </w:rPr>
      </w:pPr>
      <w:r w:rsidRPr="00D134ED">
        <w:rPr>
          <w:rFonts w:ascii="Arial" w:hAnsi="Arial" w:cs="Arial"/>
          <w:lang w:val="tr-TR"/>
        </w:rPr>
        <w:t xml:space="preserve">31 </w:t>
      </w:r>
      <w:r w:rsidR="00411B5D">
        <w:rPr>
          <w:rFonts w:ascii="Arial" w:hAnsi="Arial" w:cs="Arial"/>
          <w:lang w:val="tr-TR"/>
        </w:rPr>
        <w:t>Mart</w:t>
      </w:r>
      <w:r w:rsidRPr="00D134ED">
        <w:rPr>
          <w:rFonts w:ascii="Arial" w:hAnsi="Arial" w:cs="Arial"/>
          <w:lang w:val="tr-TR"/>
        </w:rPr>
        <w:t xml:space="preserve"> </w:t>
      </w:r>
      <w:r w:rsidR="00411B5D">
        <w:rPr>
          <w:rFonts w:ascii="Arial" w:hAnsi="Arial" w:cs="Arial"/>
          <w:lang w:val="tr-TR"/>
        </w:rPr>
        <w:t>2015</w:t>
      </w:r>
      <w:r w:rsidRPr="00D134ED">
        <w:rPr>
          <w:rFonts w:ascii="Arial" w:hAnsi="Arial" w:cs="Arial"/>
          <w:lang w:val="tr-TR"/>
        </w:rPr>
        <w:t xml:space="preserve"> tarihi itibariyle ortalama personel </w:t>
      </w:r>
      <w:r w:rsidRPr="0055694A">
        <w:rPr>
          <w:rFonts w:ascii="Arial" w:hAnsi="Arial" w:cs="Arial"/>
          <w:lang w:val="tr-TR"/>
        </w:rPr>
        <w:t xml:space="preserve">sayısı </w:t>
      </w:r>
      <w:r>
        <w:rPr>
          <w:rFonts w:ascii="Arial" w:hAnsi="Arial" w:cs="Arial"/>
          <w:lang w:val="tr-TR"/>
        </w:rPr>
        <w:t>1</w:t>
      </w:r>
      <w:r w:rsidR="00F16EC9">
        <w:rPr>
          <w:rFonts w:ascii="Arial" w:hAnsi="Arial" w:cs="Arial"/>
          <w:lang w:val="tr-TR"/>
        </w:rPr>
        <w:t>1</w:t>
      </w:r>
      <w:r>
        <w:rPr>
          <w:rFonts w:ascii="Arial" w:hAnsi="Arial" w:cs="Arial"/>
          <w:lang w:val="tr-TR"/>
        </w:rPr>
        <w:t>’du</w:t>
      </w:r>
      <w:r w:rsidRPr="0055694A">
        <w:rPr>
          <w:rFonts w:ascii="Arial" w:hAnsi="Arial" w:cs="Arial"/>
          <w:lang w:val="tr-TR"/>
        </w:rPr>
        <w:t>r</w:t>
      </w:r>
      <w:r>
        <w:rPr>
          <w:rFonts w:ascii="Arial" w:hAnsi="Arial" w:cs="Arial"/>
          <w:lang w:val="tr-TR"/>
        </w:rPr>
        <w:t>.</w:t>
      </w:r>
      <w:r w:rsidRPr="0055694A">
        <w:rPr>
          <w:rFonts w:ascii="Arial" w:hAnsi="Arial" w:cs="Arial"/>
          <w:lang w:val="tr-TR"/>
        </w:rPr>
        <w:t xml:space="preserve"> (</w:t>
      </w:r>
      <w:r w:rsidRPr="00D134ED">
        <w:rPr>
          <w:rFonts w:ascii="Arial" w:hAnsi="Arial" w:cs="Arial"/>
          <w:lang w:val="tr-TR"/>
        </w:rPr>
        <w:t>31 Aralık 201</w:t>
      </w:r>
      <w:r w:rsidR="00411B5D">
        <w:rPr>
          <w:rFonts w:ascii="Arial" w:hAnsi="Arial" w:cs="Arial"/>
          <w:lang w:val="tr-TR"/>
        </w:rPr>
        <w:t>4</w:t>
      </w:r>
      <w:r w:rsidRPr="00D134ED">
        <w:rPr>
          <w:rFonts w:ascii="Arial" w:hAnsi="Arial" w:cs="Arial"/>
          <w:lang w:val="tr-TR"/>
        </w:rPr>
        <w:t xml:space="preserve"> – 1</w:t>
      </w:r>
      <w:r w:rsidR="00411B5D">
        <w:rPr>
          <w:rFonts w:ascii="Arial" w:hAnsi="Arial" w:cs="Arial"/>
          <w:lang w:val="tr-TR"/>
        </w:rPr>
        <w:t>0</w:t>
      </w:r>
      <w:r w:rsidRPr="00D134ED">
        <w:rPr>
          <w:rFonts w:ascii="Arial" w:hAnsi="Arial" w:cs="Arial"/>
          <w:lang w:val="tr-TR"/>
        </w:rPr>
        <w:t xml:space="preserve"> kişi).</w:t>
      </w:r>
    </w:p>
    <w:p w:rsidR="00D322FB" w:rsidRPr="00B816A0" w:rsidRDefault="00D322FB">
      <w:pPr>
        <w:ind w:right="-590"/>
        <w:rPr>
          <w:rFonts w:ascii="Arial" w:hAnsi="Arial" w:cs="Arial"/>
          <w:lang w:val="tr-TR"/>
        </w:rPr>
      </w:pPr>
    </w:p>
    <w:p w:rsidR="00D322FB" w:rsidRPr="00B816A0" w:rsidRDefault="00D322FB">
      <w:pPr>
        <w:ind w:right="14"/>
        <w:rPr>
          <w:rFonts w:ascii="Arial" w:hAnsi="Arial" w:cs="Arial"/>
          <w:lang w:val="tr-TR"/>
        </w:rPr>
      </w:pPr>
      <w:r w:rsidRPr="00B816A0">
        <w:rPr>
          <w:rFonts w:ascii="Arial" w:hAnsi="Arial" w:cs="Arial"/>
          <w:lang w:val="tr-TR"/>
        </w:rPr>
        <w:t xml:space="preserve">31 </w:t>
      </w:r>
      <w:r w:rsidR="00411B5D">
        <w:rPr>
          <w:rFonts w:ascii="Arial" w:hAnsi="Arial" w:cs="Arial"/>
          <w:lang w:val="tr-TR"/>
        </w:rPr>
        <w:t>Mart</w:t>
      </w:r>
      <w:r w:rsidRPr="00B816A0">
        <w:rPr>
          <w:rFonts w:ascii="Arial" w:hAnsi="Arial" w:cs="Arial"/>
          <w:lang w:val="tr-TR"/>
        </w:rPr>
        <w:t xml:space="preserve"> 201</w:t>
      </w:r>
      <w:r w:rsidR="00411B5D">
        <w:rPr>
          <w:rFonts w:ascii="Arial" w:hAnsi="Arial" w:cs="Arial"/>
          <w:lang w:val="tr-TR"/>
        </w:rPr>
        <w:t>5</w:t>
      </w:r>
      <w:r w:rsidRPr="00B816A0">
        <w:rPr>
          <w:rFonts w:ascii="Arial" w:hAnsi="Arial" w:cs="Arial"/>
          <w:lang w:val="tr-TR"/>
        </w:rPr>
        <w:t xml:space="preserve"> ve 201</w:t>
      </w:r>
      <w:r w:rsidR="00411B5D">
        <w:rPr>
          <w:rFonts w:ascii="Arial" w:hAnsi="Arial" w:cs="Arial"/>
          <w:lang w:val="tr-TR"/>
        </w:rPr>
        <w:t>4</w:t>
      </w:r>
      <w:r w:rsidRPr="00B816A0">
        <w:rPr>
          <w:rFonts w:ascii="Arial" w:hAnsi="Arial" w:cs="Arial"/>
          <w:lang w:val="tr-TR"/>
        </w:rPr>
        <w:t xml:space="preserve"> tarihleri itibariyle Şirket’in bağlı ortaklık, iştirak veya müşterek yönetime tabi teşebbüsü bulunmamaktadır.</w:t>
      </w:r>
    </w:p>
    <w:p w:rsidR="00D322FB" w:rsidRDefault="00D322FB">
      <w:pPr>
        <w:ind w:right="-590"/>
        <w:rPr>
          <w:rFonts w:ascii="Arial" w:hAnsi="Arial" w:cs="Arial"/>
          <w:highlight w:val="yellow"/>
          <w:lang w:val="tr-TR"/>
        </w:rPr>
      </w:pPr>
    </w:p>
    <w:p w:rsidR="00D322FB" w:rsidRPr="00727376" w:rsidRDefault="00D322FB">
      <w:pPr>
        <w:ind w:right="-590"/>
        <w:rPr>
          <w:rFonts w:ascii="Arial" w:hAnsi="Arial" w:cs="Arial"/>
          <w:highlight w:val="yellow"/>
          <w:lang w:val="tr-TR"/>
        </w:rPr>
      </w:pPr>
    </w:p>
    <w:p w:rsidR="00D322FB" w:rsidRDefault="00D322FB">
      <w:pPr>
        <w:ind w:left="567" w:hanging="567"/>
        <w:rPr>
          <w:rFonts w:ascii="Arial" w:hAnsi="Arial" w:cs="Arial"/>
          <w:b/>
          <w:spacing w:val="-2"/>
          <w:lang w:val="tr-TR"/>
        </w:rPr>
      </w:pPr>
      <w:r>
        <w:rPr>
          <w:rFonts w:ascii="Arial" w:hAnsi="Arial" w:cs="Arial"/>
          <w:b/>
          <w:spacing w:val="-2"/>
          <w:lang w:val="tr-TR"/>
        </w:rPr>
        <w:br w:type="page"/>
      </w:r>
    </w:p>
    <w:p w:rsidR="00D322FB" w:rsidRPr="00891B5D" w:rsidRDefault="00D322FB" w:rsidP="00A644B0">
      <w:pPr>
        <w:pStyle w:val="Heading1"/>
        <w:rPr>
          <w:rStyle w:val="Emphasis"/>
          <w:rFonts w:ascii="Arial" w:hAnsi="Arial" w:cs="Arial"/>
          <w:i w:val="0"/>
          <w:color w:val="auto"/>
          <w:sz w:val="20"/>
        </w:rPr>
      </w:pPr>
      <w:r w:rsidRPr="00891B5D">
        <w:rPr>
          <w:rStyle w:val="Emphasis"/>
          <w:rFonts w:ascii="Arial" w:hAnsi="Arial" w:cs="Arial"/>
          <w:i w:val="0"/>
          <w:color w:val="auto"/>
          <w:sz w:val="20"/>
        </w:rPr>
        <w:lastRenderedPageBreak/>
        <w:t>2.</w:t>
      </w:r>
      <w:r w:rsidRPr="00891B5D">
        <w:rPr>
          <w:rStyle w:val="Emphasis"/>
          <w:rFonts w:ascii="Arial" w:hAnsi="Arial" w:cs="Arial"/>
          <w:i w:val="0"/>
          <w:color w:val="auto"/>
          <w:sz w:val="20"/>
        </w:rPr>
        <w:tab/>
        <w:t>Finansal tabloların sunumuna ilişkin esaslar</w:t>
      </w:r>
    </w:p>
    <w:p w:rsidR="00D322FB" w:rsidRPr="00E1332B" w:rsidRDefault="00D322FB">
      <w:pPr>
        <w:rPr>
          <w:rFonts w:ascii="Arial" w:hAnsi="Arial" w:cs="Arial"/>
          <w:b/>
          <w:lang w:val="tr-TR"/>
        </w:rPr>
      </w:pPr>
    </w:p>
    <w:p w:rsidR="00D322FB" w:rsidRPr="00E86F85" w:rsidRDefault="00D322FB" w:rsidP="00A644B0">
      <w:pPr>
        <w:pStyle w:val="Heading2"/>
        <w:rPr>
          <w:rFonts w:ascii="Arial" w:hAnsi="Arial" w:cs="Arial"/>
          <w:spacing w:val="-2"/>
          <w:sz w:val="20"/>
          <w:lang w:val="tr-TR"/>
        </w:rPr>
      </w:pPr>
      <w:r w:rsidRPr="00E86F85">
        <w:rPr>
          <w:rFonts w:ascii="Arial" w:hAnsi="Arial" w:cs="Arial"/>
          <w:spacing w:val="-2"/>
          <w:sz w:val="20"/>
          <w:lang w:val="tr-TR"/>
        </w:rPr>
        <w:t>2.1</w:t>
      </w:r>
      <w:r w:rsidRPr="00E86F85">
        <w:rPr>
          <w:rFonts w:ascii="Arial" w:hAnsi="Arial" w:cs="Arial"/>
          <w:spacing w:val="-2"/>
          <w:sz w:val="20"/>
          <w:lang w:val="tr-TR"/>
        </w:rPr>
        <w:tab/>
        <w:t>Finansal tabloların sunumuna ilişkin temel esaslar</w:t>
      </w:r>
    </w:p>
    <w:p w:rsidR="00D322FB" w:rsidRPr="00E86F85" w:rsidRDefault="00D322FB" w:rsidP="00A644B0">
      <w:pPr>
        <w:pStyle w:val="Heading3"/>
        <w:rPr>
          <w:rFonts w:ascii="Arial" w:hAnsi="Arial" w:cs="Arial"/>
          <w:spacing w:val="-2"/>
          <w:sz w:val="20"/>
          <w:lang w:val="tr-TR"/>
        </w:rPr>
      </w:pPr>
      <w:r w:rsidRPr="00E86F85">
        <w:rPr>
          <w:rFonts w:ascii="Arial" w:hAnsi="Arial" w:cs="Arial"/>
          <w:spacing w:val="-2"/>
          <w:sz w:val="20"/>
          <w:lang w:val="tr-TR"/>
        </w:rPr>
        <w:t>2.1.1</w:t>
      </w:r>
      <w:r w:rsidRPr="00E86F85">
        <w:rPr>
          <w:rFonts w:ascii="Arial" w:hAnsi="Arial" w:cs="Arial"/>
          <w:spacing w:val="-2"/>
          <w:sz w:val="20"/>
          <w:lang w:val="tr-TR"/>
        </w:rPr>
        <w:tab/>
      </w:r>
      <w:r w:rsidRPr="00E86F85">
        <w:rPr>
          <w:rFonts w:ascii="Arial" w:hAnsi="Arial" w:cs="Arial"/>
          <w:sz w:val="20"/>
          <w:lang w:val="tr-TR"/>
        </w:rPr>
        <w:t>Uygulanan muhasebe standartları</w:t>
      </w:r>
    </w:p>
    <w:p w:rsidR="00D322FB" w:rsidRPr="00DF1F24" w:rsidRDefault="00D322FB">
      <w:pPr>
        <w:rPr>
          <w:rFonts w:ascii="Arial" w:hAnsi="Arial" w:cs="Arial"/>
          <w:b/>
          <w:spacing w:val="-2"/>
          <w:lang w:val="tr-TR"/>
        </w:rPr>
      </w:pPr>
    </w:p>
    <w:p w:rsidR="00D322FB" w:rsidRPr="00842630" w:rsidRDefault="00D322FB">
      <w:pPr>
        <w:autoSpaceDE w:val="0"/>
        <w:autoSpaceDN w:val="0"/>
        <w:adjustRightInd w:val="0"/>
        <w:rPr>
          <w:rFonts w:ascii="Arial" w:hAnsi="Arial" w:cs="Arial"/>
          <w:lang w:val="tr-TR"/>
        </w:rPr>
      </w:pPr>
      <w:r w:rsidRPr="00842630">
        <w:rPr>
          <w:rFonts w:ascii="Arial" w:hAnsi="Arial" w:cs="Arial"/>
          <w:lang w:val="tr-TR"/>
        </w:rPr>
        <w:t>İlişikteki yıl sonu finansal tabloları Sermaye Piyasası Kurulu’nun (“SPK”) 13 Haziran 2013 tarih ve 28676 sayılı Resmi Gazete’de yayımlanan Seri II, 14.1 No’lu “Sermaye Piyasasında Finansal Raporlamaya İlişkin Esaslar Tebliği” (“Tebliğ”) hükümleri uyarınca Kamu Gözetimi Muhasebe ve Denetim Standartları Kurumu (“KGK”) tarafından yürürlüğe konulmuş olan Türkiye Muhasebe Standartları'na (TMS) uygun olarak hazırlanmıştır. TMS; Türkiye Muhasebe Standartları, Türkiye Finansal Raporlama Standartları ile bunlara ilişkin ek ve yorumlardan oluşmaktadır.</w:t>
      </w:r>
    </w:p>
    <w:p w:rsidR="00D322FB" w:rsidRPr="00842630" w:rsidRDefault="00D322FB" w:rsidP="006D2841">
      <w:pPr>
        <w:autoSpaceDE w:val="0"/>
        <w:autoSpaceDN w:val="0"/>
        <w:adjustRightInd w:val="0"/>
        <w:rPr>
          <w:rFonts w:ascii="Arial" w:hAnsi="Arial" w:cs="Arial"/>
          <w:highlight w:val="yellow"/>
          <w:lang w:val="tr-TR"/>
        </w:rPr>
      </w:pPr>
    </w:p>
    <w:p w:rsidR="00D322FB" w:rsidRPr="00DF1F24" w:rsidRDefault="00D322FB" w:rsidP="006D0995">
      <w:pPr>
        <w:rPr>
          <w:rFonts w:ascii="Arial" w:hAnsi="Arial" w:cs="Arial"/>
          <w:b/>
          <w:lang w:val="tr-TR"/>
        </w:rPr>
      </w:pPr>
      <w:r w:rsidRPr="00DF1F24">
        <w:rPr>
          <w:rFonts w:ascii="Arial" w:hAnsi="Arial" w:cs="Arial"/>
          <w:iCs/>
          <w:lang w:val="tr-TR"/>
        </w:rPr>
        <w:t>Yıl sonu finansal tab</w:t>
      </w:r>
      <w:r>
        <w:rPr>
          <w:rFonts w:ascii="Arial" w:hAnsi="Arial" w:cs="Arial"/>
          <w:iCs/>
          <w:lang w:val="tr-TR"/>
        </w:rPr>
        <w:t>loları Şirket’in yasal kayıtların</w:t>
      </w:r>
      <w:r w:rsidRPr="00DF1F24">
        <w:rPr>
          <w:rFonts w:ascii="Arial" w:hAnsi="Arial" w:cs="Arial"/>
          <w:iCs/>
          <w:lang w:val="tr-TR"/>
        </w:rPr>
        <w:t xml:space="preserve"> dayandırılmış ve Şirket’in faaliyette bulunduğu temel ekonomik çevrede geçerli olan para birimi (işlevsel para birimi) olan TL cinsinden ile sunulmuş olup, KGK tarafından yayınlanan Türkiye Muhasebe Standartları’na göre Şirket’in durumunu layıkıyla arz edebilmek için bir takım düzeltme ve sınıflandırma değişikliklerine tabi tutularak hazırlanmıştır.</w:t>
      </w:r>
    </w:p>
    <w:p w:rsidR="00D322FB" w:rsidRDefault="00D322FB" w:rsidP="006D2841">
      <w:pPr>
        <w:tabs>
          <w:tab w:val="left" w:pos="567"/>
        </w:tabs>
        <w:autoSpaceDE w:val="0"/>
        <w:autoSpaceDN w:val="0"/>
        <w:adjustRightInd w:val="0"/>
        <w:rPr>
          <w:rFonts w:ascii="Arial" w:hAnsi="Arial" w:cs="Arial"/>
          <w:b/>
          <w:highlight w:val="yellow"/>
          <w:lang w:val="tr-TR"/>
        </w:rPr>
      </w:pPr>
    </w:p>
    <w:p w:rsidR="00D322FB" w:rsidRPr="00C3447D" w:rsidRDefault="00D322FB" w:rsidP="00C3447D">
      <w:pPr>
        <w:rPr>
          <w:rFonts w:ascii="Arial" w:hAnsi="Arial" w:cs="Arial"/>
          <w:iCs/>
          <w:lang w:val="tr-TR"/>
        </w:rPr>
      </w:pPr>
      <w:r w:rsidRPr="00C3447D">
        <w:rPr>
          <w:rFonts w:ascii="Arial" w:hAnsi="Arial" w:cs="Arial"/>
          <w:iCs/>
          <w:lang w:val="tr-TR"/>
        </w:rPr>
        <w:t xml:space="preserve">Finansal </w:t>
      </w:r>
      <w:r>
        <w:rPr>
          <w:rFonts w:ascii="Arial" w:hAnsi="Arial" w:cs="Arial"/>
          <w:iCs/>
          <w:lang w:val="tr-TR"/>
        </w:rPr>
        <w:t>tablolar rayiç değer üzerinden takip edilen alım satım amaçlı menkul kıymetler haricinde tarihi maliyet esasına göre hazırlanmaktadır.</w:t>
      </w:r>
    </w:p>
    <w:p w:rsidR="00D322FB" w:rsidRPr="00C3447D" w:rsidRDefault="00D322FB" w:rsidP="00C3447D">
      <w:pPr>
        <w:rPr>
          <w:rFonts w:ascii="Arial" w:hAnsi="Arial" w:cs="Arial"/>
          <w:iCs/>
          <w:lang w:val="tr-TR"/>
        </w:rPr>
      </w:pPr>
    </w:p>
    <w:p w:rsidR="00D322FB" w:rsidRPr="000451A3" w:rsidRDefault="00D322FB" w:rsidP="00DF1F24">
      <w:pPr>
        <w:rPr>
          <w:rFonts w:ascii="Arial" w:hAnsi="Arial" w:cs="Arial"/>
          <w:b/>
          <w:iCs/>
          <w:lang w:val="tr-TR"/>
        </w:rPr>
      </w:pPr>
      <w:r w:rsidRPr="000451A3">
        <w:rPr>
          <w:rFonts w:ascii="Arial" w:hAnsi="Arial" w:cs="Arial"/>
          <w:b/>
          <w:iCs/>
          <w:lang w:val="tr-TR"/>
        </w:rPr>
        <w:t xml:space="preserve">Karşılaştırmalı </w:t>
      </w:r>
      <w:r>
        <w:rPr>
          <w:rFonts w:ascii="Arial" w:hAnsi="Arial" w:cs="Arial"/>
          <w:b/>
          <w:iCs/>
          <w:lang w:val="tr-TR"/>
        </w:rPr>
        <w:t>bilgiler</w:t>
      </w:r>
    </w:p>
    <w:p w:rsidR="00D322FB" w:rsidRPr="000451A3" w:rsidRDefault="00D322FB" w:rsidP="00DF1F24">
      <w:pPr>
        <w:rPr>
          <w:rFonts w:ascii="Arial" w:hAnsi="Arial" w:cs="Arial"/>
          <w:iCs/>
          <w:lang w:val="tr-TR"/>
        </w:rPr>
      </w:pPr>
    </w:p>
    <w:p w:rsidR="00D322FB" w:rsidRPr="005B1440" w:rsidRDefault="00D322FB" w:rsidP="005B1440">
      <w:pPr>
        <w:rPr>
          <w:rFonts w:ascii="Arial" w:hAnsi="Arial" w:cs="Arial"/>
          <w:iCs/>
          <w:lang w:val="tr-TR"/>
        </w:rPr>
      </w:pPr>
      <w:r w:rsidRPr="0055694A">
        <w:rPr>
          <w:rFonts w:ascii="Arial" w:hAnsi="Arial" w:cs="Arial"/>
          <w:iCs/>
          <w:lang w:val="tr-TR"/>
        </w:rPr>
        <w:t>Finansal durum ve performans trendlerinin tespitine imkan vermek üzere, Şirket’in cari dönem finansal tabloları önceki dönemle karşılaştırmalı olarak hazırlanmaktadır. Cari dönem finansal tabloların sunumu ile uygunluk sağlanması açısından karşılaştırmalı bilgiler gerekli görüldüğünde yeniden düzenlenir veya sınıflandırılır.</w:t>
      </w:r>
    </w:p>
    <w:p w:rsidR="00D322FB" w:rsidRPr="00E86F85" w:rsidRDefault="00D322FB" w:rsidP="00A644B0">
      <w:pPr>
        <w:pStyle w:val="Heading3"/>
        <w:rPr>
          <w:rFonts w:ascii="Arial" w:hAnsi="Arial" w:cs="Arial"/>
          <w:b w:val="0"/>
          <w:sz w:val="20"/>
          <w:lang w:val="tr-TR"/>
        </w:rPr>
      </w:pPr>
      <w:r w:rsidRPr="00E86F85">
        <w:rPr>
          <w:rFonts w:ascii="Arial" w:hAnsi="Arial" w:cs="Arial"/>
          <w:sz w:val="20"/>
          <w:lang w:val="tr-TR"/>
        </w:rPr>
        <w:t>2.1.2</w:t>
      </w:r>
      <w:r w:rsidRPr="00E86F85">
        <w:rPr>
          <w:rFonts w:ascii="Arial" w:hAnsi="Arial" w:cs="Arial"/>
          <w:sz w:val="20"/>
          <w:lang w:val="tr-TR"/>
        </w:rPr>
        <w:tab/>
        <w:t>Yüksek Enflasyon Dönemlerinde Finansal Tabloların Düzeltilmesi</w:t>
      </w:r>
    </w:p>
    <w:p w:rsidR="00D322FB" w:rsidRPr="00DF1F24" w:rsidRDefault="00D322FB" w:rsidP="006D2841">
      <w:pPr>
        <w:tabs>
          <w:tab w:val="left" w:pos="567"/>
        </w:tabs>
        <w:autoSpaceDE w:val="0"/>
        <w:autoSpaceDN w:val="0"/>
        <w:adjustRightInd w:val="0"/>
        <w:rPr>
          <w:rFonts w:ascii="Arial" w:hAnsi="Arial" w:cs="Arial"/>
          <w:b/>
          <w:lang w:val="tr-TR"/>
        </w:rPr>
      </w:pPr>
    </w:p>
    <w:p w:rsidR="00D322FB" w:rsidRPr="00E86F85" w:rsidRDefault="00D322FB" w:rsidP="00906AA9">
      <w:pPr>
        <w:ind w:right="29"/>
        <w:rPr>
          <w:rFonts w:ascii="Arial" w:hAnsi="Arial" w:cs="Arial"/>
          <w:lang w:val="tr-TR"/>
        </w:rPr>
      </w:pPr>
      <w:r w:rsidRPr="00DF1F24">
        <w:rPr>
          <w:rFonts w:ascii="Arial" w:hAnsi="Arial" w:cs="Arial"/>
          <w:lang w:val="tr-TR"/>
        </w:rPr>
        <w:t>SPK, 17 Mart 2005 tarihinde almış olduğu bir kararla, Türkiye’de faaliyette bulunan ve SPK tarafından kabul edilen muhasebe ve raporlama ilkelerine (“SPK Finansal Raporlama Standartları”) uygun finansal tablo hazırlayan şirketler için, 1 Ocak 2005 tarihinden itibaren geçerli olmak üzere enflasyon muhasebesi uygulamasının gerekli olmadığını ilan etmiştir. Şirket’in finansal tabloları bu karar çerçevesinde hazırlanmıştır.</w:t>
      </w:r>
    </w:p>
    <w:p w:rsidR="00D322FB" w:rsidRDefault="00D322FB" w:rsidP="00906AA9">
      <w:pPr>
        <w:pStyle w:val="Heading3"/>
        <w:rPr>
          <w:rFonts w:ascii="Arial" w:hAnsi="Arial" w:cs="Arial"/>
          <w:sz w:val="20"/>
          <w:lang w:val="tr-TR"/>
        </w:rPr>
      </w:pPr>
      <w:r w:rsidRPr="00E86F85">
        <w:rPr>
          <w:rFonts w:ascii="Arial" w:hAnsi="Arial" w:cs="Arial"/>
          <w:sz w:val="20"/>
          <w:lang w:val="tr-TR"/>
        </w:rPr>
        <w:t>2.1.3</w:t>
      </w:r>
      <w:r w:rsidRPr="00E86F85">
        <w:rPr>
          <w:rFonts w:ascii="Arial" w:hAnsi="Arial" w:cs="Arial"/>
          <w:sz w:val="20"/>
          <w:lang w:val="tr-TR"/>
        </w:rPr>
        <w:tab/>
        <w:t>Netleştirme/Mahsup</w:t>
      </w:r>
    </w:p>
    <w:p w:rsidR="00D322FB" w:rsidRPr="00906AA9" w:rsidRDefault="00D322FB" w:rsidP="00906AA9">
      <w:pPr>
        <w:rPr>
          <w:lang w:val="tr-TR"/>
        </w:rPr>
      </w:pPr>
    </w:p>
    <w:p w:rsidR="00D322FB" w:rsidRPr="00906AA9" w:rsidRDefault="00D322FB" w:rsidP="005649F0">
      <w:pPr>
        <w:autoSpaceDE w:val="0"/>
        <w:autoSpaceDN w:val="0"/>
        <w:adjustRightInd w:val="0"/>
        <w:ind w:right="29"/>
        <w:rPr>
          <w:rFonts w:ascii="Arial" w:hAnsi="Arial" w:cs="Arial"/>
          <w:lang w:val="tr-TR"/>
        </w:rPr>
      </w:pPr>
      <w:r w:rsidRPr="00DF1F24">
        <w:rPr>
          <w:rFonts w:ascii="Arial" w:hAnsi="Arial" w:cs="Arial"/>
          <w:lang w:val="tr-TR"/>
        </w:rPr>
        <w:t>Finansal varlık ve yükümlülükler, gerekli kanuni hak olması, söz konusu varlık ve yükümlülükleri net olarak değerlendirmeye niyet olması veya varlıkların elde edilmesi ile yükümlülüklerin yerine getirilmesinin birbirini takip ettiği durumlarda net olarak gösterilirler.</w:t>
      </w:r>
    </w:p>
    <w:p w:rsidR="00D322FB" w:rsidRPr="00E86F85" w:rsidRDefault="00D322FB" w:rsidP="00A644B0">
      <w:pPr>
        <w:pStyle w:val="Heading3"/>
        <w:rPr>
          <w:rFonts w:ascii="Arial" w:hAnsi="Arial" w:cs="Arial"/>
          <w:b w:val="0"/>
          <w:bCs/>
          <w:sz w:val="20"/>
          <w:lang w:val="tr-TR"/>
        </w:rPr>
      </w:pPr>
      <w:r w:rsidRPr="00E86F85">
        <w:rPr>
          <w:rFonts w:ascii="Arial" w:hAnsi="Arial" w:cs="Arial"/>
          <w:sz w:val="20"/>
          <w:lang w:val="tr-TR"/>
        </w:rPr>
        <w:t>2.1.4</w:t>
      </w:r>
      <w:r w:rsidRPr="00E86F85">
        <w:rPr>
          <w:rFonts w:ascii="Arial" w:hAnsi="Arial" w:cs="Arial"/>
          <w:sz w:val="20"/>
          <w:lang w:val="tr-TR"/>
        </w:rPr>
        <w:tab/>
      </w:r>
      <w:r w:rsidRPr="00E86F85">
        <w:rPr>
          <w:rFonts w:ascii="Arial" w:hAnsi="Arial" w:cs="Arial"/>
          <w:bCs/>
          <w:sz w:val="20"/>
          <w:lang w:val="tr-TR"/>
        </w:rPr>
        <w:t>Yabancı para çevrimi</w:t>
      </w:r>
    </w:p>
    <w:p w:rsidR="00D322FB" w:rsidRPr="00C671AD" w:rsidRDefault="00D322FB" w:rsidP="00DF1F24">
      <w:pPr>
        <w:autoSpaceDE w:val="0"/>
        <w:autoSpaceDN w:val="0"/>
        <w:adjustRightInd w:val="0"/>
        <w:ind w:right="29"/>
        <w:rPr>
          <w:rFonts w:ascii="Arial" w:hAnsi="Arial" w:cs="Arial"/>
          <w:lang w:val="tr-TR"/>
        </w:rPr>
      </w:pPr>
    </w:p>
    <w:p w:rsidR="00D322FB" w:rsidRPr="00C671AD" w:rsidRDefault="00D322FB" w:rsidP="00DF1F24">
      <w:pPr>
        <w:ind w:right="1"/>
        <w:rPr>
          <w:rFonts w:ascii="Arial" w:hAnsi="Arial" w:cs="Arial"/>
          <w:lang w:val="tr-TR"/>
        </w:rPr>
      </w:pPr>
      <w:r w:rsidRPr="00C671AD">
        <w:rPr>
          <w:rFonts w:ascii="Arial" w:hAnsi="Arial" w:cs="Arial"/>
          <w:lang w:val="tr-TR"/>
        </w:rPr>
        <w:t>Yabancı para işlemler işlemin yapıldığı dönemdeki kur ile değerlemeye tabi tutularak kaydedilmektedir. Yabancı para cinsinden parasal varlık ve yükümlülükler finansal durum</w:t>
      </w:r>
      <w:r>
        <w:rPr>
          <w:rFonts w:ascii="Arial" w:hAnsi="Arial" w:cs="Arial"/>
          <w:lang w:val="tr-TR"/>
        </w:rPr>
        <w:t xml:space="preserve"> tablosu</w:t>
      </w:r>
      <w:r w:rsidRPr="00C671AD">
        <w:rPr>
          <w:rFonts w:ascii="Arial" w:hAnsi="Arial" w:cs="Arial"/>
          <w:lang w:val="tr-TR"/>
        </w:rPr>
        <w:t xml:space="preserve"> (bilanço) tarihindeki kur ile değerlemeye tabi tutulmaktadır. Oluşan tüm kur farkları kar veya zarar ve diğer kapsamlı tablosuna yansıtılmaktadır. </w:t>
      </w:r>
    </w:p>
    <w:p w:rsidR="00D322FB" w:rsidRPr="00C671AD" w:rsidRDefault="00D322FB" w:rsidP="00DF1F24">
      <w:pPr>
        <w:ind w:right="1"/>
        <w:rPr>
          <w:rFonts w:ascii="Arial" w:hAnsi="Arial" w:cs="Arial"/>
          <w:lang w:val="tr-TR"/>
        </w:rPr>
      </w:pPr>
    </w:p>
    <w:p w:rsidR="00D322FB" w:rsidRPr="00C671AD" w:rsidRDefault="00D322FB" w:rsidP="00DF1F24">
      <w:pPr>
        <w:autoSpaceDE w:val="0"/>
        <w:autoSpaceDN w:val="0"/>
        <w:adjustRightInd w:val="0"/>
        <w:ind w:right="1"/>
        <w:rPr>
          <w:rFonts w:ascii="Arial" w:hAnsi="Arial" w:cs="Arial"/>
          <w:lang w:val="tr-TR"/>
        </w:rPr>
      </w:pPr>
      <w:r w:rsidRPr="00C671AD">
        <w:rPr>
          <w:rFonts w:ascii="Arial" w:hAnsi="Arial" w:cs="Arial"/>
          <w:lang w:val="tr-TR"/>
        </w:rPr>
        <w:t>Şirket’in dönem sonları itibariyle parasal aktif ve pasiflerini yabancı para değerlemesinde kullandığı döviz kurları aşağıdaki gibidir:</w:t>
      </w:r>
    </w:p>
    <w:p w:rsidR="00D322FB" w:rsidRPr="00727376" w:rsidRDefault="00D322FB" w:rsidP="00DF1F24">
      <w:pPr>
        <w:ind w:right="29"/>
        <w:jc w:val="both"/>
        <w:rPr>
          <w:rFonts w:ascii="Arial" w:hAnsi="Arial" w:cs="Arial"/>
          <w:highlight w:val="yellow"/>
          <w:lang w:val="tr-TR"/>
        </w:rPr>
      </w:pPr>
    </w:p>
    <w:tbl>
      <w:tblPr>
        <w:tblW w:w="8854" w:type="dxa"/>
        <w:tblInd w:w="108" w:type="dxa"/>
        <w:tblLayout w:type="fixed"/>
        <w:tblLook w:val="0000" w:firstRow="0" w:lastRow="0" w:firstColumn="0" w:lastColumn="0" w:noHBand="0" w:noVBand="0"/>
      </w:tblPr>
      <w:tblGrid>
        <w:gridCol w:w="5220"/>
        <w:gridCol w:w="1710"/>
        <w:gridCol w:w="1924"/>
      </w:tblGrid>
      <w:tr w:rsidR="00D322FB" w:rsidRPr="00C671AD" w:rsidTr="001A0C62">
        <w:trPr>
          <w:trHeight w:val="113"/>
        </w:trPr>
        <w:tc>
          <w:tcPr>
            <w:tcW w:w="5220" w:type="dxa"/>
            <w:tcBorders>
              <w:top w:val="single" w:sz="6" w:space="0" w:color="auto"/>
              <w:bottom w:val="single" w:sz="6" w:space="0" w:color="auto"/>
            </w:tcBorders>
          </w:tcPr>
          <w:p w:rsidR="00D322FB" w:rsidRPr="00C671AD" w:rsidRDefault="00D322FB" w:rsidP="001A0C62">
            <w:pPr>
              <w:ind w:left="-108"/>
              <w:jc w:val="both"/>
              <w:rPr>
                <w:rFonts w:ascii="Arial" w:hAnsi="Arial" w:cs="Arial"/>
                <w:b/>
                <w:lang w:val="tr-TR"/>
              </w:rPr>
            </w:pPr>
            <w:r w:rsidRPr="00C671AD">
              <w:rPr>
                <w:rFonts w:ascii="Arial" w:hAnsi="Arial" w:cs="Arial"/>
                <w:b/>
                <w:lang w:val="tr-TR"/>
              </w:rPr>
              <w:t>Tarih</w:t>
            </w:r>
          </w:p>
        </w:tc>
        <w:tc>
          <w:tcPr>
            <w:tcW w:w="1710" w:type="dxa"/>
            <w:tcBorders>
              <w:top w:val="single" w:sz="6" w:space="0" w:color="auto"/>
              <w:bottom w:val="single" w:sz="6" w:space="0" w:color="auto"/>
            </w:tcBorders>
          </w:tcPr>
          <w:p w:rsidR="00D322FB" w:rsidRPr="00C671AD" w:rsidRDefault="00D322FB" w:rsidP="001A0C62">
            <w:pPr>
              <w:pStyle w:val="000normal"/>
              <w:tabs>
                <w:tab w:val="left" w:pos="1438"/>
              </w:tabs>
              <w:spacing w:before="0" w:after="0" w:afterAutospacing="0"/>
              <w:ind w:left="-108"/>
              <w:jc w:val="right"/>
              <w:rPr>
                <w:rFonts w:eastAsia="Times New Roman"/>
                <w:b/>
                <w:lang w:val="tr-TR"/>
              </w:rPr>
            </w:pPr>
            <w:r w:rsidRPr="00C671AD">
              <w:rPr>
                <w:b/>
                <w:lang w:val="tr-TR"/>
              </w:rPr>
              <w:t>EUR / TL</w:t>
            </w:r>
          </w:p>
        </w:tc>
        <w:tc>
          <w:tcPr>
            <w:tcW w:w="1924" w:type="dxa"/>
            <w:tcBorders>
              <w:top w:val="single" w:sz="6" w:space="0" w:color="auto"/>
              <w:bottom w:val="single" w:sz="6" w:space="0" w:color="auto"/>
            </w:tcBorders>
          </w:tcPr>
          <w:p w:rsidR="00D322FB" w:rsidRPr="00C671AD" w:rsidRDefault="00D322FB" w:rsidP="001A0C62">
            <w:pPr>
              <w:ind w:left="-108"/>
              <w:jc w:val="right"/>
              <w:rPr>
                <w:rFonts w:ascii="Arial" w:hAnsi="Arial" w:cs="Arial"/>
                <w:b/>
                <w:lang w:val="tr-TR"/>
              </w:rPr>
            </w:pPr>
            <w:r w:rsidRPr="00C671AD">
              <w:rPr>
                <w:rFonts w:ascii="Arial" w:hAnsi="Arial" w:cs="Arial"/>
                <w:b/>
                <w:lang w:val="tr-TR"/>
              </w:rPr>
              <w:t>ABD Doları / TL</w:t>
            </w:r>
          </w:p>
        </w:tc>
      </w:tr>
      <w:tr w:rsidR="00D322FB" w:rsidRPr="00C671AD" w:rsidTr="001A0C62">
        <w:trPr>
          <w:trHeight w:val="113"/>
        </w:trPr>
        <w:tc>
          <w:tcPr>
            <w:tcW w:w="5220" w:type="dxa"/>
          </w:tcPr>
          <w:p w:rsidR="00D322FB" w:rsidRPr="00C671AD" w:rsidRDefault="00D322FB" w:rsidP="001A0C62">
            <w:pPr>
              <w:ind w:left="-108"/>
              <w:jc w:val="both"/>
              <w:rPr>
                <w:rFonts w:ascii="Arial" w:hAnsi="Arial" w:cs="Arial"/>
                <w:lang w:val="tr-TR"/>
              </w:rPr>
            </w:pPr>
          </w:p>
        </w:tc>
        <w:tc>
          <w:tcPr>
            <w:tcW w:w="1710" w:type="dxa"/>
          </w:tcPr>
          <w:p w:rsidR="00D322FB" w:rsidRPr="00C671AD" w:rsidRDefault="00D322FB" w:rsidP="001A0C62">
            <w:pPr>
              <w:pStyle w:val="EndnoteText"/>
              <w:tabs>
                <w:tab w:val="left" w:pos="1438"/>
              </w:tabs>
              <w:ind w:left="-108" w:right="1168"/>
              <w:jc w:val="right"/>
              <w:rPr>
                <w:rFonts w:ascii="Arial" w:hAnsi="Arial" w:cs="Arial"/>
                <w:lang w:val="tr-TR"/>
              </w:rPr>
            </w:pPr>
          </w:p>
        </w:tc>
        <w:tc>
          <w:tcPr>
            <w:tcW w:w="1924" w:type="dxa"/>
          </w:tcPr>
          <w:p w:rsidR="00D322FB" w:rsidRPr="00C671AD" w:rsidRDefault="00D322FB" w:rsidP="001A0C62">
            <w:pPr>
              <w:pStyle w:val="000normal"/>
              <w:tabs>
                <w:tab w:val="left" w:pos="1438"/>
              </w:tabs>
              <w:spacing w:before="0" w:after="0" w:afterAutospacing="0"/>
              <w:ind w:left="-108" w:right="1025"/>
              <w:jc w:val="right"/>
              <w:rPr>
                <w:rFonts w:eastAsia="Times New Roman"/>
                <w:lang w:val="tr-TR"/>
              </w:rPr>
            </w:pPr>
          </w:p>
        </w:tc>
      </w:tr>
      <w:tr w:rsidR="00D322FB" w:rsidRPr="00C671AD" w:rsidTr="001A0C62">
        <w:trPr>
          <w:trHeight w:val="113"/>
        </w:trPr>
        <w:tc>
          <w:tcPr>
            <w:tcW w:w="5220" w:type="dxa"/>
          </w:tcPr>
          <w:p w:rsidR="00D322FB" w:rsidRPr="000E6B1C" w:rsidRDefault="00D322FB" w:rsidP="000E6B1C">
            <w:pPr>
              <w:ind w:left="-108"/>
              <w:jc w:val="both"/>
              <w:rPr>
                <w:rFonts w:ascii="Arial" w:hAnsi="Arial" w:cs="Arial"/>
                <w:b/>
                <w:lang w:val="tr-TR"/>
              </w:rPr>
            </w:pPr>
            <w:r w:rsidRPr="000E6B1C">
              <w:rPr>
                <w:rFonts w:ascii="Arial" w:hAnsi="Arial" w:cs="Arial"/>
                <w:b/>
                <w:lang w:val="tr-TR"/>
              </w:rPr>
              <w:t xml:space="preserve">31 </w:t>
            </w:r>
            <w:r w:rsidR="000E6B1C" w:rsidRPr="000E6B1C">
              <w:rPr>
                <w:rFonts w:ascii="Arial" w:hAnsi="Arial" w:cs="Arial"/>
                <w:b/>
                <w:lang w:val="tr-TR"/>
              </w:rPr>
              <w:t>Mart</w:t>
            </w:r>
            <w:r w:rsidRPr="000E6B1C">
              <w:rPr>
                <w:rFonts w:ascii="Arial" w:hAnsi="Arial" w:cs="Arial"/>
                <w:b/>
                <w:lang w:val="tr-TR"/>
              </w:rPr>
              <w:t xml:space="preserve"> 201</w:t>
            </w:r>
            <w:r w:rsidR="000E6B1C" w:rsidRPr="000E6B1C">
              <w:rPr>
                <w:rFonts w:ascii="Arial" w:hAnsi="Arial" w:cs="Arial"/>
                <w:b/>
                <w:lang w:val="tr-TR"/>
              </w:rPr>
              <w:t>5</w:t>
            </w:r>
          </w:p>
        </w:tc>
        <w:tc>
          <w:tcPr>
            <w:tcW w:w="1710" w:type="dxa"/>
          </w:tcPr>
          <w:p w:rsidR="00D322FB" w:rsidRPr="00C671AD" w:rsidRDefault="00D322FB" w:rsidP="000E6B1C">
            <w:pPr>
              <w:pStyle w:val="000normal"/>
              <w:tabs>
                <w:tab w:val="left" w:pos="1438"/>
              </w:tabs>
              <w:spacing w:before="0" w:after="0" w:afterAutospacing="0"/>
              <w:ind w:left="-108"/>
              <w:jc w:val="right"/>
              <w:rPr>
                <w:rFonts w:eastAsia="Times New Roman"/>
                <w:b/>
                <w:lang w:val="tr-TR"/>
              </w:rPr>
            </w:pPr>
            <w:r>
              <w:rPr>
                <w:rFonts w:eastAsia="Times New Roman"/>
                <w:b/>
                <w:lang w:val="tr-TR"/>
              </w:rPr>
              <w:t>2,8</w:t>
            </w:r>
            <w:r w:rsidR="000E6B1C">
              <w:rPr>
                <w:rFonts w:eastAsia="Times New Roman"/>
                <w:b/>
                <w:lang w:val="tr-TR"/>
              </w:rPr>
              <w:t>309</w:t>
            </w:r>
          </w:p>
        </w:tc>
        <w:tc>
          <w:tcPr>
            <w:tcW w:w="1924" w:type="dxa"/>
          </w:tcPr>
          <w:p w:rsidR="00D322FB" w:rsidRPr="00C671AD" w:rsidRDefault="00D322FB" w:rsidP="000E6B1C">
            <w:pPr>
              <w:tabs>
                <w:tab w:val="left" w:pos="1438"/>
              </w:tabs>
              <w:ind w:left="-108"/>
              <w:jc w:val="right"/>
              <w:rPr>
                <w:rFonts w:ascii="Arial" w:hAnsi="Arial" w:cs="Arial"/>
                <w:b/>
                <w:lang w:val="tr-TR"/>
              </w:rPr>
            </w:pPr>
            <w:r>
              <w:rPr>
                <w:rFonts w:ascii="Arial" w:hAnsi="Arial" w:cs="Arial"/>
                <w:b/>
                <w:lang w:val="tr-TR"/>
              </w:rPr>
              <w:t>2,</w:t>
            </w:r>
            <w:r w:rsidR="000E6B1C">
              <w:rPr>
                <w:rFonts w:ascii="Arial" w:hAnsi="Arial" w:cs="Arial"/>
                <w:b/>
                <w:lang w:val="tr-TR"/>
              </w:rPr>
              <w:t>61202</w:t>
            </w:r>
          </w:p>
        </w:tc>
      </w:tr>
      <w:tr w:rsidR="00D322FB" w:rsidRPr="00727376" w:rsidTr="001A0C62">
        <w:trPr>
          <w:trHeight w:val="113"/>
        </w:trPr>
        <w:tc>
          <w:tcPr>
            <w:tcW w:w="5220" w:type="dxa"/>
          </w:tcPr>
          <w:p w:rsidR="00D322FB" w:rsidRPr="000E6B1C" w:rsidRDefault="00D322FB" w:rsidP="000E6B1C">
            <w:pPr>
              <w:ind w:left="-108"/>
              <w:jc w:val="both"/>
              <w:rPr>
                <w:rFonts w:ascii="Arial" w:hAnsi="Arial" w:cs="Arial"/>
                <w:lang w:val="tr-TR"/>
              </w:rPr>
            </w:pPr>
            <w:r w:rsidRPr="000E6B1C">
              <w:rPr>
                <w:rFonts w:ascii="Arial" w:hAnsi="Arial" w:cs="Arial"/>
                <w:lang w:val="tr-TR"/>
              </w:rPr>
              <w:t>31 Aralık 201</w:t>
            </w:r>
            <w:r w:rsidR="000E6B1C" w:rsidRPr="000E6B1C">
              <w:rPr>
                <w:rFonts w:ascii="Arial" w:hAnsi="Arial" w:cs="Arial"/>
                <w:lang w:val="tr-TR"/>
              </w:rPr>
              <w:t>4</w:t>
            </w:r>
          </w:p>
        </w:tc>
        <w:tc>
          <w:tcPr>
            <w:tcW w:w="1710" w:type="dxa"/>
          </w:tcPr>
          <w:p w:rsidR="00D322FB" w:rsidRPr="00C671AD" w:rsidRDefault="00D322FB" w:rsidP="000E6B1C">
            <w:pPr>
              <w:pStyle w:val="000normal"/>
              <w:tabs>
                <w:tab w:val="left" w:pos="1438"/>
              </w:tabs>
              <w:spacing w:before="0" w:after="0" w:afterAutospacing="0"/>
              <w:ind w:left="-108"/>
              <w:jc w:val="right"/>
              <w:rPr>
                <w:rFonts w:eastAsia="Times New Roman"/>
                <w:lang w:val="tr-TR"/>
              </w:rPr>
            </w:pPr>
            <w:r w:rsidRPr="00C671AD">
              <w:rPr>
                <w:rFonts w:eastAsia="Times New Roman"/>
                <w:lang w:val="tr-TR"/>
              </w:rPr>
              <w:t>2,</w:t>
            </w:r>
            <w:r w:rsidR="000E6B1C">
              <w:rPr>
                <w:rFonts w:eastAsia="Times New Roman"/>
                <w:lang w:val="tr-TR"/>
              </w:rPr>
              <w:t>8207</w:t>
            </w:r>
          </w:p>
        </w:tc>
        <w:tc>
          <w:tcPr>
            <w:tcW w:w="1924" w:type="dxa"/>
          </w:tcPr>
          <w:p w:rsidR="00D322FB" w:rsidRPr="00C671AD" w:rsidRDefault="00D322FB" w:rsidP="000E6B1C">
            <w:pPr>
              <w:tabs>
                <w:tab w:val="left" w:pos="1438"/>
              </w:tabs>
              <w:ind w:left="-108"/>
              <w:jc w:val="right"/>
              <w:rPr>
                <w:rFonts w:ascii="Arial" w:hAnsi="Arial" w:cs="Arial"/>
                <w:lang w:val="tr-TR"/>
              </w:rPr>
            </w:pPr>
            <w:r w:rsidRPr="00C671AD">
              <w:rPr>
                <w:rFonts w:ascii="Arial" w:hAnsi="Arial" w:cs="Arial"/>
                <w:lang w:val="tr-TR"/>
              </w:rPr>
              <w:t>2,</w:t>
            </w:r>
            <w:r w:rsidR="000E6B1C">
              <w:rPr>
                <w:rFonts w:ascii="Arial" w:hAnsi="Arial" w:cs="Arial"/>
                <w:lang w:val="tr-TR"/>
              </w:rPr>
              <w:t>3189</w:t>
            </w:r>
          </w:p>
        </w:tc>
      </w:tr>
    </w:tbl>
    <w:p w:rsidR="00D322FB" w:rsidRDefault="00D322FB" w:rsidP="003B030E">
      <w:pPr>
        <w:tabs>
          <w:tab w:val="left" w:pos="567"/>
        </w:tabs>
        <w:autoSpaceDE w:val="0"/>
        <w:autoSpaceDN w:val="0"/>
        <w:adjustRightInd w:val="0"/>
        <w:rPr>
          <w:rFonts w:ascii="Arial" w:hAnsi="Arial" w:cs="Arial"/>
          <w:b/>
          <w:highlight w:val="yellow"/>
          <w:lang w:val="tr-TR"/>
        </w:rPr>
      </w:pPr>
    </w:p>
    <w:p w:rsidR="00D322FB" w:rsidRPr="005B1440" w:rsidRDefault="00D322FB" w:rsidP="00DF1F24">
      <w:pPr>
        <w:tabs>
          <w:tab w:val="left" w:pos="567"/>
        </w:tabs>
        <w:autoSpaceDE w:val="0"/>
        <w:autoSpaceDN w:val="0"/>
        <w:adjustRightInd w:val="0"/>
        <w:rPr>
          <w:rFonts w:ascii="Arial" w:hAnsi="Arial" w:cs="Arial"/>
          <w:b/>
          <w:spacing w:val="-2"/>
          <w:lang w:val="tr-TR"/>
        </w:rPr>
      </w:pPr>
      <w:r w:rsidRPr="005B1440">
        <w:rPr>
          <w:rFonts w:ascii="Arial" w:hAnsi="Arial" w:cs="Arial"/>
          <w:b/>
          <w:spacing w:val="-2"/>
          <w:lang w:val="tr-TR"/>
        </w:rPr>
        <w:t>2.</w:t>
      </w:r>
      <w:r w:rsidRPr="005B1440">
        <w:rPr>
          <w:rFonts w:ascii="Arial" w:hAnsi="Arial" w:cs="Arial"/>
          <w:b/>
          <w:spacing w:val="-2"/>
          <w:lang w:val="tr-TR"/>
        </w:rPr>
        <w:tab/>
        <w:t>Finansal tabloların sunumuna ilişkin esaslar (devamı)</w:t>
      </w:r>
    </w:p>
    <w:p w:rsidR="00D322FB" w:rsidRPr="00DF1F24" w:rsidRDefault="00D322FB" w:rsidP="00DF1F24">
      <w:pPr>
        <w:tabs>
          <w:tab w:val="left" w:pos="567"/>
        </w:tabs>
        <w:autoSpaceDE w:val="0"/>
        <w:autoSpaceDN w:val="0"/>
        <w:adjustRightInd w:val="0"/>
        <w:rPr>
          <w:rFonts w:ascii="Arial" w:hAnsi="Arial" w:cs="Arial"/>
          <w:b/>
          <w:lang w:val="tr-TR"/>
        </w:rPr>
      </w:pPr>
    </w:p>
    <w:p w:rsidR="00D322FB" w:rsidRPr="00DF1F24" w:rsidRDefault="00D322FB" w:rsidP="00DF1F24">
      <w:pPr>
        <w:rPr>
          <w:rFonts w:ascii="Arial" w:hAnsi="Arial" w:cs="Arial"/>
          <w:b/>
          <w:spacing w:val="-2"/>
          <w:lang w:val="tr-TR"/>
        </w:rPr>
      </w:pPr>
      <w:r w:rsidRPr="00DF1F24">
        <w:rPr>
          <w:rFonts w:ascii="Arial" w:hAnsi="Arial" w:cs="Arial"/>
          <w:b/>
          <w:spacing w:val="-2"/>
          <w:lang w:val="tr-TR"/>
        </w:rPr>
        <w:t>2.1</w:t>
      </w:r>
      <w:r w:rsidRPr="00DF1F24">
        <w:rPr>
          <w:rFonts w:ascii="Arial" w:hAnsi="Arial" w:cs="Arial"/>
          <w:b/>
          <w:spacing w:val="-2"/>
          <w:lang w:val="tr-TR"/>
        </w:rPr>
        <w:tab/>
        <w:t>Finansal tabloların sunumuna ilişkin temel esaslar (devamı)</w:t>
      </w:r>
    </w:p>
    <w:p w:rsidR="00D322FB" w:rsidRPr="005B1440" w:rsidRDefault="00D322FB" w:rsidP="005C3EEB">
      <w:pPr>
        <w:pStyle w:val="Heading3"/>
        <w:rPr>
          <w:rFonts w:ascii="Arial" w:hAnsi="Arial" w:cs="Arial"/>
          <w:sz w:val="20"/>
          <w:lang w:val="tr-TR"/>
        </w:rPr>
      </w:pPr>
      <w:r w:rsidRPr="005B1440">
        <w:rPr>
          <w:rFonts w:ascii="Arial" w:hAnsi="Arial" w:cs="Arial"/>
          <w:sz w:val="20"/>
          <w:lang w:val="tr-TR"/>
        </w:rPr>
        <w:t>2.1.5</w:t>
      </w:r>
      <w:r w:rsidRPr="005B1440">
        <w:rPr>
          <w:rFonts w:ascii="Arial" w:hAnsi="Arial" w:cs="Arial"/>
          <w:sz w:val="20"/>
          <w:lang w:val="tr-TR"/>
        </w:rPr>
        <w:tab/>
        <w:t xml:space="preserve">İşletmenin sürekliliği </w:t>
      </w:r>
    </w:p>
    <w:p w:rsidR="00D322FB" w:rsidRPr="00DF1F24" w:rsidRDefault="00D322FB" w:rsidP="003B030E">
      <w:pPr>
        <w:tabs>
          <w:tab w:val="left" w:pos="567"/>
        </w:tabs>
        <w:autoSpaceDE w:val="0"/>
        <w:autoSpaceDN w:val="0"/>
        <w:adjustRightInd w:val="0"/>
        <w:rPr>
          <w:rFonts w:ascii="Arial" w:hAnsi="Arial" w:cs="Arial"/>
          <w:b/>
          <w:lang w:val="tr-TR"/>
        </w:rPr>
      </w:pPr>
    </w:p>
    <w:p w:rsidR="00D322FB" w:rsidRPr="00906AA9" w:rsidRDefault="00D322FB" w:rsidP="00906AA9">
      <w:pPr>
        <w:tabs>
          <w:tab w:val="left" w:pos="567"/>
        </w:tabs>
        <w:autoSpaceDE w:val="0"/>
        <w:autoSpaceDN w:val="0"/>
        <w:adjustRightInd w:val="0"/>
        <w:rPr>
          <w:rFonts w:ascii="Arial" w:hAnsi="Arial" w:cs="Arial"/>
          <w:lang w:val="tr-TR"/>
        </w:rPr>
      </w:pPr>
      <w:r w:rsidRPr="00DF1F24">
        <w:rPr>
          <w:rFonts w:ascii="Arial" w:hAnsi="Arial" w:cs="Arial"/>
          <w:lang w:val="tr-TR"/>
        </w:rPr>
        <w:t>Şirket, finansal tablolarını işletmenin sürekliliği ilkesine göre hazırlamıştır.</w:t>
      </w:r>
    </w:p>
    <w:p w:rsidR="00D322FB" w:rsidRPr="005B1440" w:rsidRDefault="00D322FB" w:rsidP="005C3EEB">
      <w:pPr>
        <w:pStyle w:val="Heading3"/>
        <w:rPr>
          <w:rFonts w:ascii="Arial" w:hAnsi="Arial" w:cs="Arial"/>
          <w:sz w:val="20"/>
          <w:lang w:val="tr-TR"/>
        </w:rPr>
      </w:pPr>
      <w:r w:rsidRPr="005B1440">
        <w:rPr>
          <w:rFonts w:ascii="Arial" w:hAnsi="Arial" w:cs="Arial"/>
          <w:sz w:val="20"/>
          <w:lang w:val="tr-TR"/>
        </w:rPr>
        <w:t>2.1.6</w:t>
      </w:r>
      <w:r w:rsidRPr="005B1440">
        <w:rPr>
          <w:rFonts w:ascii="Arial" w:hAnsi="Arial" w:cs="Arial"/>
          <w:sz w:val="20"/>
          <w:lang w:val="tr-TR"/>
        </w:rPr>
        <w:tab/>
        <w:t xml:space="preserve"> Raporlama para birimi</w:t>
      </w:r>
    </w:p>
    <w:p w:rsidR="00D322FB" w:rsidRPr="00DF1F24" w:rsidRDefault="00D322FB" w:rsidP="003B030E">
      <w:pPr>
        <w:ind w:right="29"/>
        <w:rPr>
          <w:rFonts w:ascii="Arial" w:hAnsi="Arial" w:cs="Arial"/>
          <w:lang w:val="tr-TR"/>
        </w:rPr>
      </w:pPr>
    </w:p>
    <w:p w:rsidR="00D322FB" w:rsidRDefault="00D322FB" w:rsidP="0045505A">
      <w:pPr>
        <w:ind w:right="29"/>
        <w:rPr>
          <w:rFonts w:ascii="Arial" w:hAnsi="Arial" w:cs="Arial"/>
          <w:lang w:val="tr-TR"/>
        </w:rPr>
      </w:pPr>
      <w:r w:rsidRPr="009F65A6">
        <w:rPr>
          <w:rFonts w:ascii="Arial" w:hAnsi="Arial" w:cs="Arial"/>
          <w:lang w:val="tr-TR"/>
        </w:rPr>
        <w:t>Şirket’in fonksiyonel para birimi Türk Lirası (TL)‘dır ve muhasebe kayıtları Türkiye’de geçerli olan ticari mevzuat, mali mevzuat ve Maliye Bakanlığınca yayınlanan tek düzen hesap planına göre TL olarak tutmaktadır.Şirket’in işlevsel ve raporlama para birimi TL’dir.</w:t>
      </w:r>
    </w:p>
    <w:p w:rsidR="00D322FB" w:rsidRDefault="00D322FB" w:rsidP="00CF4945">
      <w:pPr>
        <w:pStyle w:val="Heading3"/>
        <w:rPr>
          <w:rFonts w:ascii="Arial" w:hAnsi="Arial" w:cs="Arial"/>
          <w:sz w:val="20"/>
          <w:lang w:val="tr-TR"/>
        </w:rPr>
      </w:pPr>
      <w:r w:rsidRPr="005B1440">
        <w:rPr>
          <w:rFonts w:ascii="Arial" w:hAnsi="Arial" w:cs="Arial"/>
          <w:sz w:val="20"/>
          <w:lang w:val="tr-TR"/>
        </w:rPr>
        <w:t>2.2</w:t>
      </w:r>
      <w:r w:rsidRPr="005B1440">
        <w:rPr>
          <w:rFonts w:ascii="Arial" w:hAnsi="Arial" w:cs="Arial"/>
          <w:sz w:val="20"/>
          <w:lang w:val="tr-TR"/>
        </w:rPr>
        <w:tab/>
      </w:r>
      <w:r w:rsidRPr="00CF4945">
        <w:rPr>
          <w:rFonts w:ascii="Arial" w:hAnsi="Arial" w:cs="Arial"/>
          <w:sz w:val="20"/>
          <w:lang w:val="tr-TR"/>
        </w:rPr>
        <w:t>Yeni ve düzeltilmiş standartlar ve yorumlar</w:t>
      </w:r>
    </w:p>
    <w:p w:rsidR="00D322FB" w:rsidRPr="00842630" w:rsidRDefault="00D322FB" w:rsidP="00DF1F24">
      <w:pPr>
        <w:widowControl w:val="0"/>
        <w:spacing w:line="230" w:lineRule="auto"/>
        <w:rPr>
          <w:rFonts w:ascii="Arial" w:hAnsi="Arial" w:cs="Arial"/>
          <w:b/>
          <w:snapToGrid w:val="0"/>
          <w:highlight w:val="yellow"/>
          <w:lang w:val="tr-TR"/>
        </w:rPr>
      </w:pPr>
    </w:p>
    <w:p w:rsidR="00D322FB" w:rsidRPr="00842630" w:rsidRDefault="00D322FB" w:rsidP="00DF1F24">
      <w:pPr>
        <w:widowControl w:val="0"/>
        <w:spacing w:line="230" w:lineRule="auto"/>
        <w:rPr>
          <w:rFonts w:ascii="Arial" w:hAnsi="Arial" w:cs="Arial"/>
          <w:b/>
          <w:snapToGrid w:val="0"/>
          <w:lang w:val="tr-TR"/>
        </w:rPr>
      </w:pPr>
      <w:r w:rsidRPr="00842630">
        <w:rPr>
          <w:rFonts w:ascii="Arial" w:hAnsi="Arial" w:cs="Arial"/>
          <w:b/>
          <w:snapToGrid w:val="0"/>
          <w:lang w:val="tr-TR"/>
        </w:rPr>
        <w:t>1 Ocak 2014 tarihinden itibaren geçerli olan yeni standart, değişiklik ve yorumlar aşağıdaki gibidir:</w:t>
      </w:r>
    </w:p>
    <w:p w:rsidR="00D322FB" w:rsidRPr="00842630" w:rsidRDefault="00D322FB" w:rsidP="00DF1F24">
      <w:pPr>
        <w:adjustRightInd w:val="0"/>
        <w:spacing w:line="230" w:lineRule="auto"/>
        <w:rPr>
          <w:rFonts w:ascii="Arial" w:hAnsi="Arial" w:cs="Arial"/>
          <w:lang w:val="tr-TR"/>
        </w:rPr>
      </w:pPr>
    </w:p>
    <w:p w:rsidR="00D322FB" w:rsidRPr="00940892" w:rsidRDefault="00D322FB" w:rsidP="00310652">
      <w:pPr>
        <w:rPr>
          <w:rFonts w:ascii="Arial" w:hAnsi="Arial" w:cs="Arial"/>
          <w:b/>
          <w:snapToGrid w:val="0"/>
          <w:lang w:val="tr-TR"/>
        </w:rPr>
      </w:pPr>
      <w:r w:rsidRPr="00940892">
        <w:rPr>
          <w:rFonts w:ascii="Arial" w:hAnsi="Arial" w:cs="Arial"/>
          <w:b/>
          <w:snapToGrid w:val="0"/>
          <w:lang w:val="tr-TR"/>
        </w:rPr>
        <w:t>Yeni ve düzeltilmiş standartlar ve yorumlar</w:t>
      </w:r>
    </w:p>
    <w:p w:rsidR="00D322FB" w:rsidRPr="00940892" w:rsidRDefault="00D322FB" w:rsidP="00310652">
      <w:pPr>
        <w:widowControl w:val="0"/>
        <w:rPr>
          <w:rFonts w:ascii="Arial" w:hAnsi="Arial" w:cs="Arial"/>
          <w:lang w:val="tr-TR"/>
        </w:rPr>
      </w:pPr>
    </w:p>
    <w:p w:rsidR="00D322FB" w:rsidRPr="00940892" w:rsidRDefault="00D322FB" w:rsidP="00310652">
      <w:pPr>
        <w:widowControl w:val="0"/>
        <w:rPr>
          <w:rFonts w:ascii="Arial" w:hAnsi="Arial" w:cs="Arial"/>
          <w:b/>
          <w:snapToGrid w:val="0"/>
          <w:lang w:val="tr-TR"/>
        </w:rPr>
      </w:pPr>
      <w:r w:rsidRPr="00940892">
        <w:rPr>
          <w:rFonts w:ascii="Arial" w:hAnsi="Arial" w:cs="Arial"/>
          <w:lang w:val="tr-TR"/>
        </w:rPr>
        <w:t xml:space="preserve">31 </w:t>
      </w:r>
      <w:r w:rsidR="00A20984">
        <w:rPr>
          <w:rFonts w:ascii="Arial" w:hAnsi="Arial" w:cs="Arial"/>
          <w:lang w:val="tr-TR"/>
        </w:rPr>
        <w:t>Mart</w:t>
      </w:r>
      <w:r w:rsidRPr="00940892">
        <w:rPr>
          <w:rFonts w:ascii="Arial" w:hAnsi="Arial" w:cs="Arial"/>
          <w:lang w:val="tr-TR"/>
        </w:rPr>
        <w:t xml:space="preserve"> 201</w:t>
      </w:r>
      <w:r w:rsidR="00A20984">
        <w:rPr>
          <w:rFonts w:ascii="Arial" w:hAnsi="Arial" w:cs="Arial"/>
          <w:lang w:val="tr-TR"/>
        </w:rPr>
        <w:t>5</w:t>
      </w:r>
      <w:r w:rsidRPr="00940892">
        <w:rPr>
          <w:rFonts w:ascii="Arial" w:hAnsi="Arial" w:cs="Arial"/>
          <w:lang w:val="tr-TR"/>
        </w:rPr>
        <w:t xml:space="preserve"> tarihi itibariyle sona eren </w:t>
      </w:r>
      <w:r>
        <w:rPr>
          <w:rFonts w:ascii="Arial" w:hAnsi="Arial" w:cs="Arial"/>
          <w:lang w:val="tr-TR"/>
        </w:rPr>
        <w:t>yıla</w:t>
      </w:r>
      <w:r w:rsidRPr="00940892">
        <w:rPr>
          <w:rFonts w:ascii="Arial" w:hAnsi="Arial" w:cs="Arial"/>
          <w:lang w:val="tr-TR"/>
        </w:rPr>
        <w:t xml:space="preserve"> ait finansal tabloların hazırlanmasında esas alınan muhasebe politikaları aşağıda özetlenen 1 Ocak 2014 tarihi itibariyle geçerli yeni ve değiştirilmiş TFRS standartları ve TFRYK yorumları dışında önceki yılda kullanılanlar ile tutarlı olarak uygulanmıştır. Bu standartların ve yorumların </w:t>
      </w:r>
      <w:r w:rsidRPr="00D26833">
        <w:rPr>
          <w:rFonts w:ascii="Arial" w:hAnsi="Arial" w:cs="Arial"/>
          <w:lang w:val="tr-TR"/>
        </w:rPr>
        <w:t>Şirket</w:t>
      </w:r>
      <w:r>
        <w:rPr>
          <w:rFonts w:ascii="Arial" w:hAnsi="Arial" w:cs="Arial"/>
          <w:lang w:val="tr-TR"/>
        </w:rPr>
        <w:t>’i</w:t>
      </w:r>
      <w:r w:rsidRPr="00940892">
        <w:rPr>
          <w:rFonts w:ascii="Arial" w:hAnsi="Arial" w:cs="Arial"/>
          <w:lang w:val="tr-TR"/>
        </w:rPr>
        <w:t>n mali durumu ve performansı üzerindeki etkileri ilgili paragraflarda açıklanmıştır.</w:t>
      </w:r>
    </w:p>
    <w:p w:rsidR="00D322FB" w:rsidRPr="00842630" w:rsidRDefault="00D322FB" w:rsidP="00310652">
      <w:pPr>
        <w:rPr>
          <w:rFonts w:ascii="Arial" w:hAnsi="Arial" w:cs="Arial"/>
          <w:b/>
          <w:bCs/>
          <w:highlight w:val="yellow"/>
          <w:lang w:val="tr-TR"/>
        </w:rPr>
      </w:pPr>
    </w:p>
    <w:p w:rsidR="00D322FB" w:rsidRPr="00940892" w:rsidRDefault="00D322FB" w:rsidP="00310652">
      <w:pPr>
        <w:widowControl w:val="0"/>
        <w:rPr>
          <w:rFonts w:ascii="Arial" w:hAnsi="Arial" w:cs="Arial"/>
          <w:b/>
          <w:snapToGrid w:val="0"/>
          <w:lang w:val="tr-TR"/>
        </w:rPr>
      </w:pPr>
      <w:r>
        <w:rPr>
          <w:rFonts w:ascii="Arial" w:hAnsi="Arial" w:cs="Arial"/>
          <w:b/>
          <w:snapToGrid w:val="0"/>
          <w:lang w:val="tr-TR"/>
        </w:rPr>
        <w:t>i</w:t>
      </w:r>
      <w:r w:rsidRPr="00940892">
        <w:rPr>
          <w:rFonts w:ascii="Arial" w:hAnsi="Arial" w:cs="Arial"/>
          <w:b/>
          <w:snapToGrid w:val="0"/>
          <w:lang w:val="tr-TR"/>
        </w:rPr>
        <w:t>) 1 Ocak 2014 tarihinden itibaren geçerli olan yeni standart, değişiklik ve yorumlar</w:t>
      </w:r>
    </w:p>
    <w:p w:rsidR="00D322FB" w:rsidRPr="00940892" w:rsidRDefault="00D322FB" w:rsidP="00310652">
      <w:pPr>
        <w:pStyle w:val="Default"/>
        <w:rPr>
          <w:snapToGrid w:val="0"/>
          <w:color w:val="auto"/>
          <w:sz w:val="20"/>
          <w:szCs w:val="20"/>
          <w:lang w:val="tr-TR"/>
        </w:rPr>
      </w:pPr>
    </w:p>
    <w:p w:rsidR="00D322FB" w:rsidRPr="00940892" w:rsidRDefault="00D322FB" w:rsidP="00310652">
      <w:pPr>
        <w:widowControl w:val="0"/>
        <w:rPr>
          <w:rFonts w:ascii="Arial" w:hAnsi="Arial" w:cs="Arial"/>
          <w:b/>
          <w:snapToGrid w:val="0"/>
          <w:lang w:val="tr-TR"/>
        </w:rPr>
      </w:pPr>
      <w:r w:rsidRPr="00940892">
        <w:rPr>
          <w:rFonts w:ascii="Arial" w:hAnsi="Arial" w:cs="Arial"/>
          <w:b/>
          <w:snapToGrid w:val="0"/>
          <w:lang w:val="tr-TR"/>
        </w:rPr>
        <w:t>TMS 32 Finansal Araçlar: Sunum - Finansal Varlık ve Borçların Netleştirilmesi (Değişiklik)</w:t>
      </w:r>
    </w:p>
    <w:p w:rsidR="00D322FB" w:rsidRPr="00940892" w:rsidRDefault="00D322FB" w:rsidP="00310652">
      <w:pPr>
        <w:adjustRightInd w:val="0"/>
        <w:rPr>
          <w:rFonts w:ascii="Arial" w:hAnsi="Arial" w:cs="Arial"/>
          <w:lang w:val="tr-TR"/>
        </w:rPr>
      </w:pPr>
    </w:p>
    <w:p w:rsidR="00D322FB" w:rsidRDefault="00D322FB" w:rsidP="00310652">
      <w:pPr>
        <w:rPr>
          <w:rFonts w:ascii="Arial" w:hAnsi="Arial" w:cs="Arial"/>
          <w:lang w:val="tr-TR"/>
        </w:rPr>
      </w:pPr>
      <w:r w:rsidRPr="00940892">
        <w:rPr>
          <w:rFonts w:ascii="Arial" w:hAnsi="Arial" w:cs="Arial"/>
          <w:lang w:val="tr-TR"/>
        </w:rPr>
        <w:t xml:space="preserve">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 </w:t>
      </w:r>
      <w:r w:rsidRPr="009864F6">
        <w:rPr>
          <w:rFonts w:ascii="Arial" w:hAnsi="Arial" w:cs="Arial"/>
          <w:lang w:val="tr-TR"/>
        </w:rPr>
        <w:t>Söz konusu standardın Şirket’in finansal durumu veya performansı üzerinde önemli bir etkisi olmamıştır.</w:t>
      </w:r>
    </w:p>
    <w:p w:rsidR="00D322FB" w:rsidRPr="009864F6" w:rsidRDefault="00D322FB" w:rsidP="00310652">
      <w:pPr>
        <w:rPr>
          <w:rFonts w:ascii="Arial" w:hAnsi="Arial" w:cs="Arial"/>
          <w:lang w:val="tr-TR"/>
        </w:rPr>
      </w:pPr>
    </w:p>
    <w:p w:rsidR="00D322FB" w:rsidRPr="00940892" w:rsidRDefault="00D322FB" w:rsidP="00310652">
      <w:pPr>
        <w:rPr>
          <w:rFonts w:ascii="Arial" w:hAnsi="Arial" w:cs="Arial"/>
          <w:b/>
          <w:color w:val="000000"/>
          <w:lang w:val="tr-TR"/>
        </w:rPr>
      </w:pPr>
      <w:r w:rsidRPr="00940892">
        <w:rPr>
          <w:rFonts w:ascii="Arial" w:hAnsi="Arial" w:cs="Arial"/>
          <w:b/>
          <w:color w:val="000000"/>
          <w:lang w:val="tr-TR"/>
        </w:rPr>
        <w:t>TFRS Yorum 21 Vergi ve Vergi Benzeri Yükümlülükler</w:t>
      </w:r>
    </w:p>
    <w:p w:rsidR="00D322FB" w:rsidRPr="00940892" w:rsidRDefault="00D322FB" w:rsidP="00310652">
      <w:pPr>
        <w:rPr>
          <w:rFonts w:ascii="Arial" w:hAnsi="Arial" w:cs="Arial"/>
          <w:color w:val="000000"/>
          <w:lang w:val="tr-TR"/>
        </w:rPr>
      </w:pPr>
    </w:p>
    <w:p w:rsidR="00D322FB" w:rsidRDefault="00D322FB" w:rsidP="00310652">
      <w:pPr>
        <w:rPr>
          <w:rFonts w:ascii="Arial" w:hAnsi="Arial" w:cs="Arial"/>
          <w:lang w:val="tr-TR"/>
        </w:rPr>
      </w:pPr>
      <w:r w:rsidRPr="00940892">
        <w:rPr>
          <w:rFonts w:ascii="Arial" w:hAnsi="Arial" w:cs="Arial"/>
          <w:lang w:val="tr-TR"/>
        </w:rPr>
        <w:t xml:space="preserve">Bu yorum, vergi ve vergi benzeri yükümlülüğün işletme tarafından, ödemeyi ortaya çıkaran eylemin ilgili yasalar çerçevesinde gerçekleştiği anda kaydedilmesi gerektiğine açıklık getirmektedir. Aynı zamanda bu yorum, vergi ve vergi benzeri yükümlülüğün sadece ilgili yasalar çerçevesinde ödemeyi ortaya çıkaran eylemin bir dönem içerisinde kademeli olarak gerçekleşmesi halinde kademeli olarak tahakkuk edebileceğine açıklık getirmektedir. Asgari bir eşiğin aşılması halinde ortaya çıkan bir vergi ve vergi benzeri yükümlülük, asgari eşik aşılmadan yükümlülük olarak kayıtlara alınamayacaktır. </w:t>
      </w:r>
      <w:r w:rsidRPr="009864F6">
        <w:rPr>
          <w:rFonts w:ascii="Arial" w:hAnsi="Arial" w:cs="Arial"/>
          <w:lang w:val="tr-TR"/>
        </w:rPr>
        <w:t>Söz konusu yorum Şirket için geçerli değildir ve Şirket’in finansal durumu veya performansı üzerinde hiçbir etkisi olmamıştır.</w:t>
      </w:r>
    </w:p>
    <w:p w:rsidR="00D322FB" w:rsidRDefault="00D322FB" w:rsidP="00310652">
      <w:pPr>
        <w:rPr>
          <w:rFonts w:ascii="Arial" w:hAnsi="Arial" w:cs="Arial"/>
          <w:lang w:val="tr-TR"/>
        </w:rPr>
      </w:pPr>
    </w:p>
    <w:p w:rsidR="00D322FB" w:rsidRDefault="00D322FB" w:rsidP="00310652">
      <w:pPr>
        <w:rPr>
          <w:rFonts w:ascii="Arial" w:hAnsi="Arial" w:cs="Arial"/>
          <w:lang w:val="tr-TR"/>
        </w:rPr>
      </w:pPr>
      <w:r>
        <w:rPr>
          <w:rFonts w:ascii="Arial" w:hAnsi="Arial" w:cs="Arial"/>
          <w:lang w:val="tr-TR"/>
        </w:rPr>
        <w:br w:type="page"/>
      </w:r>
    </w:p>
    <w:p w:rsidR="00D322FB" w:rsidRPr="00FC2192" w:rsidRDefault="00D322FB" w:rsidP="00310652">
      <w:pPr>
        <w:rPr>
          <w:rFonts w:ascii="Arial" w:hAnsi="Arial" w:cs="Arial"/>
          <w:b/>
          <w:spacing w:val="-2"/>
          <w:lang w:val="tr-TR"/>
        </w:rPr>
      </w:pPr>
      <w:r w:rsidRPr="00FC2192">
        <w:rPr>
          <w:rFonts w:ascii="Arial" w:hAnsi="Arial" w:cs="Arial"/>
          <w:b/>
          <w:spacing w:val="-2"/>
          <w:lang w:val="tr-TR"/>
        </w:rPr>
        <w:lastRenderedPageBreak/>
        <w:t>2.2</w:t>
      </w:r>
      <w:r w:rsidRPr="00FC2192">
        <w:rPr>
          <w:rFonts w:ascii="Arial" w:hAnsi="Arial" w:cs="Arial"/>
          <w:b/>
          <w:spacing w:val="-2"/>
          <w:lang w:val="tr-TR"/>
        </w:rPr>
        <w:tab/>
        <w:t>Standartlarda değişiklikler ve yorumlar (devamı)</w:t>
      </w:r>
    </w:p>
    <w:p w:rsidR="00D322FB" w:rsidRDefault="00D322FB" w:rsidP="00310652">
      <w:pPr>
        <w:rPr>
          <w:rFonts w:ascii="Arial" w:hAnsi="Arial" w:cs="Arial"/>
          <w:lang w:val="tr-TR"/>
        </w:rPr>
      </w:pPr>
    </w:p>
    <w:p w:rsidR="00D322FB" w:rsidRPr="00940892" w:rsidRDefault="00D322FB" w:rsidP="00310652">
      <w:pPr>
        <w:rPr>
          <w:rFonts w:ascii="Arial" w:hAnsi="Arial" w:cs="Arial"/>
          <w:b/>
          <w:color w:val="000000"/>
          <w:lang w:val="tr-TR"/>
        </w:rPr>
      </w:pPr>
      <w:r w:rsidRPr="00940892">
        <w:rPr>
          <w:rFonts w:ascii="Arial" w:hAnsi="Arial" w:cs="Arial"/>
          <w:b/>
          <w:color w:val="000000"/>
          <w:lang w:val="tr-TR"/>
        </w:rPr>
        <w:t>TMS 36 Varlıklarda Değer Düşüklüğü - Finansal olmayan varlıklar için geri kazanılabilir değer açıklamaları (Değişiklik)</w:t>
      </w:r>
    </w:p>
    <w:p w:rsidR="00D322FB" w:rsidRPr="00940892" w:rsidRDefault="00D322FB" w:rsidP="00310652">
      <w:pPr>
        <w:rPr>
          <w:rFonts w:ascii="Arial" w:hAnsi="Arial" w:cs="Arial"/>
          <w:color w:val="000000"/>
          <w:lang w:val="tr-TR"/>
        </w:rPr>
      </w:pPr>
    </w:p>
    <w:p w:rsidR="00D322FB" w:rsidRPr="009864F6" w:rsidRDefault="00D322FB" w:rsidP="00310652">
      <w:pPr>
        <w:rPr>
          <w:rFonts w:ascii="Arial" w:hAnsi="Arial" w:cs="Arial"/>
          <w:lang w:val="tr-TR"/>
        </w:rPr>
      </w:pPr>
      <w:r w:rsidRPr="00940892">
        <w:rPr>
          <w:rFonts w:ascii="Arial" w:hAnsi="Arial" w:cs="Arial"/>
          <w:color w:val="000000"/>
          <w:lang w:val="tr-TR"/>
        </w:rPr>
        <w:t xml:space="preserve">TFRS 13 ‘Gerçeğe uygun değer ölçümleri’ne getirilen değişiklikten sonra TMS 36 Varlıklarda değer düşüklüğü standardındaki değer düşüklüğüne uğramış varlıkların geri kazanılabilir değerlerine ilişkin bazı açıklama hükümleri değiştirilmiştir. Değişiklik, değer düşüklüğüne uğramış varlıkların (ya da bir varlık grubunun) gerçeğe uygun değerinden elden çıkarma maliyetleri düşülmüş geri kazanılabilir tutarının ölçümü ile ilgili ek açıklama hükümleri getirmiştir. </w:t>
      </w:r>
      <w:r w:rsidRPr="009864F6">
        <w:rPr>
          <w:rFonts w:ascii="Arial" w:hAnsi="Arial" w:cs="Arial"/>
          <w:lang w:val="tr-TR"/>
        </w:rPr>
        <w:t>Söz konusu standardın Şirket’in finansal durumu veya performansı üzerinde önemli bir etkisi olmamıştır.</w:t>
      </w:r>
    </w:p>
    <w:p w:rsidR="00D322FB" w:rsidRDefault="00D322FB" w:rsidP="00310652">
      <w:pPr>
        <w:rPr>
          <w:rFonts w:ascii="Arial" w:hAnsi="Arial" w:cs="Arial"/>
          <w:lang w:val="tr-TR"/>
        </w:rPr>
      </w:pPr>
    </w:p>
    <w:p w:rsidR="00D322FB" w:rsidRPr="00940892" w:rsidRDefault="00D322FB" w:rsidP="00310652">
      <w:pPr>
        <w:shd w:val="clear" w:color="auto" w:fill="FFFFFF"/>
        <w:rPr>
          <w:rFonts w:ascii="Arial" w:hAnsi="Arial" w:cs="Arial"/>
          <w:b/>
          <w:lang w:val="tr-TR"/>
        </w:rPr>
      </w:pPr>
      <w:r w:rsidRPr="00940892">
        <w:rPr>
          <w:rFonts w:ascii="Arial" w:hAnsi="Arial" w:cs="Arial"/>
          <w:b/>
          <w:lang w:val="tr-TR"/>
        </w:rPr>
        <w:t>TMS 39 Finansal Araçlar: Muhasebeleştirme ve Ölçme – Türev ürünlerin devri ve riskten korunma muhasebesinin devamlılığı (Değişiklik)</w:t>
      </w:r>
    </w:p>
    <w:p w:rsidR="00D322FB" w:rsidRPr="00940892" w:rsidRDefault="00D322FB" w:rsidP="00310652">
      <w:pPr>
        <w:shd w:val="clear" w:color="auto" w:fill="FFFFFF"/>
        <w:rPr>
          <w:rFonts w:ascii="Arial" w:hAnsi="Arial" w:cs="Arial"/>
          <w:lang w:val="tr-TR"/>
        </w:rPr>
      </w:pPr>
    </w:p>
    <w:p w:rsidR="00D322FB" w:rsidRPr="007949E2" w:rsidRDefault="00D322FB" w:rsidP="00310652">
      <w:pPr>
        <w:shd w:val="clear" w:color="auto" w:fill="FFFFFF"/>
        <w:rPr>
          <w:rFonts w:ascii="Arial" w:hAnsi="Arial" w:cs="Arial"/>
          <w:lang w:val="tr-TR"/>
        </w:rPr>
      </w:pPr>
      <w:r w:rsidRPr="00940892">
        <w:rPr>
          <w:rFonts w:ascii="Arial" w:hAnsi="Arial" w:cs="Arial"/>
          <w:lang w:val="tr-TR"/>
        </w:rPr>
        <w:t xml:space="preserve">Standarda getirilen değişiklik, finansal riskten korunma aracının kanunen ya da düzenlemeler sonucunda merkezi bir karşı tarafa devredilmesi durumunda riskten korunma muhasebesinin durdurulmasını zorunlu kılan hükme dar bir istisna getirmektedir. </w:t>
      </w:r>
      <w:r w:rsidRPr="007949E2">
        <w:rPr>
          <w:rFonts w:ascii="Arial" w:hAnsi="Arial" w:cs="Arial"/>
          <w:lang w:val="tr-TR"/>
        </w:rPr>
        <w:t>Söz konusu</w:t>
      </w:r>
      <w:r>
        <w:rPr>
          <w:rFonts w:ascii="Arial" w:hAnsi="Arial" w:cs="Arial"/>
          <w:lang w:val="tr-TR"/>
        </w:rPr>
        <w:t xml:space="preserve"> standardın Şirket’i</w:t>
      </w:r>
      <w:r w:rsidRPr="007949E2">
        <w:rPr>
          <w:rFonts w:ascii="Arial" w:hAnsi="Arial" w:cs="Arial"/>
          <w:lang w:val="tr-TR"/>
        </w:rPr>
        <w:t>n finansal durumu veya performansı üzerinde bir etkisi olmamıştır.</w:t>
      </w:r>
    </w:p>
    <w:p w:rsidR="00D322FB" w:rsidRPr="009864F6" w:rsidRDefault="00D322FB" w:rsidP="00310652">
      <w:pPr>
        <w:rPr>
          <w:rFonts w:ascii="Arial" w:hAnsi="Arial" w:cs="Arial"/>
          <w:lang w:val="tr-TR"/>
        </w:rPr>
      </w:pPr>
    </w:p>
    <w:p w:rsidR="00D322FB" w:rsidRPr="00940892" w:rsidRDefault="00D322FB" w:rsidP="00310652">
      <w:pPr>
        <w:spacing w:after="200" w:line="276" w:lineRule="auto"/>
        <w:rPr>
          <w:rFonts w:ascii="Arial" w:hAnsi="Arial" w:cs="Arial"/>
          <w:b/>
          <w:snapToGrid w:val="0"/>
          <w:lang w:val="tr-TR"/>
        </w:rPr>
      </w:pPr>
      <w:r w:rsidRPr="00940892">
        <w:rPr>
          <w:rFonts w:ascii="Arial" w:hAnsi="Arial" w:cs="Arial"/>
          <w:b/>
          <w:snapToGrid w:val="0"/>
          <w:lang w:val="tr-TR"/>
        </w:rPr>
        <w:t>TFRS 10 Konsolide Finansal Tablolar (Değişiklik)</w:t>
      </w:r>
    </w:p>
    <w:p w:rsidR="00D322FB" w:rsidRPr="007949E2" w:rsidRDefault="00D322FB" w:rsidP="00310652">
      <w:pPr>
        <w:rPr>
          <w:rFonts w:ascii="Arial" w:hAnsi="Arial" w:cs="Arial"/>
          <w:lang w:val="tr-TR"/>
        </w:rPr>
      </w:pPr>
      <w:r w:rsidRPr="00940892">
        <w:rPr>
          <w:rFonts w:ascii="Arial" w:hAnsi="Arial" w:cs="Arial"/>
          <w:lang w:val="tr-TR"/>
        </w:rPr>
        <w:t xml:space="preserve">TFRS 10 standardı yatırım şirketi tanımına uyan şirketlerin konsolidasyon hükümlerinden muaf tutulmasına ilişkin bir istisna getirmek için değiştirilmiştir. Konsolidasyon hükümlerine getirilen istisna ile yatırım şirketlerinin bağlı ortaklıklarını TFRS 9 Finansal Araçlar standardı hükümleri çerçevesinde gerçeğe uygun değerden muhasebeleştirmeleri gerekmektedir. </w:t>
      </w:r>
      <w:r w:rsidRPr="007949E2">
        <w:rPr>
          <w:rFonts w:ascii="Arial" w:hAnsi="Arial" w:cs="Arial"/>
          <w:lang w:val="tr-TR"/>
        </w:rPr>
        <w:t>Söz kon</w:t>
      </w:r>
      <w:r>
        <w:rPr>
          <w:rFonts w:ascii="Arial" w:hAnsi="Arial" w:cs="Arial"/>
          <w:lang w:val="tr-TR"/>
        </w:rPr>
        <w:t>usu değişikliğin Şirket‘i</w:t>
      </w:r>
      <w:r w:rsidRPr="007949E2">
        <w:rPr>
          <w:rFonts w:ascii="Arial" w:hAnsi="Arial" w:cs="Arial"/>
          <w:lang w:val="tr-TR"/>
        </w:rPr>
        <w:t>n finansal durumu ve performansı üzerinde hiçbir etkisi olmamıştır.</w:t>
      </w:r>
    </w:p>
    <w:p w:rsidR="00D322FB" w:rsidRDefault="00D322FB" w:rsidP="00310652">
      <w:pPr>
        <w:rPr>
          <w:rFonts w:ascii="Arial" w:hAnsi="Arial" w:cs="Arial"/>
          <w:lang w:val="tr-TR"/>
        </w:rPr>
      </w:pPr>
    </w:p>
    <w:p w:rsidR="00D322FB" w:rsidRPr="00940892" w:rsidRDefault="00D322FB" w:rsidP="00310652">
      <w:pPr>
        <w:widowControl w:val="0"/>
        <w:rPr>
          <w:rFonts w:ascii="Arial" w:hAnsi="Arial" w:cs="Arial"/>
          <w:b/>
          <w:snapToGrid w:val="0"/>
          <w:lang w:val="tr-TR"/>
        </w:rPr>
      </w:pPr>
      <w:r w:rsidRPr="00940892">
        <w:rPr>
          <w:rFonts w:ascii="Arial" w:hAnsi="Arial" w:cs="Arial"/>
          <w:b/>
          <w:lang w:val="tr-TR"/>
        </w:rPr>
        <w:t xml:space="preserve">ii) </w:t>
      </w:r>
      <w:r w:rsidRPr="00940892">
        <w:rPr>
          <w:rFonts w:ascii="Arial" w:hAnsi="Arial" w:cs="Arial"/>
          <w:b/>
          <w:snapToGrid w:val="0"/>
          <w:lang w:val="tr-TR"/>
        </w:rPr>
        <w:t>Yayınlanan ama yürürlüğe girmemiş ve erken uygulamaya konulmayan standartlar</w:t>
      </w:r>
    </w:p>
    <w:p w:rsidR="00D322FB" w:rsidRDefault="00D322FB" w:rsidP="00310652">
      <w:pPr>
        <w:rPr>
          <w:rFonts w:ascii="Arial" w:hAnsi="Arial" w:cs="Arial"/>
          <w:lang w:val="tr-TR"/>
        </w:rPr>
      </w:pPr>
    </w:p>
    <w:p w:rsidR="00D322FB" w:rsidRPr="00940892" w:rsidRDefault="00D322FB" w:rsidP="00310652">
      <w:pPr>
        <w:adjustRightInd w:val="0"/>
        <w:rPr>
          <w:rFonts w:ascii="Arial" w:hAnsi="Arial" w:cs="Arial"/>
          <w:lang w:val="tr-TR"/>
        </w:rPr>
      </w:pPr>
      <w:r>
        <w:rPr>
          <w:rFonts w:ascii="Arial" w:hAnsi="Arial" w:cs="Arial"/>
          <w:lang w:val="tr-TR"/>
        </w:rPr>
        <w:t>F</w:t>
      </w:r>
      <w:r w:rsidRPr="00940892">
        <w:rPr>
          <w:rFonts w:ascii="Arial" w:hAnsi="Arial" w:cs="Arial"/>
          <w:lang w:val="tr-TR"/>
        </w:rPr>
        <w:t xml:space="preserve">inansal tabloların onaylanma tarihi itibariyle yayımlanmış fakat cari raporlama dönemi için henüz yürürlüğe girmemiş ve </w:t>
      </w:r>
      <w:r w:rsidRPr="007949E2">
        <w:rPr>
          <w:rFonts w:ascii="Arial" w:hAnsi="Arial" w:cs="Arial"/>
          <w:lang w:val="tr-TR"/>
        </w:rPr>
        <w:t>Şirket</w:t>
      </w:r>
      <w:r w:rsidRPr="00940892">
        <w:rPr>
          <w:rFonts w:ascii="Arial" w:hAnsi="Arial" w:cs="Arial"/>
          <w:lang w:val="tr-TR"/>
        </w:rPr>
        <w:t xml:space="preserve"> tarafından erken uygulanmaya başlanmamış yeni standartlar, yorumlar ve değişiklikler aşağıdaki gibidir. </w:t>
      </w:r>
      <w:r w:rsidRPr="007949E2">
        <w:rPr>
          <w:rFonts w:ascii="Arial" w:hAnsi="Arial" w:cs="Arial"/>
          <w:lang w:val="tr-TR"/>
        </w:rPr>
        <w:t>Şirket</w:t>
      </w:r>
      <w:r w:rsidRPr="00940892">
        <w:rPr>
          <w:rFonts w:ascii="Arial" w:hAnsi="Arial" w:cs="Arial"/>
          <w:lang w:val="tr-TR"/>
        </w:rPr>
        <w:t xml:space="preserve"> aksi belirtilmedikçe yeni standart ve yorumların yürürlüğe girmesinden sonra finansal tablolarını ve dipnotlarını etkileyecek gerekli değişiklikleri yapacaktır.</w:t>
      </w:r>
    </w:p>
    <w:p w:rsidR="00D322FB" w:rsidRDefault="00D322FB" w:rsidP="00310652">
      <w:pPr>
        <w:rPr>
          <w:rFonts w:ascii="Arial" w:hAnsi="Arial" w:cs="Arial"/>
          <w:lang w:val="tr-TR"/>
        </w:rPr>
      </w:pPr>
    </w:p>
    <w:p w:rsidR="00D322FB" w:rsidRPr="00940892" w:rsidRDefault="00D322FB" w:rsidP="00310652">
      <w:pPr>
        <w:widowControl w:val="0"/>
        <w:rPr>
          <w:rFonts w:ascii="Arial" w:hAnsi="Arial" w:cs="Arial"/>
          <w:b/>
          <w:snapToGrid w:val="0"/>
          <w:lang w:val="tr-TR"/>
        </w:rPr>
      </w:pPr>
      <w:r w:rsidRPr="00940892">
        <w:rPr>
          <w:rFonts w:ascii="Arial" w:hAnsi="Arial" w:cs="Arial"/>
          <w:b/>
          <w:snapToGrid w:val="0"/>
          <w:lang w:val="tr-TR"/>
        </w:rPr>
        <w:t>TFRS 9 Finansal Araçlar – Sınıflandırma ve Açıklama</w:t>
      </w:r>
    </w:p>
    <w:p w:rsidR="00D322FB" w:rsidRPr="00940892" w:rsidRDefault="00D322FB" w:rsidP="00310652">
      <w:pPr>
        <w:adjustRightInd w:val="0"/>
        <w:rPr>
          <w:rFonts w:ascii="Arial" w:hAnsi="Arial" w:cs="Arial"/>
          <w:lang w:val="tr-TR"/>
        </w:rPr>
      </w:pPr>
    </w:p>
    <w:p w:rsidR="00D322FB" w:rsidRPr="007949E2" w:rsidRDefault="00D322FB" w:rsidP="00310652">
      <w:pPr>
        <w:adjustRightInd w:val="0"/>
        <w:rPr>
          <w:rFonts w:ascii="Arial" w:hAnsi="Arial" w:cs="Arial"/>
          <w:lang w:val="tr-TR"/>
        </w:rPr>
      </w:pPr>
      <w:r w:rsidRPr="00940892">
        <w:rPr>
          <w:rFonts w:ascii="Arial" w:hAnsi="Arial" w:cs="Arial"/>
          <w:lang w:val="tr-TR"/>
        </w:rPr>
        <w:t xml:space="preserve">Aralık 2012’de yapılan değişiklikle yeni standart, 1 Ocak 2015 tarihi ve sonrasında başlayan yıllık hesap dönemleri için geçerli olacaktır. TFRS 9 Finansal Araçlar standardının ilk safhası finansal varlıkların ve yükümlülüklerin ölçülmesi ve sınıflandırılmasına ilişkin yeni hükümler getirmektedir. TFRS 9’a yapılan değişiklikler esas olarak finansal varlıkların sınıflama ve ölçümünü ve </w:t>
      </w:r>
      <w:r w:rsidRPr="00940892">
        <w:rPr>
          <w:rFonts w:ascii="Arial" w:hAnsi="Arial" w:cs="Arial"/>
          <w:bCs/>
          <w:lang w:val="tr-TR"/>
        </w:rPr>
        <w:t xml:space="preserve">gerçeğe uygun değer farkı kar veya zarara yansıtılarak ölçülen olarak sınıflandırılan finansal yükümlülüklerin ölçümünü etkileyecektir </w:t>
      </w:r>
      <w:r w:rsidRPr="007949E2">
        <w:rPr>
          <w:rFonts w:ascii="Arial" w:hAnsi="Arial" w:cs="Arial"/>
          <w:lang w:val="tr-TR"/>
        </w:rPr>
        <w:t>ve bu tür finansal yükümlülüklerin gerçeğe uygun değer değişikliklerinin kredi riskine ilişkin olan kısmının diğer kapsamlı gelir tablosunda sunumunu gerektirmektedir. Şirket, standardın finansal durumu ve performansı üzerine etkilerini standardın diğer safhaları KGK tarafından kabul edildikten sonra değerlendirecektir.</w:t>
      </w:r>
    </w:p>
    <w:p w:rsidR="00D322FB" w:rsidRDefault="00D322FB" w:rsidP="00310652">
      <w:pPr>
        <w:rPr>
          <w:rFonts w:ascii="Arial" w:hAnsi="Arial" w:cs="Arial"/>
          <w:lang w:val="tr-TR"/>
        </w:rPr>
      </w:pPr>
    </w:p>
    <w:p w:rsidR="00D322FB" w:rsidRPr="00940892" w:rsidRDefault="00D322FB" w:rsidP="00310652">
      <w:pPr>
        <w:adjustRightInd w:val="0"/>
        <w:rPr>
          <w:rFonts w:ascii="Arial" w:hAnsi="Arial" w:cs="Arial"/>
          <w:b/>
          <w:lang w:val="tr-TR"/>
        </w:rPr>
      </w:pPr>
      <w:r w:rsidRPr="00940892">
        <w:rPr>
          <w:rFonts w:ascii="Arial" w:hAnsi="Arial" w:cs="Arial"/>
          <w:b/>
          <w:lang w:val="tr-TR"/>
        </w:rPr>
        <w:t>TMS 19 – Tanımlanmış Fayda Planları: Çalışan Katkıları (Değişiklik)</w:t>
      </w:r>
    </w:p>
    <w:p w:rsidR="00D322FB" w:rsidRPr="00940892" w:rsidRDefault="00D322FB" w:rsidP="00310652">
      <w:pPr>
        <w:adjustRightInd w:val="0"/>
        <w:rPr>
          <w:rFonts w:ascii="Arial" w:hAnsi="Arial" w:cs="Arial"/>
          <w:lang w:val="tr-TR"/>
        </w:rPr>
      </w:pPr>
    </w:p>
    <w:p w:rsidR="00D322FB" w:rsidRPr="007949E2" w:rsidRDefault="00D322FB" w:rsidP="00310652">
      <w:pPr>
        <w:rPr>
          <w:rFonts w:ascii="Arial" w:hAnsi="Arial" w:cs="Arial"/>
          <w:lang w:val="tr-TR"/>
        </w:rPr>
      </w:pPr>
      <w:r w:rsidRPr="00940892">
        <w:rPr>
          <w:rFonts w:ascii="Arial" w:hAnsi="Arial" w:cs="Arial"/>
          <w:lang w:val="tr-TR"/>
        </w:rPr>
        <w:t>TMS 19’a göre tanımlanmış fayda planları muhasebeleştirilirken çalışan ya da üçüncü taraf katkıları göz önüne alınmalıdır. Değişiklik, katkı tutarı hizmet verilen yıl sayısından bağımsız ise,  işletmelerin söz konusu katkıları hizmet dönemlerine yaymak yerine, hizmetin verildiği yılda hizmet maliyetinden düşerek muhasebeleştirebileceklerini açıklığa kavuşturmuştur. Değişiklik, 1 Temmuz 2014 ve sonrasında başlayan yıllık hesap dönemleri için geriye dönük olarak uygulanacaktır.</w:t>
      </w:r>
      <w:r w:rsidRPr="007949E2">
        <w:rPr>
          <w:rFonts w:ascii="Arial" w:hAnsi="Arial" w:cs="Arial"/>
          <w:lang w:val="tr-TR"/>
        </w:rPr>
        <w:t xml:space="preserve"> Söz konusu değişikliğin Şirket’in finansal durumu ve performansı üzerinde hiçbir etkisi olmayacaktır.</w:t>
      </w:r>
    </w:p>
    <w:p w:rsidR="00D322FB" w:rsidRDefault="00D322FB" w:rsidP="00310652">
      <w:pPr>
        <w:rPr>
          <w:rFonts w:ascii="Arial" w:hAnsi="Arial" w:cs="Arial"/>
          <w:lang w:val="tr-TR"/>
        </w:rPr>
      </w:pPr>
      <w:r>
        <w:rPr>
          <w:rFonts w:ascii="Arial" w:hAnsi="Arial" w:cs="Arial"/>
          <w:lang w:val="tr-TR"/>
        </w:rPr>
        <w:br w:type="page"/>
      </w:r>
    </w:p>
    <w:p w:rsidR="00D322FB" w:rsidRDefault="00D322FB" w:rsidP="00310652">
      <w:pPr>
        <w:rPr>
          <w:rFonts w:ascii="Arial" w:hAnsi="Arial" w:cs="Arial"/>
          <w:b/>
          <w:spacing w:val="-2"/>
          <w:lang w:val="tr-TR"/>
        </w:rPr>
      </w:pPr>
      <w:r w:rsidRPr="00FC2192">
        <w:rPr>
          <w:rFonts w:ascii="Arial" w:hAnsi="Arial" w:cs="Arial"/>
          <w:b/>
          <w:spacing w:val="-2"/>
          <w:lang w:val="tr-TR"/>
        </w:rPr>
        <w:lastRenderedPageBreak/>
        <w:t>2.2</w:t>
      </w:r>
      <w:r w:rsidRPr="00FC2192">
        <w:rPr>
          <w:rFonts w:ascii="Arial" w:hAnsi="Arial" w:cs="Arial"/>
          <w:b/>
          <w:spacing w:val="-2"/>
          <w:lang w:val="tr-TR"/>
        </w:rPr>
        <w:tab/>
        <w:t>Standartlarda değişiklikler ve yorumlar (devamı)</w:t>
      </w:r>
    </w:p>
    <w:p w:rsidR="00D322FB" w:rsidRDefault="00D322FB" w:rsidP="00310652">
      <w:pPr>
        <w:rPr>
          <w:rFonts w:ascii="Arial" w:hAnsi="Arial" w:cs="Arial"/>
          <w:lang w:val="tr-TR"/>
        </w:rPr>
      </w:pPr>
    </w:p>
    <w:p w:rsidR="00D322FB" w:rsidRPr="001D2333" w:rsidRDefault="00D322FB" w:rsidP="00310652">
      <w:pPr>
        <w:adjustRightInd w:val="0"/>
        <w:rPr>
          <w:rFonts w:ascii="Arial" w:hAnsi="Arial" w:cs="Arial"/>
          <w:b/>
          <w:lang w:val="tr-TR"/>
        </w:rPr>
      </w:pPr>
      <w:r>
        <w:rPr>
          <w:rFonts w:ascii="Arial" w:hAnsi="Arial" w:cs="Arial"/>
          <w:b/>
          <w:lang w:val="tr-TR"/>
        </w:rPr>
        <w:t>T</w:t>
      </w:r>
      <w:r w:rsidRPr="001D2333">
        <w:rPr>
          <w:rFonts w:ascii="Arial" w:hAnsi="Arial" w:cs="Arial"/>
          <w:b/>
          <w:lang w:val="tr-TR"/>
        </w:rPr>
        <w:t>FRS 11 – Müşterek Faaliyetlerde Hisse Edinimi (Değişiklikler)</w:t>
      </w:r>
    </w:p>
    <w:p w:rsidR="00D322FB" w:rsidRPr="001D2333" w:rsidRDefault="00D322FB" w:rsidP="00310652">
      <w:pPr>
        <w:adjustRightInd w:val="0"/>
        <w:rPr>
          <w:rFonts w:ascii="Arial" w:hAnsi="Arial" w:cs="Arial"/>
          <w:lang w:val="tr-TR"/>
        </w:rPr>
      </w:pPr>
    </w:p>
    <w:p w:rsidR="00D322FB" w:rsidRDefault="00D322FB" w:rsidP="00310652">
      <w:pPr>
        <w:adjustRightInd w:val="0"/>
        <w:rPr>
          <w:rFonts w:ascii="Arial" w:hAnsi="Arial" w:cs="Arial"/>
          <w:i/>
          <w:color w:val="00B0F0"/>
          <w:lang w:val="tr-TR"/>
        </w:rPr>
      </w:pPr>
      <w:r>
        <w:rPr>
          <w:rFonts w:ascii="Arial" w:hAnsi="Arial" w:cs="Arial"/>
          <w:lang w:val="tr-TR"/>
        </w:rPr>
        <w:t>T</w:t>
      </w:r>
      <w:r w:rsidRPr="001D2333">
        <w:rPr>
          <w:rFonts w:ascii="Arial" w:hAnsi="Arial" w:cs="Arial"/>
          <w:lang w:val="tr-TR"/>
        </w:rPr>
        <w:t>FRS 11</w:t>
      </w:r>
      <w:r>
        <w:rPr>
          <w:rFonts w:ascii="Arial" w:hAnsi="Arial" w:cs="Arial"/>
          <w:lang w:val="tr-TR"/>
        </w:rPr>
        <w:t>,</w:t>
      </w:r>
      <w:r w:rsidRPr="001D2333">
        <w:rPr>
          <w:rFonts w:ascii="Arial" w:hAnsi="Arial" w:cs="Arial"/>
          <w:lang w:val="tr-TR"/>
        </w:rPr>
        <w:t xml:space="preserve"> faaliyeti bir işletme teşkil eden müşterek faaliyetlerde ortaklık payı</w:t>
      </w:r>
      <w:r>
        <w:rPr>
          <w:rFonts w:ascii="Arial" w:hAnsi="Arial" w:cs="Arial"/>
          <w:lang w:val="tr-TR"/>
        </w:rPr>
        <w:t xml:space="preserve"> edinimi</w:t>
      </w:r>
      <w:r w:rsidRPr="001D2333">
        <w:rPr>
          <w:rFonts w:ascii="Arial" w:hAnsi="Arial" w:cs="Arial"/>
          <w:lang w:val="tr-TR"/>
        </w:rPr>
        <w:t xml:space="preserve"> muhasebesi ile ilgili rehberlik etmesi için değiştir</w:t>
      </w:r>
      <w:r>
        <w:rPr>
          <w:rFonts w:ascii="Arial" w:hAnsi="Arial" w:cs="Arial"/>
          <w:lang w:val="tr-TR"/>
        </w:rPr>
        <w:t>il</w:t>
      </w:r>
      <w:r w:rsidRPr="001D2333">
        <w:rPr>
          <w:rFonts w:ascii="Arial" w:hAnsi="Arial" w:cs="Arial"/>
          <w:lang w:val="tr-TR"/>
        </w:rPr>
        <w:t xml:space="preserve">miştir. Bu değişiklik, </w:t>
      </w:r>
      <w:r>
        <w:rPr>
          <w:rFonts w:ascii="Arial" w:hAnsi="Arial" w:cs="Arial"/>
          <w:lang w:val="tr-TR"/>
        </w:rPr>
        <w:t>T</w:t>
      </w:r>
      <w:r w:rsidRPr="001D2333">
        <w:rPr>
          <w:rFonts w:ascii="Arial" w:hAnsi="Arial" w:cs="Arial"/>
          <w:lang w:val="tr-TR"/>
        </w:rPr>
        <w:t>FRS 3 İşletme Birleşmeleri’nde belirtildiği şekilde faaliyeti bir işletme teşkil eden bir müşterek faaliyette ortaklık pay</w:t>
      </w:r>
      <w:r>
        <w:rPr>
          <w:rFonts w:ascii="Arial" w:hAnsi="Arial" w:cs="Arial"/>
          <w:lang w:val="tr-TR"/>
        </w:rPr>
        <w:t>ı</w:t>
      </w:r>
      <w:r w:rsidRPr="001D2333">
        <w:rPr>
          <w:rFonts w:ascii="Arial" w:hAnsi="Arial" w:cs="Arial"/>
          <w:lang w:val="tr-TR"/>
        </w:rPr>
        <w:t xml:space="preserve"> edinen işletmenin, bu </w:t>
      </w:r>
      <w:r>
        <w:rPr>
          <w:rFonts w:ascii="Arial" w:hAnsi="Arial" w:cs="Arial"/>
          <w:lang w:val="tr-TR"/>
        </w:rPr>
        <w:t>T</w:t>
      </w:r>
      <w:r w:rsidRPr="001D2333">
        <w:rPr>
          <w:rFonts w:ascii="Arial" w:hAnsi="Arial" w:cs="Arial"/>
          <w:lang w:val="tr-TR"/>
        </w:rPr>
        <w:t>FRS’</w:t>
      </w:r>
      <w:r>
        <w:rPr>
          <w:rFonts w:ascii="Arial" w:hAnsi="Arial" w:cs="Arial"/>
          <w:lang w:val="tr-TR"/>
        </w:rPr>
        <w:t>de</w:t>
      </w:r>
      <w:r w:rsidRPr="001D2333">
        <w:rPr>
          <w:rFonts w:ascii="Arial" w:hAnsi="Arial" w:cs="Arial"/>
          <w:lang w:val="tr-TR"/>
        </w:rPr>
        <w:t xml:space="preserve"> belirtilen rehberlik ile ters düşenl</w:t>
      </w:r>
      <w:r>
        <w:rPr>
          <w:rFonts w:ascii="Arial" w:hAnsi="Arial" w:cs="Arial"/>
          <w:lang w:val="tr-TR"/>
        </w:rPr>
        <w:t>er hariç, TFRS 3 ve diğer TFRS’lerde</w:t>
      </w:r>
      <w:r w:rsidRPr="001D2333">
        <w:rPr>
          <w:rFonts w:ascii="Arial" w:hAnsi="Arial" w:cs="Arial"/>
          <w:lang w:val="tr-TR"/>
        </w:rPr>
        <w:t xml:space="preserve"> yer alan işletme bir</w:t>
      </w:r>
      <w:r>
        <w:rPr>
          <w:rFonts w:ascii="Arial" w:hAnsi="Arial" w:cs="Arial"/>
          <w:lang w:val="tr-TR"/>
        </w:rPr>
        <w:t xml:space="preserve">leşmeleri muhasebesine ilişkin </w:t>
      </w:r>
      <w:r w:rsidRPr="001D2333">
        <w:rPr>
          <w:rFonts w:ascii="Arial" w:hAnsi="Arial" w:cs="Arial"/>
          <w:lang w:val="tr-TR"/>
        </w:rPr>
        <w:t xml:space="preserve">tüm ilkeleri uygulamasını gerektirmektedir. Buna ek olarak, edinen işletme, </w:t>
      </w:r>
      <w:r>
        <w:rPr>
          <w:rFonts w:ascii="Arial" w:hAnsi="Arial" w:cs="Arial"/>
          <w:lang w:val="tr-TR"/>
        </w:rPr>
        <w:t>T</w:t>
      </w:r>
      <w:r w:rsidRPr="001D2333">
        <w:rPr>
          <w:rFonts w:ascii="Arial" w:hAnsi="Arial" w:cs="Arial"/>
          <w:lang w:val="tr-TR"/>
        </w:rPr>
        <w:t>FRS 3 ve işletme birle</w:t>
      </w:r>
      <w:r>
        <w:rPr>
          <w:rFonts w:ascii="Arial" w:hAnsi="Arial" w:cs="Arial"/>
          <w:lang w:val="tr-TR"/>
        </w:rPr>
        <w:t>şmeleri ile ilgili diğer TFRS’lerin</w:t>
      </w:r>
      <w:r w:rsidRPr="001D2333">
        <w:rPr>
          <w:rFonts w:ascii="Arial" w:hAnsi="Arial" w:cs="Arial"/>
          <w:lang w:val="tr-TR"/>
        </w:rPr>
        <w:t xml:space="preserve"> gerektirdiği bilgileri açıklamalıdır. Değişiklikler, 1 Ocak 2016 ve sonrasında başlayan yıllık hesap dönemleri için ileriye dönük olarak uygulanacaktır. Erken uygulamaya izin verilmektedir. </w:t>
      </w:r>
      <w:r w:rsidRPr="007949E2">
        <w:rPr>
          <w:rFonts w:ascii="Arial" w:hAnsi="Arial" w:cs="Arial"/>
          <w:lang w:val="tr-TR"/>
        </w:rPr>
        <w:t>Söz konusu değişikliğin Şirket’in finansal durumu ve performansı üzerinde hiçbir etkisi olmayacaktır</w:t>
      </w:r>
      <w:r w:rsidRPr="001D2333">
        <w:rPr>
          <w:rFonts w:ascii="Arial" w:hAnsi="Arial" w:cs="Arial"/>
          <w:i/>
          <w:color w:val="00B0F0"/>
          <w:lang w:val="tr-TR"/>
        </w:rPr>
        <w:t>.</w:t>
      </w:r>
    </w:p>
    <w:p w:rsidR="00D322FB" w:rsidRDefault="00D322FB" w:rsidP="00310652">
      <w:pPr>
        <w:rPr>
          <w:rFonts w:ascii="Arial" w:hAnsi="Arial" w:cs="Arial"/>
          <w:lang w:val="tr-TR"/>
        </w:rPr>
      </w:pPr>
    </w:p>
    <w:p w:rsidR="00D322FB" w:rsidRPr="00940892" w:rsidRDefault="00D322FB" w:rsidP="00310652">
      <w:pPr>
        <w:spacing w:after="200" w:line="276" w:lineRule="auto"/>
        <w:rPr>
          <w:rFonts w:ascii="Arial" w:hAnsi="Arial" w:cs="Arial"/>
          <w:b/>
          <w:lang w:val="tr-TR"/>
        </w:rPr>
      </w:pPr>
      <w:r w:rsidRPr="00940892">
        <w:rPr>
          <w:rFonts w:ascii="Arial" w:hAnsi="Arial" w:cs="Arial"/>
          <w:b/>
          <w:lang w:val="tr-TR"/>
        </w:rPr>
        <w:t>TMS 16 ve TMS 38 – Kabul edilebilir Amortisman ve İtfa Yöntemlerinin Açıklığa Kavuşturulması (TMS 16 ve TMS 38’deki Değişiklikler)</w:t>
      </w:r>
    </w:p>
    <w:p w:rsidR="00D322FB" w:rsidRPr="007949E2" w:rsidRDefault="00D322FB" w:rsidP="00310652">
      <w:pPr>
        <w:adjustRightInd w:val="0"/>
        <w:rPr>
          <w:rFonts w:ascii="Arial" w:hAnsi="Arial" w:cs="Arial"/>
          <w:lang w:val="tr-TR"/>
        </w:rPr>
      </w:pPr>
      <w:r w:rsidRPr="00940892">
        <w:rPr>
          <w:rFonts w:ascii="Arial" w:hAnsi="Arial" w:cs="Arial"/>
          <w:lang w:val="tr-TR"/>
        </w:rPr>
        <w:t xml:space="preserve">TMS 16 ve TMS 38’deki Değişiklikler, maddi duran varlıklar için hasılata dayalı amortisman hesaplaması kullanımını yasaklamış ve maddi olmayan duran varlıklar için hasılata dayalı amortisman hesaplaması kullanımını önemli ölçüde sınırlandırmıştır. Değişiklikler, 1 Ocak 2016 ve sonrasında başlayan yıllık hesap dönemleri için ileriye dönük olarak uygulanacaktır. Erken uygulamaya izin verilmektedir. </w:t>
      </w:r>
      <w:r w:rsidRPr="007949E2">
        <w:rPr>
          <w:rFonts w:ascii="Arial" w:hAnsi="Arial" w:cs="Arial"/>
          <w:lang w:val="tr-TR"/>
        </w:rPr>
        <w:t>Söz konusu değişikliğin Şirket’in finansal durumu ve performansı üzerinde hiçbir etkisi olmayacaktır.</w:t>
      </w:r>
    </w:p>
    <w:p w:rsidR="00D322FB" w:rsidRDefault="00D322FB" w:rsidP="00310652">
      <w:pPr>
        <w:rPr>
          <w:rFonts w:ascii="Arial" w:hAnsi="Arial" w:cs="Arial"/>
          <w:lang w:val="tr-TR"/>
        </w:rPr>
      </w:pPr>
    </w:p>
    <w:p w:rsidR="00D322FB" w:rsidRPr="00D16469" w:rsidRDefault="00D322FB" w:rsidP="00310652">
      <w:pPr>
        <w:pStyle w:val="Headline2"/>
        <w:rPr>
          <w:rFonts w:ascii="Arial" w:hAnsi="Arial"/>
          <w:bCs w:val="0"/>
          <w:color w:val="auto"/>
          <w:kern w:val="0"/>
          <w:sz w:val="20"/>
          <w:szCs w:val="20"/>
        </w:rPr>
      </w:pPr>
      <w:r>
        <w:rPr>
          <w:rFonts w:ascii="Arial" w:hAnsi="Arial"/>
          <w:bCs w:val="0"/>
          <w:color w:val="auto"/>
          <w:kern w:val="0"/>
          <w:sz w:val="20"/>
          <w:szCs w:val="20"/>
        </w:rPr>
        <w:t>T</w:t>
      </w:r>
      <w:r w:rsidRPr="00D16469">
        <w:rPr>
          <w:rFonts w:ascii="Arial" w:hAnsi="Arial"/>
          <w:bCs w:val="0"/>
          <w:color w:val="auto"/>
          <w:kern w:val="0"/>
          <w:sz w:val="20"/>
          <w:szCs w:val="20"/>
        </w:rPr>
        <w:t xml:space="preserve">MS 16 Maddi </w:t>
      </w:r>
      <w:r>
        <w:rPr>
          <w:rFonts w:ascii="Arial" w:hAnsi="Arial"/>
          <w:bCs w:val="0"/>
          <w:color w:val="auto"/>
          <w:kern w:val="0"/>
          <w:sz w:val="20"/>
          <w:szCs w:val="20"/>
        </w:rPr>
        <w:t>D</w:t>
      </w:r>
      <w:r w:rsidRPr="00D16469">
        <w:rPr>
          <w:rFonts w:ascii="Arial" w:hAnsi="Arial"/>
          <w:bCs w:val="0"/>
          <w:color w:val="auto"/>
          <w:kern w:val="0"/>
          <w:sz w:val="20"/>
          <w:szCs w:val="20"/>
        </w:rPr>
        <w:t xml:space="preserve">uran </w:t>
      </w:r>
      <w:r>
        <w:rPr>
          <w:rFonts w:ascii="Arial" w:hAnsi="Arial"/>
          <w:bCs w:val="0"/>
          <w:color w:val="auto"/>
          <w:kern w:val="0"/>
          <w:sz w:val="20"/>
          <w:szCs w:val="20"/>
        </w:rPr>
        <w:t>V</w:t>
      </w:r>
      <w:r w:rsidRPr="00D16469">
        <w:rPr>
          <w:rFonts w:ascii="Arial" w:hAnsi="Arial"/>
          <w:bCs w:val="0"/>
          <w:color w:val="auto"/>
          <w:kern w:val="0"/>
          <w:sz w:val="20"/>
          <w:szCs w:val="20"/>
        </w:rPr>
        <w:t xml:space="preserve">arlıklar ve UMS 41 Tarımsal </w:t>
      </w:r>
      <w:r>
        <w:rPr>
          <w:rFonts w:ascii="Arial" w:hAnsi="Arial"/>
          <w:bCs w:val="0"/>
          <w:color w:val="auto"/>
          <w:kern w:val="0"/>
          <w:sz w:val="20"/>
          <w:szCs w:val="20"/>
        </w:rPr>
        <w:t>F</w:t>
      </w:r>
      <w:r w:rsidRPr="00D16469">
        <w:rPr>
          <w:rFonts w:ascii="Arial" w:hAnsi="Arial"/>
          <w:bCs w:val="0"/>
          <w:color w:val="auto"/>
          <w:kern w:val="0"/>
          <w:sz w:val="20"/>
          <w:szCs w:val="20"/>
        </w:rPr>
        <w:t>aaliyetler</w:t>
      </w:r>
      <w:r>
        <w:rPr>
          <w:rFonts w:ascii="Arial" w:hAnsi="Arial"/>
          <w:bCs w:val="0"/>
          <w:color w:val="auto"/>
          <w:kern w:val="0"/>
          <w:sz w:val="20"/>
          <w:szCs w:val="20"/>
        </w:rPr>
        <w:t>: Taşıyıcı Bitkiler (Değişiklikler)</w:t>
      </w:r>
    </w:p>
    <w:p w:rsidR="00D322FB" w:rsidRDefault="00D322FB" w:rsidP="00310652">
      <w:pPr>
        <w:adjustRightInd w:val="0"/>
        <w:rPr>
          <w:rFonts w:ascii="Arial" w:hAnsi="Arial" w:cs="Arial"/>
          <w:i/>
          <w:color w:val="00B0F0"/>
          <w:lang w:val="tr-TR"/>
        </w:rPr>
      </w:pPr>
      <w:r>
        <w:rPr>
          <w:rFonts w:ascii="Arial" w:hAnsi="Arial" w:cs="Arial"/>
          <w:lang w:val="tr-TR"/>
        </w:rPr>
        <w:t>TMS 16’da,</w:t>
      </w:r>
      <w:r w:rsidRPr="00D16469">
        <w:rPr>
          <w:rFonts w:ascii="Arial" w:hAnsi="Arial" w:cs="Arial"/>
          <w:lang w:val="tr-TR"/>
        </w:rPr>
        <w:t xml:space="preserve"> “taşıyıcı bitkiler”in  muhasebeleştirilmesine ilişkin </w:t>
      </w:r>
      <w:r>
        <w:rPr>
          <w:rFonts w:ascii="Arial" w:hAnsi="Arial" w:cs="Arial"/>
          <w:lang w:val="tr-TR"/>
        </w:rPr>
        <w:t>bir değişiklik yapılmıştır</w:t>
      </w:r>
      <w:r w:rsidRPr="00D16469">
        <w:rPr>
          <w:rFonts w:ascii="Arial" w:hAnsi="Arial" w:cs="Arial"/>
          <w:lang w:val="tr-TR"/>
        </w:rPr>
        <w:t xml:space="preserve">. Yayınlanan </w:t>
      </w:r>
      <w:r>
        <w:rPr>
          <w:rFonts w:ascii="Arial" w:hAnsi="Arial" w:cs="Arial"/>
          <w:lang w:val="tr-TR"/>
        </w:rPr>
        <w:t>değişiklikte</w:t>
      </w:r>
      <w:r w:rsidRPr="00D16469">
        <w:rPr>
          <w:rFonts w:ascii="Arial" w:hAnsi="Arial" w:cs="Arial"/>
          <w:lang w:val="tr-TR"/>
        </w:rPr>
        <w:t xml:space="preserve"> üzüm asması, kauçuk ağacı ya da hurma ağacı gibi canlı varlık sınıfından olan taşıyıcı bitkilerin, olgunlaşma döneminden sonra bir dönemden fazla ürün verdiği ve işletmeler tarafından ürün verme ömrü süresince tutulduğu belirtilmektedir. Ancak taşıyıcı bitkiler, bir kere olgunlaştıktan sonra önemli biyolojik dönüşümden geçmedikleri için ve işlevleri imalat benzeri olduğu için, </w:t>
      </w:r>
      <w:r>
        <w:rPr>
          <w:rFonts w:ascii="Arial" w:hAnsi="Arial" w:cs="Arial"/>
          <w:lang w:val="tr-TR"/>
        </w:rPr>
        <w:t>değişiklik</w:t>
      </w:r>
      <w:r w:rsidRPr="00D16469">
        <w:rPr>
          <w:rFonts w:ascii="Arial" w:hAnsi="Arial" w:cs="Arial"/>
          <w:lang w:val="tr-TR"/>
        </w:rPr>
        <w:t xml:space="preserve"> taşıyıcı bitkilerin </w:t>
      </w:r>
      <w:r>
        <w:rPr>
          <w:rFonts w:ascii="Arial" w:hAnsi="Arial" w:cs="Arial"/>
          <w:lang w:val="tr-TR"/>
        </w:rPr>
        <w:t>T</w:t>
      </w:r>
      <w:r w:rsidRPr="00D16469">
        <w:rPr>
          <w:rFonts w:ascii="Arial" w:hAnsi="Arial" w:cs="Arial"/>
          <w:lang w:val="tr-TR"/>
        </w:rPr>
        <w:t xml:space="preserve">MS 41 yerine </w:t>
      </w:r>
      <w:r>
        <w:rPr>
          <w:rFonts w:ascii="Arial" w:hAnsi="Arial" w:cs="Arial"/>
          <w:lang w:val="tr-TR"/>
        </w:rPr>
        <w:t>T</w:t>
      </w:r>
      <w:r w:rsidRPr="00D16469">
        <w:rPr>
          <w:rFonts w:ascii="Arial" w:hAnsi="Arial" w:cs="Arial"/>
          <w:lang w:val="tr-TR"/>
        </w:rPr>
        <w:t>MS 16 kapsamında muhasebe</w:t>
      </w:r>
      <w:r>
        <w:rPr>
          <w:rFonts w:ascii="Arial" w:hAnsi="Arial" w:cs="Arial"/>
          <w:lang w:val="tr-TR"/>
        </w:rPr>
        <w:t>le</w:t>
      </w:r>
      <w:r w:rsidRPr="00D16469">
        <w:rPr>
          <w:rFonts w:ascii="Arial" w:hAnsi="Arial" w:cs="Arial"/>
          <w:lang w:val="tr-TR"/>
        </w:rPr>
        <w:t xml:space="preserve">ştirilmesi gerektiğini ortaya koymakta ve “maliyet modeli” ya da “yeniden değerleme modeli” ile değerlenmesine izin vermektedir. Taşıyıcı bitkilerdeki ürün ise </w:t>
      </w:r>
      <w:r>
        <w:rPr>
          <w:rFonts w:ascii="Arial" w:hAnsi="Arial" w:cs="Arial"/>
          <w:lang w:val="tr-TR"/>
        </w:rPr>
        <w:t>T</w:t>
      </w:r>
      <w:r w:rsidRPr="00D16469">
        <w:rPr>
          <w:rFonts w:ascii="Arial" w:hAnsi="Arial" w:cs="Arial"/>
          <w:lang w:val="tr-TR"/>
        </w:rPr>
        <w:t xml:space="preserve">MS 41’deki </w:t>
      </w:r>
      <w:r>
        <w:rPr>
          <w:rFonts w:ascii="Arial" w:hAnsi="Arial" w:cs="Arial"/>
          <w:lang w:val="tr-TR"/>
        </w:rPr>
        <w:t xml:space="preserve">satış maliyetleri düşülmüş </w:t>
      </w:r>
      <w:r w:rsidRPr="00D16469">
        <w:rPr>
          <w:rFonts w:ascii="Arial" w:hAnsi="Arial" w:cs="Arial"/>
          <w:lang w:val="tr-TR"/>
        </w:rPr>
        <w:t>gerçeğe uygun değer modeli ile muhasebeleştirilecektir.</w:t>
      </w:r>
      <w:r>
        <w:rPr>
          <w:rFonts w:ascii="Arial" w:hAnsi="Arial" w:cs="Arial"/>
          <w:lang w:val="tr-TR"/>
        </w:rPr>
        <w:t xml:space="preserve"> </w:t>
      </w:r>
      <w:r w:rsidRPr="001D2333">
        <w:rPr>
          <w:rFonts w:ascii="Arial" w:hAnsi="Arial" w:cs="Arial"/>
          <w:lang w:val="tr-TR"/>
        </w:rPr>
        <w:t xml:space="preserve">Değişiklikler, 1 Ocak 2016 ve sonrasında başlayan yıllık hesap dönemleri için ileriye dönük olarak uygulanacaktır. Erken uygulamaya izin verilmektedir. </w:t>
      </w:r>
      <w:r w:rsidRPr="007949E2">
        <w:rPr>
          <w:rFonts w:ascii="Arial" w:hAnsi="Arial" w:cs="Arial"/>
          <w:lang w:val="tr-TR"/>
        </w:rPr>
        <w:t>Değişiklik Şirket için geçerli değildir ve Şirket’in finansal durumu veya performansı üzerinde etkisi olmayacaktır</w:t>
      </w:r>
      <w:r w:rsidRPr="001D2333">
        <w:rPr>
          <w:rFonts w:ascii="Arial" w:hAnsi="Arial" w:cs="Arial"/>
          <w:i/>
          <w:color w:val="00B0F0"/>
          <w:lang w:val="tr-TR"/>
        </w:rPr>
        <w:t>.</w:t>
      </w:r>
    </w:p>
    <w:p w:rsidR="00D322FB" w:rsidRDefault="00D322FB" w:rsidP="00310652">
      <w:pPr>
        <w:rPr>
          <w:rFonts w:ascii="Arial" w:hAnsi="Arial" w:cs="Arial"/>
          <w:lang w:val="tr-TR"/>
        </w:rPr>
      </w:pPr>
    </w:p>
    <w:p w:rsidR="00D322FB" w:rsidRPr="00940892" w:rsidRDefault="00D322FB" w:rsidP="00310652">
      <w:pPr>
        <w:spacing w:after="200" w:line="276" w:lineRule="auto"/>
        <w:rPr>
          <w:rFonts w:ascii="Arial" w:hAnsi="Arial" w:cs="Arial"/>
          <w:b/>
          <w:lang w:val="tr-TR"/>
        </w:rPr>
      </w:pPr>
      <w:r w:rsidRPr="00940892">
        <w:rPr>
          <w:rFonts w:ascii="Arial" w:hAnsi="Arial" w:cs="Arial"/>
          <w:b/>
          <w:lang w:val="tr-TR"/>
        </w:rPr>
        <w:t>TMS/TFRS’lerde Yıllık iyileştirmeler</w:t>
      </w:r>
    </w:p>
    <w:p w:rsidR="00D322FB" w:rsidRPr="00940892" w:rsidRDefault="00D322FB" w:rsidP="00310652">
      <w:pPr>
        <w:rPr>
          <w:rFonts w:ascii="Arial" w:hAnsi="Arial" w:cs="Arial"/>
          <w:lang w:val="tr-TR"/>
        </w:rPr>
      </w:pPr>
      <w:r w:rsidRPr="00940892">
        <w:rPr>
          <w:rFonts w:ascii="Arial" w:hAnsi="Arial" w:cs="Arial"/>
          <w:lang w:val="tr-TR"/>
        </w:rPr>
        <w:t>KGK, Eylül 2014’de ‘2010-2012 Dönemine İlişkin Yıllık İyileştirmeler” ve “2011-2013 Dönemine İlişkin Yıllık İyileştirmeler” ile ilgili olarak aşağıdaki standart değişikliklerini yayınlanmıştır.  Değişiklikler 1 Temmuz 2014’den itibaren başlayan yıllık hesap dönemleri için geçerlidir.</w:t>
      </w:r>
    </w:p>
    <w:p w:rsidR="00D322FB" w:rsidRDefault="00D322FB" w:rsidP="00310652">
      <w:pPr>
        <w:rPr>
          <w:rFonts w:ascii="Arial" w:hAnsi="Arial" w:cs="Arial"/>
          <w:lang w:val="tr-TR"/>
        </w:rPr>
      </w:pPr>
    </w:p>
    <w:p w:rsidR="00D322FB" w:rsidRPr="001D7158" w:rsidRDefault="00D322FB" w:rsidP="001D7158">
      <w:pPr>
        <w:spacing w:after="200" w:line="276" w:lineRule="auto"/>
        <w:rPr>
          <w:rFonts w:ascii="Arial" w:hAnsi="Arial" w:cs="Arial"/>
          <w:lang w:val="tr-TR"/>
        </w:rPr>
      </w:pPr>
      <w:r w:rsidRPr="00940892">
        <w:rPr>
          <w:rFonts w:ascii="Arial" w:hAnsi="Arial" w:cs="Arial"/>
          <w:b/>
          <w:lang w:val="tr-TR"/>
        </w:rPr>
        <w:t>Yıllık iyileştirmeler</w:t>
      </w:r>
      <w:r w:rsidRPr="00940892">
        <w:rPr>
          <w:rFonts w:ascii="Arial" w:hAnsi="Arial" w:cs="Arial"/>
          <w:lang w:val="tr-TR"/>
        </w:rPr>
        <w:t xml:space="preserve"> - </w:t>
      </w:r>
      <w:r w:rsidRPr="00940892">
        <w:rPr>
          <w:rFonts w:ascii="Arial" w:hAnsi="Arial" w:cs="Arial"/>
          <w:b/>
          <w:bCs/>
          <w:i/>
          <w:lang w:val="tr-TR"/>
        </w:rPr>
        <w:t>2010–2012 Dönemi</w:t>
      </w:r>
    </w:p>
    <w:p w:rsidR="00D322FB" w:rsidRPr="00F320CC" w:rsidRDefault="00D322FB" w:rsidP="00310652">
      <w:pPr>
        <w:autoSpaceDE w:val="0"/>
        <w:autoSpaceDN w:val="0"/>
        <w:adjustRightInd w:val="0"/>
        <w:rPr>
          <w:rFonts w:ascii="Arial" w:hAnsi="Arial" w:cs="Arial"/>
          <w:i/>
          <w:lang w:val="tr-TR"/>
        </w:rPr>
      </w:pPr>
      <w:r w:rsidRPr="00940892">
        <w:rPr>
          <w:rFonts w:ascii="Arial" w:hAnsi="Arial" w:cs="Arial"/>
          <w:i/>
          <w:lang w:val="tr-TR"/>
        </w:rPr>
        <w:t>TFRS 2 Hisse Bazlı Ödemeler:</w:t>
      </w:r>
    </w:p>
    <w:p w:rsidR="00D322FB" w:rsidRPr="00F320CC" w:rsidRDefault="00D322FB" w:rsidP="00310652">
      <w:pPr>
        <w:adjustRightInd w:val="0"/>
        <w:rPr>
          <w:rFonts w:ascii="Arial" w:hAnsi="Arial" w:cs="Arial"/>
          <w:bCs/>
          <w:lang w:val="tr-TR"/>
        </w:rPr>
      </w:pPr>
    </w:p>
    <w:p w:rsidR="00D322FB" w:rsidRPr="001D2333" w:rsidRDefault="00D322FB" w:rsidP="00310652">
      <w:pPr>
        <w:adjustRightInd w:val="0"/>
        <w:rPr>
          <w:rFonts w:ascii="Arial" w:hAnsi="Arial" w:cs="Arial"/>
          <w:bCs/>
          <w:lang w:val="tr-TR"/>
        </w:rPr>
      </w:pPr>
      <w:r w:rsidRPr="00F320CC">
        <w:rPr>
          <w:rFonts w:ascii="Arial" w:hAnsi="Arial" w:cs="Arial"/>
          <w:bCs/>
          <w:lang w:val="tr-TR"/>
        </w:rPr>
        <w:t xml:space="preserve">Hakediş koşulları ile ilgili tanımlar değişmiş olup sorunları gidermek için performans koşulu ve hizmet koşulu tanımlanmıştır. Değişiklik </w:t>
      </w:r>
      <w:r w:rsidRPr="00A4006C">
        <w:rPr>
          <w:rFonts w:ascii="Arial" w:hAnsi="Arial" w:cs="Arial"/>
          <w:bCs/>
          <w:lang w:val="tr-TR"/>
        </w:rPr>
        <w:t>ileriye dönük</w:t>
      </w:r>
      <w:r w:rsidRPr="00F320CC">
        <w:rPr>
          <w:rFonts w:ascii="Arial" w:hAnsi="Arial" w:cs="Arial"/>
          <w:bCs/>
          <w:lang w:val="tr-TR"/>
        </w:rPr>
        <w:t xml:space="preserve"> olarak uygulanacaktır.</w:t>
      </w:r>
    </w:p>
    <w:p w:rsidR="00D322FB" w:rsidRPr="001D2333" w:rsidRDefault="00D322FB" w:rsidP="00310652">
      <w:pPr>
        <w:adjustRightInd w:val="0"/>
        <w:rPr>
          <w:rFonts w:ascii="Arial" w:hAnsi="Arial" w:cs="Arial"/>
          <w:bCs/>
          <w:lang w:val="tr-TR"/>
        </w:rPr>
      </w:pPr>
    </w:p>
    <w:p w:rsidR="00D322FB" w:rsidRPr="001D2333" w:rsidRDefault="00D322FB" w:rsidP="00310652">
      <w:pPr>
        <w:adjustRightInd w:val="0"/>
        <w:rPr>
          <w:rFonts w:ascii="Arial" w:hAnsi="Arial" w:cs="Arial"/>
          <w:bCs/>
          <w:i/>
          <w:lang w:val="tr-TR"/>
        </w:rPr>
      </w:pPr>
      <w:r>
        <w:rPr>
          <w:rFonts w:ascii="Arial" w:hAnsi="Arial" w:cs="Arial"/>
          <w:bCs/>
          <w:i/>
          <w:lang w:val="tr-TR"/>
        </w:rPr>
        <w:t>TFRS</w:t>
      </w:r>
      <w:r w:rsidRPr="001D2333">
        <w:rPr>
          <w:rFonts w:ascii="Arial" w:hAnsi="Arial" w:cs="Arial"/>
          <w:bCs/>
          <w:i/>
          <w:lang w:val="tr-TR"/>
        </w:rPr>
        <w:t xml:space="preserve"> 3 İşletme Birleşmeleri</w:t>
      </w:r>
    </w:p>
    <w:p w:rsidR="00D322FB" w:rsidRPr="001D2333" w:rsidRDefault="00D322FB" w:rsidP="00310652">
      <w:pPr>
        <w:adjustRightInd w:val="0"/>
        <w:rPr>
          <w:rFonts w:ascii="Arial" w:hAnsi="Arial" w:cs="Arial"/>
          <w:bCs/>
          <w:lang w:val="tr-TR"/>
        </w:rPr>
      </w:pPr>
      <w:r w:rsidRPr="001D2333">
        <w:rPr>
          <w:rFonts w:ascii="Arial" w:hAnsi="Arial" w:cs="Arial"/>
          <w:bCs/>
          <w:lang w:val="tr-TR"/>
        </w:rPr>
        <w:t xml:space="preserve"> </w:t>
      </w:r>
    </w:p>
    <w:p w:rsidR="00D322FB" w:rsidRDefault="00D322FB" w:rsidP="00310652">
      <w:pPr>
        <w:adjustRightInd w:val="0"/>
        <w:rPr>
          <w:rFonts w:ascii="Arial" w:hAnsi="Arial" w:cs="Arial"/>
          <w:bCs/>
          <w:lang w:val="tr-TR"/>
        </w:rPr>
      </w:pPr>
      <w:r w:rsidRPr="00F320CC">
        <w:rPr>
          <w:rFonts w:ascii="Arial" w:hAnsi="Arial" w:cs="Arial"/>
          <w:bCs/>
          <w:lang w:val="tr-TR"/>
        </w:rPr>
        <w:t xml:space="preserve">Bir işletme birleşmesindeki özkaynak olarak sınıflanmayan koşullu bedel, </w:t>
      </w:r>
      <w:r>
        <w:rPr>
          <w:rFonts w:ascii="Arial" w:hAnsi="Arial" w:cs="Arial"/>
          <w:bCs/>
          <w:lang w:val="tr-TR"/>
        </w:rPr>
        <w:t>T</w:t>
      </w:r>
      <w:r w:rsidRPr="00F320CC">
        <w:rPr>
          <w:rFonts w:ascii="Arial" w:hAnsi="Arial" w:cs="Arial"/>
          <w:bCs/>
          <w:lang w:val="tr-TR"/>
        </w:rPr>
        <w:t xml:space="preserve">FRS 9 Finansal Araçlar kapsamında olsun ya da olmasın sonraki dönemlerde gerçeğe uygun değerinden ölçülerek kar veya zararda muhasebeleşir. Değişiklik işletme birleşmeleri için </w:t>
      </w:r>
      <w:r w:rsidRPr="00A4006C">
        <w:rPr>
          <w:rFonts w:ascii="Arial" w:hAnsi="Arial" w:cs="Arial"/>
          <w:bCs/>
          <w:lang w:val="tr-TR"/>
        </w:rPr>
        <w:t>ileriye dönük</w:t>
      </w:r>
      <w:r w:rsidRPr="00F320CC">
        <w:rPr>
          <w:rFonts w:ascii="Arial" w:hAnsi="Arial" w:cs="Arial"/>
          <w:bCs/>
          <w:lang w:val="tr-TR"/>
        </w:rPr>
        <w:t xml:space="preserve"> olarak uygulanacaktır.</w:t>
      </w:r>
    </w:p>
    <w:p w:rsidR="00D322FB" w:rsidRPr="001D2333" w:rsidRDefault="00D322FB" w:rsidP="001D7158">
      <w:pPr>
        <w:rPr>
          <w:rFonts w:ascii="Arial" w:hAnsi="Arial" w:cs="Arial"/>
          <w:bCs/>
          <w:lang w:val="tr-TR"/>
        </w:rPr>
      </w:pPr>
      <w:r>
        <w:rPr>
          <w:rFonts w:ascii="Arial" w:hAnsi="Arial" w:cs="Arial"/>
          <w:bCs/>
          <w:lang w:val="tr-TR"/>
        </w:rPr>
        <w:br w:type="page"/>
      </w:r>
    </w:p>
    <w:p w:rsidR="00D322FB" w:rsidRDefault="00D322FB" w:rsidP="00310652">
      <w:pPr>
        <w:adjustRightInd w:val="0"/>
        <w:rPr>
          <w:rFonts w:ascii="Arial" w:hAnsi="Arial" w:cs="Arial"/>
          <w:b/>
          <w:spacing w:val="-2"/>
          <w:lang w:val="tr-TR"/>
        </w:rPr>
      </w:pPr>
      <w:r w:rsidRPr="00FC2192">
        <w:rPr>
          <w:rFonts w:ascii="Arial" w:hAnsi="Arial" w:cs="Arial"/>
          <w:b/>
          <w:spacing w:val="-2"/>
          <w:lang w:val="tr-TR"/>
        </w:rPr>
        <w:lastRenderedPageBreak/>
        <w:t>2.2</w:t>
      </w:r>
      <w:r w:rsidRPr="00FC2192">
        <w:rPr>
          <w:rFonts w:ascii="Arial" w:hAnsi="Arial" w:cs="Arial"/>
          <w:b/>
          <w:spacing w:val="-2"/>
          <w:lang w:val="tr-TR"/>
        </w:rPr>
        <w:tab/>
        <w:t>Standartlarda değişiklikler ve yorumlar (devamı)</w:t>
      </w:r>
    </w:p>
    <w:p w:rsidR="00D322FB" w:rsidRPr="001D2333" w:rsidRDefault="00D322FB" w:rsidP="00310652">
      <w:pPr>
        <w:adjustRightInd w:val="0"/>
        <w:rPr>
          <w:rFonts w:ascii="Arial" w:hAnsi="Arial" w:cs="Arial"/>
          <w:bCs/>
          <w:lang w:val="tr-TR"/>
        </w:rPr>
      </w:pPr>
    </w:p>
    <w:p w:rsidR="00D322FB" w:rsidRPr="001D2333" w:rsidRDefault="00D322FB" w:rsidP="00310652">
      <w:pPr>
        <w:adjustRightInd w:val="0"/>
        <w:rPr>
          <w:rFonts w:ascii="Arial" w:hAnsi="Arial" w:cs="Arial"/>
          <w:bCs/>
          <w:i/>
          <w:lang w:val="tr-TR"/>
        </w:rPr>
      </w:pPr>
      <w:r>
        <w:rPr>
          <w:rFonts w:ascii="Arial" w:hAnsi="Arial" w:cs="Arial"/>
          <w:bCs/>
          <w:i/>
          <w:lang w:val="tr-TR"/>
        </w:rPr>
        <w:t>TFRS</w:t>
      </w:r>
      <w:r w:rsidRPr="001D2333">
        <w:rPr>
          <w:rFonts w:ascii="Arial" w:hAnsi="Arial" w:cs="Arial"/>
          <w:bCs/>
          <w:i/>
          <w:lang w:val="tr-TR"/>
        </w:rPr>
        <w:t xml:space="preserve"> 8 Faaliyet Bölümleri</w:t>
      </w:r>
    </w:p>
    <w:p w:rsidR="00D322FB" w:rsidRPr="001D2333" w:rsidRDefault="00D322FB" w:rsidP="00310652">
      <w:pPr>
        <w:adjustRightInd w:val="0"/>
        <w:rPr>
          <w:rFonts w:ascii="Arial" w:hAnsi="Arial" w:cs="Arial"/>
          <w:bCs/>
          <w:lang w:val="tr-TR"/>
        </w:rPr>
      </w:pPr>
    </w:p>
    <w:p w:rsidR="00D322FB" w:rsidRPr="001D2333" w:rsidRDefault="00D322FB" w:rsidP="00310652">
      <w:pPr>
        <w:adjustRightInd w:val="0"/>
        <w:rPr>
          <w:rFonts w:ascii="Arial" w:hAnsi="Arial" w:cs="Arial"/>
          <w:bCs/>
          <w:lang w:val="tr-TR"/>
        </w:rPr>
      </w:pPr>
      <w:r w:rsidRPr="001D2333">
        <w:rPr>
          <w:rFonts w:ascii="Arial" w:hAnsi="Arial" w:cs="Arial"/>
          <w:bCs/>
          <w:lang w:val="tr-TR"/>
        </w:rPr>
        <w:t xml:space="preserve">Değişiklikler şu şekildedir: i) Faaliyet bölümleri standardın ana ilkeleri ile tutarlı olarak birleştirilebilir/ toplulaştırılabilir. İi) Faaliyet varlıklarının toplam varlıklar ile mutabakatı, bu mutabakat işletmenin faaliyetlere ilişkin karar almaya yetkili yönetici’sine raporlanıyorsa açıklanmalıdır. Değişiklikler </w:t>
      </w:r>
      <w:r>
        <w:rPr>
          <w:rFonts w:ascii="Arial" w:hAnsi="Arial" w:cs="Arial"/>
          <w:bCs/>
          <w:lang w:val="tr-TR"/>
        </w:rPr>
        <w:t>geriye</w:t>
      </w:r>
      <w:r w:rsidRPr="00A4006C">
        <w:rPr>
          <w:rFonts w:ascii="Arial" w:hAnsi="Arial" w:cs="Arial"/>
          <w:bCs/>
          <w:lang w:val="tr-TR"/>
        </w:rPr>
        <w:t xml:space="preserve"> dönük</w:t>
      </w:r>
      <w:r w:rsidRPr="001D2333">
        <w:rPr>
          <w:rFonts w:ascii="Arial" w:hAnsi="Arial" w:cs="Arial"/>
          <w:bCs/>
          <w:lang w:val="tr-TR"/>
        </w:rPr>
        <w:t xml:space="preserve"> olarak uygulanacaktır.</w:t>
      </w:r>
    </w:p>
    <w:p w:rsidR="00D322FB" w:rsidRPr="001D2333" w:rsidRDefault="00D322FB" w:rsidP="00310652">
      <w:pPr>
        <w:adjustRightInd w:val="0"/>
        <w:rPr>
          <w:rFonts w:ascii="Arial" w:hAnsi="Arial" w:cs="Arial"/>
          <w:bCs/>
          <w:lang w:val="tr-TR"/>
        </w:rPr>
      </w:pPr>
    </w:p>
    <w:p w:rsidR="00D322FB" w:rsidRPr="00F320CC" w:rsidRDefault="00D322FB" w:rsidP="00310652">
      <w:pPr>
        <w:adjustRightInd w:val="0"/>
        <w:rPr>
          <w:rFonts w:ascii="Arial" w:hAnsi="Arial" w:cs="Arial"/>
          <w:bCs/>
          <w:i/>
          <w:lang w:val="tr-TR"/>
        </w:rPr>
      </w:pPr>
      <w:r>
        <w:rPr>
          <w:rFonts w:ascii="Arial" w:hAnsi="Arial" w:cs="Arial"/>
          <w:bCs/>
          <w:i/>
          <w:lang w:val="tr-TR"/>
        </w:rPr>
        <w:t>TMS</w:t>
      </w:r>
      <w:r w:rsidRPr="00F320CC">
        <w:rPr>
          <w:rFonts w:ascii="Arial" w:hAnsi="Arial" w:cs="Arial"/>
          <w:bCs/>
          <w:i/>
          <w:lang w:val="tr-TR"/>
        </w:rPr>
        <w:t xml:space="preserve"> 16 Maddi Duran Varlıklar ve </w:t>
      </w:r>
      <w:r>
        <w:rPr>
          <w:rFonts w:ascii="Arial" w:hAnsi="Arial" w:cs="Arial"/>
          <w:bCs/>
          <w:i/>
          <w:lang w:val="tr-TR"/>
        </w:rPr>
        <w:t>TMS</w:t>
      </w:r>
      <w:r w:rsidRPr="00F320CC">
        <w:rPr>
          <w:rFonts w:ascii="Arial" w:hAnsi="Arial" w:cs="Arial"/>
          <w:bCs/>
          <w:i/>
          <w:lang w:val="tr-TR"/>
        </w:rPr>
        <w:t xml:space="preserve"> 38 Maddi Olmayan Duran Varlıklar</w:t>
      </w:r>
    </w:p>
    <w:p w:rsidR="00D322FB" w:rsidRPr="00F320CC" w:rsidRDefault="00D322FB" w:rsidP="00310652">
      <w:pPr>
        <w:adjustRightInd w:val="0"/>
        <w:rPr>
          <w:rFonts w:ascii="Arial" w:hAnsi="Arial" w:cs="Arial"/>
          <w:bCs/>
          <w:lang w:val="tr-TR"/>
        </w:rPr>
      </w:pPr>
    </w:p>
    <w:p w:rsidR="00D322FB" w:rsidRPr="001D2333" w:rsidRDefault="00D322FB" w:rsidP="00310652">
      <w:pPr>
        <w:adjustRightInd w:val="0"/>
        <w:rPr>
          <w:rFonts w:ascii="Arial" w:hAnsi="Arial" w:cs="Arial"/>
          <w:bCs/>
          <w:lang w:val="tr-TR"/>
        </w:rPr>
      </w:pPr>
      <w:r>
        <w:rPr>
          <w:rFonts w:ascii="Arial" w:hAnsi="Arial" w:cs="Arial"/>
          <w:bCs/>
          <w:lang w:val="tr-TR"/>
        </w:rPr>
        <w:t>TMS</w:t>
      </w:r>
      <w:r w:rsidRPr="00F320CC">
        <w:rPr>
          <w:rFonts w:ascii="Arial" w:hAnsi="Arial" w:cs="Arial"/>
          <w:bCs/>
          <w:lang w:val="tr-TR"/>
        </w:rPr>
        <w:t xml:space="preserve"> 16.35(a) ve </w:t>
      </w:r>
      <w:r>
        <w:rPr>
          <w:rFonts w:ascii="Arial" w:hAnsi="Arial" w:cs="Arial"/>
          <w:bCs/>
          <w:lang w:val="tr-TR"/>
        </w:rPr>
        <w:t>TMS</w:t>
      </w:r>
      <w:r w:rsidRPr="00F320CC">
        <w:rPr>
          <w:rFonts w:ascii="Arial" w:hAnsi="Arial" w:cs="Arial"/>
          <w:bCs/>
          <w:lang w:val="tr-TR"/>
        </w:rPr>
        <w:t xml:space="preserve"> 38.80(a)’daki değişiklik yeniden değerlemenin aşağıdaki şekilde yapılabileceğini açıklığa kavuşturmuştur i) Varlığın brüt defter değeri piyasa değerine getirilecek şekilde düzeltilir veya ii) varlığın net defter değerinin piyasa değeri belirlenir, net defter değeri piyasa değerine gelecek şekilde brüt defter değeri oransal olarak düzeltilir. Değişiklik </w:t>
      </w:r>
      <w:r w:rsidRPr="00A4006C">
        <w:rPr>
          <w:rFonts w:ascii="Arial" w:hAnsi="Arial" w:cs="Arial"/>
          <w:bCs/>
          <w:lang w:val="tr-TR"/>
        </w:rPr>
        <w:t>geriye dönük</w:t>
      </w:r>
      <w:r w:rsidRPr="00F320CC">
        <w:rPr>
          <w:rFonts w:ascii="Arial" w:hAnsi="Arial" w:cs="Arial"/>
          <w:bCs/>
          <w:lang w:val="tr-TR"/>
        </w:rPr>
        <w:t xml:space="preserve"> olarak uygulanacaktır.</w:t>
      </w:r>
    </w:p>
    <w:p w:rsidR="00D322FB" w:rsidRPr="001D2333" w:rsidRDefault="00D322FB" w:rsidP="00310652">
      <w:pPr>
        <w:adjustRightInd w:val="0"/>
        <w:rPr>
          <w:rFonts w:ascii="Arial" w:hAnsi="Arial" w:cs="Arial"/>
          <w:bCs/>
          <w:lang w:val="tr-TR"/>
        </w:rPr>
      </w:pPr>
    </w:p>
    <w:p w:rsidR="00D322FB" w:rsidRPr="00F320CC" w:rsidRDefault="00D322FB" w:rsidP="00310652">
      <w:pPr>
        <w:adjustRightInd w:val="0"/>
        <w:rPr>
          <w:rFonts w:ascii="Arial" w:hAnsi="Arial" w:cs="Arial"/>
          <w:bCs/>
          <w:i/>
          <w:lang w:val="tr-TR"/>
        </w:rPr>
      </w:pPr>
      <w:r>
        <w:rPr>
          <w:rFonts w:ascii="Arial" w:hAnsi="Arial" w:cs="Arial"/>
          <w:bCs/>
          <w:i/>
          <w:lang w:val="tr-TR"/>
        </w:rPr>
        <w:t>TMS</w:t>
      </w:r>
      <w:r w:rsidRPr="00F320CC">
        <w:rPr>
          <w:rFonts w:ascii="Arial" w:hAnsi="Arial" w:cs="Arial"/>
          <w:bCs/>
          <w:i/>
          <w:lang w:val="tr-TR"/>
        </w:rPr>
        <w:t xml:space="preserve"> 24 İlişkili Taraf Açıklamaları</w:t>
      </w:r>
    </w:p>
    <w:p w:rsidR="00D322FB" w:rsidRPr="00F320CC" w:rsidRDefault="00D322FB" w:rsidP="00310652">
      <w:pPr>
        <w:adjustRightInd w:val="0"/>
        <w:rPr>
          <w:rFonts w:ascii="Arial" w:hAnsi="Arial" w:cs="Arial"/>
          <w:bCs/>
          <w:lang w:val="tr-TR"/>
        </w:rPr>
      </w:pPr>
    </w:p>
    <w:p w:rsidR="00D322FB" w:rsidRPr="001D2333" w:rsidRDefault="00D322FB" w:rsidP="00310652">
      <w:pPr>
        <w:adjustRightInd w:val="0"/>
        <w:rPr>
          <w:rFonts w:ascii="Arial" w:hAnsi="Arial" w:cs="Arial"/>
          <w:bCs/>
          <w:lang w:val="tr-TR"/>
        </w:rPr>
      </w:pPr>
      <w:r w:rsidRPr="00F320CC">
        <w:rPr>
          <w:rFonts w:ascii="Arial" w:hAnsi="Arial" w:cs="Arial"/>
          <w:bCs/>
          <w:lang w:val="tr-TR"/>
        </w:rPr>
        <w:t xml:space="preserve">Değişiklik, kilit yönetici personeli hizmeti veren yönetici işletmenin ilişkili taraf açıklamalarına tabi ilişkili bir taraf olduğunu açıklığa kavuşturmuştur. Değişiklik </w:t>
      </w:r>
      <w:r w:rsidRPr="00A4006C">
        <w:rPr>
          <w:rFonts w:ascii="Arial" w:hAnsi="Arial" w:cs="Arial"/>
          <w:bCs/>
          <w:lang w:val="tr-TR"/>
        </w:rPr>
        <w:t>geriye dönük</w:t>
      </w:r>
      <w:r w:rsidRPr="00F320CC">
        <w:rPr>
          <w:rFonts w:ascii="Arial" w:hAnsi="Arial" w:cs="Arial"/>
          <w:bCs/>
          <w:lang w:val="tr-TR"/>
        </w:rPr>
        <w:t xml:space="preserve"> olarak uygulanacaktır.</w:t>
      </w:r>
    </w:p>
    <w:p w:rsidR="00D322FB" w:rsidRDefault="00D322FB" w:rsidP="00310652">
      <w:pPr>
        <w:rPr>
          <w:rFonts w:ascii="Arial" w:hAnsi="Arial" w:cs="Arial"/>
          <w:b/>
          <w:lang w:val="tr-TR"/>
        </w:rPr>
      </w:pPr>
    </w:p>
    <w:p w:rsidR="00D322FB" w:rsidRPr="001D2333" w:rsidRDefault="00D322FB" w:rsidP="00310652">
      <w:pPr>
        <w:rPr>
          <w:rFonts w:ascii="Arial" w:hAnsi="Arial" w:cs="Arial"/>
          <w:lang w:val="tr-TR"/>
        </w:rPr>
      </w:pPr>
      <w:r w:rsidRPr="001D2333">
        <w:rPr>
          <w:rFonts w:ascii="Arial" w:hAnsi="Arial" w:cs="Arial"/>
          <w:b/>
          <w:lang w:val="tr-TR"/>
        </w:rPr>
        <w:t>Yıllık İyileştirmeler</w:t>
      </w:r>
      <w:r w:rsidRPr="001D2333">
        <w:rPr>
          <w:rFonts w:ascii="Arial" w:hAnsi="Arial" w:cs="Arial"/>
          <w:lang w:val="tr-TR"/>
        </w:rPr>
        <w:t xml:space="preserve"> - </w:t>
      </w:r>
      <w:r w:rsidRPr="001D2333">
        <w:rPr>
          <w:rFonts w:ascii="Arial" w:hAnsi="Arial" w:cs="Arial"/>
          <w:b/>
          <w:bCs/>
          <w:i/>
          <w:lang w:val="tr-TR"/>
        </w:rPr>
        <w:t>2011–2013 Dönemi</w:t>
      </w:r>
    </w:p>
    <w:p w:rsidR="00D322FB" w:rsidRDefault="00D322FB" w:rsidP="00310652">
      <w:pPr>
        <w:adjustRightInd w:val="0"/>
        <w:rPr>
          <w:rFonts w:ascii="Arial" w:hAnsi="Arial" w:cs="Arial"/>
          <w:bCs/>
          <w:i/>
          <w:lang w:val="tr-TR"/>
        </w:rPr>
      </w:pPr>
    </w:p>
    <w:p w:rsidR="00D322FB" w:rsidRPr="00F320CC" w:rsidRDefault="00D322FB" w:rsidP="00310652">
      <w:pPr>
        <w:adjustRightInd w:val="0"/>
        <w:rPr>
          <w:rFonts w:ascii="Arial" w:hAnsi="Arial" w:cs="Arial"/>
          <w:bCs/>
          <w:i/>
          <w:lang w:val="tr-TR"/>
        </w:rPr>
      </w:pPr>
      <w:r>
        <w:rPr>
          <w:rFonts w:ascii="Arial" w:hAnsi="Arial" w:cs="Arial"/>
          <w:bCs/>
          <w:i/>
          <w:lang w:val="tr-TR"/>
        </w:rPr>
        <w:t>TFRS</w:t>
      </w:r>
      <w:r w:rsidRPr="00F320CC">
        <w:rPr>
          <w:rFonts w:ascii="Arial" w:hAnsi="Arial" w:cs="Arial"/>
          <w:bCs/>
          <w:i/>
          <w:lang w:val="tr-TR"/>
        </w:rPr>
        <w:t xml:space="preserve"> 3 İşletme Birleşmeleri</w:t>
      </w:r>
    </w:p>
    <w:p w:rsidR="00D322FB" w:rsidRPr="00F320CC" w:rsidRDefault="00D322FB" w:rsidP="00310652">
      <w:pPr>
        <w:adjustRightInd w:val="0"/>
        <w:rPr>
          <w:rFonts w:ascii="Arial" w:hAnsi="Arial" w:cs="Arial"/>
          <w:bCs/>
          <w:lang w:val="tr-TR"/>
        </w:rPr>
      </w:pPr>
    </w:p>
    <w:p w:rsidR="00D322FB" w:rsidRPr="001D2333" w:rsidRDefault="00D322FB" w:rsidP="00310652">
      <w:pPr>
        <w:adjustRightInd w:val="0"/>
        <w:rPr>
          <w:rFonts w:ascii="Arial" w:hAnsi="Arial" w:cs="Arial"/>
          <w:bCs/>
          <w:lang w:val="tr-TR"/>
        </w:rPr>
      </w:pPr>
      <w:r w:rsidRPr="00F320CC">
        <w:rPr>
          <w:rFonts w:ascii="Arial" w:hAnsi="Arial" w:cs="Arial"/>
          <w:bCs/>
          <w:lang w:val="tr-TR"/>
        </w:rPr>
        <w:t xml:space="preserve">Değişiklik ile i) sadece iş ortaklıklarının değil müşterek anlaşmaların da </w:t>
      </w:r>
      <w:r>
        <w:rPr>
          <w:rFonts w:ascii="Arial" w:hAnsi="Arial" w:cs="Arial"/>
          <w:bCs/>
          <w:lang w:val="tr-TR"/>
        </w:rPr>
        <w:t>TFRS</w:t>
      </w:r>
      <w:r w:rsidRPr="00F320CC">
        <w:rPr>
          <w:rFonts w:ascii="Arial" w:hAnsi="Arial" w:cs="Arial"/>
          <w:bCs/>
          <w:lang w:val="tr-TR"/>
        </w:rPr>
        <w:t xml:space="preserve"> 3’ün kapsamında olmadığı ve ii) bu kapsam istisnasının sadece müşterek anlaşmanın finansal tablolarındaki muhasebeleşmeye uygulanabilir olduğu açıklığa kavuşturulmuştur. Değişiklik </w:t>
      </w:r>
      <w:r w:rsidRPr="00A4006C">
        <w:rPr>
          <w:rFonts w:ascii="Arial" w:hAnsi="Arial" w:cs="Arial"/>
          <w:bCs/>
          <w:lang w:val="tr-TR"/>
        </w:rPr>
        <w:t>ileriye dönük</w:t>
      </w:r>
      <w:r w:rsidRPr="00F320CC">
        <w:rPr>
          <w:rFonts w:ascii="Arial" w:hAnsi="Arial" w:cs="Arial"/>
          <w:bCs/>
          <w:lang w:val="tr-TR"/>
        </w:rPr>
        <w:t xml:space="preserve"> olarak uygulanacaktır.</w:t>
      </w:r>
    </w:p>
    <w:p w:rsidR="00D322FB" w:rsidRPr="001D2333" w:rsidRDefault="00D322FB" w:rsidP="00310652">
      <w:pPr>
        <w:adjustRightInd w:val="0"/>
        <w:rPr>
          <w:rFonts w:ascii="Arial" w:hAnsi="Arial" w:cs="Arial"/>
          <w:bCs/>
          <w:lang w:val="tr-TR"/>
        </w:rPr>
      </w:pPr>
    </w:p>
    <w:p w:rsidR="00D322FB" w:rsidRPr="00F320CC" w:rsidRDefault="00D322FB" w:rsidP="00310652">
      <w:pPr>
        <w:adjustRightInd w:val="0"/>
        <w:rPr>
          <w:rFonts w:ascii="Arial" w:hAnsi="Arial" w:cs="Arial"/>
          <w:bCs/>
          <w:i/>
          <w:lang w:val="tr-TR"/>
        </w:rPr>
      </w:pPr>
      <w:r>
        <w:rPr>
          <w:rFonts w:ascii="Arial" w:hAnsi="Arial" w:cs="Arial"/>
          <w:bCs/>
          <w:i/>
          <w:lang w:val="tr-TR"/>
        </w:rPr>
        <w:t>TFRS</w:t>
      </w:r>
      <w:r w:rsidRPr="00F320CC">
        <w:rPr>
          <w:rFonts w:ascii="Arial" w:hAnsi="Arial" w:cs="Arial"/>
          <w:bCs/>
          <w:i/>
          <w:lang w:val="tr-TR"/>
        </w:rPr>
        <w:t xml:space="preserve"> 13 Gerçeğe Uygun Değer Ölçümü Karar Gerekçeleri</w:t>
      </w:r>
    </w:p>
    <w:p w:rsidR="00D322FB" w:rsidRPr="00F320CC" w:rsidRDefault="00D322FB" w:rsidP="00310652">
      <w:pPr>
        <w:adjustRightInd w:val="0"/>
        <w:rPr>
          <w:rFonts w:ascii="Arial" w:hAnsi="Arial" w:cs="Arial"/>
          <w:bCs/>
          <w:lang w:val="tr-TR"/>
        </w:rPr>
      </w:pPr>
    </w:p>
    <w:p w:rsidR="00D322FB" w:rsidRPr="00F320CC" w:rsidRDefault="00D322FB" w:rsidP="00310652">
      <w:pPr>
        <w:adjustRightInd w:val="0"/>
        <w:rPr>
          <w:rFonts w:ascii="Arial" w:hAnsi="Arial" w:cs="Arial"/>
          <w:bCs/>
          <w:lang w:val="tr-TR"/>
        </w:rPr>
      </w:pPr>
      <w:r>
        <w:rPr>
          <w:rFonts w:ascii="Arial" w:hAnsi="Arial" w:cs="Arial"/>
          <w:bCs/>
          <w:lang w:val="tr-TR"/>
        </w:rPr>
        <w:t>TFRS</w:t>
      </w:r>
      <w:r w:rsidRPr="00F320CC">
        <w:rPr>
          <w:rFonts w:ascii="Arial" w:hAnsi="Arial" w:cs="Arial"/>
          <w:bCs/>
          <w:lang w:val="tr-TR"/>
        </w:rPr>
        <w:t xml:space="preserve"> 13’deki portföy istisnasının sadece finansal varlık, finansal yükümlülüklere değil </w:t>
      </w:r>
      <w:r>
        <w:rPr>
          <w:rFonts w:ascii="Arial" w:hAnsi="Arial" w:cs="Arial"/>
          <w:bCs/>
          <w:lang w:val="tr-TR"/>
        </w:rPr>
        <w:t>TMS</w:t>
      </w:r>
      <w:r w:rsidRPr="00F320CC">
        <w:rPr>
          <w:rFonts w:ascii="Arial" w:hAnsi="Arial" w:cs="Arial"/>
          <w:bCs/>
          <w:lang w:val="tr-TR"/>
        </w:rPr>
        <w:t xml:space="preserve"> 39 kapsamındaki diğer sözleşmelere de uygulanabileceği açıklanmıştır. Değişiklik </w:t>
      </w:r>
      <w:r w:rsidRPr="00A4006C">
        <w:rPr>
          <w:rFonts w:ascii="Arial" w:hAnsi="Arial" w:cs="Arial"/>
          <w:bCs/>
          <w:lang w:val="tr-TR"/>
        </w:rPr>
        <w:t>ileriye dönük</w:t>
      </w:r>
      <w:r w:rsidRPr="00F320CC">
        <w:rPr>
          <w:rFonts w:ascii="Arial" w:hAnsi="Arial" w:cs="Arial"/>
          <w:bCs/>
          <w:lang w:val="tr-TR"/>
        </w:rPr>
        <w:t xml:space="preserve"> olarak uygulanacaktır.</w:t>
      </w:r>
    </w:p>
    <w:p w:rsidR="00D322FB" w:rsidRPr="00F320CC" w:rsidRDefault="00D322FB" w:rsidP="00310652">
      <w:pPr>
        <w:adjustRightInd w:val="0"/>
        <w:rPr>
          <w:rFonts w:ascii="Arial" w:hAnsi="Arial" w:cs="Arial"/>
          <w:bCs/>
          <w:lang w:val="tr-TR"/>
        </w:rPr>
      </w:pPr>
    </w:p>
    <w:p w:rsidR="00D322FB" w:rsidRPr="00F320CC" w:rsidRDefault="00D322FB" w:rsidP="00310652">
      <w:pPr>
        <w:adjustRightInd w:val="0"/>
        <w:rPr>
          <w:rFonts w:ascii="Arial" w:hAnsi="Arial" w:cs="Arial"/>
          <w:bCs/>
          <w:i/>
          <w:lang w:val="tr-TR"/>
        </w:rPr>
      </w:pPr>
      <w:r>
        <w:rPr>
          <w:rFonts w:ascii="Arial" w:hAnsi="Arial" w:cs="Arial"/>
          <w:bCs/>
          <w:i/>
          <w:lang w:val="tr-TR"/>
        </w:rPr>
        <w:t>TMS</w:t>
      </w:r>
      <w:r w:rsidRPr="00F320CC">
        <w:rPr>
          <w:rFonts w:ascii="Arial" w:hAnsi="Arial" w:cs="Arial"/>
          <w:bCs/>
          <w:i/>
          <w:lang w:val="tr-TR"/>
        </w:rPr>
        <w:t xml:space="preserve"> 40 Yatırım Amaçlı Gayrimenkuller</w:t>
      </w:r>
    </w:p>
    <w:p w:rsidR="00D322FB" w:rsidRPr="00F320CC" w:rsidRDefault="00D322FB" w:rsidP="00310652">
      <w:pPr>
        <w:adjustRightInd w:val="0"/>
        <w:rPr>
          <w:rFonts w:ascii="Arial" w:hAnsi="Arial" w:cs="Arial"/>
          <w:bCs/>
          <w:lang w:val="tr-TR"/>
        </w:rPr>
      </w:pPr>
    </w:p>
    <w:p w:rsidR="00D322FB" w:rsidRDefault="00D322FB" w:rsidP="00310652">
      <w:pPr>
        <w:adjustRightInd w:val="0"/>
        <w:rPr>
          <w:rFonts w:ascii="Arial" w:hAnsi="Arial" w:cs="Arial"/>
          <w:bCs/>
          <w:lang w:val="tr-TR"/>
        </w:rPr>
      </w:pPr>
      <w:r w:rsidRPr="00F320CC">
        <w:rPr>
          <w:rFonts w:ascii="Arial" w:hAnsi="Arial" w:cs="Arial"/>
          <w:bCs/>
          <w:lang w:val="tr-TR"/>
        </w:rPr>
        <w:t xml:space="preserve">Gayrimenkulün yatırım amaçlı gayrimenkul ve sahibi tarafından kullanılan gayrimenkul olarak sınıflanmasında </w:t>
      </w:r>
      <w:r>
        <w:rPr>
          <w:rFonts w:ascii="Arial" w:hAnsi="Arial" w:cs="Arial"/>
          <w:bCs/>
          <w:lang w:val="tr-TR"/>
        </w:rPr>
        <w:t>TFRS</w:t>
      </w:r>
      <w:r w:rsidRPr="00F320CC">
        <w:rPr>
          <w:rFonts w:ascii="Arial" w:hAnsi="Arial" w:cs="Arial"/>
          <w:bCs/>
          <w:lang w:val="tr-TR"/>
        </w:rPr>
        <w:t xml:space="preserve"> 3 ve </w:t>
      </w:r>
      <w:r>
        <w:rPr>
          <w:rFonts w:ascii="Arial" w:hAnsi="Arial" w:cs="Arial"/>
          <w:bCs/>
          <w:lang w:val="tr-TR"/>
        </w:rPr>
        <w:t>TMS</w:t>
      </w:r>
      <w:r w:rsidRPr="00F320CC">
        <w:rPr>
          <w:rFonts w:ascii="Arial" w:hAnsi="Arial" w:cs="Arial"/>
          <w:bCs/>
          <w:lang w:val="tr-TR"/>
        </w:rPr>
        <w:t xml:space="preserve"> 40’un karşılıklı ilişkisini açıklığa kavuşturmuştur. </w:t>
      </w:r>
    </w:p>
    <w:p w:rsidR="00D322FB" w:rsidRDefault="00D322FB" w:rsidP="00310652">
      <w:pPr>
        <w:adjustRightInd w:val="0"/>
        <w:rPr>
          <w:rFonts w:ascii="Arial" w:hAnsi="Arial" w:cs="Arial"/>
          <w:bCs/>
          <w:lang w:val="tr-TR"/>
        </w:rPr>
      </w:pPr>
    </w:p>
    <w:p w:rsidR="00D322FB" w:rsidRPr="001D2333" w:rsidRDefault="00D322FB" w:rsidP="00310652">
      <w:pPr>
        <w:adjustRightInd w:val="0"/>
        <w:rPr>
          <w:rFonts w:ascii="Arial" w:hAnsi="Arial" w:cs="Arial"/>
          <w:bCs/>
          <w:lang w:val="tr-TR"/>
        </w:rPr>
      </w:pPr>
      <w:r>
        <w:rPr>
          <w:rFonts w:ascii="Arial" w:hAnsi="Arial" w:cs="Arial"/>
          <w:bCs/>
          <w:lang w:val="tr-TR"/>
        </w:rPr>
        <w:t>Söz konusu değişikliklerin Şirketin finansal durumu veya performansı üzerinde önemli bir etkisi olması beklenmemektedir.</w:t>
      </w:r>
    </w:p>
    <w:p w:rsidR="00D322FB" w:rsidRDefault="00D322FB" w:rsidP="00310652">
      <w:pPr>
        <w:rPr>
          <w:rFonts w:ascii="Arial" w:hAnsi="Arial" w:cs="Arial"/>
          <w:lang w:val="tr-TR"/>
        </w:rPr>
      </w:pPr>
    </w:p>
    <w:p w:rsidR="00D322FB" w:rsidRPr="001D2333" w:rsidRDefault="00D322FB" w:rsidP="00310652">
      <w:pPr>
        <w:spacing w:after="200" w:line="276" w:lineRule="auto"/>
        <w:rPr>
          <w:rFonts w:ascii="Arial" w:hAnsi="Arial" w:cs="Arial"/>
          <w:b/>
          <w:lang w:val="tr-TR"/>
        </w:rPr>
      </w:pPr>
      <w:r w:rsidRPr="001D2333">
        <w:rPr>
          <w:rFonts w:ascii="Arial" w:hAnsi="Arial" w:cs="Arial"/>
          <w:b/>
          <w:lang w:val="tr-TR"/>
        </w:rPr>
        <w:t>Uluslararası Muhasebe Standartları Kurumu (UMSK) tarafından yayınlanmış fakat KGK tarafından yayınlanmamış y</w:t>
      </w:r>
      <w:r w:rsidRPr="001D2333">
        <w:rPr>
          <w:rFonts w:ascii="Arial" w:hAnsi="Arial" w:cs="Arial"/>
          <w:b/>
          <w:snapToGrid w:val="0"/>
          <w:lang w:val="tr-TR"/>
        </w:rPr>
        <w:t>eni ve düzeltilmiş standartlar ve yorumlar</w:t>
      </w:r>
    </w:p>
    <w:p w:rsidR="00D322FB" w:rsidRPr="001D2333" w:rsidRDefault="00D322FB" w:rsidP="00310652">
      <w:pPr>
        <w:adjustRightInd w:val="0"/>
        <w:rPr>
          <w:rFonts w:ascii="Arial" w:hAnsi="Arial" w:cs="Arial"/>
          <w:lang w:val="tr-TR"/>
        </w:rPr>
      </w:pPr>
      <w:r w:rsidRPr="001D2333">
        <w:rPr>
          <w:rFonts w:ascii="Arial" w:hAnsi="Arial" w:cs="Arial"/>
          <w:lang w:val="tr-TR"/>
        </w:rPr>
        <w:t xml:space="preserve">Aşağıda listelenen yeni standartlar, yorumlar ve mevcut UFRS standartlarındaki değişiklikler UMSK tarafından yayınlanmış fakat cari raporlama dönemi için henüz yürürlüğe girmemiştir. Fakat bu yeni standartlar, yorumlar ve değişiklikler henüz KGK tarafından TFRS’ye uyarlanmamıştır/yayınlanmamıştır ve bu sebeple TFRS’nin bir parçasını oluşturmazlar. </w:t>
      </w:r>
      <w:r w:rsidRPr="007949E2">
        <w:rPr>
          <w:rFonts w:ascii="Arial" w:hAnsi="Arial" w:cs="Arial"/>
          <w:lang w:val="tr-TR"/>
        </w:rPr>
        <w:t>Şirket</w:t>
      </w:r>
      <w:r w:rsidRPr="001D2333">
        <w:rPr>
          <w:rFonts w:ascii="Arial" w:hAnsi="Arial" w:cs="Arial"/>
          <w:lang w:val="tr-TR"/>
        </w:rPr>
        <w:t xml:space="preserve"> finansal tablolarında ve dipnotlarda gerekli değişiklikleri bu standart ve yorumlar TFRS’de yürürlüğe girdikten sonra yapacaktır.</w:t>
      </w:r>
    </w:p>
    <w:p w:rsidR="00D322FB" w:rsidRDefault="00D322FB" w:rsidP="00310652">
      <w:pPr>
        <w:rPr>
          <w:rFonts w:ascii="Arial" w:hAnsi="Arial" w:cs="Arial"/>
          <w:lang w:val="tr-TR"/>
        </w:rPr>
      </w:pPr>
      <w:r>
        <w:rPr>
          <w:rFonts w:ascii="Arial" w:hAnsi="Arial" w:cs="Arial"/>
          <w:lang w:val="tr-TR"/>
        </w:rPr>
        <w:br w:type="page"/>
      </w:r>
    </w:p>
    <w:p w:rsidR="00D322FB" w:rsidRDefault="00D322FB" w:rsidP="00310652">
      <w:pPr>
        <w:rPr>
          <w:rFonts w:ascii="Arial" w:hAnsi="Arial" w:cs="Arial"/>
          <w:b/>
          <w:spacing w:val="-2"/>
          <w:lang w:val="tr-TR"/>
        </w:rPr>
      </w:pPr>
      <w:r w:rsidRPr="00FC2192">
        <w:rPr>
          <w:rFonts w:ascii="Arial" w:hAnsi="Arial" w:cs="Arial"/>
          <w:b/>
          <w:spacing w:val="-2"/>
          <w:lang w:val="tr-TR"/>
        </w:rPr>
        <w:lastRenderedPageBreak/>
        <w:t>2.2</w:t>
      </w:r>
      <w:r w:rsidRPr="00FC2192">
        <w:rPr>
          <w:rFonts w:ascii="Arial" w:hAnsi="Arial" w:cs="Arial"/>
          <w:b/>
          <w:spacing w:val="-2"/>
          <w:lang w:val="tr-TR"/>
        </w:rPr>
        <w:tab/>
        <w:t>Standartlarda değişiklikler ve yorumlar (devamı)</w:t>
      </w:r>
    </w:p>
    <w:p w:rsidR="00D322FB" w:rsidRPr="007949E2" w:rsidRDefault="00D322FB" w:rsidP="00310652">
      <w:pPr>
        <w:rPr>
          <w:rFonts w:ascii="Arial" w:hAnsi="Arial" w:cs="Arial"/>
          <w:lang w:val="tr-TR"/>
        </w:rPr>
      </w:pPr>
    </w:p>
    <w:p w:rsidR="00D322FB" w:rsidRPr="001D2333" w:rsidRDefault="00D322FB" w:rsidP="00310652">
      <w:pPr>
        <w:rPr>
          <w:rFonts w:ascii="Arial" w:hAnsi="Arial" w:cs="Arial"/>
          <w:lang w:val="tr-TR"/>
        </w:rPr>
      </w:pPr>
      <w:r w:rsidRPr="001D2333">
        <w:rPr>
          <w:rFonts w:ascii="Arial" w:hAnsi="Arial" w:cs="Arial"/>
          <w:b/>
          <w:lang w:val="tr-TR"/>
        </w:rPr>
        <w:t>Yıllık İyileştirmeler</w:t>
      </w:r>
      <w:r w:rsidRPr="001D2333">
        <w:rPr>
          <w:rFonts w:ascii="Arial" w:hAnsi="Arial" w:cs="Arial"/>
          <w:lang w:val="tr-TR"/>
        </w:rPr>
        <w:t xml:space="preserve"> - </w:t>
      </w:r>
      <w:r>
        <w:rPr>
          <w:rFonts w:ascii="Arial" w:hAnsi="Arial" w:cs="Arial"/>
          <w:b/>
          <w:bCs/>
          <w:i/>
          <w:lang w:val="tr-TR"/>
        </w:rPr>
        <w:t>2010–2012</w:t>
      </w:r>
      <w:r w:rsidRPr="001D2333">
        <w:rPr>
          <w:rFonts w:ascii="Arial" w:hAnsi="Arial" w:cs="Arial"/>
          <w:b/>
          <w:bCs/>
          <w:i/>
          <w:lang w:val="tr-TR"/>
        </w:rPr>
        <w:t xml:space="preserve"> Dönemi</w:t>
      </w:r>
    </w:p>
    <w:p w:rsidR="00D322FB" w:rsidRDefault="00D322FB" w:rsidP="00310652">
      <w:pPr>
        <w:adjustRightInd w:val="0"/>
        <w:rPr>
          <w:rFonts w:ascii="Arial" w:hAnsi="Arial" w:cs="Arial"/>
          <w:bCs/>
          <w:i/>
          <w:lang w:val="tr-TR"/>
        </w:rPr>
      </w:pPr>
    </w:p>
    <w:p w:rsidR="00D322FB" w:rsidRDefault="00D322FB" w:rsidP="00310652">
      <w:pPr>
        <w:adjustRightInd w:val="0"/>
        <w:rPr>
          <w:rFonts w:ascii="Arial" w:hAnsi="Arial" w:cs="Arial"/>
          <w:bCs/>
          <w:i/>
          <w:lang w:val="tr-TR"/>
        </w:rPr>
      </w:pPr>
      <w:r>
        <w:rPr>
          <w:rFonts w:ascii="Arial" w:hAnsi="Arial" w:cs="Arial"/>
          <w:bCs/>
          <w:i/>
          <w:lang w:val="tr-TR"/>
        </w:rPr>
        <w:t>UFRS</w:t>
      </w:r>
      <w:r w:rsidRPr="001D2333">
        <w:rPr>
          <w:rFonts w:ascii="Arial" w:hAnsi="Arial" w:cs="Arial"/>
          <w:bCs/>
          <w:i/>
          <w:lang w:val="tr-TR"/>
        </w:rPr>
        <w:t xml:space="preserve"> 13 Gerçeğe Uygun Değer Ölçümü</w:t>
      </w:r>
    </w:p>
    <w:p w:rsidR="00D322FB" w:rsidRPr="001C76F0" w:rsidRDefault="00D322FB" w:rsidP="00310652">
      <w:pPr>
        <w:adjustRightInd w:val="0"/>
        <w:rPr>
          <w:rFonts w:ascii="Arial" w:hAnsi="Arial" w:cs="Arial"/>
          <w:bCs/>
          <w:i/>
          <w:lang w:val="tr-TR"/>
        </w:rPr>
      </w:pPr>
    </w:p>
    <w:p w:rsidR="00D322FB" w:rsidRDefault="00D322FB" w:rsidP="00310652">
      <w:pPr>
        <w:adjustRightInd w:val="0"/>
        <w:rPr>
          <w:rFonts w:ascii="Arial" w:hAnsi="Arial" w:cs="Arial"/>
          <w:bCs/>
          <w:lang w:val="tr-TR"/>
        </w:rPr>
      </w:pPr>
      <w:r w:rsidRPr="001D2333">
        <w:rPr>
          <w:rFonts w:ascii="Arial" w:hAnsi="Arial" w:cs="Arial"/>
          <w:bCs/>
          <w:lang w:val="tr-TR"/>
        </w:rPr>
        <w:t xml:space="preserve">Karar Gerekçeleri’nde açıklandığı üzere, üzerlerinde faiz oranı belirtilmeyen kısa vadeli ticari alacak ve borçlar, iskonto etkisinin önemsiz olduğu durumlarda, fatura tutarından gösterilebilecektir. Değişiklikler </w:t>
      </w:r>
      <w:r>
        <w:rPr>
          <w:rFonts w:ascii="Arial" w:hAnsi="Arial" w:cs="Arial"/>
          <w:bCs/>
          <w:lang w:val="tr-TR"/>
        </w:rPr>
        <w:t>derhal</w:t>
      </w:r>
      <w:r w:rsidRPr="001D2333">
        <w:rPr>
          <w:rFonts w:ascii="Arial" w:hAnsi="Arial" w:cs="Arial"/>
          <w:bCs/>
          <w:lang w:val="tr-TR"/>
        </w:rPr>
        <w:t xml:space="preserve"> uygulanacaktır.</w:t>
      </w:r>
    </w:p>
    <w:p w:rsidR="00D322FB" w:rsidRDefault="00D322FB" w:rsidP="00310652">
      <w:pPr>
        <w:adjustRightInd w:val="0"/>
        <w:rPr>
          <w:rFonts w:ascii="Arial" w:hAnsi="Arial" w:cs="Arial"/>
          <w:bCs/>
          <w:lang w:val="tr-TR"/>
        </w:rPr>
      </w:pPr>
    </w:p>
    <w:p w:rsidR="00D322FB" w:rsidRPr="001D2333" w:rsidRDefault="00D322FB" w:rsidP="00310652">
      <w:pPr>
        <w:rPr>
          <w:rFonts w:ascii="Arial" w:hAnsi="Arial" w:cs="Arial"/>
          <w:lang w:val="tr-TR"/>
        </w:rPr>
      </w:pPr>
      <w:r w:rsidRPr="001D2333">
        <w:rPr>
          <w:rFonts w:ascii="Arial" w:hAnsi="Arial" w:cs="Arial"/>
          <w:b/>
          <w:lang w:val="tr-TR"/>
        </w:rPr>
        <w:t>Yıllık İyileştirmeler</w:t>
      </w:r>
      <w:r w:rsidRPr="001D2333">
        <w:rPr>
          <w:rFonts w:ascii="Arial" w:hAnsi="Arial" w:cs="Arial"/>
          <w:lang w:val="tr-TR"/>
        </w:rPr>
        <w:t xml:space="preserve"> - </w:t>
      </w:r>
      <w:r>
        <w:rPr>
          <w:rFonts w:ascii="Arial" w:hAnsi="Arial" w:cs="Arial"/>
          <w:b/>
          <w:bCs/>
          <w:i/>
          <w:lang w:val="tr-TR"/>
        </w:rPr>
        <w:t>2011–2013</w:t>
      </w:r>
      <w:r w:rsidRPr="001D2333">
        <w:rPr>
          <w:rFonts w:ascii="Arial" w:hAnsi="Arial" w:cs="Arial"/>
          <w:b/>
          <w:bCs/>
          <w:i/>
          <w:lang w:val="tr-TR"/>
        </w:rPr>
        <w:t xml:space="preserve"> Dönemi</w:t>
      </w:r>
    </w:p>
    <w:p w:rsidR="00D322FB" w:rsidRDefault="00D322FB" w:rsidP="00310652">
      <w:pPr>
        <w:adjustRightInd w:val="0"/>
        <w:rPr>
          <w:rFonts w:ascii="Arial" w:hAnsi="Arial" w:cs="Arial"/>
          <w:bCs/>
          <w:lang w:val="tr-TR"/>
        </w:rPr>
      </w:pPr>
    </w:p>
    <w:p w:rsidR="00D322FB" w:rsidRPr="00D16469" w:rsidRDefault="00D322FB" w:rsidP="00310652">
      <w:pPr>
        <w:adjustRightInd w:val="0"/>
        <w:rPr>
          <w:rFonts w:ascii="Arial" w:hAnsi="Arial" w:cs="Arial"/>
          <w:b/>
          <w:lang w:val="tr-TR"/>
        </w:rPr>
      </w:pPr>
      <w:r w:rsidRPr="00D16469">
        <w:rPr>
          <w:rFonts w:ascii="Arial" w:hAnsi="Arial" w:cs="Arial"/>
          <w:b/>
          <w:lang w:val="tr-TR"/>
        </w:rPr>
        <w:t>UFRS 15 - Müşterilerle Yapılan Sözleşmelerden Doğan Hasılat</w:t>
      </w:r>
    </w:p>
    <w:p w:rsidR="00D322FB" w:rsidRPr="00D16469" w:rsidRDefault="00D322FB" w:rsidP="00310652">
      <w:pPr>
        <w:adjustRightInd w:val="0"/>
        <w:rPr>
          <w:rFonts w:ascii="Arial" w:hAnsi="Arial" w:cs="Arial"/>
          <w:b/>
          <w:lang w:val="tr-TR"/>
        </w:rPr>
      </w:pPr>
    </w:p>
    <w:p w:rsidR="00D322FB" w:rsidRPr="007949E2" w:rsidRDefault="00D322FB" w:rsidP="00310652">
      <w:pPr>
        <w:adjustRightInd w:val="0"/>
        <w:rPr>
          <w:rFonts w:ascii="Arial" w:hAnsi="Arial" w:cs="Arial"/>
          <w:lang w:val="tr-TR"/>
        </w:rPr>
      </w:pPr>
      <w:r w:rsidRPr="00D16469">
        <w:rPr>
          <w:rFonts w:ascii="Arial" w:hAnsi="Arial" w:cs="Arial"/>
          <w:lang w:val="tr-TR"/>
        </w:rPr>
        <w:t>UMSK</w:t>
      </w:r>
      <w:r>
        <w:rPr>
          <w:rFonts w:ascii="Arial" w:hAnsi="Arial" w:cs="Arial"/>
          <w:lang w:val="tr-TR"/>
        </w:rPr>
        <w:t xml:space="preserve"> Mayıs 2014’de</w:t>
      </w:r>
      <w:r w:rsidRPr="00D16469">
        <w:rPr>
          <w:rFonts w:ascii="Arial" w:hAnsi="Arial" w:cs="Arial"/>
          <w:lang w:val="tr-TR"/>
        </w:rPr>
        <w:t xml:space="preserve"> UFRS 15 Müşterilerle Yapılan Sözleşmelerden Doğan Hasılat standardını yayınlamıştır.</w:t>
      </w:r>
      <w:r>
        <w:rPr>
          <w:rFonts w:ascii="Arial" w:hAnsi="Arial" w:cs="Arial"/>
          <w:lang w:val="tr-TR"/>
        </w:rPr>
        <w:t xml:space="preserve"> S</w:t>
      </w:r>
      <w:r w:rsidRPr="00D16469">
        <w:rPr>
          <w:rFonts w:ascii="Arial" w:hAnsi="Arial" w:cs="Arial"/>
          <w:lang w:val="tr-TR"/>
        </w:rPr>
        <w:t>tandart</w:t>
      </w:r>
      <w:r>
        <w:rPr>
          <w:rFonts w:ascii="Arial" w:hAnsi="Arial" w:cs="Arial"/>
          <w:lang w:val="tr-TR"/>
        </w:rPr>
        <w:t>taki</w:t>
      </w:r>
      <w:r w:rsidRPr="00D16469">
        <w:rPr>
          <w:rFonts w:ascii="Arial" w:hAnsi="Arial" w:cs="Arial"/>
          <w:lang w:val="tr-TR"/>
        </w:rPr>
        <w:t xml:space="preserve"> </w:t>
      </w:r>
      <w:r>
        <w:rPr>
          <w:rFonts w:ascii="Arial" w:hAnsi="Arial" w:cs="Arial"/>
          <w:lang w:val="tr-TR"/>
        </w:rPr>
        <w:t xml:space="preserve">yeni beş aşamalı model, hasılatın muhasebeleştirme ve ölçüm ile ilgili gereklilikleri açıklamaktadır. Standart, müşterilerle yapılan sözleşmelerden doğan </w:t>
      </w:r>
      <w:r w:rsidRPr="00D16469">
        <w:rPr>
          <w:rFonts w:ascii="Arial" w:hAnsi="Arial" w:cs="Arial"/>
          <w:lang w:val="tr-TR"/>
        </w:rPr>
        <w:t>hasılat</w:t>
      </w:r>
      <w:r>
        <w:rPr>
          <w:rFonts w:ascii="Arial" w:hAnsi="Arial" w:cs="Arial"/>
          <w:lang w:val="tr-TR"/>
        </w:rPr>
        <w:t>a</w:t>
      </w:r>
      <w:r w:rsidRPr="00D16469">
        <w:rPr>
          <w:rFonts w:ascii="Arial" w:hAnsi="Arial" w:cs="Arial"/>
          <w:lang w:val="tr-TR"/>
        </w:rPr>
        <w:t xml:space="preserve"> uygulanacak olup </w:t>
      </w:r>
      <w:r>
        <w:rPr>
          <w:rFonts w:ascii="Arial" w:hAnsi="Arial" w:cs="Arial"/>
          <w:lang w:val="tr-TR"/>
        </w:rPr>
        <w:t xml:space="preserve">bir işletmenin olağan faaliyetleri ile ilgili olmayan </w:t>
      </w:r>
      <w:r w:rsidRPr="00D16469">
        <w:rPr>
          <w:rFonts w:ascii="Arial" w:hAnsi="Arial" w:cs="Arial"/>
          <w:lang w:val="tr-TR"/>
        </w:rPr>
        <w:t>bazı finansal olmayan varlıkların (örneğin maddi duran varlık çıkışları) satışının muhasebeleştirilip ölçülmesi için model oluşturmaktadır.</w:t>
      </w:r>
      <w:r>
        <w:rPr>
          <w:rFonts w:ascii="Arial" w:hAnsi="Arial" w:cs="Arial"/>
          <w:lang w:val="tr-TR"/>
        </w:rPr>
        <w:t xml:space="preserve"> </w:t>
      </w:r>
      <w:r w:rsidRPr="00D16469">
        <w:rPr>
          <w:rFonts w:ascii="Arial" w:hAnsi="Arial" w:cs="Arial"/>
          <w:lang w:val="tr-TR"/>
        </w:rPr>
        <w:t xml:space="preserve">UFRS 15, 1 Ocak 2017 ve sonrasında başlayan yıllık hesap dönemleri için uygulanacaktır. </w:t>
      </w:r>
      <w:r w:rsidRPr="001D2333">
        <w:rPr>
          <w:rFonts w:ascii="Arial" w:hAnsi="Arial" w:cs="Arial"/>
          <w:lang w:val="tr-TR"/>
        </w:rPr>
        <w:t>Erken uygulamaya izin verilmektedir</w:t>
      </w:r>
      <w:r>
        <w:rPr>
          <w:rFonts w:ascii="Arial" w:hAnsi="Arial" w:cs="Arial"/>
          <w:lang w:val="tr-TR"/>
        </w:rPr>
        <w:t>.</w:t>
      </w:r>
      <w:r w:rsidRPr="00555A9E">
        <w:rPr>
          <w:rFonts w:ascii="Arial" w:hAnsi="Arial" w:cs="Arial"/>
          <w:lang w:val="tr-TR"/>
        </w:rPr>
        <w:t xml:space="preserve"> UFRS 15’e geçiş için iki alternatif uygulama sunulmuştur; tam geriye dönük uygulama veya modifiye edilmiş geriye dönük uygulama. Modifiye edilmiş geriye dönük uygulama tercih edildiğinde önceki dönemler yeniden düzenlenmeyecek ancak mali tablo dipnotlarında karşılaştırmalı rakamsal bilgi verilecektir.</w:t>
      </w:r>
      <w:r>
        <w:rPr>
          <w:rFonts w:ascii="Arial" w:hAnsi="Arial" w:cs="Arial"/>
          <w:lang w:val="tr-TR"/>
        </w:rPr>
        <w:t xml:space="preserve"> </w:t>
      </w:r>
      <w:r w:rsidRPr="007949E2">
        <w:rPr>
          <w:rFonts w:ascii="Arial" w:hAnsi="Arial" w:cs="Arial"/>
          <w:lang w:val="tr-TR"/>
        </w:rPr>
        <w:t>Söz konusu değişikliğin Şirket’in finansal durumu ve performansı üzerindeki etkileri değerlendirilmektedir.</w:t>
      </w:r>
    </w:p>
    <w:p w:rsidR="00D322FB" w:rsidRDefault="00D322FB" w:rsidP="00310652">
      <w:pPr>
        <w:rPr>
          <w:rFonts w:ascii="Arial" w:hAnsi="Arial" w:cs="Arial"/>
          <w:lang w:val="tr-TR"/>
        </w:rPr>
      </w:pPr>
    </w:p>
    <w:p w:rsidR="00D322FB" w:rsidRPr="001D2333" w:rsidRDefault="00D322FB" w:rsidP="00310652">
      <w:pPr>
        <w:adjustRightInd w:val="0"/>
        <w:rPr>
          <w:rFonts w:ascii="Arial" w:hAnsi="Arial" w:cs="Arial"/>
          <w:b/>
          <w:bCs/>
          <w:lang w:val="tr-TR"/>
        </w:rPr>
      </w:pPr>
      <w:r w:rsidRPr="001D2333">
        <w:rPr>
          <w:rFonts w:ascii="Arial" w:hAnsi="Arial" w:cs="Arial"/>
          <w:b/>
          <w:bCs/>
          <w:lang w:val="tr-TR"/>
        </w:rPr>
        <w:t xml:space="preserve">UFRS 9 Finansal Araçlar – </w:t>
      </w:r>
      <w:r>
        <w:rPr>
          <w:rFonts w:ascii="Arial" w:hAnsi="Arial" w:cs="Arial"/>
          <w:b/>
          <w:bCs/>
          <w:lang w:val="tr-TR"/>
        </w:rPr>
        <w:t xml:space="preserve">Nihai Standart </w:t>
      </w:r>
      <w:r w:rsidRPr="001D2333">
        <w:rPr>
          <w:rFonts w:ascii="Arial" w:hAnsi="Arial" w:cs="Arial"/>
          <w:b/>
          <w:bCs/>
          <w:lang w:val="tr-TR"/>
        </w:rPr>
        <w:t>(201</w:t>
      </w:r>
      <w:r>
        <w:rPr>
          <w:rFonts w:ascii="Arial" w:hAnsi="Arial" w:cs="Arial"/>
          <w:b/>
          <w:bCs/>
          <w:lang w:val="tr-TR"/>
        </w:rPr>
        <w:t>4</w:t>
      </w:r>
      <w:r w:rsidRPr="001D2333">
        <w:rPr>
          <w:rFonts w:ascii="Arial" w:hAnsi="Arial" w:cs="Arial"/>
          <w:b/>
          <w:bCs/>
          <w:lang w:val="tr-TR"/>
        </w:rPr>
        <w:t>)</w:t>
      </w:r>
    </w:p>
    <w:p w:rsidR="00D322FB" w:rsidRDefault="00D322FB" w:rsidP="00310652">
      <w:pPr>
        <w:rPr>
          <w:rFonts w:ascii="Arial" w:hAnsi="Arial" w:cs="Arial"/>
          <w:lang w:val="tr-TR"/>
        </w:rPr>
      </w:pPr>
    </w:p>
    <w:p w:rsidR="00D322FB" w:rsidRDefault="00D322FB" w:rsidP="00310652">
      <w:pPr>
        <w:rPr>
          <w:rFonts w:ascii="Arial" w:hAnsi="Arial" w:cs="Arial"/>
          <w:lang w:val="tr-TR"/>
        </w:rPr>
      </w:pPr>
      <w:r w:rsidRPr="00777C5C">
        <w:rPr>
          <w:rFonts w:ascii="Arial" w:hAnsi="Arial" w:cs="Arial"/>
          <w:lang w:val="tr-TR"/>
        </w:rPr>
        <w:t>UMSK, Temmuz 2014’te UMS 39 Finansal Araçlar: Muhasebeleştirme ve Ölçme standardının yerine geçecek olan ve sınıflandırma ve ölçme, değer düşüklüğü ve finansal riskten korunma muhasebesi aşamalarından oluşan projesi UFRS 9 Finansal Araçlar’ı nihai olarak yayınlamıştır. UFRS 9 finansal varlıkların içinde yönetildikleri iş modelini ve nakit akım özelliklerini yansıtan akılcı, tek bir sınıflama ve ölçüm yaklaşımına dayanmaktadır. Bunun üzerine, kredi kayıplarının daha zamanında muhasebeleştirilebilmesini sağla</w:t>
      </w:r>
      <w:r>
        <w:rPr>
          <w:rFonts w:ascii="Arial" w:hAnsi="Arial" w:cs="Arial"/>
          <w:lang w:val="tr-TR"/>
        </w:rPr>
        <w:t>yacak</w:t>
      </w:r>
      <w:r w:rsidRPr="00777C5C">
        <w:rPr>
          <w:rFonts w:ascii="Arial" w:hAnsi="Arial" w:cs="Arial"/>
          <w:lang w:val="tr-TR"/>
        </w:rPr>
        <w:t xml:space="preserve"> ileriye yönelik bir beklenen kredi kaybı modeli ile değer düşüklüğü muhasebesine tabi olan tüm finansal araçlara uygulanabilen tek bir model kurulmuştur. Buna ek olarak, UFRS 9,  banka ve diğer işletmelerin, finansal borçlarını gerçeğe uygun değeri ile ölçme opsiyonun seçtikleri durumlarda,  kendi kredi değerliliklerindeki düşüşe bağlı olarak</w:t>
      </w:r>
      <w:r>
        <w:rPr>
          <w:rFonts w:ascii="Arial" w:hAnsi="Arial" w:cs="Arial"/>
          <w:lang w:val="tr-TR"/>
        </w:rPr>
        <w:t xml:space="preserve"> finansal borcun </w:t>
      </w:r>
      <w:r w:rsidRPr="00777C5C">
        <w:rPr>
          <w:rFonts w:ascii="Arial" w:hAnsi="Arial" w:cs="Arial"/>
          <w:lang w:val="tr-TR"/>
        </w:rPr>
        <w:t>gerçeğe uygun değerindeki azalmadan dolayı kar veya zarar tablosunda gelir kaydetmeleri sonucunu doğuran “kendi kredi riski” denilen sorunu ele almaktadır. Standart ayrıca, risk yönetimi ekonomisini muhasebe uygulamaları ile daha iyi ilişkilendirebilmek için geliştirilmiş bir finansal riskten korunma modeli içermektedir. UFRS 9, 1 Ocak 2018 veya sonrasında başlayan yıllık hesap dönemleri için geçerlidir; ancak, erken uygulamaya izin verilmektedir. Ayrıca, finansal araçların muhasebesi değiştirilmeden ‘kendi kredi riski ’ ile ilgili değişikliklerinin tek başına erken uygulanmasına izin verilmektedir</w:t>
      </w:r>
      <w:r>
        <w:rPr>
          <w:rFonts w:ascii="Arial" w:hAnsi="Arial" w:cs="Arial"/>
          <w:lang w:val="tr-TR"/>
        </w:rPr>
        <w:t>.</w:t>
      </w:r>
      <w:r w:rsidRPr="007949E2">
        <w:rPr>
          <w:rFonts w:ascii="Arial" w:hAnsi="Arial" w:cs="Arial"/>
          <w:lang w:val="tr-TR"/>
        </w:rPr>
        <w:t xml:space="preserve"> Şirket, standardın finansal durumu ve performansı üzerine etkilerini değerlendirmektedir.</w:t>
      </w:r>
      <w:r w:rsidRPr="009864F6">
        <w:rPr>
          <w:rFonts w:ascii="Arial" w:hAnsi="Arial" w:cs="Arial"/>
          <w:lang w:val="tr-TR"/>
        </w:rPr>
        <w:t xml:space="preserve"> </w:t>
      </w:r>
    </w:p>
    <w:p w:rsidR="00D322FB" w:rsidRDefault="00D322FB" w:rsidP="00310652">
      <w:pPr>
        <w:rPr>
          <w:rFonts w:ascii="Arial" w:hAnsi="Arial" w:cs="Arial"/>
          <w:lang w:val="tr-TR"/>
        </w:rPr>
      </w:pPr>
      <w:r>
        <w:rPr>
          <w:rFonts w:ascii="Arial" w:hAnsi="Arial" w:cs="Arial"/>
          <w:lang w:val="tr-TR"/>
        </w:rPr>
        <w:br w:type="page"/>
      </w:r>
    </w:p>
    <w:p w:rsidR="00D322FB" w:rsidRDefault="00D322FB" w:rsidP="00310652">
      <w:pPr>
        <w:rPr>
          <w:rFonts w:ascii="Arial" w:hAnsi="Arial" w:cs="Arial"/>
          <w:lang w:val="tr-TR"/>
        </w:rPr>
      </w:pPr>
      <w:r w:rsidRPr="00FC2192">
        <w:rPr>
          <w:rFonts w:ascii="Arial" w:hAnsi="Arial" w:cs="Arial"/>
          <w:b/>
          <w:spacing w:val="-2"/>
          <w:lang w:val="tr-TR"/>
        </w:rPr>
        <w:lastRenderedPageBreak/>
        <w:t>2.2</w:t>
      </w:r>
      <w:r w:rsidRPr="00FC2192">
        <w:rPr>
          <w:rFonts w:ascii="Arial" w:hAnsi="Arial" w:cs="Arial"/>
          <w:b/>
          <w:spacing w:val="-2"/>
          <w:lang w:val="tr-TR"/>
        </w:rPr>
        <w:tab/>
        <w:t>Standartlarda değişiklikler ve yorumlar (devamı)</w:t>
      </w:r>
    </w:p>
    <w:p w:rsidR="00D322FB" w:rsidRDefault="00D322FB" w:rsidP="00310652">
      <w:pPr>
        <w:rPr>
          <w:rFonts w:ascii="Arial" w:hAnsi="Arial" w:cs="Arial"/>
          <w:lang w:val="tr-TR"/>
        </w:rPr>
      </w:pPr>
    </w:p>
    <w:p w:rsidR="00D322FB" w:rsidRPr="00796F19" w:rsidRDefault="00D322FB" w:rsidP="00310652">
      <w:pPr>
        <w:pStyle w:val="NormalWeb"/>
        <w:spacing w:before="0" w:beforeAutospacing="0" w:after="0" w:afterAutospacing="0"/>
        <w:jc w:val="both"/>
        <w:rPr>
          <w:rFonts w:ascii="Arial" w:hAnsi="Arial" w:cs="Arial"/>
          <w:b/>
          <w:color w:val="000000"/>
          <w:sz w:val="20"/>
          <w:szCs w:val="20"/>
        </w:rPr>
      </w:pPr>
      <w:r w:rsidRPr="00796F19">
        <w:rPr>
          <w:rFonts w:ascii="Arial" w:hAnsi="Arial" w:cs="Arial"/>
          <w:b/>
          <w:color w:val="000000"/>
          <w:sz w:val="20"/>
          <w:szCs w:val="20"/>
        </w:rPr>
        <w:t xml:space="preserve">UMS 27 – Bireysel Mali Tablolarda Özkaynak Yöntemi </w:t>
      </w:r>
      <w:r>
        <w:rPr>
          <w:rFonts w:ascii="Arial" w:hAnsi="Arial" w:cs="Arial"/>
          <w:b/>
          <w:color w:val="000000"/>
          <w:sz w:val="20"/>
          <w:szCs w:val="20"/>
        </w:rPr>
        <w:t>(</w:t>
      </w:r>
      <w:r w:rsidRPr="00796F19">
        <w:rPr>
          <w:rFonts w:ascii="Arial" w:hAnsi="Arial" w:cs="Arial"/>
          <w:b/>
          <w:color w:val="000000"/>
          <w:sz w:val="20"/>
          <w:szCs w:val="20"/>
        </w:rPr>
        <w:t>UMS 27’de Değişiklik</w:t>
      </w:r>
      <w:r>
        <w:rPr>
          <w:rFonts w:ascii="Arial" w:hAnsi="Arial" w:cs="Arial"/>
          <w:b/>
          <w:color w:val="000000"/>
          <w:sz w:val="20"/>
          <w:szCs w:val="20"/>
        </w:rPr>
        <w:t>)</w:t>
      </w:r>
    </w:p>
    <w:p w:rsidR="00D322FB" w:rsidRPr="00796F19" w:rsidRDefault="00D322FB" w:rsidP="00310652">
      <w:pPr>
        <w:pStyle w:val="NormalWeb"/>
        <w:spacing w:before="0" w:beforeAutospacing="0" w:after="0" w:afterAutospacing="0"/>
        <w:jc w:val="both"/>
        <w:rPr>
          <w:rFonts w:ascii="Arial" w:hAnsi="Arial" w:cs="Arial"/>
          <w:color w:val="000000"/>
          <w:sz w:val="20"/>
          <w:szCs w:val="20"/>
        </w:rPr>
      </w:pPr>
    </w:p>
    <w:p w:rsidR="00D322FB" w:rsidRPr="00842630" w:rsidRDefault="00D322FB" w:rsidP="00310652">
      <w:pPr>
        <w:autoSpaceDE w:val="0"/>
        <w:autoSpaceDN w:val="0"/>
        <w:adjustRightInd w:val="0"/>
        <w:rPr>
          <w:rFonts w:ascii="Arial" w:hAnsi="Arial" w:cs="Arial"/>
          <w:color w:val="000000"/>
          <w:lang w:val="tr-TR"/>
        </w:rPr>
      </w:pPr>
      <w:r w:rsidRPr="00842630">
        <w:rPr>
          <w:rFonts w:ascii="Arial" w:hAnsi="Arial" w:cs="Arial"/>
          <w:color w:val="000000"/>
          <w:lang w:val="tr-TR"/>
        </w:rPr>
        <w:t>Ağustos 2014’te UMSK, işletmelerin bireysel finansal tablolarında bağlı ortaklıklar ve iştiraklerdeki yatırımların muhasebeleştirilmesinde özkaynak yönteminin kullanılması seçeneğini yeniden sunmak için UMS 27’de değişiklik yapmıştır. Buna göre işletmelerin bu yatırımları:</w:t>
      </w:r>
    </w:p>
    <w:p w:rsidR="00D322FB" w:rsidRPr="00842630" w:rsidRDefault="00D322FB" w:rsidP="00310652">
      <w:pPr>
        <w:autoSpaceDE w:val="0"/>
        <w:autoSpaceDN w:val="0"/>
        <w:adjustRightInd w:val="0"/>
        <w:rPr>
          <w:rFonts w:ascii="Arial" w:hAnsi="Arial" w:cs="Arial"/>
          <w:color w:val="000000"/>
          <w:lang w:val="tr-TR"/>
        </w:rPr>
      </w:pPr>
    </w:p>
    <w:p w:rsidR="00D322FB" w:rsidRPr="00842630" w:rsidRDefault="00D322FB" w:rsidP="00310652">
      <w:pPr>
        <w:autoSpaceDE w:val="0"/>
        <w:autoSpaceDN w:val="0"/>
        <w:adjustRightInd w:val="0"/>
        <w:rPr>
          <w:rFonts w:ascii="Arial" w:hAnsi="Arial" w:cs="Arial"/>
          <w:color w:val="000000"/>
          <w:lang w:val="tr-TR"/>
        </w:rPr>
      </w:pPr>
      <w:r w:rsidRPr="00842630">
        <w:rPr>
          <w:rFonts w:ascii="Arial" w:hAnsi="Arial" w:cs="Arial"/>
          <w:color w:val="000000"/>
          <w:lang w:val="tr-TR"/>
        </w:rPr>
        <w:t xml:space="preserve">• maliyet değeriyle </w:t>
      </w:r>
    </w:p>
    <w:p w:rsidR="00D322FB" w:rsidRPr="00842630" w:rsidRDefault="00D322FB" w:rsidP="00310652">
      <w:pPr>
        <w:autoSpaceDE w:val="0"/>
        <w:autoSpaceDN w:val="0"/>
        <w:adjustRightInd w:val="0"/>
        <w:rPr>
          <w:rFonts w:ascii="Arial" w:hAnsi="Arial" w:cs="Arial"/>
          <w:color w:val="000000"/>
          <w:lang w:val="tr-TR"/>
        </w:rPr>
      </w:pPr>
      <w:r w:rsidRPr="00842630">
        <w:rPr>
          <w:rFonts w:ascii="Arial" w:hAnsi="Arial" w:cs="Arial"/>
          <w:color w:val="000000"/>
          <w:lang w:val="tr-TR"/>
        </w:rPr>
        <w:t xml:space="preserve">• UFRS 9 (veya UMS 39)’a göre </w:t>
      </w:r>
    </w:p>
    <w:p w:rsidR="00D322FB" w:rsidRPr="00842630" w:rsidRDefault="00D322FB" w:rsidP="00310652">
      <w:pPr>
        <w:autoSpaceDE w:val="0"/>
        <w:autoSpaceDN w:val="0"/>
        <w:adjustRightInd w:val="0"/>
        <w:rPr>
          <w:rFonts w:ascii="Arial" w:hAnsi="Arial" w:cs="Arial"/>
          <w:color w:val="000000"/>
          <w:lang w:val="tr-TR"/>
        </w:rPr>
      </w:pPr>
      <w:r w:rsidRPr="00842630">
        <w:rPr>
          <w:rFonts w:ascii="Arial" w:hAnsi="Arial" w:cs="Arial"/>
          <w:color w:val="000000"/>
          <w:lang w:val="tr-TR"/>
        </w:rPr>
        <w:t xml:space="preserve">veya </w:t>
      </w:r>
    </w:p>
    <w:p w:rsidR="00D322FB" w:rsidRPr="00842630" w:rsidRDefault="00D322FB" w:rsidP="00310652">
      <w:pPr>
        <w:autoSpaceDE w:val="0"/>
        <w:autoSpaceDN w:val="0"/>
        <w:adjustRightInd w:val="0"/>
        <w:rPr>
          <w:rFonts w:ascii="Arial" w:hAnsi="Arial" w:cs="Arial"/>
          <w:color w:val="000000"/>
          <w:lang w:val="tr-TR"/>
        </w:rPr>
      </w:pPr>
      <w:r w:rsidRPr="00842630">
        <w:rPr>
          <w:rFonts w:ascii="Arial" w:hAnsi="Arial" w:cs="Arial"/>
          <w:color w:val="000000"/>
          <w:lang w:val="tr-TR"/>
        </w:rPr>
        <w:t xml:space="preserve">• özkaynak yöntemini kullanarak muhasebeleştirmesi gerekmektedir. </w:t>
      </w:r>
    </w:p>
    <w:p w:rsidR="00D322FB" w:rsidRPr="00842630" w:rsidRDefault="00D322FB" w:rsidP="00310652">
      <w:pPr>
        <w:autoSpaceDE w:val="0"/>
        <w:autoSpaceDN w:val="0"/>
        <w:adjustRightInd w:val="0"/>
        <w:rPr>
          <w:rFonts w:ascii="Arial" w:hAnsi="Arial" w:cs="Arial"/>
          <w:color w:val="000000"/>
          <w:lang w:val="tr-TR"/>
        </w:rPr>
      </w:pPr>
    </w:p>
    <w:p w:rsidR="00D322FB" w:rsidRDefault="00D322FB" w:rsidP="00310652">
      <w:pPr>
        <w:autoSpaceDE w:val="0"/>
        <w:autoSpaceDN w:val="0"/>
        <w:adjustRightInd w:val="0"/>
        <w:rPr>
          <w:rFonts w:ascii="Arial" w:hAnsi="Arial" w:cs="Arial"/>
          <w:b/>
          <w:spacing w:val="-2"/>
          <w:lang w:val="tr-TR"/>
        </w:rPr>
      </w:pPr>
      <w:r w:rsidRPr="00842630">
        <w:rPr>
          <w:rFonts w:ascii="Arial" w:hAnsi="Arial" w:cs="Arial"/>
          <w:color w:val="000000"/>
          <w:lang w:val="tr-TR"/>
        </w:rPr>
        <w:t>İşletmelerin aynı muhasebeleştirmeyi her yatırım kategorisine uygulaması gerekmektedir. Bu değişiklik 1 Ocak 2016 ve sonrasında başlayan yıllık raporlama dönemleri için geçerli olup, geçmişe dönük olarak uygulanmalıdır. Erken uygulamaya izin verilmekte olup, erken uygulama açıklanmalıdır. Söz konusu değişikliğin Şirket’in finansal durumu ve performansı üzerindeki etkileri değerlendirilmektedir.</w:t>
      </w:r>
    </w:p>
    <w:p w:rsidR="00D322FB" w:rsidRPr="004B44F8" w:rsidRDefault="00D322FB" w:rsidP="00310652">
      <w:pPr>
        <w:autoSpaceDE w:val="0"/>
        <w:autoSpaceDN w:val="0"/>
        <w:adjustRightInd w:val="0"/>
        <w:rPr>
          <w:rFonts w:ascii="Arial" w:hAnsi="Arial" w:cs="Arial"/>
          <w:i/>
          <w:color w:val="00B0F0"/>
          <w:lang w:val="tr-TR"/>
        </w:rPr>
      </w:pPr>
    </w:p>
    <w:p w:rsidR="00D322FB" w:rsidRPr="00842630" w:rsidRDefault="00D322FB" w:rsidP="00310652">
      <w:pPr>
        <w:rPr>
          <w:rFonts w:ascii="Arial" w:hAnsi="Arial" w:cs="Arial"/>
          <w:b/>
          <w:color w:val="000000"/>
          <w:lang w:val="tr-TR"/>
        </w:rPr>
      </w:pPr>
      <w:r w:rsidRPr="00842630">
        <w:rPr>
          <w:rFonts w:ascii="Arial" w:hAnsi="Arial" w:cs="Arial"/>
          <w:b/>
          <w:color w:val="000000"/>
          <w:lang w:val="tr-TR"/>
        </w:rPr>
        <w:t>UFRS Yıllık İyileştirmeler, 2012-2014 Dönemi </w:t>
      </w:r>
    </w:p>
    <w:p w:rsidR="00D322FB" w:rsidRPr="00842630" w:rsidRDefault="00D322FB" w:rsidP="00310652">
      <w:pPr>
        <w:rPr>
          <w:rFonts w:ascii="Arial" w:hAnsi="Arial" w:cs="Arial"/>
          <w:color w:val="000000"/>
          <w:lang w:val="tr-TR"/>
        </w:rPr>
      </w:pPr>
    </w:p>
    <w:p w:rsidR="00D322FB" w:rsidRPr="00842630" w:rsidRDefault="00D322FB" w:rsidP="00310652">
      <w:pPr>
        <w:rPr>
          <w:rFonts w:ascii="Arial" w:hAnsi="Arial" w:cs="Arial"/>
          <w:color w:val="000000"/>
          <w:lang w:val="tr-TR"/>
        </w:rPr>
      </w:pPr>
      <w:r w:rsidRPr="00842630">
        <w:rPr>
          <w:rFonts w:ascii="Arial" w:hAnsi="Arial" w:cs="Arial"/>
          <w:color w:val="000000"/>
          <w:lang w:val="tr-TR"/>
        </w:rPr>
        <w:t>UMSK, Eylül 2014’te UFRS’lerdeki yıllık iyileştirmelerini, “UFRS Yıllık İyileştirmeler, 2012-2014 Dönemi’ni yayınlamıştır. Doküman, değişikliklerin sonucu olarak değişikliğe uğrayan standartlar ve ilgili Gerekçeler hariç, dört standarda beş değişiklik getirmektedir. Etkilenen standartlar ve değişikliklerin konuları aşağıdaki gibidir:</w:t>
      </w:r>
    </w:p>
    <w:p w:rsidR="00D322FB" w:rsidRPr="00842630" w:rsidRDefault="00D322FB" w:rsidP="00310652">
      <w:pPr>
        <w:rPr>
          <w:rFonts w:ascii="Arial" w:hAnsi="Arial" w:cs="Arial"/>
          <w:color w:val="000000"/>
          <w:lang w:val="tr-TR"/>
        </w:rPr>
      </w:pPr>
    </w:p>
    <w:p w:rsidR="00D322FB" w:rsidRPr="00842630" w:rsidRDefault="00D322FB" w:rsidP="00310652">
      <w:pPr>
        <w:autoSpaceDE w:val="0"/>
        <w:autoSpaceDN w:val="0"/>
        <w:adjustRightInd w:val="0"/>
        <w:spacing w:after="120"/>
        <w:ind w:left="360" w:hanging="360"/>
        <w:rPr>
          <w:rFonts w:ascii="Arial" w:hAnsi="Arial" w:cs="Arial"/>
          <w:color w:val="000000"/>
          <w:lang w:val="tr-TR"/>
        </w:rPr>
      </w:pPr>
      <w:r w:rsidRPr="00842630">
        <w:rPr>
          <w:rFonts w:ascii="Arial" w:hAnsi="Arial" w:cs="Arial"/>
          <w:color w:val="000000"/>
          <w:lang w:val="tr-TR"/>
        </w:rPr>
        <w:t>-</w:t>
      </w:r>
      <w:r w:rsidRPr="00842630">
        <w:rPr>
          <w:rFonts w:ascii="Arial" w:hAnsi="Arial" w:cs="Arial"/>
          <w:color w:val="000000"/>
          <w:lang w:val="tr-TR"/>
        </w:rPr>
        <w:tab/>
        <w:t xml:space="preserve">UFRS 5 Satış Amaçlı Elde Tutulan Duran Varlıklar ve Durdurulan Faaliyetler – elden çıkarma yöntemlerinde değişiklik </w:t>
      </w:r>
    </w:p>
    <w:p w:rsidR="00D322FB" w:rsidRPr="00842630" w:rsidRDefault="00D322FB" w:rsidP="00310652">
      <w:pPr>
        <w:autoSpaceDE w:val="0"/>
        <w:autoSpaceDN w:val="0"/>
        <w:adjustRightInd w:val="0"/>
        <w:spacing w:after="120"/>
        <w:ind w:left="360" w:hanging="360"/>
        <w:rPr>
          <w:rFonts w:ascii="Arial" w:hAnsi="Arial" w:cs="Arial"/>
          <w:color w:val="000000"/>
          <w:lang w:val="tr-TR"/>
        </w:rPr>
      </w:pPr>
      <w:r w:rsidRPr="00842630">
        <w:rPr>
          <w:rFonts w:ascii="Arial" w:hAnsi="Arial" w:cs="Arial"/>
          <w:color w:val="000000"/>
          <w:lang w:val="tr-TR"/>
        </w:rPr>
        <w:t>-</w:t>
      </w:r>
      <w:r w:rsidRPr="00842630">
        <w:rPr>
          <w:rFonts w:ascii="Arial" w:hAnsi="Arial" w:cs="Arial"/>
          <w:color w:val="000000"/>
          <w:lang w:val="tr-TR"/>
        </w:rPr>
        <w:tab/>
        <w:t xml:space="preserve">UFRS 7 Finansal Araçlar: Açıklamalar – hizmet sözleşmeleri; değişikliklerin UFRS 7’ye ara dönem özet finansal tablolara uygulanabilirliği </w:t>
      </w:r>
    </w:p>
    <w:p w:rsidR="00D322FB" w:rsidRPr="00842630" w:rsidRDefault="00D322FB" w:rsidP="00310652">
      <w:pPr>
        <w:autoSpaceDE w:val="0"/>
        <w:autoSpaceDN w:val="0"/>
        <w:adjustRightInd w:val="0"/>
        <w:spacing w:after="120"/>
        <w:ind w:left="360" w:hanging="360"/>
        <w:rPr>
          <w:rFonts w:ascii="Arial" w:hAnsi="Arial" w:cs="Arial"/>
          <w:color w:val="000000"/>
          <w:lang w:val="tr-TR"/>
        </w:rPr>
      </w:pPr>
      <w:r w:rsidRPr="00842630">
        <w:rPr>
          <w:rFonts w:ascii="Arial" w:hAnsi="Arial" w:cs="Arial"/>
          <w:color w:val="000000"/>
          <w:lang w:val="tr-TR"/>
        </w:rPr>
        <w:t>-</w:t>
      </w:r>
      <w:r w:rsidRPr="00842630">
        <w:rPr>
          <w:rFonts w:ascii="Arial" w:hAnsi="Arial" w:cs="Arial"/>
          <w:color w:val="000000"/>
          <w:lang w:val="tr-TR"/>
        </w:rPr>
        <w:tab/>
        <w:t xml:space="preserve">UMS 19 Çalışanlara Sağlanan Faydalar – iskonto oranına ilişkin bölgesel pazar sorunu  </w:t>
      </w:r>
    </w:p>
    <w:p w:rsidR="00D322FB" w:rsidRPr="00842630" w:rsidRDefault="00D322FB" w:rsidP="00310652">
      <w:pPr>
        <w:autoSpaceDE w:val="0"/>
        <w:autoSpaceDN w:val="0"/>
        <w:adjustRightInd w:val="0"/>
        <w:spacing w:after="120"/>
        <w:ind w:left="360" w:hanging="360"/>
        <w:rPr>
          <w:rFonts w:ascii="Arial" w:hAnsi="Arial" w:cs="Arial"/>
          <w:color w:val="000000"/>
          <w:lang w:val="tr-TR"/>
        </w:rPr>
      </w:pPr>
      <w:r w:rsidRPr="00842630">
        <w:rPr>
          <w:rFonts w:ascii="Arial" w:hAnsi="Arial" w:cs="Arial"/>
          <w:color w:val="000000"/>
          <w:lang w:val="tr-TR"/>
        </w:rPr>
        <w:t>-</w:t>
      </w:r>
      <w:r w:rsidRPr="00842630">
        <w:rPr>
          <w:rFonts w:ascii="Arial" w:hAnsi="Arial" w:cs="Arial"/>
          <w:color w:val="000000"/>
          <w:lang w:val="tr-TR"/>
        </w:rPr>
        <w:tab/>
        <w:t xml:space="preserve">UMS 34 Ara Dönem Finansal Raporlama  – bilginin ‘ara dönem finansal raporda başka bir bölümde’ açıklanması </w:t>
      </w:r>
    </w:p>
    <w:p w:rsidR="00D322FB" w:rsidRPr="00842630" w:rsidRDefault="00D322FB" w:rsidP="00310652">
      <w:pPr>
        <w:autoSpaceDE w:val="0"/>
        <w:autoSpaceDN w:val="0"/>
        <w:adjustRightInd w:val="0"/>
        <w:rPr>
          <w:rFonts w:ascii="Arial" w:hAnsi="Arial" w:cs="Arial"/>
          <w:color w:val="000000"/>
          <w:lang w:val="tr-TR"/>
        </w:rPr>
      </w:pPr>
      <w:r w:rsidRPr="00842630">
        <w:rPr>
          <w:rFonts w:ascii="Arial" w:hAnsi="Arial" w:cs="Arial"/>
          <w:color w:val="000000"/>
          <w:lang w:val="tr-TR"/>
        </w:rPr>
        <w:t>Bu değişiklik 1 Ocak 2016 ve sonrasında başlayan yıllık raporlama dönemleri için geçerli olup, erken uygulamaya izin verilmektedir. Söz konusu değişiklerin Şirket’in finansal durumu ve performansı üzerindeki etkileri değerlendirilmektedir.</w:t>
      </w:r>
    </w:p>
    <w:p w:rsidR="00D322FB" w:rsidRPr="00842630" w:rsidRDefault="00D322FB" w:rsidP="00310652">
      <w:pPr>
        <w:autoSpaceDE w:val="0"/>
        <w:autoSpaceDN w:val="0"/>
        <w:adjustRightInd w:val="0"/>
        <w:rPr>
          <w:rFonts w:ascii="Arial" w:hAnsi="Arial" w:cs="Arial"/>
          <w:color w:val="000000"/>
          <w:lang w:val="tr-TR"/>
        </w:rPr>
      </w:pPr>
    </w:p>
    <w:p w:rsidR="00D322FB" w:rsidRPr="00842630" w:rsidRDefault="00D322FB" w:rsidP="00310652">
      <w:pPr>
        <w:adjustRightInd w:val="0"/>
        <w:rPr>
          <w:rFonts w:ascii="Arial" w:hAnsi="Arial" w:cs="Arial"/>
          <w:b/>
          <w:color w:val="000000"/>
          <w:lang w:val="tr-TR"/>
        </w:rPr>
      </w:pPr>
      <w:r w:rsidRPr="00842630">
        <w:rPr>
          <w:rFonts w:ascii="Arial" w:hAnsi="Arial" w:cs="Arial"/>
          <w:b/>
          <w:color w:val="000000"/>
          <w:lang w:val="tr-TR"/>
        </w:rPr>
        <w:t>UFRS 10 ve UMS 28: Yatırımcı İşletmenin İştirak veya İş Ortaklığına Yaptığı Varlık Satışları veya Katkıları - Değişiklikler</w:t>
      </w:r>
    </w:p>
    <w:p w:rsidR="00D322FB" w:rsidRPr="00842630" w:rsidRDefault="00D322FB" w:rsidP="00310652">
      <w:pPr>
        <w:adjustRightInd w:val="0"/>
        <w:rPr>
          <w:rFonts w:ascii="Arial" w:hAnsi="Arial" w:cs="Arial"/>
          <w:color w:val="000000"/>
          <w:lang w:val="tr-TR"/>
        </w:rPr>
      </w:pPr>
    </w:p>
    <w:p w:rsidR="00D322FB" w:rsidRDefault="00D322FB" w:rsidP="00310652">
      <w:pPr>
        <w:autoSpaceDE w:val="0"/>
        <w:autoSpaceDN w:val="0"/>
        <w:adjustRightInd w:val="0"/>
        <w:rPr>
          <w:rFonts w:ascii="Arial" w:hAnsi="Arial" w:cs="Arial"/>
          <w:i/>
          <w:color w:val="00B0F0"/>
          <w:lang w:val="tr-TR"/>
        </w:rPr>
      </w:pPr>
      <w:r w:rsidRPr="00842630">
        <w:rPr>
          <w:rFonts w:ascii="Arial" w:hAnsi="Arial" w:cs="Arial"/>
          <w:color w:val="000000"/>
          <w:lang w:val="tr-TR"/>
        </w:rPr>
        <w:t>UMSK, Eylül 2014’te, UFRS 10 ve UMS 28’deki bir iştirak veya iş ortaklığına verilen bir bağlı ortaklığın kontrol kaybını ele almadaki gereklilikler arasındaki tutarsızlığı gidermek için UFRS 10 ve UMS 28’de değişiklik yapmıştır. Bu değişiklik ile bir yatırımcı ile iştirak veya iş ortaklığı arasında, UFRS 3’te tanımlandığı şekli ile bir işletme teşkil eden varlıkların satışı veya katkısından kaynaklanan kazanç veya kayıpların tamamının yatırımcı tarafından muhasebeleştirilmesi gerektiği açıklığa kavuşturulmuştur.  Eski bağlı ortaklıkta tutulan yatırımın gerçeğe uygun değerden yeniden ölçülmesinden kaynaklanan kazanç veya kayıplar, sadece ilişiksiz yatırımcıların o eski bağlı ortaklıktaki payları ölçüsünde muhasebeleştirilmelidir. İşletmelerin bu değişikliği, 1 Ocak 2016 veya sonrasında başlayan yıllık raporlama dönemleri için ileriye dönük olarak uygulamaları gerekmektedir. Erken uygulamaya izin verilmektedir. Söz konusu değişikliğin Şirket’in finansal durumu ve performansı üzerindeki etkileri değerlendirilmektedir</w:t>
      </w:r>
      <w:r w:rsidRPr="001D2333">
        <w:rPr>
          <w:rFonts w:ascii="Arial" w:hAnsi="Arial" w:cs="Arial"/>
          <w:i/>
          <w:color w:val="00B0F0"/>
          <w:lang w:val="tr-TR"/>
        </w:rPr>
        <w:t>.</w:t>
      </w:r>
    </w:p>
    <w:p w:rsidR="00D322FB" w:rsidRDefault="00D322FB" w:rsidP="00310652">
      <w:pPr>
        <w:rPr>
          <w:rFonts w:ascii="Arial" w:hAnsi="Arial" w:cs="Arial"/>
          <w:i/>
          <w:color w:val="00B0F0"/>
          <w:lang w:val="tr-TR"/>
        </w:rPr>
      </w:pPr>
      <w:r>
        <w:rPr>
          <w:rFonts w:ascii="Arial" w:hAnsi="Arial" w:cs="Arial"/>
          <w:i/>
          <w:color w:val="00B0F0"/>
          <w:lang w:val="tr-TR"/>
        </w:rPr>
        <w:br w:type="page"/>
      </w:r>
    </w:p>
    <w:p w:rsidR="00660A69" w:rsidRDefault="00660A69" w:rsidP="00310652">
      <w:pPr>
        <w:autoSpaceDE w:val="0"/>
        <w:autoSpaceDN w:val="0"/>
        <w:adjustRightInd w:val="0"/>
        <w:rPr>
          <w:rFonts w:ascii="Arial" w:hAnsi="Arial" w:cs="Arial"/>
          <w:b/>
          <w:spacing w:val="-2"/>
          <w:lang w:val="tr-TR"/>
        </w:rPr>
      </w:pPr>
    </w:p>
    <w:p w:rsidR="00660A69" w:rsidRDefault="00660A69" w:rsidP="00310652">
      <w:pPr>
        <w:autoSpaceDE w:val="0"/>
        <w:autoSpaceDN w:val="0"/>
        <w:adjustRightInd w:val="0"/>
        <w:rPr>
          <w:rFonts w:ascii="Arial" w:hAnsi="Arial" w:cs="Arial"/>
          <w:b/>
          <w:spacing w:val="-2"/>
          <w:lang w:val="tr-TR"/>
        </w:rPr>
      </w:pPr>
    </w:p>
    <w:p w:rsidR="00660A69" w:rsidRDefault="00660A69" w:rsidP="00310652">
      <w:pPr>
        <w:autoSpaceDE w:val="0"/>
        <w:autoSpaceDN w:val="0"/>
        <w:adjustRightInd w:val="0"/>
        <w:rPr>
          <w:rFonts w:ascii="Arial" w:hAnsi="Arial" w:cs="Arial"/>
          <w:b/>
          <w:spacing w:val="-2"/>
          <w:lang w:val="tr-TR"/>
        </w:rPr>
      </w:pPr>
    </w:p>
    <w:p w:rsidR="00660A69" w:rsidRDefault="00660A69" w:rsidP="00310652">
      <w:pPr>
        <w:autoSpaceDE w:val="0"/>
        <w:autoSpaceDN w:val="0"/>
        <w:adjustRightInd w:val="0"/>
        <w:rPr>
          <w:rFonts w:ascii="Arial" w:hAnsi="Arial" w:cs="Arial"/>
          <w:b/>
          <w:spacing w:val="-2"/>
          <w:lang w:val="tr-TR"/>
        </w:rPr>
      </w:pPr>
    </w:p>
    <w:p w:rsidR="00660A69" w:rsidRDefault="00660A69" w:rsidP="00310652">
      <w:pPr>
        <w:autoSpaceDE w:val="0"/>
        <w:autoSpaceDN w:val="0"/>
        <w:adjustRightInd w:val="0"/>
        <w:rPr>
          <w:rFonts w:ascii="Arial" w:hAnsi="Arial" w:cs="Arial"/>
          <w:b/>
          <w:spacing w:val="-2"/>
          <w:lang w:val="tr-TR"/>
        </w:rPr>
      </w:pPr>
    </w:p>
    <w:p w:rsidR="00660A69" w:rsidRDefault="00660A69" w:rsidP="00310652">
      <w:pPr>
        <w:autoSpaceDE w:val="0"/>
        <w:autoSpaceDN w:val="0"/>
        <w:adjustRightInd w:val="0"/>
        <w:rPr>
          <w:rFonts w:ascii="Arial" w:hAnsi="Arial" w:cs="Arial"/>
          <w:b/>
          <w:spacing w:val="-2"/>
          <w:lang w:val="tr-TR"/>
        </w:rPr>
      </w:pPr>
    </w:p>
    <w:p w:rsidR="00D322FB" w:rsidRDefault="00D322FB" w:rsidP="00310652">
      <w:pPr>
        <w:autoSpaceDE w:val="0"/>
        <w:autoSpaceDN w:val="0"/>
        <w:adjustRightInd w:val="0"/>
        <w:rPr>
          <w:rFonts w:ascii="Arial" w:hAnsi="Arial" w:cs="Arial"/>
          <w:i/>
          <w:color w:val="00B0F0"/>
          <w:lang w:val="tr-TR"/>
        </w:rPr>
      </w:pPr>
      <w:r w:rsidRPr="00FC2192">
        <w:rPr>
          <w:rFonts w:ascii="Arial" w:hAnsi="Arial" w:cs="Arial"/>
          <w:b/>
          <w:spacing w:val="-2"/>
          <w:lang w:val="tr-TR"/>
        </w:rPr>
        <w:t>2.2</w:t>
      </w:r>
      <w:r w:rsidRPr="00FC2192">
        <w:rPr>
          <w:rFonts w:ascii="Arial" w:hAnsi="Arial" w:cs="Arial"/>
          <w:b/>
          <w:spacing w:val="-2"/>
          <w:lang w:val="tr-TR"/>
        </w:rPr>
        <w:tab/>
        <w:t>Standartlarda değişiklikler ve yorumlar (devamı)</w:t>
      </w:r>
    </w:p>
    <w:p w:rsidR="00D322FB" w:rsidRDefault="00D322FB" w:rsidP="00310652">
      <w:pPr>
        <w:autoSpaceDE w:val="0"/>
        <w:autoSpaceDN w:val="0"/>
        <w:adjustRightInd w:val="0"/>
        <w:rPr>
          <w:rFonts w:ascii="Arial" w:hAnsi="Arial" w:cs="Arial"/>
          <w:i/>
          <w:color w:val="00B0F0"/>
          <w:lang w:val="tr-TR"/>
        </w:rPr>
      </w:pPr>
      <w:r>
        <w:rPr>
          <w:rFonts w:ascii="Arial" w:hAnsi="Arial" w:cs="Arial"/>
          <w:i/>
          <w:color w:val="00B0F0"/>
          <w:lang w:val="tr-TR"/>
        </w:rPr>
        <w:t xml:space="preserve"> </w:t>
      </w:r>
    </w:p>
    <w:p w:rsidR="00D322FB" w:rsidRPr="00842630" w:rsidRDefault="00D322FB" w:rsidP="00310652">
      <w:pPr>
        <w:autoSpaceDE w:val="0"/>
        <w:autoSpaceDN w:val="0"/>
        <w:rPr>
          <w:rFonts w:ascii="Arial" w:hAnsi="Arial" w:cs="Arial"/>
          <w:b/>
          <w:color w:val="000000"/>
          <w:lang w:val="tr-TR"/>
        </w:rPr>
      </w:pPr>
      <w:r w:rsidRPr="00842630">
        <w:rPr>
          <w:rFonts w:ascii="Arial" w:hAnsi="Arial" w:cs="Arial"/>
          <w:b/>
          <w:color w:val="000000"/>
          <w:lang w:val="tr-TR"/>
        </w:rPr>
        <w:t>UFRS 10, UFRS 12 ve UMS 28: Yatırım İşletmeleri: Konsolidasyon istisnasının uygulanması (UFRS 10 ve UMS 28’de Değişiklik)</w:t>
      </w:r>
    </w:p>
    <w:p w:rsidR="00D322FB" w:rsidRPr="00842630" w:rsidRDefault="00D322FB" w:rsidP="00310652">
      <w:pPr>
        <w:autoSpaceDE w:val="0"/>
        <w:autoSpaceDN w:val="0"/>
        <w:rPr>
          <w:rFonts w:ascii="Arial" w:hAnsi="Arial" w:cs="Arial"/>
          <w:color w:val="000000"/>
          <w:lang w:val="tr-TR"/>
        </w:rPr>
      </w:pPr>
    </w:p>
    <w:p w:rsidR="00D322FB" w:rsidRDefault="00D322FB" w:rsidP="00310652">
      <w:pPr>
        <w:autoSpaceDE w:val="0"/>
        <w:autoSpaceDN w:val="0"/>
        <w:rPr>
          <w:rFonts w:ascii="Arial" w:hAnsi="Arial" w:cs="Arial"/>
          <w:color w:val="000000"/>
          <w:lang w:val="tr-TR"/>
        </w:rPr>
      </w:pPr>
      <w:r w:rsidRPr="002A53F7">
        <w:rPr>
          <w:rFonts w:ascii="Arial" w:hAnsi="Arial" w:cs="Arial"/>
          <w:color w:val="000000"/>
          <w:lang w:val="tr-TR"/>
        </w:rPr>
        <w:t xml:space="preserve">UMSK, Aralık 2014’te, UFRS 10 Konsolide Finansal Tablolar </w:t>
      </w:r>
      <w:r>
        <w:rPr>
          <w:rFonts w:ascii="Arial" w:hAnsi="Arial" w:cs="Arial"/>
          <w:color w:val="000000"/>
          <w:lang w:val="tr-TR"/>
        </w:rPr>
        <w:t>standardındaki</w:t>
      </w:r>
      <w:r w:rsidRPr="002A53F7">
        <w:rPr>
          <w:rFonts w:ascii="Arial" w:hAnsi="Arial" w:cs="Arial"/>
          <w:color w:val="000000"/>
          <w:lang w:val="tr-TR"/>
        </w:rPr>
        <w:t xml:space="preserve"> yatırım </w:t>
      </w:r>
      <w:r>
        <w:rPr>
          <w:rFonts w:ascii="Arial" w:hAnsi="Arial" w:cs="Arial"/>
          <w:color w:val="000000"/>
          <w:lang w:val="tr-TR"/>
        </w:rPr>
        <w:t>işletmeleri</w:t>
      </w:r>
      <w:r w:rsidRPr="002A53F7">
        <w:rPr>
          <w:rFonts w:ascii="Arial" w:hAnsi="Arial" w:cs="Arial"/>
          <w:color w:val="000000"/>
          <w:lang w:val="tr-TR"/>
        </w:rPr>
        <w:t xml:space="preserve"> istisnasının uygulanması</w:t>
      </w:r>
      <w:r>
        <w:rPr>
          <w:rFonts w:ascii="Arial" w:hAnsi="Arial" w:cs="Arial"/>
          <w:color w:val="000000"/>
          <w:lang w:val="tr-TR"/>
        </w:rPr>
        <w:t xml:space="preserve"> sırası</w:t>
      </w:r>
      <w:r w:rsidRPr="002A53F7">
        <w:rPr>
          <w:rFonts w:ascii="Arial" w:hAnsi="Arial" w:cs="Arial"/>
          <w:color w:val="000000"/>
          <w:lang w:val="tr-TR"/>
        </w:rPr>
        <w:t>nda ortaya çıkan konuları ele almak için UFRS 10, UFRS 12 ve UMS 28’de değişiklik</w:t>
      </w:r>
      <w:r>
        <w:rPr>
          <w:rFonts w:ascii="Arial" w:hAnsi="Arial" w:cs="Arial"/>
          <w:color w:val="000000"/>
          <w:lang w:val="tr-TR"/>
        </w:rPr>
        <w:t>ler</w:t>
      </w:r>
      <w:r w:rsidRPr="002A53F7">
        <w:rPr>
          <w:rFonts w:ascii="Arial" w:hAnsi="Arial" w:cs="Arial"/>
          <w:color w:val="000000"/>
          <w:lang w:val="tr-TR"/>
        </w:rPr>
        <w:t xml:space="preserve"> yapmıştır:</w:t>
      </w:r>
      <w:r>
        <w:rPr>
          <w:rFonts w:ascii="Arial" w:hAnsi="Arial" w:cs="Arial"/>
          <w:color w:val="000000"/>
          <w:lang w:val="tr-TR"/>
        </w:rPr>
        <w:t xml:space="preserve"> </w:t>
      </w:r>
      <w:r w:rsidRPr="002A53F7">
        <w:rPr>
          <w:rFonts w:ascii="Arial" w:hAnsi="Arial" w:cs="Arial"/>
          <w:color w:val="000000"/>
          <w:lang w:val="tr-TR"/>
        </w:rPr>
        <w:t>Değişiklikler 1 Ocak 2016 veya sonrasında başlayan yıllık raporlama dönemleri için geçerlidir. Erken uygulamaya izin verilmektedir.</w:t>
      </w:r>
      <w:r>
        <w:rPr>
          <w:rFonts w:ascii="Arial" w:hAnsi="Arial" w:cs="Arial"/>
          <w:color w:val="000000"/>
          <w:lang w:val="tr-TR"/>
        </w:rPr>
        <w:t xml:space="preserve"> </w:t>
      </w:r>
      <w:r w:rsidRPr="00182953">
        <w:rPr>
          <w:rFonts w:ascii="Arial" w:hAnsi="Arial" w:cs="Arial"/>
          <w:color w:val="000000"/>
          <w:lang w:val="tr-TR"/>
        </w:rPr>
        <w:t xml:space="preserve">Değişiklikler Şirket için </w:t>
      </w:r>
      <w:r>
        <w:rPr>
          <w:rFonts w:ascii="Arial" w:hAnsi="Arial" w:cs="Arial"/>
          <w:color w:val="000000"/>
          <w:lang w:val="tr-TR"/>
        </w:rPr>
        <w:t>geçerli değildir.</w:t>
      </w:r>
    </w:p>
    <w:p w:rsidR="00D322FB" w:rsidRDefault="00D322FB" w:rsidP="00310652">
      <w:pPr>
        <w:autoSpaceDE w:val="0"/>
        <w:autoSpaceDN w:val="0"/>
        <w:adjustRightInd w:val="0"/>
        <w:rPr>
          <w:rFonts w:ascii="Arial" w:hAnsi="Arial" w:cs="Arial"/>
          <w:i/>
          <w:color w:val="00B0F0"/>
          <w:lang w:val="tr-TR"/>
        </w:rPr>
      </w:pPr>
    </w:p>
    <w:p w:rsidR="00D322FB" w:rsidRPr="002A53F7" w:rsidRDefault="00D322FB" w:rsidP="00310652">
      <w:pPr>
        <w:rPr>
          <w:rFonts w:ascii="Arial" w:hAnsi="Arial" w:cs="Arial"/>
          <w:b/>
          <w:bCs/>
          <w:color w:val="000000"/>
          <w:lang w:val="tr-TR"/>
        </w:rPr>
      </w:pPr>
      <w:r w:rsidRPr="002A53F7">
        <w:rPr>
          <w:rFonts w:ascii="Arial" w:hAnsi="Arial" w:cs="Arial"/>
          <w:b/>
          <w:bCs/>
          <w:color w:val="000000"/>
          <w:lang w:val="tr-TR"/>
        </w:rPr>
        <w:t>UMS 1</w:t>
      </w:r>
      <w:r>
        <w:rPr>
          <w:rFonts w:ascii="Arial" w:hAnsi="Arial" w:cs="Arial"/>
          <w:b/>
          <w:bCs/>
          <w:color w:val="000000"/>
          <w:lang w:val="tr-TR"/>
        </w:rPr>
        <w:t>:</w:t>
      </w:r>
      <w:r w:rsidRPr="002A53F7">
        <w:rPr>
          <w:rFonts w:ascii="Arial" w:hAnsi="Arial" w:cs="Arial"/>
          <w:b/>
          <w:bCs/>
          <w:color w:val="000000"/>
          <w:lang w:val="tr-TR"/>
        </w:rPr>
        <w:t xml:space="preserve"> Açıklama İnisiyatifi (UMS 1’de </w:t>
      </w:r>
      <w:r>
        <w:rPr>
          <w:rFonts w:ascii="Arial" w:hAnsi="Arial" w:cs="Arial"/>
          <w:b/>
          <w:bCs/>
          <w:color w:val="000000"/>
          <w:lang w:val="tr-TR"/>
        </w:rPr>
        <w:t>D</w:t>
      </w:r>
      <w:r w:rsidRPr="002A53F7">
        <w:rPr>
          <w:rFonts w:ascii="Arial" w:hAnsi="Arial" w:cs="Arial"/>
          <w:b/>
          <w:bCs/>
          <w:color w:val="000000"/>
          <w:lang w:val="tr-TR"/>
        </w:rPr>
        <w:t xml:space="preserve">eğişiklik) </w:t>
      </w:r>
    </w:p>
    <w:p w:rsidR="00D322FB" w:rsidRPr="00842630" w:rsidRDefault="00D322FB" w:rsidP="00310652">
      <w:pPr>
        <w:rPr>
          <w:rFonts w:ascii="Arial" w:hAnsi="Arial" w:cs="Arial"/>
          <w:color w:val="000000"/>
          <w:lang w:val="tr-TR"/>
        </w:rPr>
      </w:pPr>
    </w:p>
    <w:p w:rsidR="00D322FB" w:rsidRPr="002A53F7" w:rsidRDefault="00D322FB" w:rsidP="00310652">
      <w:pPr>
        <w:autoSpaceDE w:val="0"/>
        <w:autoSpaceDN w:val="0"/>
        <w:rPr>
          <w:rFonts w:ascii="Arial" w:hAnsi="Arial" w:cs="Arial"/>
          <w:color w:val="000000"/>
          <w:lang w:val="tr-TR"/>
        </w:rPr>
      </w:pPr>
      <w:r w:rsidRPr="002A53F7">
        <w:rPr>
          <w:rFonts w:ascii="Arial" w:hAnsi="Arial" w:cs="Arial"/>
          <w:color w:val="000000"/>
          <w:lang w:val="tr-TR"/>
        </w:rPr>
        <w:t xml:space="preserve">UMSK, Aralık 2014’te, UMS 1’de değişiklik yapmıştır. Bu değişiklikler; Önemlilik, Ayrıştırma ve alt toplamlar, Dipnot yapısı, </w:t>
      </w:r>
      <w:r>
        <w:rPr>
          <w:rFonts w:ascii="Arial" w:hAnsi="Arial" w:cs="Arial"/>
          <w:color w:val="000000"/>
          <w:lang w:val="tr-TR"/>
        </w:rPr>
        <w:t>M</w:t>
      </w:r>
      <w:r w:rsidRPr="002A53F7">
        <w:rPr>
          <w:rFonts w:ascii="Arial" w:hAnsi="Arial" w:cs="Arial"/>
          <w:color w:val="000000"/>
          <w:lang w:val="tr-TR"/>
        </w:rPr>
        <w:t>uhasebe politikaları</w:t>
      </w:r>
      <w:r>
        <w:rPr>
          <w:rFonts w:ascii="Arial" w:hAnsi="Arial" w:cs="Arial"/>
          <w:color w:val="000000"/>
          <w:lang w:val="tr-TR"/>
        </w:rPr>
        <w:t xml:space="preserve"> açıklamaları</w:t>
      </w:r>
      <w:r w:rsidRPr="002A53F7">
        <w:rPr>
          <w:rFonts w:ascii="Arial" w:hAnsi="Arial" w:cs="Arial"/>
          <w:color w:val="000000"/>
          <w:lang w:val="tr-TR"/>
        </w:rPr>
        <w:t>, Özkaynakta muhasebeleştirilen yatırımlardan kaynaklanan diğer kapsamlı gelir kalemlerinin sunumu alanlarında dar odaklı iyileştirmeler içermektedir. Bu değişiklikler 1 Ocak 2016 ve</w:t>
      </w:r>
      <w:r>
        <w:rPr>
          <w:rFonts w:ascii="Arial" w:hAnsi="Arial" w:cs="Arial"/>
          <w:color w:val="000000"/>
          <w:lang w:val="tr-TR"/>
        </w:rPr>
        <w:t>ya</w:t>
      </w:r>
      <w:r w:rsidRPr="002A53F7">
        <w:rPr>
          <w:rFonts w:ascii="Arial" w:hAnsi="Arial" w:cs="Arial"/>
          <w:color w:val="000000"/>
          <w:lang w:val="tr-TR"/>
        </w:rPr>
        <w:t xml:space="preserve"> sonrasında başlayan yıllık raporlama dönemleri için geçerlidir. Erken uygulamaya izin verilmektedir.</w:t>
      </w:r>
      <w:r w:rsidRPr="00C60B4E">
        <w:rPr>
          <w:rFonts w:ascii="Arial" w:hAnsi="Arial" w:cs="Arial"/>
          <w:color w:val="000000"/>
          <w:lang w:val="tr-TR"/>
        </w:rPr>
        <w:t xml:space="preserve"> Değişikliklerin </w:t>
      </w:r>
      <w:r>
        <w:rPr>
          <w:rFonts w:ascii="Arial" w:hAnsi="Arial" w:cs="Arial"/>
          <w:color w:val="000000"/>
          <w:lang w:val="tr-TR"/>
        </w:rPr>
        <w:t>Şirket’in</w:t>
      </w:r>
      <w:r w:rsidRPr="00C60B4E">
        <w:rPr>
          <w:rFonts w:ascii="Arial" w:hAnsi="Arial" w:cs="Arial"/>
          <w:color w:val="000000"/>
          <w:lang w:val="tr-TR"/>
        </w:rPr>
        <w:t xml:space="preserve"> finansal tablo dipnotları üzerinde önemli bir etkisi olması beklenmemektedir.</w:t>
      </w:r>
    </w:p>
    <w:p w:rsidR="00D322FB" w:rsidRPr="00DF1F24" w:rsidRDefault="00D322FB" w:rsidP="002A75D1">
      <w:pPr>
        <w:ind w:right="-1"/>
        <w:rPr>
          <w:rFonts w:ascii="Arial" w:hAnsi="Arial" w:cs="Arial"/>
          <w:b/>
          <w:lang w:val="tr-TR"/>
        </w:rPr>
      </w:pPr>
    </w:p>
    <w:p w:rsidR="00D322FB" w:rsidRPr="005B1440" w:rsidRDefault="00D322FB" w:rsidP="005C3EEB">
      <w:pPr>
        <w:pStyle w:val="Heading2"/>
        <w:rPr>
          <w:rFonts w:ascii="Arial" w:hAnsi="Arial" w:cs="Arial"/>
          <w:spacing w:val="-2"/>
          <w:sz w:val="20"/>
          <w:lang w:val="tr-TR"/>
        </w:rPr>
      </w:pPr>
      <w:r w:rsidRPr="005B1440">
        <w:rPr>
          <w:rFonts w:ascii="Arial" w:hAnsi="Arial" w:cs="Arial"/>
          <w:spacing w:val="-2"/>
          <w:sz w:val="20"/>
          <w:lang w:val="tr-TR"/>
        </w:rPr>
        <w:t xml:space="preserve">2.3 </w:t>
      </w:r>
      <w:r w:rsidRPr="005B1440">
        <w:rPr>
          <w:rFonts w:ascii="Arial" w:hAnsi="Arial" w:cs="Arial"/>
          <w:spacing w:val="-2"/>
          <w:sz w:val="20"/>
          <w:lang w:val="tr-TR"/>
        </w:rPr>
        <w:tab/>
        <w:t>Muhasebe politikalarındaki değişiklikler ve hatalar</w:t>
      </w:r>
    </w:p>
    <w:p w:rsidR="00D322FB" w:rsidRPr="00DF1F24" w:rsidRDefault="00D322FB" w:rsidP="003F5B30">
      <w:pPr>
        <w:pStyle w:val="body0"/>
        <w:spacing w:after="0" w:line="230" w:lineRule="auto"/>
        <w:jc w:val="left"/>
        <w:rPr>
          <w:rFonts w:ascii="Arial" w:hAnsi="Arial" w:cs="Arial"/>
          <w:sz w:val="20"/>
          <w:szCs w:val="20"/>
          <w:lang w:val="tr-TR"/>
        </w:rPr>
      </w:pPr>
    </w:p>
    <w:p w:rsidR="00D322FB" w:rsidRPr="00DF1F24" w:rsidRDefault="00D322FB" w:rsidP="00DF1F24">
      <w:pPr>
        <w:spacing w:line="230" w:lineRule="auto"/>
        <w:rPr>
          <w:rFonts w:ascii="Arial" w:hAnsi="Arial" w:cs="Arial"/>
          <w:lang w:val="tr-TR"/>
        </w:rPr>
      </w:pPr>
      <w:r w:rsidRPr="00DF1F24">
        <w:rPr>
          <w:rFonts w:ascii="Arial" w:hAnsi="Arial" w:cs="Arial"/>
          <w:lang w:val="tr-TR"/>
        </w:rPr>
        <w:t xml:space="preserve">31 </w:t>
      </w:r>
      <w:r w:rsidR="00001C13">
        <w:rPr>
          <w:rFonts w:ascii="Arial" w:hAnsi="Arial" w:cs="Arial"/>
          <w:lang w:val="tr-TR"/>
        </w:rPr>
        <w:t>Mart</w:t>
      </w:r>
      <w:r w:rsidRPr="00DF1F24">
        <w:rPr>
          <w:rFonts w:ascii="Arial" w:hAnsi="Arial" w:cs="Arial"/>
          <w:lang w:val="tr-TR"/>
        </w:rPr>
        <w:t xml:space="preserve"> 201</w:t>
      </w:r>
      <w:r w:rsidR="00001C13">
        <w:rPr>
          <w:rFonts w:ascii="Arial" w:hAnsi="Arial" w:cs="Arial"/>
          <w:lang w:val="tr-TR"/>
        </w:rPr>
        <w:t>5</w:t>
      </w:r>
      <w:r w:rsidRPr="00DF1F24">
        <w:rPr>
          <w:rFonts w:ascii="Arial" w:hAnsi="Arial" w:cs="Arial"/>
          <w:lang w:val="tr-TR"/>
        </w:rPr>
        <w:t xml:space="preserve"> tarihi itibariyle sona eren </w:t>
      </w:r>
      <w:r>
        <w:rPr>
          <w:rFonts w:ascii="Arial" w:hAnsi="Arial" w:cs="Arial"/>
          <w:lang w:val="tr-TR"/>
        </w:rPr>
        <w:t>yıla</w:t>
      </w:r>
      <w:r w:rsidRPr="00DF1F24">
        <w:rPr>
          <w:rFonts w:ascii="Arial" w:hAnsi="Arial" w:cs="Arial"/>
          <w:lang w:val="tr-TR"/>
        </w:rPr>
        <w:t xml:space="preserve"> ait finansal tabloların hazırlanmasında esas alınan muhasebe politikaları aşağıda özetlenen 1 Ocak 2014 tarihi itibariyle geçerli yeni ve değiştirilmiş TFRS standartları ve TFRYK yorumları dışında önceki yılda kullanılanlar ile tutarlı olarak uygulanmıştır. Bu standartların ve yorumların Şirket’in mali durumu ve performansı üzerindeki etkileri ilgili paragraflarda açıklanmıştır.</w:t>
      </w:r>
    </w:p>
    <w:p w:rsidR="00D322FB" w:rsidRPr="00AE1241" w:rsidRDefault="00D322FB" w:rsidP="00DF1F24">
      <w:pPr>
        <w:spacing w:line="230" w:lineRule="auto"/>
        <w:rPr>
          <w:rFonts w:ascii="Arial" w:hAnsi="Arial" w:cs="Arial"/>
          <w:highlight w:val="yellow"/>
          <w:lang w:val="tr-TR"/>
        </w:rPr>
      </w:pPr>
    </w:p>
    <w:p w:rsidR="00D322FB" w:rsidRPr="00DB33DA" w:rsidRDefault="00D322FB" w:rsidP="005C3EEB">
      <w:pPr>
        <w:pStyle w:val="Heading2"/>
        <w:rPr>
          <w:rFonts w:ascii="Arial" w:hAnsi="Arial" w:cs="Arial"/>
          <w:sz w:val="20"/>
          <w:lang w:val="tr-TR"/>
        </w:rPr>
      </w:pPr>
      <w:r w:rsidRPr="00DB33DA">
        <w:rPr>
          <w:rFonts w:ascii="Arial" w:hAnsi="Arial" w:cs="Arial"/>
          <w:spacing w:val="-2"/>
          <w:sz w:val="20"/>
          <w:lang w:val="tr-TR"/>
        </w:rPr>
        <w:t xml:space="preserve">2.4 </w:t>
      </w:r>
      <w:r w:rsidRPr="00DB33DA">
        <w:rPr>
          <w:rFonts w:ascii="Arial" w:hAnsi="Arial" w:cs="Arial"/>
          <w:spacing w:val="-2"/>
          <w:sz w:val="20"/>
          <w:lang w:val="tr-TR"/>
        </w:rPr>
        <w:tab/>
      </w:r>
      <w:r w:rsidRPr="00DB33DA">
        <w:rPr>
          <w:rFonts w:ascii="Arial" w:hAnsi="Arial" w:cs="Arial"/>
          <w:sz w:val="20"/>
          <w:lang w:val="tr-TR"/>
        </w:rPr>
        <w:t>Muhasebe tahminlerindeki değişiklikler</w:t>
      </w:r>
      <w:r>
        <w:rPr>
          <w:rFonts w:ascii="Arial" w:hAnsi="Arial" w:cs="Arial"/>
          <w:sz w:val="20"/>
          <w:lang w:val="tr-TR"/>
        </w:rPr>
        <w:t xml:space="preserve"> ve hatalar</w:t>
      </w:r>
    </w:p>
    <w:p w:rsidR="00D322FB" w:rsidRPr="00DB33DA" w:rsidRDefault="00D322FB" w:rsidP="00DF1F24">
      <w:pPr>
        <w:spacing w:line="230" w:lineRule="auto"/>
        <w:rPr>
          <w:rFonts w:ascii="Arial" w:hAnsi="Arial" w:cs="Arial"/>
          <w:b/>
          <w:lang w:val="tr-TR"/>
        </w:rPr>
      </w:pPr>
    </w:p>
    <w:p w:rsidR="00D322FB" w:rsidRPr="009F65A6" w:rsidRDefault="00D322FB" w:rsidP="00285F4F">
      <w:pPr>
        <w:rPr>
          <w:rFonts w:ascii="Arial" w:hAnsi="Arial" w:cs="Arial"/>
          <w:lang w:val="tr-TR"/>
        </w:rPr>
      </w:pPr>
      <w:r w:rsidRPr="00842630">
        <w:rPr>
          <w:rFonts w:ascii="Arial" w:hAnsi="Arial" w:cs="Arial"/>
          <w:lang w:val="tr-TR"/>
        </w:rPr>
        <w:t xml:space="preserve">Muhasebe tahminlerindeki değişiklikler, yalnızca bir döneme ilişkin ise, değişikliğin yapıldığı cari dönemde, gelecek dönemlere ilişkin ise, hem değişikliğin yapıldığı dönemde hem de gelecek dönemde, ileriye yönelik olarak, net dönem karı veya zararının belirlenmesinde dikkate alınacak şekilde finansal tablolara yansıtılır. </w:t>
      </w:r>
    </w:p>
    <w:p w:rsidR="00D322FB" w:rsidRPr="00DF1F24" w:rsidRDefault="00D322FB" w:rsidP="003F5B30">
      <w:pPr>
        <w:spacing w:line="230" w:lineRule="auto"/>
        <w:rPr>
          <w:rFonts w:ascii="Arial" w:hAnsi="Arial" w:cs="Arial"/>
          <w:lang w:val="tr-TR"/>
        </w:rPr>
      </w:pPr>
    </w:p>
    <w:p w:rsidR="00D322FB" w:rsidRPr="005B1440" w:rsidRDefault="00D322FB" w:rsidP="005C3EEB">
      <w:pPr>
        <w:pStyle w:val="Heading2"/>
        <w:rPr>
          <w:rFonts w:ascii="Arial" w:hAnsi="Arial" w:cs="Arial"/>
          <w:sz w:val="20"/>
          <w:lang w:val="tr-TR"/>
        </w:rPr>
      </w:pPr>
      <w:r w:rsidRPr="005B1440">
        <w:rPr>
          <w:rFonts w:ascii="Arial" w:hAnsi="Arial" w:cs="Arial"/>
          <w:spacing w:val="-2"/>
          <w:sz w:val="20"/>
          <w:lang w:val="tr-TR"/>
        </w:rPr>
        <w:t xml:space="preserve">2.5 </w:t>
      </w:r>
      <w:r w:rsidRPr="005B1440">
        <w:rPr>
          <w:rFonts w:ascii="Arial" w:hAnsi="Arial" w:cs="Arial"/>
          <w:spacing w:val="-2"/>
          <w:sz w:val="20"/>
          <w:lang w:val="tr-TR"/>
        </w:rPr>
        <w:tab/>
      </w:r>
      <w:r w:rsidRPr="005B1440">
        <w:rPr>
          <w:rFonts w:ascii="Arial" w:hAnsi="Arial" w:cs="Arial"/>
          <w:sz w:val="20"/>
          <w:lang w:val="tr-TR"/>
        </w:rPr>
        <w:t>Önemli muhasebe politikalarının özeti</w:t>
      </w:r>
    </w:p>
    <w:p w:rsidR="00D322FB" w:rsidRPr="00F45229" w:rsidRDefault="00D322FB" w:rsidP="004E4D07">
      <w:pPr>
        <w:tabs>
          <w:tab w:val="left" w:pos="567"/>
        </w:tabs>
        <w:autoSpaceDE w:val="0"/>
        <w:autoSpaceDN w:val="0"/>
        <w:adjustRightInd w:val="0"/>
        <w:rPr>
          <w:rFonts w:ascii="Arial" w:hAnsi="Arial" w:cs="Arial"/>
          <w:b/>
          <w:lang w:val="tr-TR"/>
        </w:rPr>
      </w:pPr>
    </w:p>
    <w:p w:rsidR="00D322FB" w:rsidRPr="00F45229" w:rsidRDefault="00D322FB" w:rsidP="00F45229">
      <w:pPr>
        <w:pStyle w:val="BodyTextIndent"/>
        <w:ind w:left="0" w:firstLine="0"/>
        <w:rPr>
          <w:rFonts w:ascii="Arial" w:hAnsi="Arial" w:cs="Arial"/>
          <w:b/>
          <w:sz w:val="20"/>
          <w:lang w:val="tr-TR"/>
        </w:rPr>
      </w:pPr>
      <w:r w:rsidRPr="00F45229">
        <w:rPr>
          <w:rFonts w:ascii="Arial" w:hAnsi="Arial" w:cs="Arial"/>
          <w:b/>
          <w:sz w:val="20"/>
          <w:lang w:val="tr-TR"/>
        </w:rPr>
        <w:t>Nakit ve nakit benzerleri</w:t>
      </w:r>
    </w:p>
    <w:p w:rsidR="00D322FB" w:rsidRPr="00F45229" w:rsidRDefault="00D322FB" w:rsidP="00F45229">
      <w:pPr>
        <w:autoSpaceDE w:val="0"/>
        <w:autoSpaceDN w:val="0"/>
        <w:adjustRightInd w:val="0"/>
        <w:rPr>
          <w:rFonts w:ascii="Arial" w:hAnsi="Arial" w:cs="Arial"/>
          <w:lang w:val="tr-TR"/>
        </w:rPr>
      </w:pPr>
    </w:p>
    <w:p w:rsidR="00D322FB" w:rsidRPr="00612496" w:rsidRDefault="00D322FB" w:rsidP="00F45229">
      <w:pPr>
        <w:rPr>
          <w:rFonts w:ascii="Arial" w:hAnsi="Arial" w:cs="Arial"/>
          <w:lang w:val="tr-TR"/>
        </w:rPr>
      </w:pPr>
      <w:r w:rsidRPr="00842630">
        <w:rPr>
          <w:rFonts w:ascii="Arial" w:hAnsi="Arial" w:cs="Arial"/>
          <w:lang w:val="tr-TR"/>
        </w:rPr>
        <w:t>Nakit ve nakit benzeri kalemleri, nakit para, vadesiz mevduat ve satın alım tarihinden itibaren orijinal vadeleri 3 ay veya 3 aydan daha az olan, hemen nakde çevrilebilecek olan ve önemli tutarda değer değişikliği riski taşımayan yüksek likiditeye sahip diğer kısa vadeli yatırımlardır.</w:t>
      </w:r>
    </w:p>
    <w:p w:rsidR="00D322FB" w:rsidRDefault="00D322FB">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660A69" w:rsidRDefault="00660A69">
      <w:pPr>
        <w:rPr>
          <w:rFonts w:ascii="Arial" w:hAnsi="Arial" w:cs="Arial"/>
          <w:b/>
          <w:lang w:val="tr-TR"/>
        </w:rPr>
      </w:pPr>
    </w:p>
    <w:p w:rsidR="00D322FB" w:rsidRPr="002A75D1" w:rsidRDefault="00D322FB" w:rsidP="002A75D1">
      <w:pPr>
        <w:ind w:right="-23"/>
        <w:rPr>
          <w:rFonts w:ascii="Arial" w:hAnsi="Arial" w:cs="Arial"/>
          <w:b/>
          <w:lang w:val="tr-TR"/>
        </w:rPr>
      </w:pPr>
      <w:r w:rsidRPr="00612496">
        <w:rPr>
          <w:rFonts w:ascii="Arial" w:hAnsi="Arial" w:cs="Arial"/>
          <w:b/>
          <w:lang w:val="tr-TR"/>
        </w:rPr>
        <w:t>2.</w:t>
      </w:r>
      <w:r w:rsidRPr="00612496">
        <w:rPr>
          <w:rFonts w:ascii="Arial" w:hAnsi="Arial" w:cs="Arial"/>
          <w:b/>
          <w:lang w:val="tr-TR"/>
        </w:rPr>
        <w:tab/>
        <w:t>Finansal tabloların sunumuna ilişkin esaslar (devamı)</w:t>
      </w:r>
    </w:p>
    <w:p w:rsidR="00D322FB" w:rsidRPr="002A75D1" w:rsidRDefault="00D322FB" w:rsidP="002A75D1">
      <w:pPr>
        <w:pStyle w:val="Heading2"/>
        <w:rPr>
          <w:rFonts w:ascii="Arial" w:hAnsi="Arial" w:cs="Arial"/>
          <w:sz w:val="20"/>
          <w:lang w:val="tr-TR"/>
        </w:rPr>
      </w:pPr>
      <w:r w:rsidRPr="005B1440">
        <w:rPr>
          <w:rFonts w:ascii="Arial" w:hAnsi="Arial" w:cs="Arial"/>
          <w:spacing w:val="-2"/>
          <w:sz w:val="20"/>
          <w:lang w:val="tr-TR"/>
        </w:rPr>
        <w:t xml:space="preserve">2.5 </w:t>
      </w:r>
      <w:r w:rsidRPr="005B1440">
        <w:rPr>
          <w:rFonts w:ascii="Arial" w:hAnsi="Arial" w:cs="Arial"/>
          <w:spacing w:val="-2"/>
          <w:sz w:val="20"/>
          <w:lang w:val="tr-TR"/>
        </w:rPr>
        <w:tab/>
      </w:r>
      <w:r w:rsidRPr="005B1440">
        <w:rPr>
          <w:rFonts w:ascii="Arial" w:hAnsi="Arial" w:cs="Arial"/>
          <w:sz w:val="20"/>
          <w:lang w:val="tr-TR"/>
        </w:rPr>
        <w:t xml:space="preserve">Önemli muhasebe politikalarının </w:t>
      </w:r>
      <w:r w:rsidRPr="002A75D1">
        <w:rPr>
          <w:rFonts w:ascii="Arial" w:hAnsi="Arial" w:cs="Arial"/>
          <w:sz w:val="20"/>
          <w:lang w:val="tr-TR"/>
        </w:rPr>
        <w:t xml:space="preserve">özeti </w:t>
      </w:r>
      <w:r w:rsidRPr="002A75D1">
        <w:rPr>
          <w:rFonts w:ascii="Arial" w:hAnsi="Arial" w:cs="Arial"/>
          <w:spacing w:val="-2"/>
          <w:sz w:val="20"/>
          <w:lang w:val="tr-TR"/>
        </w:rPr>
        <w:t>(devamı)</w:t>
      </w:r>
    </w:p>
    <w:p w:rsidR="00D322FB" w:rsidRPr="00612496" w:rsidRDefault="00D322FB" w:rsidP="004E4D07">
      <w:pPr>
        <w:tabs>
          <w:tab w:val="left" w:pos="567"/>
        </w:tabs>
        <w:autoSpaceDE w:val="0"/>
        <w:autoSpaceDN w:val="0"/>
        <w:adjustRightInd w:val="0"/>
        <w:rPr>
          <w:rFonts w:ascii="Arial" w:hAnsi="Arial" w:cs="Arial"/>
          <w:b/>
          <w:lang w:val="tr-TR"/>
        </w:rPr>
      </w:pPr>
    </w:p>
    <w:p w:rsidR="00D322FB" w:rsidRPr="00842630" w:rsidRDefault="00D322FB" w:rsidP="00612496">
      <w:pPr>
        <w:autoSpaceDE w:val="0"/>
        <w:autoSpaceDN w:val="0"/>
        <w:adjustRightInd w:val="0"/>
        <w:rPr>
          <w:rFonts w:ascii="Arial" w:hAnsi="Arial" w:cs="Arial"/>
          <w:b/>
          <w:bCs/>
          <w:color w:val="000000"/>
          <w:lang w:val="tr-TR"/>
        </w:rPr>
      </w:pPr>
      <w:r w:rsidRPr="00842630">
        <w:rPr>
          <w:rFonts w:ascii="Arial" w:hAnsi="Arial" w:cs="Arial"/>
          <w:b/>
          <w:bCs/>
          <w:color w:val="000000"/>
          <w:lang w:val="tr-TR"/>
        </w:rPr>
        <w:t>İlişkili taraflar</w:t>
      </w:r>
    </w:p>
    <w:p w:rsidR="00D322FB" w:rsidRPr="00842630" w:rsidRDefault="00D322FB" w:rsidP="006124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autoSpaceDE w:val="0"/>
        <w:autoSpaceDN w:val="0"/>
        <w:adjustRightInd w:val="0"/>
        <w:rPr>
          <w:rFonts w:ascii="Arial" w:hAnsi="Arial" w:cs="Arial"/>
          <w:b/>
          <w:bCs/>
          <w:color w:val="000000"/>
          <w:lang w:val="tr-TR"/>
        </w:rPr>
      </w:pPr>
    </w:p>
    <w:p w:rsidR="00D322FB" w:rsidRPr="00842630" w:rsidRDefault="00D322FB" w:rsidP="00612496">
      <w:pPr>
        <w:autoSpaceDE w:val="0"/>
        <w:autoSpaceDN w:val="0"/>
        <w:adjustRightInd w:val="0"/>
        <w:rPr>
          <w:rFonts w:ascii="Arial" w:hAnsi="Arial" w:cs="Arial"/>
          <w:color w:val="000000"/>
          <w:lang w:val="tr-TR"/>
        </w:rPr>
      </w:pPr>
      <w:r w:rsidRPr="00842630">
        <w:rPr>
          <w:rFonts w:ascii="Arial" w:hAnsi="Arial" w:cs="Arial"/>
          <w:color w:val="000000"/>
          <w:lang w:val="tr-TR"/>
        </w:rPr>
        <w:t>Finansal tablolarını hazırlayan işletmeyle (bu Standartta ‘raporlayan işletme’ olarak kullanılacaktır) ilişkili olan kişi veya işletmedir.</w:t>
      </w:r>
    </w:p>
    <w:p w:rsidR="00D322FB" w:rsidRPr="00842630" w:rsidRDefault="00D322FB" w:rsidP="00612496">
      <w:pPr>
        <w:autoSpaceDE w:val="0"/>
        <w:autoSpaceDN w:val="0"/>
        <w:adjustRightInd w:val="0"/>
        <w:rPr>
          <w:rFonts w:ascii="Arial" w:hAnsi="Arial" w:cs="Arial"/>
          <w:color w:val="000000"/>
          <w:lang w:val="tr-TR"/>
        </w:rPr>
      </w:pPr>
    </w:p>
    <w:p w:rsidR="00D322FB" w:rsidRPr="00842630" w:rsidRDefault="00D322FB" w:rsidP="00612496">
      <w:pPr>
        <w:autoSpaceDE w:val="0"/>
        <w:autoSpaceDN w:val="0"/>
        <w:adjustRightInd w:val="0"/>
        <w:ind w:left="567" w:hanging="567"/>
        <w:rPr>
          <w:rFonts w:ascii="Arial" w:hAnsi="Arial" w:cs="Arial"/>
          <w:color w:val="000000"/>
          <w:lang w:val="tr-TR"/>
        </w:rPr>
      </w:pPr>
      <w:r w:rsidRPr="00842630">
        <w:rPr>
          <w:rFonts w:ascii="Arial" w:hAnsi="Arial" w:cs="Arial"/>
          <w:color w:val="000000"/>
          <w:lang w:val="tr-TR"/>
        </w:rPr>
        <w:t xml:space="preserve">(a) </w:t>
      </w:r>
      <w:r w:rsidRPr="00842630">
        <w:rPr>
          <w:rFonts w:ascii="Arial" w:hAnsi="Arial" w:cs="Arial"/>
          <w:color w:val="000000"/>
          <w:lang w:val="tr-TR"/>
        </w:rPr>
        <w:tab/>
        <w:t xml:space="preserve">Bir kişi veya bu kişinin yakın ailesinin bir üyesi, aşağıdaki durumlarda raporlayan işletmeyle ilişkili sayılır: </w:t>
      </w:r>
    </w:p>
    <w:p w:rsidR="00D322FB" w:rsidRPr="00842630" w:rsidRDefault="00D322FB" w:rsidP="00612496">
      <w:pPr>
        <w:autoSpaceDE w:val="0"/>
        <w:autoSpaceDN w:val="0"/>
        <w:adjustRightInd w:val="0"/>
        <w:rPr>
          <w:rFonts w:ascii="Arial" w:hAnsi="Arial" w:cs="Arial"/>
          <w:color w:val="000000"/>
          <w:lang w:val="tr-TR"/>
        </w:rPr>
      </w:pPr>
    </w:p>
    <w:p w:rsidR="00D322FB" w:rsidRPr="00842630" w:rsidRDefault="00D322FB" w:rsidP="00612496">
      <w:pPr>
        <w:autoSpaceDE w:val="0"/>
        <w:autoSpaceDN w:val="0"/>
        <w:adjustRightInd w:val="0"/>
        <w:ind w:left="567"/>
        <w:rPr>
          <w:rFonts w:ascii="Arial" w:hAnsi="Arial" w:cs="Arial"/>
          <w:color w:val="000000"/>
          <w:lang w:val="tr-TR"/>
        </w:rPr>
      </w:pPr>
      <w:r w:rsidRPr="00842630">
        <w:rPr>
          <w:rFonts w:ascii="Arial" w:hAnsi="Arial" w:cs="Arial"/>
          <w:color w:val="000000"/>
          <w:lang w:val="tr-TR"/>
        </w:rPr>
        <w:t>Söz konusu kişinin,</w:t>
      </w:r>
    </w:p>
    <w:p w:rsidR="00D322FB" w:rsidRPr="00842630" w:rsidRDefault="00D322FB" w:rsidP="00612496">
      <w:pPr>
        <w:autoSpaceDE w:val="0"/>
        <w:autoSpaceDN w:val="0"/>
        <w:adjustRightInd w:val="0"/>
        <w:ind w:left="1134" w:hanging="567"/>
        <w:rPr>
          <w:rFonts w:ascii="Arial" w:hAnsi="Arial" w:cs="Arial"/>
          <w:color w:val="000000"/>
          <w:lang w:val="tr-TR"/>
        </w:rPr>
      </w:pPr>
      <w:r w:rsidRPr="00842630">
        <w:rPr>
          <w:rFonts w:ascii="Arial" w:hAnsi="Arial" w:cs="Arial"/>
          <w:color w:val="000000"/>
          <w:lang w:val="tr-TR"/>
        </w:rPr>
        <w:t xml:space="preserve">(i) </w:t>
      </w:r>
      <w:r w:rsidRPr="00842630">
        <w:rPr>
          <w:rFonts w:ascii="Arial" w:hAnsi="Arial" w:cs="Arial"/>
          <w:color w:val="000000"/>
          <w:lang w:val="tr-TR"/>
        </w:rPr>
        <w:tab/>
        <w:t xml:space="preserve">raporlayan işletme üzerinde kontrol veya müşterek kontrol gücüne sahip olması durumunda, </w:t>
      </w:r>
    </w:p>
    <w:p w:rsidR="00D322FB" w:rsidRPr="00842630" w:rsidRDefault="00D322FB" w:rsidP="00612496">
      <w:pPr>
        <w:autoSpaceDE w:val="0"/>
        <w:autoSpaceDN w:val="0"/>
        <w:adjustRightInd w:val="0"/>
        <w:ind w:left="1134" w:hanging="567"/>
        <w:rPr>
          <w:rFonts w:ascii="Arial" w:hAnsi="Arial" w:cs="Arial"/>
          <w:color w:val="000000"/>
          <w:lang w:val="tr-TR"/>
        </w:rPr>
      </w:pPr>
      <w:r w:rsidRPr="00842630">
        <w:rPr>
          <w:rFonts w:ascii="Arial" w:hAnsi="Arial" w:cs="Arial"/>
          <w:color w:val="000000"/>
          <w:lang w:val="tr-TR"/>
        </w:rPr>
        <w:t xml:space="preserve">(ii) </w:t>
      </w:r>
      <w:r w:rsidRPr="00842630">
        <w:rPr>
          <w:rFonts w:ascii="Arial" w:hAnsi="Arial" w:cs="Arial"/>
          <w:color w:val="000000"/>
          <w:lang w:val="tr-TR"/>
        </w:rPr>
        <w:tab/>
        <w:t>raporlayan işletme üzerinde önemli etkiye sahip olması durumunda,</w:t>
      </w:r>
    </w:p>
    <w:p w:rsidR="00D322FB" w:rsidRPr="00842630" w:rsidRDefault="00D322FB" w:rsidP="00612496">
      <w:pPr>
        <w:autoSpaceDE w:val="0"/>
        <w:autoSpaceDN w:val="0"/>
        <w:adjustRightInd w:val="0"/>
        <w:ind w:left="1134" w:hanging="567"/>
        <w:rPr>
          <w:rFonts w:ascii="Arial" w:hAnsi="Arial" w:cs="Arial"/>
          <w:color w:val="000000"/>
          <w:lang w:val="tr-TR"/>
        </w:rPr>
      </w:pPr>
      <w:r w:rsidRPr="00842630">
        <w:rPr>
          <w:rFonts w:ascii="Arial" w:hAnsi="Arial" w:cs="Arial"/>
          <w:color w:val="000000"/>
          <w:lang w:val="tr-TR"/>
        </w:rPr>
        <w:t xml:space="preserve">(iii) </w:t>
      </w:r>
      <w:r w:rsidRPr="00842630">
        <w:rPr>
          <w:rFonts w:ascii="Arial" w:hAnsi="Arial" w:cs="Arial"/>
          <w:color w:val="000000"/>
          <w:lang w:val="tr-TR"/>
        </w:rPr>
        <w:tab/>
        <w:t xml:space="preserve">raporlayan işletmenin veya raporlayan işletmenin bir ana ortaklığının kilit yönetici personelinin bir üyesi olması durumunda. </w:t>
      </w:r>
    </w:p>
    <w:p w:rsidR="00D322FB" w:rsidRPr="00842630" w:rsidRDefault="00D322FB" w:rsidP="00612496">
      <w:pPr>
        <w:autoSpaceDE w:val="0"/>
        <w:autoSpaceDN w:val="0"/>
        <w:adjustRightInd w:val="0"/>
        <w:rPr>
          <w:rFonts w:ascii="Arial" w:hAnsi="Arial" w:cs="Arial"/>
          <w:color w:val="000000"/>
          <w:lang w:val="tr-TR"/>
        </w:rPr>
      </w:pPr>
    </w:p>
    <w:p w:rsidR="00D322FB" w:rsidRPr="00842630" w:rsidRDefault="00D322FB" w:rsidP="00612496">
      <w:pPr>
        <w:autoSpaceDE w:val="0"/>
        <w:autoSpaceDN w:val="0"/>
        <w:adjustRightInd w:val="0"/>
        <w:ind w:left="567" w:hanging="567"/>
        <w:rPr>
          <w:rFonts w:ascii="Arial" w:hAnsi="Arial" w:cs="Arial"/>
          <w:color w:val="000000"/>
          <w:lang w:val="tr-TR"/>
        </w:rPr>
      </w:pPr>
      <w:r w:rsidRPr="00842630">
        <w:rPr>
          <w:rFonts w:ascii="Arial" w:hAnsi="Arial" w:cs="Arial"/>
          <w:color w:val="000000"/>
          <w:lang w:val="tr-TR"/>
        </w:rPr>
        <w:t xml:space="preserve">(b) </w:t>
      </w:r>
      <w:r w:rsidRPr="00842630">
        <w:rPr>
          <w:rFonts w:ascii="Arial" w:hAnsi="Arial" w:cs="Arial"/>
          <w:color w:val="000000"/>
          <w:lang w:val="tr-TR"/>
        </w:rPr>
        <w:tab/>
        <w:t>Aşağıdaki koşullardan herhangi birinin mevcut olması halinde işletme raporlayan işletme ile ilişkili sayılır:</w:t>
      </w:r>
    </w:p>
    <w:p w:rsidR="00D322FB" w:rsidRPr="00842630" w:rsidRDefault="00D322FB" w:rsidP="00612496">
      <w:pPr>
        <w:autoSpaceDE w:val="0"/>
        <w:autoSpaceDN w:val="0"/>
        <w:adjustRightInd w:val="0"/>
        <w:ind w:left="567" w:hanging="567"/>
        <w:rPr>
          <w:rFonts w:ascii="Arial" w:hAnsi="Arial" w:cs="Arial"/>
          <w:color w:val="000000"/>
          <w:lang w:val="tr-TR"/>
        </w:rPr>
      </w:pPr>
    </w:p>
    <w:p w:rsidR="00D322FB" w:rsidRPr="00842630" w:rsidRDefault="00D322FB" w:rsidP="00612496">
      <w:pPr>
        <w:autoSpaceDE w:val="0"/>
        <w:autoSpaceDN w:val="0"/>
        <w:adjustRightInd w:val="0"/>
        <w:ind w:left="1134" w:hanging="567"/>
        <w:rPr>
          <w:rFonts w:ascii="Arial" w:hAnsi="Arial" w:cs="Arial"/>
          <w:color w:val="000000"/>
          <w:lang w:val="tr-TR"/>
        </w:rPr>
      </w:pPr>
      <w:r w:rsidRPr="00842630">
        <w:rPr>
          <w:rFonts w:ascii="Arial" w:hAnsi="Arial" w:cs="Arial"/>
          <w:color w:val="000000"/>
          <w:lang w:val="tr-TR"/>
        </w:rPr>
        <w:t xml:space="preserve">(i) </w:t>
      </w:r>
      <w:r w:rsidRPr="00842630">
        <w:rPr>
          <w:rFonts w:ascii="Arial" w:hAnsi="Arial" w:cs="Arial"/>
          <w:color w:val="000000"/>
          <w:lang w:val="tr-TR"/>
        </w:rPr>
        <w:tab/>
        <w:t>İşletme ve raporlayan işletmenin aynı grubun üyesi olması halinde (yani her bir ana ortaklık, bağlı ortaklık ve diğer bağlı ortaklık diğerleri ile ilişkilidir).</w:t>
      </w:r>
    </w:p>
    <w:p w:rsidR="00D322FB" w:rsidRPr="00842630" w:rsidRDefault="00D322FB" w:rsidP="00612496">
      <w:pPr>
        <w:autoSpaceDE w:val="0"/>
        <w:autoSpaceDN w:val="0"/>
        <w:adjustRightInd w:val="0"/>
        <w:ind w:left="1134" w:hanging="567"/>
        <w:rPr>
          <w:rFonts w:ascii="Arial" w:hAnsi="Arial" w:cs="Arial"/>
          <w:color w:val="000000"/>
          <w:lang w:val="tr-TR"/>
        </w:rPr>
      </w:pPr>
      <w:r w:rsidRPr="00842630">
        <w:rPr>
          <w:rFonts w:ascii="Arial" w:hAnsi="Arial" w:cs="Arial"/>
          <w:color w:val="000000"/>
          <w:lang w:val="tr-TR"/>
        </w:rPr>
        <w:t xml:space="preserve">(ii) </w:t>
      </w:r>
      <w:r w:rsidRPr="00842630">
        <w:rPr>
          <w:rFonts w:ascii="Arial" w:hAnsi="Arial" w:cs="Arial"/>
          <w:color w:val="000000"/>
          <w:lang w:val="tr-TR"/>
        </w:rPr>
        <w:tab/>
        <w:t>İşletmenin, diğer işletmenin (veya diğer işletmenin de üyesi olduğu bir grubun üyesinin) iştiraki ya da iş ortaklığı olması halinde.</w:t>
      </w:r>
    </w:p>
    <w:p w:rsidR="00D322FB" w:rsidRPr="00842630" w:rsidRDefault="00D322FB" w:rsidP="00612496">
      <w:pPr>
        <w:autoSpaceDE w:val="0"/>
        <w:autoSpaceDN w:val="0"/>
        <w:adjustRightInd w:val="0"/>
        <w:ind w:left="1134" w:hanging="567"/>
        <w:rPr>
          <w:rFonts w:ascii="Arial" w:hAnsi="Arial" w:cs="Arial"/>
          <w:color w:val="000000"/>
          <w:lang w:val="tr-TR"/>
        </w:rPr>
      </w:pPr>
      <w:r w:rsidRPr="00842630">
        <w:rPr>
          <w:rFonts w:ascii="Arial" w:hAnsi="Arial" w:cs="Arial"/>
          <w:color w:val="000000"/>
          <w:lang w:val="tr-TR"/>
        </w:rPr>
        <w:t xml:space="preserve">(iii) </w:t>
      </w:r>
      <w:r w:rsidRPr="00842630">
        <w:rPr>
          <w:rFonts w:ascii="Arial" w:hAnsi="Arial" w:cs="Arial"/>
          <w:color w:val="000000"/>
          <w:lang w:val="tr-TR"/>
        </w:rPr>
        <w:tab/>
        <w:t>Her iki işletmenin de aynı bir üçüncü tarafın iş ortaklığı olması halinde.</w:t>
      </w:r>
    </w:p>
    <w:p w:rsidR="00D322FB" w:rsidRPr="00842630" w:rsidRDefault="00D322FB" w:rsidP="00612496">
      <w:pPr>
        <w:autoSpaceDE w:val="0"/>
        <w:autoSpaceDN w:val="0"/>
        <w:adjustRightInd w:val="0"/>
        <w:ind w:left="1134" w:hanging="567"/>
        <w:rPr>
          <w:rFonts w:ascii="Arial" w:hAnsi="Arial" w:cs="Arial"/>
          <w:color w:val="000000"/>
          <w:lang w:val="tr-TR"/>
        </w:rPr>
      </w:pPr>
      <w:r w:rsidRPr="00842630">
        <w:rPr>
          <w:rFonts w:ascii="Arial" w:hAnsi="Arial" w:cs="Arial"/>
          <w:color w:val="000000"/>
          <w:lang w:val="tr-TR"/>
        </w:rPr>
        <w:t xml:space="preserve">(iv) </w:t>
      </w:r>
      <w:r w:rsidRPr="00842630">
        <w:rPr>
          <w:rFonts w:ascii="Arial" w:hAnsi="Arial" w:cs="Arial"/>
          <w:color w:val="000000"/>
          <w:lang w:val="tr-TR"/>
        </w:rPr>
        <w:tab/>
        <w:t>İşletmelerden birinin üçüncü bir işletmenin iş ortaklığı olması ve diğer işletmenin söz konusu üçüncü işletmenin iştiraki olması halinde.</w:t>
      </w:r>
    </w:p>
    <w:p w:rsidR="00D322FB" w:rsidRPr="00842630" w:rsidRDefault="00D322FB" w:rsidP="00612496">
      <w:pPr>
        <w:autoSpaceDE w:val="0"/>
        <w:autoSpaceDN w:val="0"/>
        <w:adjustRightInd w:val="0"/>
        <w:ind w:left="1134" w:hanging="567"/>
        <w:rPr>
          <w:rFonts w:ascii="Arial" w:hAnsi="Arial" w:cs="Arial"/>
          <w:color w:val="000000"/>
          <w:lang w:val="tr-TR"/>
        </w:rPr>
      </w:pPr>
      <w:r w:rsidRPr="00842630">
        <w:rPr>
          <w:rFonts w:ascii="Arial" w:hAnsi="Arial" w:cs="Arial"/>
          <w:color w:val="000000"/>
          <w:lang w:val="tr-TR"/>
        </w:rPr>
        <w:t xml:space="preserve">(v) </w:t>
      </w:r>
      <w:r w:rsidRPr="00842630">
        <w:rPr>
          <w:rFonts w:ascii="Arial" w:hAnsi="Arial" w:cs="Arial"/>
          <w:color w:val="000000"/>
          <w:lang w:val="tr-TR"/>
        </w:rPr>
        <w:tab/>
        <w:t>İşletmenin, raporlayan işletmenin ya da raporlayan işletmeyle ilişkili olan bir işletmenin çalışanlarına ilişkin olarak işten ayrılma sonrasında sağlanan fayda plânlarının olması halinde. Raporlayan işletmenin kendisinin böyle bir plânının olması halinde, sponsor olan işverenler de raporlayan işletme ile ilişkilidir.</w:t>
      </w:r>
    </w:p>
    <w:p w:rsidR="00D322FB" w:rsidRPr="00842630" w:rsidRDefault="00D322FB" w:rsidP="00612496">
      <w:pPr>
        <w:rPr>
          <w:rFonts w:ascii="Arial" w:hAnsi="Arial" w:cs="Arial"/>
          <w:color w:val="000000"/>
          <w:lang w:val="tr-TR"/>
        </w:rPr>
      </w:pPr>
      <w:r w:rsidRPr="00842630">
        <w:rPr>
          <w:rFonts w:ascii="Arial" w:hAnsi="Arial" w:cs="Arial"/>
          <w:color w:val="000000"/>
          <w:lang w:val="tr-TR"/>
        </w:rPr>
        <w:br w:type="page"/>
      </w:r>
    </w:p>
    <w:p w:rsidR="00D322FB" w:rsidRPr="00612496" w:rsidRDefault="00D322FB" w:rsidP="00612496">
      <w:pPr>
        <w:ind w:right="-23"/>
        <w:rPr>
          <w:rFonts w:ascii="Arial" w:hAnsi="Arial" w:cs="Arial"/>
          <w:b/>
          <w:lang w:val="tr-TR"/>
        </w:rPr>
      </w:pPr>
      <w:r w:rsidRPr="00612496">
        <w:rPr>
          <w:rFonts w:ascii="Arial" w:hAnsi="Arial" w:cs="Arial"/>
          <w:b/>
          <w:lang w:val="tr-TR"/>
        </w:rPr>
        <w:lastRenderedPageBreak/>
        <w:t>2.</w:t>
      </w:r>
      <w:r w:rsidRPr="00612496">
        <w:rPr>
          <w:rFonts w:ascii="Arial" w:hAnsi="Arial" w:cs="Arial"/>
          <w:b/>
          <w:lang w:val="tr-TR"/>
        </w:rPr>
        <w:tab/>
        <w:t>Finansal tabloların sunumuna ilişkin esaslar (devamı)</w:t>
      </w:r>
    </w:p>
    <w:p w:rsidR="00D322FB" w:rsidRDefault="00D322FB" w:rsidP="00612496">
      <w:pPr>
        <w:autoSpaceDE w:val="0"/>
        <w:autoSpaceDN w:val="0"/>
        <w:adjustRightInd w:val="0"/>
        <w:rPr>
          <w:rFonts w:ascii="Arial" w:hAnsi="Arial" w:cs="Arial"/>
          <w:color w:val="000000"/>
        </w:rPr>
      </w:pPr>
    </w:p>
    <w:p w:rsidR="00D322FB" w:rsidRPr="00F45229" w:rsidRDefault="00D322FB" w:rsidP="00612496">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D322FB" w:rsidRPr="00842630" w:rsidRDefault="00D322FB" w:rsidP="00612496">
      <w:pPr>
        <w:autoSpaceDE w:val="0"/>
        <w:autoSpaceDN w:val="0"/>
        <w:adjustRightInd w:val="0"/>
        <w:rPr>
          <w:rFonts w:ascii="Arial" w:hAnsi="Arial" w:cs="Arial"/>
          <w:color w:val="000000"/>
          <w:lang w:val="de-DE"/>
        </w:rPr>
      </w:pPr>
    </w:p>
    <w:p w:rsidR="00D322FB" w:rsidRPr="00842630" w:rsidRDefault="00D322FB" w:rsidP="00612496">
      <w:pPr>
        <w:autoSpaceDE w:val="0"/>
        <w:autoSpaceDN w:val="0"/>
        <w:adjustRightInd w:val="0"/>
        <w:ind w:left="1134" w:hanging="567"/>
        <w:rPr>
          <w:rFonts w:ascii="Arial" w:hAnsi="Arial" w:cs="Arial"/>
          <w:color w:val="000000"/>
          <w:lang w:val="de-DE"/>
        </w:rPr>
      </w:pPr>
      <w:r w:rsidRPr="00842630">
        <w:rPr>
          <w:rFonts w:ascii="Arial" w:hAnsi="Arial" w:cs="Arial"/>
          <w:color w:val="000000"/>
          <w:lang w:val="de-DE"/>
        </w:rPr>
        <w:t xml:space="preserve">(vi) </w:t>
      </w:r>
      <w:r w:rsidRPr="00842630">
        <w:rPr>
          <w:rFonts w:ascii="Arial" w:hAnsi="Arial" w:cs="Arial"/>
          <w:color w:val="000000"/>
          <w:lang w:val="de-DE"/>
        </w:rPr>
        <w:tab/>
        <w:t>İşletmenin (a) maddesinde tanımlanan bir kişi tarafından kontrol veya müştereken kontrol edilmesi halinde.</w:t>
      </w:r>
    </w:p>
    <w:p w:rsidR="00D322FB" w:rsidRPr="00842630" w:rsidRDefault="00D322FB" w:rsidP="00612496">
      <w:pPr>
        <w:autoSpaceDE w:val="0"/>
        <w:autoSpaceDN w:val="0"/>
        <w:adjustRightInd w:val="0"/>
        <w:ind w:left="1134" w:hanging="567"/>
        <w:rPr>
          <w:rFonts w:ascii="Arial" w:hAnsi="Arial" w:cs="Arial"/>
          <w:color w:val="000000"/>
          <w:lang w:val="de-DE"/>
        </w:rPr>
      </w:pPr>
      <w:r w:rsidRPr="00842630">
        <w:rPr>
          <w:rFonts w:ascii="Arial" w:hAnsi="Arial" w:cs="Arial"/>
          <w:color w:val="000000"/>
          <w:lang w:val="de-DE"/>
        </w:rPr>
        <w:t xml:space="preserve">(vii) </w:t>
      </w:r>
      <w:r w:rsidRPr="00842630">
        <w:rPr>
          <w:rFonts w:ascii="Arial" w:hAnsi="Arial" w:cs="Arial"/>
          <w:color w:val="000000"/>
          <w:lang w:val="de-DE"/>
        </w:rPr>
        <w:tab/>
        <w:t>(a) maddesinin (i) bendinde tanımlanan bir kişinin işletme üzerinde önemli etkisinin bulunması veya söz konusu işletmenin (ya da bu işletmenin ana ortaklığının) kilit yönetici personelinin bir üyesi olması halinde.</w:t>
      </w:r>
    </w:p>
    <w:p w:rsidR="00D322FB" w:rsidRPr="00842630" w:rsidRDefault="00D322FB" w:rsidP="00612496">
      <w:pPr>
        <w:autoSpaceDE w:val="0"/>
        <w:autoSpaceDN w:val="0"/>
        <w:adjustRightInd w:val="0"/>
        <w:ind w:left="1134" w:hanging="567"/>
        <w:rPr>
          <w:rFonts w:ascii="Arial" w:hAnsi="Arial" w:cs="Arial"/>
          <w:color w:val="000000"/>
          <w:lang w:val="de-DE"/>
        </w:rPr>
      </w:pPr>
    </w:p>
    <w:p w:rsidR="00D322FB" w:rsidRPr="00842630" w:rsidRDefault="00D322FB" w:rsidP="00612496">
      <w:pPr>
        <w:autoSpaceDE w:val="0"/>
        <w:autoSpaceDN w:val="0"/>
        <w:adjustRightInd w:val="0"/>
        <w:rPr>
          <w:rFonts w:ascii="Arial" w:hAnsi="Arial" w:cs="Arial"/>
          <w:lang w:val="de-DE"/>
        </w:rPr>
      </w:pPr>
      <w:r w:rsidRPr="00842630">
        <w:rPr>
          <w:rFonts w:ascii="Arial" w:hAnsi="Arial" w:cs="Arial"/>
          <w:lang w:val="de-DE"/>
        </w:rPr>
        <w:t>İlişkili tarafla yapılan işlem raporlayan işletme ile ilişkili bir taraf arasında kaynakların, hizmetlerin ya da yükümlülüklerin, bir bedel karşılığı olup olmadığına bakılmaksızın transferidir.</w:t>
      </w:r>
    </w:p>
    <w:p w:rsidR="00D322FB" w:rsidRPr="00842630" w:rsidRDefault="00D322FB" w:rsidP="00612496">
      <w:pPr>
        <w:autoSpaceDE w:val="0"/>
        <w:autoSpaceDN w:val="0"/>
        <w:adjustRightInd w:val="0"/>
        <w:rPr>
          <w:rFonts w:ascii="Arial" w:hAnsi="Arial" w:cs="Arial"/>
          <w:lang w:val="de-DE"/>
        </w:rPr>
      </w:pPr>
    </w:p>
    <w:p w:rsidR="00D322FB" w:rsidRPr="00842630" w:rsidRDefault="00D322FB" w:rsidP="00612496">
      <w:pPr>
        <w:autoSpaceDE w:val="0"/>
        <w:autoSpaceDN w:val="0"/>
        <w:adjustRightInd w:val="0"/>
        <w:rPr>
          <w:rFonts w:ascii="Arial" w:hAnsi="Arial" w:cs="Arial"/>
          <w:color w:val="000000"/>
          <w:lang w:val="de-DE"/>
        </w:rPr>
      </w:pPr>
      <w:r w:rsidRPr="00842630">
        <w:rPr>
          <w:rFonts w:ascii="Arial" w:hAnsi="Arial" w:cs="Arial"/>
          <w:lang w:val="de-DE"/>
        </w:rPr>
        <w:t>Şirket üst düzey yönetim kadrosunu, yönetim kurulu üyeleri, genel müdür ve genel müdür yardımcıları olarak belirlemiştir.</w:t>
      </w:r>
    </w:p>
    <w:p w:rsidR="00D322FB" w:rsidRDefault="00D322FB" w:rsidP="004E4D07">
      <w:pPr>
        <w:tabs>
          <w:tab w:val="left" w:pos="567"/>
        </w:tabs>
        <w:autoSpaceDE w:val="0"/>
        <w:autoSpaceDN w:val="0"/>
        <w:adjustRightInd w:val="0"/>
        <w:rPr>
          <w:rFonts w:ascii="Arial" w:hAnsi="Arial" w:cs="Arial"/>
          <w:b/>
          <w:highlight w:val="yellow"/>
          <w:lang w:val="tr-TR"/>
        </w:rPr>
      </w:pPr>
    </w:p>
    <w:p w:rsidR="00D322FB" w:rsidRPr="00F80AD1" w:rsidRDefault="00D322FB" w:rsidP="00F80AD1">
      <w:pPr>
        <w:pStyle w:val="bodycopyindent"/>
        <w:spacing w:before="0" w:line="240" w:lineRule="auto"/>
        <w:ind w:left="0"/>
        <w:rPr>
          <w:b/>
          <w:sz w:val="20"/>
          <w:szCs w:val="20"/>
        </w:rPr>
      </w:pPr>
      <w:r w:rsidRPr="00F80AD1">
        <w:rPr>
          <w:b/>
          <w:sz w:val="20"/>
          <w:szCs w:val="20"/>
        </w:rPr>
        <w:t>Finansal varlıklarda değer düşüklüğü</w:t>
      </w:r>
    </w:p>
    <w:p w:rsidR="00D322FB" w:rsidRPr="00F80AD1" w:rsidRDefault="00D322FB" w:rsidP="00F80AD1">
      <w:pPr>
        <w:rPr>
          <w:rFonts w:ascii="Arial" w:hAnsi="Arial" w:cs="Arial"/>
          <w:color w:val="000000"/>
          <w:lang w:val="tr-TR"/>
        </w:rPr>
      </w:pPr>
    </w:p>
    <w:p w:rsidR="00D322FB" w:rsidRPr="00F80AD1" w:rsidRDefault="00D322FB" w:rsidP="00F80AD1">
      <w:pPr>
        <w:rPr>
          <w:rFonts w:ascii="Arial" w:hAnsi="Arial" w:cs="Arial"/>
          <w:color w:val="000000"/>
          <w:lang w:val="tr-TR"/>
        </w:rPr>
      </w:pPr>
      <w:r w:rsidRPr="00F80AD1">
        <w:rPr>
          <w:rFonts w:ascii="Arial" w:hAnsi="Arial" w:cs="Arial"/>
          <w:color w:val="000000"/>
          <w:lang w:val="tr-TR"/>
        </w:rPr>
        <w:t>Gerçeğe uygun değer farkı kar veya zarara yansıtılan finansal varlıklar dışındaki finansal varlık veya finansal varlık grupları, her bilanço tarihinde değer düşüklüğüne uğradıklarına ilişkin göstergelerin bulunup bulunmadığına dair değerlendirmeye tabi tutulur. Finansal varlığın ilk muhasebeleştirilmesinden sonra bir veya birden fazla olayın meydana gelmesi ve söz konusu olayın ilgili finansal varlık veya varlık grubunun güvenilir bir biçimde tahmin edilebilen gelecekteki nakit akımları üzerindeki olumsuz etkisi sonucunda ilgili finansal varlığın değer düşüklüğüne uğradığına ilişkin tarafsız bir göstergenin bulunması durumunda değer düşüklüğü zararı oluşur. Kredi ve alacaklar için değer düşüklüğü tutarı gelecekte beklenen tahmini nakit akımlarının finansal varlığın etkin faiz oranı üzerinden iskonto edilerek hesaplanan bugünkü değeri ile defter değeri arasındaki farktır.</w:t>
      </w:r>
    </w:p>
    <w:p w:rsidR="00D322FB" w:rsidRPr="00F80AD1" w:rsidRDefault="00D322FB" w:rsidP="00F80AD1">
      <w:pPr>
        <w:rPr>
          <w:rFonts w:ascii="Arial" w:hAnsi="Arial" w:cs="Arial"/>
          <w:lang w:val="tr-TR"/>
        </w:rPr>
      </w:pPr>
    </w:p>
    <w:p w:rsidR="00D322FB" w:rsidRPr="00F80AD1" w:rsidRDefault="00D322FB" w:rsidP="00F80AD1">
      <w:pPr>
        <w:pStyle w:val="bodycopyindent"/>
        <w:spacing w:before="0" w:line="240" w:lineRule="auto"/>
        <w:ind w:left="0"/>
        <w:rPr>
          <w:sz w:val="20"/>
          <w:szCs w:val="20"/>
        </w:rPr>
      </w:pPr>
      <w:r w:rsidRPr="00F80AD1">
        <w:rPr>
          <w:sz w:val="20"/>
          <w:szCs w:val="20"/>
        </w:rPr>
        <w:t xml:space="preserve">Bir karşılık hesabının kullanılması yoluyla defter değerinin azaltıldığı ticari alacaklar haricinde bütün finansal varlıklarda, değer düşüklüğü doğrudan ilgili finansal varlığın kayıtlı değerinden düşülür. Ticari alacağın tahsil edilememesi durumunda söz konusu tutar karşılık hesabından düşülerek silinir. Karşılık hesabındaki değişimler gelir tablosunda muhasebeleştirilir. </w:t>
      </w:r>
    </w:p>
    <w:p w:rsidR="00D322FB" w:rsidRPr="00F80AD1" w:rsidRDefault="00D322FB" w:rsidP="00F80AD1">
      <w:pPr>
        <w:rPr>
          <w:rFonts w:ascii="Arial" w:hAnsi="Arial" w:cs="Arial"/>
          <w:color w:val="000000"/>
          <w:lang w:val="tr-TR"/>
        </w:rPr>
      </w:pPr>
    </w:p>
    <w:p w:rsidR="00D322FB" w:rsidRPr="00842630" w:rsidRDefault="00D322FB" w:rsidP="00F80AD1">
      <w:pPr>
        <w:rPr>
          <w:rFonts w:ascii="Arial" w:hAnsi="Arial" w:cs="Arial"/>
          <w:lang w:val="tr-TR"/>
        </w:rPr>
      </w:pPr>
      <w:r w:rsidRPr="00842630">
        <w:rPr>
          <w:rFonts w:ascii="Arial" w:hAnsi="Arial" w:cs="Arial"/>
          <w:lang w:val="tr-TR"/>
        </w:rPr>
        <w:t>Satılmaya hazır özsermaye araçları haricinde, değer düşüklüğü zararı sonraki dönemde azalırsa ve azalış değer düşüklüğü zararının muhasebeleştirilmesi sonrasında meydana gelen bir olayla ilişkilendirilebiliyorsa, önceden muhasebeleştirilen değer düşüklüğü zararı değer düşüklüğünün iptal edileceği tarihte yatırımın değer düşüklüğü hiçbir zaman muhasabeleştirilmemiş olması durumunda ulaşacağı itfa edilmiş maliyet tutarını aşmayacak şekilde gelir tablosunda iptal edilir. Satılmaya hazır özsermaye araçlarının gerçeğe uygun değerinde değer düşüklüğü sonrasında meydana gelen artış, doğrudan özsermayede muhasebeleştirilir.</w:t>
      </w:r>
    </w:p>
    <w:p w:rsidR="00D322FB" w:rsidRDefault="00D322FB" w:rsidP="004E4D07">
      <w:pPr>
        <w:tabs>
          <w:tab w:val="left" w:pos="567"/>
        </w:tabs>
        <w:autoSpaceDE w:val="0"/>
        <w:autoSpaceDN w:val="0"/>
        <w:adjustRightInd w:val="0"/>
        <w:rPr>
          <w:rFonts w:ascii="Arial" w:hAnsi="Arial" w:cs="Arial"/>
          <w:b/>
          <w:highlight w:val="yellow"/>
          <w:lang w:val="tr-TR"/>
        </w:rPr>
      </w:pPr>
    </w:p>
    <w:p w:rsidR="00D322FB" w:rsidRPr="00473FD2" w:rsidRDefault="00D322FB" w:rsidP="00640B55">
      <w:pPr>
        <w:pStyle w:val="body0"/>
        <w:spacing w:after="0" w:line="240" w:lineRule="auto"/>
        <w:jc w:val="left"/>
        <w:rPr>
          <w:rFonts w:ascii="Arial" w:hAnsi="Arial" w:cs="Arial"/>
          <w:b/>
          <w:sz w:val="20"/>
          <w:szCs w:val="20"/>
          <w:lang w:val="tr-TR"/>
        </w:rPr>
      </w:pPr>
      <w:r w:rsidRPr="00473FD2">
        <w:rPr>
          <w:rFonts w:ascii="Arial" w:hAnsi="Arial" w:cs="Arial"/>
          <w:b/>
          <w:bCs/>
          <w:noProof/>
          <w:sz w:val="20"/>
          <w:szCs w:val="20"/>
          <w:lang w:val="tr-TR"/>
        </w:rPr>
        <w:t>Ücret, komisyon ve faiz gelirleri ve giderleri</w:t>
      </w:r>
    </w:p>
    <w:p w:rsidR="00D322FB" w:rsidRPr="00473FD2" w:rsidRDefault="00D322FB" w:rsidP="00640B55">
      <w:pPr>
        <w:suppressAutoHyphens/>
        <w:rPr>
          <w:rFonts w:ascii="Arial" w:hAnsi="Arial" w:cs="Arial"/>
          <w:lang w:val="tr-TR"/>
        </w:rPr>
      </w:pPr>
    </w:p>
    <w:p w:rsidR="00D322FB" w:rsidRPr="00473FD2" w:rsidRDefault="00D322FB" w:rsidP="00640B55">
      <w:pPr>
        <w:autoSpaceDE w:val="0"/>
        <w:autoSpaceDN w:val="0"/>
        <w:adjustRightInd w:val="0"/>
        <w:rPr>
          <w:rFonts w:ascii="Arial" w:hAnsi="Arial" w:cs="Arial"/>
          <w:bCs/>
          <w:i/>
          <w:lang w:val="tr-TR"/>
        </w:rPr>
      </w:pPr>
      <w:r w:rsidRPr="00473FD2">
        <w:rPr>
          <w:rFonts w:ascii="Arial" w:hAnsi="Arial" w:cs="Arial"/>
          <w:bCs/>
          <w:i/>
          <w:lang w:val="tr-TR"/>
        </w:rPr>
        <w:t>Ücret ve komisyon, gelir ve giderleri</w:t>
      </w:r>
    </w:p>
    <w:p w:rsidR="00D322FB" w:rsidRPr="00473FD2" w:rsidRDefault="00D322FB" w:rsidP="00640B55">
      <w:pPr>
        <w:rPr>
          <w:rFonts w:ascii="Arial" w:hAnsi="Arial" w:cs="Arial"/>
          <w:color w:val="231F20"/>
          <w:lang w:val="tr-TR"/>
        </w:rPr>
      </w:pPr>
    </w:p>
    <w:p w:rsidR="00D322FB" w:rsidRPr="00473FD2" w:rsidRDefault="00D322FB" w:rsidP="00640B55">
      <w:pPr>
        <w:autoSpaceDE w:val="0"/>
        <w:autoSpaceDN w:val="0"/>
        <w:adjustRightInd w:val="0"/>
        <w:rPr>
          <w:rFonts w:ascii="Arial" w:hAnsi="Arial" w:cs="Arial"/>
          <w:color w:val="231F20"/>
          <w:lang w:val="tr-TR"/>
        </w:rPr>
      </w:pPr>
      <w:r w:rsidRPr="00473FD2">
        <w:rPr>
          <w:rFonts w:ascii="Arial" w:hAnsi="Arial" w:cs="Arial"/>
          <w:color w:val="231F20"/>
          <w:lang w:val="tr-TR"/>
        </w:rPr>
        <w:t>Ücret ve komisyonlar, fon yönetim ücreti komisyonları, portföy yönetimi komisyonları, yatırım danışmanlığı hizmet gelirleri tahakkuk esasına göre muhasebeleştirilmektedir.</w:t>
      </w:r>
    </w:p>
    <w:p w:rsidR="00D322FB" w:rsidRPr="00473FD2" w:rsidRDefault="00D322FB" w:rsidP="00640B55">
      <w:pPr>
        <w:autoSpaceDE w:val="0"/>
        <w:autoSpaceDN w:val="0"/>
        <w:adjustRightInd w:val="0"/>
        <w:rPr>
          <w:rFonts w:ascii="Arial" w:hAnsi="Arial" w:cs="Arial"/>
          <w:bCs/>
          <w:lang w:val="tr-TR"/>
        </w:rPr>
      </w:pPr>
    </w:p>
    <w:p w:rsidR="00D322FB" w:rsidRPr="00473FD2" w:rsidRDefault="00D322FB" w:rsidP="00640B55">
      <w:pPr>
        <w:autoSpaceDE w:val="0"/>
        <w:autoSpaceDN w:val="0"/>
        <w:adjustRightInd w:val="0"/>
        <w:rPr>
          <w:rFonts w:ascii="Arial" w:hAnsi="Arial" w:cs="Arial"/>
          <w:color w:val="231F20"/>
          <w:lang w:val="tr-TR"/>
        </w:rPr>
      </w:pPr>
      <w:r w:rsidRPr="00473FD2">
        <w:rPr>
          <w:rFonts w:ascii="Arial" w:hAnsi="Arial" w:cs="Arial"/>
          <w:color w:val="231F20"/>
          <w:lang w:val="tr-TR"/>
        </w:rPr>
        <w:t>Ücret ve komisyon giderleri tahakkuk esasına göre muhasebeleştirilmektedir.</w:t>
      </w:r>
    </w:p>
    <w:p w:rsidR="00D322FB" w:rsidRPr="00473FD2" w:rsidRDefault="00D322FB" w:rsidP="00640B55">
      <w:pPr>
        <w:rPr>
          <w:rFonts w:ascii="Arial" w:hAnsi="Arial" w:cs="Arial"/>
          <w:color w:val="231F20"/>
          <w:lang w:val="tr-TR"/>
        </w:rPr>
      </w:pPr>
    </w:p>
    <w:p w:rsidR="00D322FB" w:rsidRPr="00473FD2" w:rsidRDefault="00D322FB" w:rsidP="00640B55">
      <w:pPr>
        <w:autoSpaceDE w:val="0"/>
        <w:autoSpaceDN w:val="0"/>
        <w:adjustRightInd w:val="0"/>
        <w:rPr>
          <w:rFonts w:ascii="Arial" w:hAnsi="Arial" w:cs="Arial"/>
          <w:bCs/>
          <w:i/>
          <w:lang w:val="tr-TR"/>
        </w:rPr>
      </w:pPr>
      <w:r w:rsidRPr="00473FD2">
        <w:rPr>
          <w:rFonts w:ascii="Arial" w:hAnsi="Arial" w:cs="Arial"/>
          <w:bCs/>
          <w:i/>
          <w:lang w:val="tr-TR"/>
        </w:rPr>
        <w:t>Faiz gelir ve gideri</w:t>
      </w:r>
    </w:p>
    <w:p w:rsidR="00D322FB" w:rsidRPr="00473FD2" w:rsidRDefault="00D322FB" w:rsidP="00640B55">
      <w:pPr>
        <w:rPr>
          <w:rFonts w:ascii="Arial" w:hAnsi="Arial" w:cs="Arial"/>
          <w:color w:val="231F20"/>
          <w:lang w:val="tr-TR"/>
        </w:rPr>
      </w:pPr>
    </w:p>
    <w:p w:rsidR="00D322FB" w:rsidRPr="00473FD2" w:rsidRDefault="00D322FB" w:rsidP="00640B55">
      <w:pPr>
        <w:rPr>
          <w:rFonts w:ascii="Arial" w:hAnsi="Arial" w:cs="Arial"/>
          <w:color w:val="231F20"/>
          <w:lang w:val="tr-TR"/>
        </w:rPr>
      </w:pPr>
      <w:r w:rsidRPr="00473FD2">
        <w:rPr>
          <w:rFonts w:ascii="Arial" w:hAnsi="Arial" w:cs="Arial"/>
          <w:color w:val="231F20"/>
          <w:lang w:val="tr-TR"/>
        </w:rPr>
        <w:t>Faiz gelir ve giderleri gelir tablosunda tahakkuk esasına göre muhasebeleştirilmektedir. Faiz gelirleri; vadeli mevduat faiz gelirleri, sabit getirili menkul kıymetlerden alınan kupon faizlerini, borsa para piyasası ile ters repo işlemlerinden kaynaklanan faizleri ve vadeli işlem teminatlarının nemalarını içermektedir.</w:t>
      </w:r>
    </w:p>
    <w:p w:rsidR="00D322FB" w:rsidRDefault="00D322FB" w:rsidP="00640B55">
      <w:pPr>
        <w:autoSpaceDE w:val="0"/>
        <w:autoSpaceDN w:val="0"/>
        <w:adjustRightInd w:val="0"/>
        <w:ind w:right="-23"/>
        <w:rPr>
          <w:rFonts w:ascii="Arial" w:hAnsi="Arial" w:cs="Arial"/>
          <w:color w:val="000000"/>
          <w:highlight w:val="yellow"/>
          <w:lang w:val="tr-TR"/>
        </w:rPr>
      </w:pPr>
      <w:r>
        <w:rPr>
          <w:rFonts w:ascii="Arial" w:hAnsi="Arial" w:cs="Arial"/>
          <w:color w:val="000000"/>
          <w:highlight w:val="yellow"/>
          <w:lang w:val="tr-TR"/>
        </w:rPr>
        <w:br w:type="page"/>
      </w:r>
    </w:p>
    <w:p w:rsidR="00D322FB" w:rsidRPr="00612496" w:rsidRDefault="00D322FB" w:rsidP="00F80AD1">
      <w:pPr>
        <w:ind w:right="-23"/>
        <w:rPr>
          <w:rFonts w:ascii="Arial" w:hAnsi="Arial" w:cs="Arial"/>
          <w:b/>
          <w:lang w:val="tr-TR"/>
        </w:rPr>
      </w:pPr>
      <w:r w:rsidRPr="00612496">
        <w:rPr>
          <w:rFonts w:ascii="Arial" w:hAnsi="Arial" w:cs="Arial"/>
          <w:b/>
          <w:lang w:val="tr-TR"/>
        </w:rPr>
        <w:lastRenderedPageBreak/>
        <w:t>2.</w:t>
      </w:r>
      <w:r w:rsidRPr="00612496">
        <w:rPr>
          <w:rFonts w:ascii="Arial" w:hAnsi="Arial" w:cs="Arial"/>
          <w:b/>
          <w:lang w:val="tr-TR"/>
        </w:rPr>
        <w:tab/>
        <w:t>Finansal tabloların sunumuna ilişkin esaslar (devamı)</w:t>
      </w:r>
    </w:p>
    <w:p w:rsidR="00D322FB" w:rsidRDefault="00D322FB" w:rsidP="00F80AD1">
      <w:pPr>
        <w:autoSpaceDE w:val="0"/>
        <w:autoSpaceDN w:val="0"/>
        <w:adjustRightInd w:val="0"/>
        <w:rPr>
          <w:rFonts w:ascii="Arial" w:hAnsi="Arial" w:cs="Arial"/>
          <w:color w:val="000000"/>
        </w:rPr>
      </w:pPr>
    </w:p>
    <w:p w:rsidR="00D322FB" w:rsidRPr="00F45229" w:rsidRDefault="00D322FB" w:rsidP="00F80AD1">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D322FB" w:rsidRDefault="00D322FB" w:rsidP="00640B55">
      <w:pPr>
        <w:autoSpaceDE w:val="0"/>
        <w:autoSpaceDN w:val="0"/>
        <w:adjustRightInd w:val="0"/>
        <w:ind w:right="-23"/>
        <w:rPr>
          <w:rFonts w:ascii="Arial" w:hAnsi="Arial" w:cs="Arial"/>
          <w:bCs/>
          <w:i/>
          <w:lang w:val="tr-TR"/>
        </w:rPr>
      </w:pPr>
    </w:p>
    <w:p w:rsidR="00D322FB" w:rsidRPr="00D63AAD" w:rsidRDefault="00D322FB" w:rsidP="00640B55">
      <w:pPr>
        <w:autoSpaceDE w:val="0"/>
        <w:autoSpaceDN w:val="0"/>
        <w:adjustRightInd w:val="0"/>
        <w:ind w:right="-23"/>
        <w:rPr>
          <w:rFonts w:ascii="Arial" w:hAnsi="Arial" w:cs="Arial"/>
          <w:bCs/>
          <w:i/>
          <w:lang w:val="tr-TR"/>
        </w:rPr>
      </w:pPr>
      <w:r w:rsidRPr="00D63AAD">
        <w:rPr>
          <w:rFonts w:ascii="Arial" w:hAnsi="Arial" w:cs="Arial"/>
          <w:bCs/>
          <w:i/>
          <w:lang w:val="tr-TR"/>
        </w:rPr>
        <w:t>Temettü geliri</w:t>
      </w:r>
    </w:p>
    <w:p w:rsidR="00D322FB" w:rsidRPr="00D63AAD" w:rsidRDefault="00D322FB" w:rsidP="00640B55">
      <w:pPr>
        <w:autoSpaceDE w:val="0"/>
        <w:autoSpaceDN w:val="0"/>
        <w:adjustRightInd w:val="0"/>
        <w:ind w:right="-23"/>
        <w:rPr>
          <w:rFonts w:ascii="Arial" w:hAnsi="Arial" w:cs="Arial"/>
          <w:bCs/>
          <w:lang w:val="tr-TR"/>
        </w:rPr>
      </w:pPr>
    </w:p>
    <w:p w:rsidR="00D322FB" w:rsidRDefault="00D322FB" w:rsidP="00640B55">
      <w:pPr>
        <w:widowControl w:val="0"/>
        <w:rPr>
          <w:rFonts w:ascii="Arial" w:hAnsi="Arial" w:cs="Arial"/>
          <w:color w:val="231F20"/>
          <w:lang w:val="tr-TR"/>
        </w:rPr>
      </w:pPr>
      <w:r w:rsidRPr="00D63AAD">
        <w:rPr>
          <w:rFonts w:ascii="Arial" w:hAnsi="Arial" w:cs="Arial"/>
          <w:color w:val="231F20"/>
          <w:lang w:val="tr-TR"/>
        </w:rPr>
        <w:t>Hisse senedi yatırımlarından elde edilen temettü geliri, hissedarların temettü alma hakkı doğduğu zaman kayda alınır.</w:t>
      </w:r>
    </w:p>
    <w:p w:rsidR="00D322FB" w:rsidRDefault="00D322FB" w:rsidP="00640B55">
      <w:pPr>
        <w:widowControl w:val="0"/>
        <w:rPr>
          <w:rFonts w:ascii="Arial" w:hAnsi="Arial" w:cs="Arial"/>
          <w:color w:val="231F20"/>
          <w:lang w:val="tr-TR"/>
        </w:rPr>
      </w:pPr>
    </w:p>
    <w:p w:rsidR="00D322FB" w:rsidRPr="00640B55" w:rsidRDefault="00D322FB" w:rsidP="00640B55">
      <w:pPr>
        <w:rPr>
          <w:rFonts w:ascii="Arial" w:hAnsi="Arial" w:cs="Arial"/>
          <w:b/>
          <w:lang w:val="tr-TR"/>
        </w:rPr>
      </w:pPr>
      <w:r w:rsidRPr="00640B55">
        <w:rPr>
          <w:rFonts w:ascii="Arial" w:hAnsi="Arial" w:cs="Arial"/>
          <w:b/>
          <w:lang w:val="tr-TR"/>
        </w:rPr>
        <w:t>Borçlanma maliyetleri</w:t>
      </w:r>
    </w:p>
    <w:p w:rsidR="00D322FB" w:rsidRPr="00640B55" w:rsidRDefault="00D322FB" w:rsidP="00640B55">
      <w:pPr>
        <w:rPr>
          <w:rFonts w:ascii="Arial" w:hAnsi="Arial" w:cs="Arial"/>
          <w:spacing w:val="-2"/>
          <w:lang w:val="tr-TR"/>
        </w:rPr>
      </w:pPr>
    </w:p>
    <w:p w:rsidR="00D322FB" w:rsidRDefault="00D322FB">
      <w:pPr>
        <w:rPr>
          <w:rFonts w:ascii="Arial" w:hAnsi="Arial" w:cs="Arial"/>
          <w:spacing w:val="-2"/>
          <w:lang w:val="tr-TR"/>
        </w:rPr>
      </w:pPr>
      <w:r w:rsidRPr="00640B55">
        <w:rPr>
          <w:rFonts w:ascii="Arial" w:hAnsi="Arial" w:cs="Arial"/>
          <w:spacing w:val="-2"/>
          <w:lang w:val="tr-TR"/>
        </w:rPr>
        <w:t>Borçlanma maliyetleri gider olarak kaydedilmektedir. Özellikli varlıkla ilişkili borçlanma maliyetleri doğrudan ilgili bulunduğu özellikli varlığın maliyetine dahil edilir. Özellikli bir varlığın amaçlandığı şekilde kullanıma veya satışa hazır hale getirilmesi için gerekli faaliyetlerin tamamen bitirilmesi durumunda, borçlanma maliyetlerinin aktifleştirilmesine son verilir.</w:t>
      </w:r>
    </w:p>
    <w:p w:rsidR="00D322FB" w:rsidRPr="00727376" w:rsidRDefault="00D322FB">
      <w:pPr>
        <w:rPr>
          <w:rFonts w:ascii="Arial" w:hAnsi="Arial" w:cs="Arial"/>
          <w:b/>
          <w:highlight w:val="yellow"/>
          <w:lang w:val="tr-TR"/>
        </w:rPr>
      </w:pPr>
    </w:p>
    <w:p w:rsidR="00D322FB" w:rsidRPr="007B4803" w:rsidRDefault="00D322FB" w:rsidP="007B4803">
      <w:pPr>
        <w:pStyle w:val="BodyTextIndent"/>
        <w:ind w:left="0" w:firstLine="0"/>
        <w:rPr>
          <w:rFonts w:ascii="Arial" w:hAnsi="Arial" w:cs="Arial"/>
          <w:b/>
          <w:color w:val="000000"/>
          <w:sz w:val="20"/>
          <w:lang w:val="tr-TR"/>
        </w:rPr>
      </w:pPr>
      <w:r w:rsidRPr="007B4803">
        <w:rPr>
          <w:rFonts w:ascii="Arial" w:hAnsi="Arial" w:cs="Arial"/>
          <w:b/>
          <w:color w:val="000000"/>
          <w:sz w:val="20"/>
          <w:lang w:val="tr-TR"/>
        </w:rPr>
        <w:t>Finansal araçlar</w:t>
      </w:r>
    </w:p>
    <w:p w:rsidR="00D322FB" w:rsidRPr="007B4803" w:rsidRDefault="00D322FB" w:rsidP="007B4803">
      <w:pPr>
        <w:pStyle w:val="BodyTextIndent"/>
        <w:ind w:left="0" w:firstLine="0"/>
        <w:rPr>
          <w:rFonts w:ascii="Arial" w:hAnsi="Arial" w:cs="Arial"/>
          <w:color w:val="000000"/>
          <w:sz w:val="20"/>
          <w:u w:val="single"/>
          <w:lang w:val="tr-TR"/>
        </w:rPr>
      </w:pPr>
    </w:p>
    <w:p w:rsidR="00D322FB" w:rsidRPr="007B4803" w:rsidRDefault="00D322FB" w:rsidP="007B4803">
      <w:pPr>
        <w:pStyle w:val="BodyTextIndent"/>
        <w:rPr>
          <w:rFonts w:ascii="Arial" w:hAnsi="Arial" w:cs="Arial"/>
          <w:i/>
          <w:color w:val="000000"/>
          <w:sz w:val="20"/>
          <w:lang w:val="tr-TR"/>
        </w:rPr>
      </w:pPr>
      <w:r w:rsidRPr="007B4803">
        <w:rPr>
          <w:rFonts w:ascii="Arial" w:hAnsi="Arial" w:cs="Arial"/>
          <w:i/>
          <w:color w:val="000000"/>
          <w:sz w:val="20"/>
          <w:lang w:val="tr-TR"/>
        </w:rPr>
        <w:t>Etkin faiz yöntemi</w:t>
      </w:r>
    </w:p>
    <w:p w:rsidR="00D322FB" w:rsidRPr="007B4803" w:rsidRDefault="00D322FB" w:rsidP="007B4803">
      <w:pPr>
        <w:autoSpaceDE w:val="0"/>
        <w:autoSpaceDN w:val="0"/>
        <w:adjustRightInd w:val="0"/>
        <w:rPr>
          <w:rFonts w:ascii="Arial" w:hAnsi="Arial" w:cs="Arial"/>
          <w:color w:val="000000"/>
          <w:lang w:val="tr-TR"/>
        </w:rPr>
      </w:pPr>
    </w:p>
    <w:p w:rsidR="00D322FB" w:rsidRPr="007B4803" w:rsidRDefault="00D322FB" w:rsidP="007B4803">
      <w:pPr>
        <w:pStyle w:val="BodyTextIndent"/>
        <w:ind w:left="0" w:firstLine="0"/>
        <w:rPr>
          <w:rFonts w:ascii="Arial" w:hAnsi="Arial" w:cs="Arial"/>
          <w:color w:val="000000"/>
          <w:sz w:val="20"/>
          <w:lang w:val="tr-TR"/>
        </w:rPr>
      </w:pPr>
      <w:r w:rsidRPr="007B4803">
        <w:rPr>
          <w:rFonts w:ascii="Arial" w:hAnsi="Arial" w:cs="Arial"/>
          <w:color w:val="000000"/>
          <w:sz w:val="20"/>
          <w:lang w:val="tr-TR"/>
        </w:rPr>
        <w:t>Etkin faiz yöntemi, finansal varlığın itfa edilmiş maliyet ile değerlenmesi ve ilgili faiz gelirinin ilişkili olduğu döneme dağıtılması yöntemidir. Etkin faiz oranı; finansal aracın beklenen ömrü boyunca veya uygun olması durumunda daha kısa bir zaman dilimi süresince tahsil edilecek tahmini nakit toplamının, ilgili finansal varlığın tam olarak net bugünkü değerine indirgeyen orandır.</w:t>
      </w:r>
    </w:p>
    <w:p w:rsidR="00D322FB" w:rsidRPr="007B4803" w:rsidRDefault="00D322FB" w:rsidP="007B4803">
      <w:pPr>
        <w:pStyle w:val="BodyTextIndent"/>
        <w:rPr>
          <w:rFonts w:ascii="Arial" w:hAnsi="Arial" w:cs="Arial"/>
          <w:color w:val="000000"/>
          <w:sz w:val="20"/>
          <w:lang w:val="tr-TR"/>
        </w:rPr>
      </w:pPr>
    </w:p>
    <w:p w:rsidR="00D322FB" w:rsidRPr="007B4803" w:rsidRDefault="00D322FB" w:rsidP="007B4803">
      <w:pPr>
        <w:rPr>
          <w:rFonts w:ascii="Arial" w:hAnsi="Arial" w:cs="Arial"/>
          <w:color w:val="000000"/>
          <w:lang w:val="tr-TR"/>
        </w:rPr>
      </w:pPr>
      <w:r w:rsidRPr="007B4803">
        <w:rPr>
          <w:rFonts w:ascii="Arial" w:hAnsi="Arial" w:cs="Arial"/>
          <w:color w:val="000000"/>
          <w:lang w:val="tr-TR"/>
        </w:rPr>
        <w:t>Gerçeğe uygun değer farkı kar veya zarara yansıtılan finansal varlıklar dışında sınıflandırılan finansal varlıklar ile ilgili gelirler etkin faiz yöntemi kullanmak suretiyle hesaplanmaktadır.</w:t>
      </w:r>
    </w:p>
    <w:p w:rsidR="00D322FB" w:rsidRPr="007B4803" w:rsidRDefault="00D322FB" w:rsidP="007B4803">
      <w:pPr>
        <w:rPr>
          <w:rFonts w:ascii="Arial" w:hAnsi="Arial" w:cs="Arial"/>
          <w:color w:val="000000"/>
          <w:lang w:val="tr-TR"/>
        </w:rPr>
      </w:pPr>
    </w:p>
    <w:p w:rsidR="00D322FB" w:rsidRPr="007B4803" w:rsidRDefault="00D322FB" w:rsidP="007B4803">
      <w:pPr>
        <w:ind w:right="-157"/>
        <w:rPr>
          <w:rFonts w:ascii="Arial" w:hAnsi="Arial" w:cs="Arial"/>
          <w:b/>
          <w:color w:val="000000"/>
          <w:lang w:val="tr-TR"/>
        </w:rPr>
      </w:pPr>
      <w:r w:rsidRPr="007B4803">
        <w:rPr>
          <w:rFonts w:ascii="Arial" w:hAnsi="Arial" w:cs="Arial"/>
          <w:b/>
          <w:color w:val="000000"/>
          <w:lang w:val="tr-TR"/>
        </w:rPr>
        <w:t>Gerçeğe uygun değer farkı kar veya zarara yansıtılan finansal varlıklar</w:t>
      </w:r>
    </w:p>
    <w:p w:rsidR="00D322FB" w:rsidRPr="007B4803" w:rsidRDefault="00D322FB" w:rsidP="007B4803">
      <w:pPr>
        <w:pStyle w:val="bodycopyindent"/>
        <w:spacing w:before="0" w:line="240" w:lineRule="auto"/>
        <w:ind w:left="0" w:right="-157"/>
        <w:rPr>
          <w:sz w:val="20"/>
          <w:szCs w:val="20"/>
        </w:rPr>
      </w:pPr>
    </w:p>
    <w:p w:rsidR="00D322FB" w:rsidRPr="007B4803" w:rsidRDefault="00D322FB" w:rsidP="007B4803">
      <w:pPr>
        <w:rPr>
          <w:rFonts w:ascii="Arial" w:hAnsi="Arial" w:cs="Arial"/>
          <w:color w:val="000000"/>
          <w:lang w:val="tr-TR"/>
        </w:rPr>
      </w:pPr>
      <w:r w:rsidRPr="007B4803">
        <w:rPr>
          <w:rFonts w:ascii="Arial" w:hAnsi="Arial" w:cs="Arial"/>
          <w:color w:val="000000"/>
          <w:lang w:val="tr-TR"/>
        </w:rPr>
        <w:t>“Gerçeğe uygun değer farkı kar/zarara yansıtılan finansal varlıklar” olarak sınıflandırılan finansal varlıklar, alım satım amaçlı finansal varlıklar olup piyasada kısa dönemde oluşan fiyat ve benzeri unsurlardaki dalgalanmalardan kar sağlama amacıyla elde edilen veya elde edilme nedeninden bağımsız olarak, kısa dönemde kar sağlamaya yönelik bir portföyün parçası olan finansal varlıklardır.</w:t>
      </w:r>
    </w:p>
    <w:p w:rsidR="00D322FB" w:rsidRPr="007B4803" w:rsidRDefault="00D322FB" w:rsidP="007B4803">
      <w:pPr>
        <w:rPr>
          <w:rFonts w:ascii="Arial" w:hAnsi="Arial" w:cs="Arial"/>
          <w:color w:val="000000"/>
          <w:lang w:val="tr-TR"/>
        </w:rPr>
      </w:pPr>
    </w:p>
    <w:p w:rsidR="00D322FB" w:rsidRPr="007B4803" w:rsidRDefault="00D322FB" w:rsidP="007B4803">
      <w:pPr>
        <w:tabs>
          <w:tab w:val="left" w:pos="567"/>
        </w:tabs>
        <w:autoSpaceDE w:val="0"/>
        <w:autoSpaceDN w:val="0"/>
        <w:adjustRightInd w:val="0"/>
        <w:rPr>
          <w:rFonts w:ascii="Arial" w:hAnsi="Arial" w:cs="Arial"/>
          <w:color w:val="000000"/>
          <w:lang w:val="tr-TR"/>
        </w:rPr>
      </w:pPr>
      <w:r w:rsidRPr="007B4803">
        <w:rPr>
          <w:rFonts w:ascii="Arial" w:hAnsi="Arial" w:cs="Arial"/>
          <w:color w:val="000000"/>
          <w:lang w:val="tr-TR"/>
        </w:rPr>
        <w:t xml:space="preserve">Alım satım amaçlı finansal varlıklar ilk olarak kayda alınmalarında gerçeğe uygun değerleri kullanılmakta ve kayda alınmalarını izleyen dönemlerde gerçeğe uygun değerleri ile değerlenmektedir. Yapılan değerleme sonucu oluşan kazanç ve kayıplar kar/zarar hesaplarına dahil edilmektedir. Alım-satım amaçlı finansal varlıkların alım-satımında elde edilen kar veya zarar gelir tablosunda sürdürülen faaliyetlerden brüt kar/(zarar)’a dahil edilir. Alım-satım amaçlı finansal varlıklardan elde edilen faiz ve kupon gelirleri ve gerçeğe uygun değerinde meydana gelen gerçekleşmemiş değer artış ve azalışları sonucu ortaya çıkan tutarlar gelir tablosunda “Esas Faaliyetlerden diğer gelirler/(giderler)” hesabına dahil edilmiştir. </w:t>
      </w:r>
    </w:p>
    <w:p w:rsidR="00D322FB" w:rsidRPr="007B4803" w:rsidRDefault="00D322FB" w:rsidP="007B4803">
      <w:pPr>
        <w:tabs>
          <w:tab w:val="left" w:pos="567"/>
        </w:tabs>
        <w:autoSpaceDE w:val="0"/>
        <w:autoSpaceDN w:val="0"/>
        <w:adjustRightInd w:val="0"/>
        <w:rPr>
          <w:rFonts w:ascii="Arial" w:hAnsi="Arial" w:cs="Arial"/>
          <w:color w:val="000000"/>
          <w:lang w:val="tr-TR"/>
        </w:rPr>
      </w:pPr>
    </w:p>
    <w:p w:rsidR="00D322FB" w:rsidRPr="00842630" w:rsidRDefault="00D322FB" w:rsidP="00205DF4">
      <w:pPr>
        <w:autoSpaceDE w:val="0"/>
        <w:autoSpaceDN w:val="0"/>
        <w:adjustRightInd w:val="0"/>
        <w:rPr>
          <w:rFonts w:ascii="Arial" w:hAnsi="Arial" w:cs="Arial"/>
          <w:lang w:val="tr-TR"/>
        </w:rPr>
      </w:pPr>
      <w:r w:rsidRPr="00842630">
        <w:rPr>
          <w:rFonts w:ascii="Arial" w:hAnsi="Arial" w:cs="Arial"/>
          <w:lang w:val="tr-TR"/>
        </w:rPr>
        <w:t>Gerçeğe uygun değer farkı kar/zarara yansıtılan finansal varlıklar olarak sınıflandırılan hisse senetleri Borsa İstanbul A.Ş. (“BİST”) bilanço tarihi itibariyle oluşan “bekleyen en iyi alış fiyatı” üzerinden değerlenmiştir.</w:t>
      </w:r>
    </w:p>
    <w:p w:rsidR="00D322FB" w:rsidRPr="00842630" w:rsidRDefault="00D322FB" w:rsidP="0025040A">
      <w:pPr>
        <w:autoSpaceDE w:val="0"/>
        <w:autoSpaceDN w:val="0"/>
        <w:adjustRightInd w:val="0"/>
        <w:rPr>
          <w:rFonts w:ascii="Arial" w:hAnsi="Arial" w:cs="Arial"/>
          <w:highlight w:val="yellow"/>
          <w:lang w:val="tr-TR"/>
        </w:rPr>
      </w:pPr>
    </w:p>
    <w:p w:rsidR="00D322FB" w:rsidRPr="00842630" w:rsidRDefault="00D322FB" w:rsidP="0025040A">
      <w:pPr>
        <w:autoSpaceDE w:val="0"/>
        <w:autoSpaceDN w:val="0"/>
        <w:adjustRightInd w:val="0"/>
        <w:rPr>
          <w:rFonts w:ascii="Arial" w:hAnsi="Arial" w:cs="Arial"/>
          <w:lang w:val="tr-TR"/>
        </w:rPr>
      </w:pPr>
      <w:r w:rsidRPr="00842630">
        <w:rPr>
          <w:rFonts w:ascii="Arial" w:hAnsi="Arial" w:cs="Arial"/>
          <w:lang w:val="tr-TR"/>
        </w:rPr>
        <w:t>“Gerçeğe uygun değer farkı kar/zarara yansıtılan finansal varlıklar işlem tarihi esasına göre kayda alınmakta ve kayıtlardan çıkarılmaktadır.</w:t>
      </w:r>
    </w:p>
    <w:p w:rsidR="00D322FB" w:rsidRPr="0025040A" w:rsidRDefault="00D322FB" w:rsidP="007B4803">
      <w:pPr>
        <w:tabs>
          <w:tab w:val="left" w:pos="567"/>
        </w:tabs>
        <w:autoSpaceDE w:val="0"/>
        <w:autoSpaceDN w:val="0"/>
        <w:adjustRightInd w:val="0"/>
        <w:rPr>
          <w:rFonts w:ascii="Arial" w:hAnsi="Arial" w:cs="Arial"/>
          <w:color w:val="000000"/>
          <w:lang w:val="tr-TR"/>
        </w:rPr>
      </w:pPr>
    </w:p>
    <w:p w:rsidR="00D322FB" w:rsidRDefault="00D322FB" w:rsidP="007B4803">
      <w:pPr>
        <w:tabs>
          <w:tab w:val="left" w:pos="567"/>
        </w:tabs>
        <w:autoSpaceDE w:val="0"/>
        <w:autoSpaceDN w:val="0"/>
        <w:adjustRightInd w:val="0"/>
        <w:rPr>
          <w:rFonts w:ascii="Arial" w:hAnsi="Arial" w:cs="Arial"/>
          <w:color w:val="000000"/>
          <w:lang w:val="tr-TR"/>
        </w:rPr>
      </w:pPr>
      <w:r w:rsidRPr="0025040A">
        <w:rPr>
          <w:rFonts w:ascii="Arial" w:hAnsi="Arial" w:cs="Arial"/>
          <w:color w:val="000000"/>
          <w:lang w:val="tr-TR"/>
        </w:rPr>
        <w:t>Alım-satım amaçlı finansal varlıklar işlem tarihi esasına göre kayda alınmakta ve kayıtlardan</w:t>
      </w:r>
      <w:r w:rsidRPr="007B4803">
        <w:rPr>
          <w:rFonts w:ascii="Arial" w:hAnsi="Arial" w:cs="Arial"/>
          <w:color w:val="000000"/>
          <w:lang w:val="tr-TR"/>
        </w:rPr>
        <w:t xml:space="preserve"> </w:t>
      </w:r>
      <w:r w:rsidRPr="00793BF7">
        <w:rPr>
          <w:rFonts w:ascii="Arial" w:hAnsi="Arial" w:cs="Arial"/>
          <w:color w:val="000000"/>
          <w:lang w:val="tr-TR"/>
        </w:rPr>
        <w:t>çıkarılmaktadır.</w:t>
      </w:r>
    </w:p>
    <w:p w:rsidR="00D322FB" w:rsidRPr="00793BF7" w:rsidRDefault="00D322FB" w:rsidP="00942BE7">
      <w:pPr>
        <w:pStyle w:val="BodyTextIndent"/>
        <w:ind w:left="0" w:firstLine="0"/>
        <w:rPr>
          <w:rFonts w:ascii="Arial" w:hAnsi="Arial" w:cs="Arial"/>
          <w:b/>
          <w:color w:val="000000"/>
          <w:sz w:val="20"/>
          <w:lang w:val="tr-TR"/>
        </w:rPr>
      </w:pPr>
    </w:p>
    <w:p w:rsidR="00D322FB" w:rsidRDefault="00D322FB" w:rsidP="00F80AD1">
      <w:pPr>
        <w:rPr>
          <w:rFonts w:ascii="Arial" w:hAnsi="Arial" w:cs="Arial"/>
          <w:b/>
          <w:color w:val="000000"/>
          <w:lang w:val="tr-TR"/>
        </w:rPr>
      </w:pPr>
      <w:r>
        <w:rPr>
          <w:rFonts w:ascii="Arial" w:hAnsi="Arial" w:cs="Arial"/>
          <w:b/>
          <w:color w:val="000000"/>
          <w:lang w:val="tr-TR"/>
        </w:rPr>
        <w:br w:type="page"/>
      </w:r>
    </w:p>
    <w:p w:rsidR="00D322FB" w:rsidRPr="00612496" w:rsidRDefault="00D322FB" w:rsidP="00576803">
      <w:pPr>
        <w:ind w:right="-23"/>
        <w:rPr>
          <w:rFonts w:ascii="Arial" w:hAnsi="Arial" w:cs="Arial"/>
          <w:b/>
          <w:lang w:val="tr-TR"/>
        </w:rPr>
      </w:pPr>
      <w:r w:rsidRPr="00612496">
        <w:rPr>
          <w:rFonts w:ascii="Arial" w:hAnsi="Arial" w:cs="Arial"/>
          <w:b/>
          <w:lang w:val="tr-TR"/>
        </w:rPr>
        <w:lastRenderedPageBreak/>
        <w:t>2.</w:t>
      </w:r>
      <w:r w:rsidRPr="00612496">
        <w:rPr>
          <w:rFonts w:ascii="Arial" w:hAnsi="Arial" w:cs="Arial"/>
          <w:b/>
          <w:lang w:val="tr-TR"/>
        </w:rPr>
        <w:tab/>
        <w:t>Finansal tabloların sunumuna ilişkin esaslar (devamı)</w:t>
      </w:r>
    </w:p>
    <w:p w:rsidR="00D322FB" w:rsidRDefault="00D322FB" w:rsidP="00576803">
      <w:pPr>
        <w:autoSpaceDE w:val="0"/>
        <w:autoSpaceDN w:val="0"/>
        <w:adjustRightInd w:val="0"/>
        <w:rPr>
          <w:rFonts w:ascii="Arial" w:hAnsi="Arial" w:cs="Arial"/>
          <w:color w:val="000000"/>
        </w:rPr>
      </w:pPr>
    </w:p>
    <w:p w:rsidR="00D322FB" w:rsidRPr="00F45229" w:rsidRDefault="00D322FB" w:rsidP="00576803">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D322FB" w:rsidRDefault="00D322FB" w:rsidP="00F80AD1">
      <w:pPr>
        <w:rPr>
          <w:rFonts w:ascii="Arial" w:hAnsi="Arial" w:cs="Arial"/>
          <w:b/>
          <w:color w:val="000000"/>
          <w:lang w:val="tr-TR"/>
        </w:rPr>
      </w:pPr>
    </w:p>
    <w:p w:rsidR="00D322FB" w:rsidRPr="00793BF7" w:rsidRDefault="00D322FB" w:rsidP="00F80AD1">
      <w:pPr>
        <w:rPr>
          <w:rFonts w:ascii="Arial" w:hAnsi="Arial" w:cs="Arial"/>
          <w:b/>
          <w:color w:val="000000"/>
          <w:lang w:val="tr-TR"/>
        </w:rPr>
      </w:pPr>
      <w:r w:rsidRPr="00793BF7">
        <w:rPr>
          <w:rFonts w:ascii="Arial" w:hAnsi="Arial" w:cs="Arial"/>
          <w:b/>
          <w:color w:val="000000"/>
          <w:lang w:val="tr-TR"/>
        </w:rPr>
        <w:t>Krediler ve alacaklar</w:t>
      </w:r>
    </w:p>
    <w:p w:rsidR="00D322FB" w:rsidRPr="00793BF7" w:rsidRDefault="00D322FB" w:rsidP="00F80AD1">
      <w:pPr>
        <w:rPr>
          <w:rFonts w:ascii="Arial" w:hAnsi="Arial" w:cs="Arial"/>
          <w:color w:val="000000"/>
          <w:lang w:val="tr-TR"/>
        </w:rPr>
      </w:pPr>
    </w:p>
    <w:p w:rsidR="00D322FB" w:rsidRDefault="00D322FB" w:rsidP="00F80AD1">
      <w:pPr>
        <w:rPr>
          <w:rFonts w:ascii="Arial" w:hAnsi="Arial" w:cs="Arial"/>
          <w:color w:val="000000"/>
          <w:lang w:val="tr-TR"/>
        </w:rPr>
      </w:pPr>
      <w:r w:rsidRPr="00793BF7">
        <w:rPr>
          <w:rFonts w:ascii="Arial" w:hAnsi="Arial" w:cs="Arial"/>
          <w:color w:val="000000"/>
          <w:lang w:val="tr-TR"/>
        </w:rPr>
        <w:t>Sabit ve belirlenebilir ödemeleri olan, piyasada işlem görmeyen ticari ve diğer alacaklar ve krediler bu kategoride sınıflandırılır. Krediler ve alacaklar etkin faiz yöntemi kullanılarak iskonto edilmiş maliyeti üzerinden değer düşüklüğü düşülerek gösterilir.</w:t>
      </w:r>
    </w:p>
    <w:p w:rsidR="00D322FB" w:rsidRDefault="00D322FB" w:rsidP="00F80AD1">
      <w:pPr>
        <w:rPr>
          <w:rFonts w:ascii="Arial" w:hAnsi="Arial" w:cs="Arial"/>
          <w:b/>
          <w:lang w:val="tr-TR"/>
        </w:rPr>
      </w:pPr>
    </w:p>
    <w:p w:rsidR="00D322FB" w:rsidRPr="00AE2978" w:rsidRDefault="00D322FB" w:rsidP="00F80AD1">
      <w:pPr>
        <w:rPr>
          <w:rFonts w:ascii="Arial" w:hAnsi="Arial" w:cs="Arial"/>
          <w:b/>
          <w:spacing w:val="-2"/>
          <w:lang w:val="tr-TR"/>
        </w:rPr>
      </w:pPr>
      <w:r w:rsidRPr="00AE2978">
        <w:rPr>
          <w:rFonts w:ascii="Arial" w:hAnsi="Arial" w:cs="Arial"/>
          <w:b/>
          <w:spacing w:val="-2"/>
          <w:lang w:val="tr-TR"/>
        </w:rPr>
        <w:t>Ticari borçlar</w:t>
      </w:r>
    </w:p>
    <w:p w:rsidR="00D322FB" w:rsidRPr="00855D1B" w:rsidRDefault="00D322FB" w:rsidP="00F80AD1">
      <w:pPr>
        <w:spacing w:line="230" w:lineRule="auto"/>
        <w:jc w:val="both"/>
        <w:rPr>
          <w:sz w:val="22"/>
          <w:szCs w:val="22"/>
          <w:lang w:val="tr-TR"/>
        </w:rPr>
      </w:pPr>
    </w:p>
    <w:p w:rsidR="00D322FB" w:rsidRDefault="00D322FB" w:rsidP="00F80AD1">
      <w:pPr>
        <w:rPr>
          <w:rFonts w:ascii="Arial" w:hAnsi="Arial" w:cs="Arial"/>
          <w:spacing w:val="-2"/>
          <w:lang w:val="tr-TR"/>
        </w:rPr>
      </w:pPr>
      <w:r w:rsidRPr="00AE2978">
        <w:rPr>
          <w:rFonts w:ascii="Arial" w:hAnsi="Arial" w:cs="Arial"/>
          <w:spacing w:val="-2"/>
          <w:lang w:val="tr-TR"/>
        </w:rPr>
        <w:t>Ticari borçlar gerçekleşmiş mal ve hizmet alımları ile ilgili faturalanmış ya da faturalanmamış tutarları ihtiva etmekte olup, indirgenmiş net değerleri ile taşınmaktadır.</w:t>
      </w:r>
    </w:p>
    <w:p w:rsidR="00D322FB" w:rsidRPr="007B4803" w:rsidRDefault="00D322FB" w:rsidP="00F80AD1">
      <w:pPr>
        <w:rPr>
          <w:rFonts w:ascii="Arial" w:hAnsi="Arial" w:cs="Arial"/>
          <w:b/>
          <w:lang w:val="tr-TR"/>
        </w:rPr>
      </w:pPr>
    </w:p>
    <w:p w:rsidR="00D322FB" w:rsidRPr="00F80AD1" w:rsidRDefault="00D322FB" w:rsidP="00640B55">
      <w:pPr>
        <w:autoSpaceDE w:val="0"/>
        <w:autoSpaceDN w:val="0"/>
        <w:adjustRightInd w:val="0"/>
        <w:ind w:right="-23"/>
        <w:rPr>
          <w:rFonts w:ascii="Arial" w:hAnsi="Arial" w:cs="Arial"/>
          <w:b/>
          <w:color w:val="000000"/>
          <w:lang w:val="tr-TR"/>
        </w:rPr>
      </w:pPr>
      <w:r w:rsidRPr="00F80AD1">
        <w:rPr>
          <w:rFonts w:ascii="Arial" w:hAnsi="Arial" w:cs="Arial"/>
          <w:b/>
          <w:color w:val="000000"/>
          <w:lang w:val="tr-TR"/>
        </w:rPr>
        <w:t>Maddi duran varlıklar</w:t>
      </w:r>
    </w:p>
    <w:p w:rsidR="00D322FB" w:rsidRPr="00F80AD1" w:rsidRDefault="00D322FB" w:rsidP="00640B55">
      <w:pPr>
        <w:autoSpaceDE w:val="0"/>
        <w:autoSpaceDN w:val="0"/>
        <w:adjustRightInd w:val="0"/>
        <w:ind w:right="-23"/>
        <w:rPr>
          <w:rFonts w:ascii="Arial" w:hAnsi="Arial" w:cs="Arial"/>
          <w:color w:val="000000"/>
          <w:lang w:val="tr-TR"/>
        </w:rPr>
      </w:pPr>
    </w:p>
    <w:p w:rsidR="00D322FB" w:rsidRPr="00F80AD1" w:rsidRDefault="00D322FB" w:rsidP="00640B55">
      <w:pPr>
        <w:pStyle w:val="BodyTextIndent"/>
        <w:ind w:left="0" w:firstLine="0"/>
        <w:rPr>
          <w:rFonts w:ascii="Arial" w:hAnsi="Arial" w:cs="Arial"/>
          <w:color w:val="000000"/>
          <w:sz w:val="20"/>
          <w:lang w:val="tr-TR"/>
        </w:rPr>
      </w:pPr>
      <w:r w:rsidRPr="00F80AD1">
        <w:rPr>
          <w:rFonts w:ascii="Arial" w:hAnsi="Arial" w:cs="Arial"/>
          <w:color w:val="000000"/>
          <w:sz w:val="20"/>
          <w:lang w:val="tr-TR"/>
        </w:rPr>
        <w:t>Maddi duran varlıkların maliyet tutarları, beklenen faydalı ömürlerine göre doğrusal amortisman yöntemi kullanılarak amortismana tabi tutulur. Beklenen faydalı ömür, kalıntı değer ve amortisman yöntemi, tahminlerde ortaya çıkan değişikliklerin olası etkileri için her yıl gözden geçirilir ve tahminlerde bir değişiklik varsa ileriye dönük olarak muhasebeleştirilir.</w:t>
      </w:r>
    </w:p>
    <w:p w:rsidR="00D322FB" w:rsidRPr="00F80AD1" w:rsidRDefault="00D322FB" w:rsidP="00640B55">
      <w:pPr>
        <w:widowControl w:val="0"/>
        <w:rPr>
          <w:rFonts w:ascii="Arial" w:hAnsi="Arial" w:cs="Arial"/>
          <w:spacing w:val="-2"/>
          <w:u w:val="single"/>
          <w:lang w:val="tr-TR"/>
        </w:rPr>
      </w:pPr>
    </w:p>
    <w:p w:rsidR="00D322FB" w:rsidRPr="00F80AD1" w:rsidRDefault="00D322FB" w:rsidP="00640B55">
      <w:pPr>
        <w:pStyle w:val="BodyTextIndent"/>
        <w:ind w:left="0" w:firstLine="0"/>
        <w:rPr>
          <w:rFonts w:ascii="Arial" w:hAnsi="Arial" w:cs="Arial"/>
          <w:color w:val="000000"/>
          <w:sz w:val="20"/>
          <w:lang w:val="tr-TR"/>
        </w:rPr>
      </w:pPr>
      <w:r w:rsidRPr="00F80AD1">
        <w:rPr>
          <w:rFonts w:ascii="Arial" w:hAnsi="Arial" w:cs="Arial"/>
          <w:color w:val="000000"/>
          <w:sz w:val="20"/>
          <w:lang w:val="tr-TR"/>
        </w:rPr>
        <w:t>Maddi duran varlıkların elden çıkarılması ya da bir maddi duran varlığın hizmetten alınması sonucu oluşan kazanç veya kayıp satış hasılatı ile varlığın defter değeri arasındaki fark olarak belirlenir ve gelir tablosuna dahil edilir.</w:t>
      </w:r>
    </w:p>
    <w:p w:rsidR="00D322FB" w:rsidRDefault="00D322FB" w:rsidP="00640B55">
      <w:pPr>
        <w:pStyle w:val="BodyTextIndent"/>
        <w:ind w:left="0" w:firstLine="0"/>
        <w:rPr>
          <w:rFonts w:ascii="Arial" w:hAnsi="Arial" w:cs="Arial"/>
          <w:color w:val="000000"/>
          <w:sz w:val="20"/>
          <w:lang w:val="tr-TR"/>
        </w:rPr>
      </w:pPr>
    </w:p>
    <w:p w:rsidR="00D322FB" w:rsidRPr="00842630" w:rsidRDefault="00D322FB" w:rsidP="00680752">
      <w:pPr>
        <w:widowControl w:val="0"/>
        <w:rPr>
          <w:rFonts w:ascii="Arial" w:hAnsi="Arial" w:cs="Arial"/>
          <w:lang w:val="tr-TR"/>
        </w:rPr>
      </w:pPr>
      <w:r w:rsidRPr="00842630">
        <w:rPr>
          <w:rFonts w:ascii="Arial" w:hAnsi="Arial" w:cs="Arial"/>
          <w:lang w:val="tr-TR"/>
        </w:rPr>
        <w:t xml:space="preserve">Maddi duran varlıkların herhangi bir parçasını değiştirmekten doğan giderler bakım onarım maliyetleri ile birlikte aktifleştirilebilirler veya gider olarak yazılırlar. Söz konusu sonradan ortaya çıkan harcamalar duruma göre varlığın gelecekteki ekonomik faydasını arttırıcı nitelikte ise aktifleştirilebilirler. Tüm diğer giderler oluştukça </w:t>
      </w:r>
      <w:r w:rsidRPr="00112654">
        <w:rPr>
          <w:rFonts w:ascii="Arial" w:hAnsi="Arial" w:cs="Arial"/>
          <w:spacing w:val="-2"/>
          <w:lang w:val="tr-TR"/>
        </w:rPr>
        <w:t>kar veya zarar ve diğer kapsamlı gelir tablosunda</w:t>
      </w:r>
      <w:r w:rsidRPr="00842630">
        <w:rPr>
          <w:rFonts w:ascii="Arial" w:hAnsi="Arial" w:cs="Arial"/>
          <w:lang w:val="tr-TR"/>
        </w:rPr>
        <w:t xml:space="preserve"> gider kalemleri içinde muhasebeleştirilir.</w:t>
      </w:r>
    </w:p>
    <w:p w:rsidR="00D322FB" w:rsidRPr="00842630" w:rsidRDefault="00D322FB" w:rsidP="00680752">
      <w:pPr>
        <w:widowControl w:val="0"/>
        <w:rPr>
          <w:rFonts w:ascii="Arial" w:hAnsi="Arial" w:cs="Arial"/>
          <w:lang w:val="tr-TR"/>
        </w:rPr>
      </w:pPr>
    </w:p>
    <w:p w:rsidR="00D322FB" w:rsidRPr="00842630" w:rsidRDefault="00D322FB" w:rsidP="00680752">
      <w:pPr>
        <w:widowControl w:val="0"/>
        <w:rPr>
          <w:rFonts w:ascii="Arial" w:hAnsi="Arial" w:cs="Arial"/>
          <w:lang w:val="tr-TR"/>
        </w:rPr>
      </w:pPr>
      <w:r w:rsidRPr="00842630">
        <w:rPr>
          <w:rFonts w:ascii="Arial" w:hAnsi="Arial" w:cs="Arial"/>
          <w:lang w:val="tr-TR"/>
        </w:rPr>
        <w:t>Maddi duran varlıklara ilişkin amortismanlar, varlıkların faydalı ömürlerine göre aktife giriş veya montaj tarihleri esas alınarak eşit tutarlı, doğrusal amortisman yöntemi kullanılarak, 31 Aralık 2004 tarihine kadar enflasyonun etkilerine göre düzeltilmiş değerleri üzerinden 31 Aralık 2004 tarihinden sonra alınan varlıklar için maliyet bedelleri üzerinden ayrılmıştır. Özel maliyetler doğrusal amortisman yöntemi kullanılarak ilgili kira süresince amortismana tabi tutulur.</w:t>
      </w:r>
    </w:p>
    <w:p w:rsidR="00D322FB" w:rsidRPr="00F80AD1" w:rsidRDefault="00D322FB" w:rsidP="00640B55">
      <w:pPr>
        <w:pStyle w:val="BodyTextIndent"/>
        <w:ind w:left="0" w:firstLine="0"/>
        <w:rPr>
          <w:rFonts w:ascii="Arial" w:hAnsi="Arial" w:cs="Arial"/>
          <w:color w:val="000000"/>
          <w:sz w:val="20"/>
          <w:lang w:val="tr-TR"/>
        </w:rPr>
      </w:pPr>
    </w:p>
    <w:p w:rsidR="00D322FB" w:rsidRPr="00F80AD1" w:rsidRDefault="00D322FB" w:rsidP="00640B55">
      <w:pPr>
        <w:pStyle w:val="000normal"/>
        <w:autoSpaceDE w:val="0"/>
        <w:autoSpaceDN w:val="0"/>
        <w:adjustRightInd w:val="0"/>
        <w:spacing w:before="0" w:after="0" w:afterAutospacing="0"/>
        <w:ind w:right="-327"/>
        <w:rPr>
          <w:rFonts w:eastAsia="Times New Roman"/>
          <w:lang w:val="tr-TR"/>
        </w:rPr>
      </w:pPr>
      <w:r w:rsidRPr="00F80AD1">
        <w:rPr>
          <w:lang w:val="tr-TR"/>
        </w:rPr>
        <w:t>Maddi duran varlıklara ait amortisman süreleri aşağıdaki gibidir</w:t>
      </w:r>
      <w:r w:rsidRPr="00F80AD1">
        <w:rPr>
          <w:rFonts w:eastAsia="Times New Roman"/>
          <w:lang w:val="tr-TR"/>
        </w:rPr>
        <w:t>:</w:t>
      </w:r>
    </w:p>
    <w:p w:rsidR="00D322FB" w:rsidRPr="00F80AD1" w:rsidRDefault="00D322FB" w:rsidP="00640B55">
      <w:pPr>
        <w:pStyle w:val="000normal"/>
        <w:autoSpaceDE w:val="0"/>
        <w:autoSpaceDN w:val="0"/>
        <w:adjustRightInd w:val="0"/>
        <w:spacing w:before="0" w:after="0" w:afterAutospacing="0"/>
        <w:rPr>
          <w:rFonts w:eastAsia="Times New Roman"/>
          <w:lang w:val="tr-TR"/>
        </w:rPr>
      </w:pPr>
    </w:p>
    <w:tbl>
      <w:tblPr>
        <w:tblW w:w="6030" w:type="dxa"/>
        <w:tblInd w:w="108" w:type="dxa"/>
        <w:tblLook w:val="0000" w:firstRow="0" w:lastRow="0" w:firstColumn="0" w:lastColumn="0" w:noHBand="0" w:noVBand="0"/>
      </w:tblPr>
      <w:tblGrid>
        <w:gridCol w:w="3969"/>
        <w:gridCol w:w="2061"/>
      </w:tblGrid>
      <w:tr w:rsidR="00D322FB" w:rsidRPr="00F80AD1" w:rsidTr="00500E17">
        <w:tc>
          <w:tcPr>
            <w:tcW w:w="3969" w:type="dxa"/>
          </w:tcPr>
          <w:p w:rsidR="00D322FB" w:rsidRPr="00F80AD1" w:rsidRDefault="00D322FB" w:rsidP="001A0C62">
            <w:pPr>
              <w:pStyle w:val="000normal"/>
              <w:autoSpaceDE w:val="0"/>
              <w:autoSpaceDN w:val="0"/>
              <w:adjustRightInd w:val="0"/>
              <w:spacing w:before="0" w:after="0" w:afterAutospacing="0"/>
              <w:ind w:left="709"/>
              <w:rPr>
                <w:rFonts w:eastAsia="Times New Roman"/>
                <w:b/>
                <w:lang w:val="tr-TR"/>
              </w:rPr>
            </w:pPr>
          </w:p>
        </w:tc>
        <w:tc>
          <w:tcPr>
            <w:tcW w:w="2061" w:type="dxa"/>
            <w:tcBorders>
              <w:bottom w:val="single" w:sz="4" w:space="0" w:color="auto"/>
            </w:tcBorders>
          </w:tcPr>
          <w:p w:rsidR="00D322FB" w:rsidRPr="00F80AD1" w:rsidRDefault="00D322FB" w:rsidP="001A0C62">
            <w:pPr>
              <w:pStyle w:val="000normal"/>
              <w:autoSpaceDE w:val="0"/>
              <w:autoSpaceDN w:val="0"/>
              <w:adjustRightInd w:val="0"/>
              <w:spacing w:before="0" w:after="0" w:afterAutospacing="0"/>
              <w:ind w:left="-108"/>
              <w:jc w:val="right"/>
              <w:rPr>
                <w:rFonts w:eastAsia="Times New Roman"/>
                <w:b/>
                <w:lang w:val="tr-TR"/>
              </w:rPr>
            </w:pPr>
            <w:r w:rsidRPr="00F80AD1">
              <w:rPr>
                <w:b/>
                <w:lang w:val="tr-TR"/>
              </w:rPr>
              <w:t>Ekonomik ömrü</w:t>
            </w:r>
          </w:p>
        </w:tc>
      </w:tr>
      <w:tr w:rsidR="00D322FB" w:rsidRPr="00F80AD1" w:rsidTr="00500E17">
        <w:tc>
          <w:tcPr>
            <w:tcW w:w="3969" w:type="dxa"/>
          </w:tcPr>
          <w:p w:rsidR="00D322FB" w:rsidRPr="00F80AD1" w:rsidRDefault="00D322FB" w:rsidP="001A0C62">
            <w:pPr>
              <w:ind w:left="709"/>
              <w:jc w:val="both"/>
              <w:rPr>
                <w:rFonts w:ascii="Arial" w:hAnsi="Arial" w:cs="Arial"/>
                <w:lang w:val="tr-TR"/>
              </w:rPr>
            </w:pPr>
          </w:p>
        </w:tc>
        <w:tc>
          <w:tcPr>
            <w:tcW w:w="2061" w:type="dxa"/>
            <w:tcBorders>
              <w:top w:val="single" w:sz="4" w:space="0" w:color="auto"/>
            </w:tcBorders>
          </w:tcPr>
          <w:p w:rsidR="00D322FB" w:rsidRPr="00F80AD1" w:rsidRDefault="00D322FB" w:rsidP="001A0C62">
            <w:pPr>
              <w:pStyle w:val="BodyTextIndent"/>
              <w:ind w:left="709" w:firstLine="0"/>
              <w:jc w:val="right"/>
              <w:rPr>
                <w:rFonts w:ascii="Arial" w:hAnsi="Arial" w:cs="Arial"/>
                <w:sz w:val="20"/>
                <w:lang w:val="tr-TR"/>
              </w:rPr>
            </w:pPr>
          </w:p>
        </w:tc>
      </w:tr>
      <w:tr w:rsidR="00D322FB" w:rsidRPr="00F80AD1" w:rsidTr="00500E17">
        <w:tc>
          <w:tcPr>
            <w:tcW w:w="3969" w:type="dxa"/>
          </w:tcPr>
          <w:p w:rsidR="00D322FB" w:rsidRPr="00F80AD1" w:rsidRDefault="00D322FB" w:rsidP="001A0C62">
            <w:pPr>
              <w:ind w:left="-108"/>
              <w:jc w:val="both"/>
              <w:rPr>
                <w:rFonts w:ascii="Arial" w:hAnsi="Arial" w:cs="Arial"/>
                <w:lang w:val="tr-TR"/>
              </w:rPr>
            </w:pPr>
            <w:r w:rsidRPr="00F80AD1">
              <w:rPr>
                <w:rFonts w:ascii="Arial" w:hAnsi="Arial" w:cs="Arial"/>
                <w:lang w:val="tr-TR"/>
              </w:rPr>
              <w:t>Makine ve cihazlar</w:t>
            </w:r>
          </w:p>
        </w:tc>
        <w:tc>
          <w:tcPr>
            <w:tcW w:w="2061" w:type="dxa"/>
          </w:tcPr>
          <w:p w:rsidR="00D322FB" w:rsidRPr="00F80AD1" w:rsidRDefault="00D322FB" w:rsidP="001A0C62">
            <w:pPr>
              <w:pStyle w:val="BodyTextIndent"/>
              <w:ind w:left="709" w:firstLine="0"/>
              <w:jc w:val="right"/>
              <w:rPr>
                <w:rFonts w:ascii="Arial" w:hAnsi="Arial" w:cs="Arial"/>
                <w:sz w:val="20"/>
                <w:lang w:val="tr-TR"/>
              </w:rPr>
            </w:pPr>
            <w:r w:rsidRPr="00F80AD1">
              <w:rPr>
                <w:rFonts w:ascii="Arial" w:hAnsi="Arial" w:cs="Arial"/>
                <w:sz w:val="20"/>
                <w:lang w:val="tr-TR"/>
              </w:rPr>
              <w:t>4-5 yıl</w:t>
            </w:r>
          </w:p>
        </w:tc>
      </w:tr>
      <w:tr w:rsidR="00D322FB" w:rsidRPr="00F80AD1" w:rsidTr="00500E17">
        <w:tc>
          <w:tcPr>
            <w:tcW w:w="3969" w:type="dxa"/>
          </w:tcPr>
          <w:p w:rsidR="00D322FB" w:rsidRPr="00F80AD1" w:rsidRDefault="00D322FB" w:rsidP="001A0C62">
            <w:pPr>
              <w:ind w:left="-108"/>
              <w:jc w:val="both"/>
              <w:rPr>
                <w:rFonts w:ascii="Arial" w:hAnsi="Arial" w:cs="Arial"/>
                <w:lang w:val="tr-TR"/>
              </w:rPr>
            </w:pPr>
            <w:r w:rsidRPr="00F80AD1">
              <w:rPr>
                <w:rFonts w:ascii="Arial" w:hAnsi="Arial" w:cs="Arial"/>
                <w:lang w:val="tr-TR"/>
              </w:rPr>
              <w:t>Döşeme ve demirbaşlar</w:t>
            </w:r>
          </w:p>
        </w:tc>
        <w:tc>
          <w:tcPr>
            <w:tcW w:w="2061" w:type="dxa"/>
          </w:tcPr>
          <w:p w:rsidR="00D322FB" w:rsidRPr="00F80AD1" w:rsidRDefault="00D322FB" w:rsidP="001A0C62">
            <w:pPr>
              <w:pStyle w:val="BodyTextIndent"/>
              <w:ind w:left="709" w:firstLine="0"/>
              <w:jc w:val="right"/>
              <w:rPr>
                <w:rFonts w:ascii="Arial" w:hAnsi="Arial" w:cs="Arial"/>
                <w:sz w:val="20"/>
                <w:lang w:val="tr-TR"/>
              </w:rPr>
            </w:pPr>
            <w:r w:rsidRPr="00F80AD1">
              <w:rPr>
                <w:rFonts w:ascii="Arial" w:hAnsi="Arial" w:cs="Arial"/>
                <w:sz w:val="20"/>
                <w:lang w:val="tr-TR"/>
              </w:rPr>
              <w:t>4-5 yıl</w:t>
            </w:r>
          </w:p>
        </w:tc>
      </w:tr>
      <w:tr w:rsidR="00D322FB" w:rsidRPr="00F80AD1" w:rsidTr="00500E17">
        <w:tc>
          <w:tcPr>
            <w:tcW w:w="3969" w:type="dxa"/>
          </w:tcPr>
          <w:p w:rsidR="00D322FB" w:rsidRPr="00F80AD1" w:rsidRDefault="00D322FB" w:rsidP="001A0C62">
            <w:pPr>
              <w:ind w:left="-108"/>
              <w:jc w:val="both"/>
              <w:rPr>
                <w:rFonts w:ascii="Arial" w:hAnsi="Arial" w:cs="Arial"/>
                <w:lang w:val="tr-TR"/>
              </w:rPr>
            </w:pPr>
            <w:r w:rsidRPr="00F80AD1">
              <w:rPr>
                <w:rFonts w:ascii="Arial" w:hAnsi="Arial" w:cs="Arial"/>
                <w:lang w:val="tr-TR"/>
              </w:rPr>
              <w:t>Özel maliyetler</w:t>
            </w:r>
          </w:p>
        </w:tc>
        <w:tc>
          <w:tcPr>
            <w:tcW w:w="2061" w:type="dxa"/>
          </w:tcPr>
          <w:p w:rsidR="00D322FB" w:rsidRPr="00F80AD1" w:rsidRDefault="00D322FB" w:rsidP="00500E17">
            <w:pPr>
              <w:pStyle w:val="BodyTextIndent"/>
              <w:ind w:left="709" w:firstLine="0"/>
              <w:jc w:val="right"/>
              <w:rPr>
                <w:rFonts w:ascii="Arial" w:hAnsi="Arial" w:cs="Arial"/>
                <w:sz w:val="20"/>
                <w:lang w:val="tr-TR"/>
              </w:rPr>
            </w:pPr>
            <w:r>
              <w:rPr>
                <w:rFonts w:ascii="Arial" w:hAnsi="Arial" w:cs="Arial"/>
                <w:sz w:val="20"/>
                <w:lang w:val="tr-TR"/>
              </w:rPr>
              <w:t>5 yıl</w:t>
            </w:r>
          </w:p>
        </w:tc>
      </w:tr>
    </w:tbl>
    <w:p w:rsidR="00D322FB" w:rsidRPr="00F80AD1" w:rsidRDefault="00D322FB" w:rsidP="00640B55">
      <w:pPr>
        <w:widowControl w:val="0"/>
        <w:rPr>
          <w:rFonts w:ascii="Arial" w:hAnsi="Arial" w:cs="Arial"/>
          <w:spacing w:val="-2"/>
          <w:u w:val="single"/>
          <w:lang w:val="tr-TR"/>
        </w:rPr>
      </w:pPr>
    </w:p>
    <w:p w:rsidR="00D322FB" w:rsidRPr="00F80AD1" w:rsidRDefault="00D322FB" w:rsidP="00640B55">
      <w:pPr>
        <w:tabs>
          <w:tab w:val="left" w:pos="567"/>
        </w:tabs>
        <w:suppressAutoHyphens/>
        <w:rPr>
          <w:rFonts w:ascii="Arial" w:hAnsi="Arial" w:cs="Arial"/>
          <w:b/>
        </w:rPr>
      </w:pPr>
      <w:r w:rsidRPr="00F80AD1">
        <w:rPr>
          <w:rFonts w:ascii="Arial" w:hAnsi="Arial" w:cs="Arial"/>
          <w:b/>
        </w:rPr>
        <w:t>Maddi olmayan duran varlıklar</w:t>
      </w:r>
    </w:p>
    <w:p w:rsidR="00D322FB" w:rsidRPr="00F80AD1" w:rsidRDefault="00D322FB" w:rsidP="00640B55">
      <w:pPr>
        <w:pStyle w:val="Teknik4"/>
        <w:tabs>
          <w:tab w:val="clear" w:pos="-720"/>
          <w:tab w:val="left" w:pos="426"/>
        </w:tabs>
        <w:suppressAutoHyphens w:val="0"/>
        <w:rPr>
          <w:rFonts w:ascii="Arial" w:hAnsi="Arial" w:cs="Arial"/>
          <w:sz w:val="20"/>
          <w:lang w:val="tr-TR"/>
        </w:rPr>
      </w:pPr>
    </w:p>
    <w:p w:rsidR="00D322FB" w:rsidRPr="00842630" w:rsidRDefault="00D322FB" w:rsidP="00CE177C">
      <w:pPr>
        <w:ind w:right="-15"/>
        <w:rPr>
          <w:rFonts w:ascii="Arial" w:hAnsi="Arial" w:cs="Arial"/>
          <w:lang w:val="tr-TR"/>
        </w:rPr>
      </w:pPr>
      <w:r w:rsidRPr="00842630">
        <w:rPr>
          <w:rFonts w:ascii="Arial" w:hAnsi="Arial" w:cs="Arial"/>
          <w:lang w:val="tr-TR"/>
        </w:rPr>
        <w:t>Maddi olmayan duran varlıklar, iktisap edilmiş hakları, bilgi sistemlerini ve bilgisayar yazılımlarını içermektedir. Satın alınan maddi olmayan duran varlıklar, maliyet değerlerinden birikmiş itfa payları ve birikmiş değer düşüklükleri düşüldükten sonraki tutarıyla gösterilirler. Söz konusu maliyetler, beklenen faydalı ömürlerine göre 5 yıl doğrusal itfa yöntemi kullanılarak itfa edilir. Beklenen faydalı ömür ve itfa yöntemi, tahminlerde ortaya çıkan değişikliklerin olası etkilerini tespit etmek amacıyla her yıl gözden geçirilir ve tahminlerdeki değişiklikler ileriye dönük olarak muhasebeleştirilir.</w:t>
      </w:r>
    </w:p>
    <w:p w:rsidR="00D322FB" w:rsidRPr="00727376" w:rsidRDefault="00D322FB" w:rsidP="00CE177C">
      <w:pPr>
        <w:widowControl w:val="0"/>
        <w:rPr>
          <w:rFonts w:ascii="Arial" w:hAnsi="Arial" w:cs="Arial"/>
          <w:highlight w:val="yellow"/>
          <w:lang w:val="tr-TR"/>
        </w:rPr>
      </w:pPr>
    </w:p>
    <w:p w:rsidR="00D322FB" w:rsidRDefault="00D322FB" w:rsidP="00F80AD1">
      <w:pPr>
        <w:widowControl w:val="0"/>
        <w:rPr>
          <w:rFonts w:ascii="Arial" w:hAnsi="Arial" w:cs="Arial"/>
          <w:b/>
          <w:spacing w:val="-2"/>
          <w:lang w:val="tr-TR"/>
        </w:rPr>
      </w:pPr>
      <w:r>
        <w:rPr>
          <w:rFonts w:ascii="Arial" w:hAnsi="Arial" w:cs="Arial"/>
          <w:b/>
          <w:spacing w:val="-2"/>
          <w:lang w:val="tr-TR"/>
        </w:rPr>
        <w:br w:type="page"/>
      </w:r>
    </w:p>
    <w:p w:rsidR="00D322FB" w:rsidRPr="00612496" w:rsidRDefault="00D322FB" w:rsidP="00FA4E0F">
      <w:pPr>
        <w:ind w:right="-23"/>
        <w:rPr>
          <w:rFonts w:ascii="Arial" w:hAnsi="Arial" w:cs="Arial"/>
          <w:b/>
          <w:lang w:val="tr-TR"/>
        </w:rPr>
      </w:pPr>
      <w:r w:rsidRPr="00612496">
        <w:rPr>
          <w:rFonts w:ascii="Arial" w:hAnsi="Arial" w:cs="Arial"/>
          <w:b/>
          <w:lang w:val="tr-TR"/>
        </w:rPr>
        <w:lastRenderedPageBreak/>
        <w:t>2.</w:t>
      </w:r>
      <w:r w:rsidRPr="00612496">
        <w:rPr>
          <w:rFonts w:ascii="Arial" w:hAnsi="Arial" w:cs="Arial"/>
          <w:b/>
          <w:lang w:val="tr-TR"/>
        </w:rPr>
        <w:tab/>
        <w:t>Finansal tabloların sunumuna ilişkin esaslar (devamı)</w:t>
      </w:r>
    </w:p>
    <w:p w:rsidR="00D322FB" w:rsidRDefault="00D322FB" w:rsidP="00FA4E0F">
      <w:pPr>
        <w:autoSpaceDE w:val="0"/>
        <w:autoSpaceDN w:val="0"/>
        <w:adjustRightInd w:val="0"/>
        <w:rPr>
          <w:rFonts w:ascii="Arial" w:hAnsi="Arial" w:cs="Arial"/>
          <w:color w:val="000000"/>
        </w:rPr>
      </w:pPr>
    </w:p>
    <w:p w:rsidR="00D322FB" w:rsidRPr="00F45229" w:rsidRDefault="00D322FB" w:rsidP="00FA4E0F">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D322FB" w:rsidRDefault="00D322FB" w:rsidP="00F80AD1">
      <w:pPr>
        <w:widowControl w:val="0"/>
        <w:rPr>
          <w:rFonts w:ascii="Arial" w:hAnsi="Arial" w:cs="Arial"/>
          <w:b/>
          <w:spacing w:val="-2"/>
          <w:lang w:val="tr-TR"/>
        </w:rPr>
      </w:pPr>
    </w:p>
    <w:p w:rsidR="00D322FB" w:rsidRPr="00903220" w:rsidRDefault="00D322FB" w:rsidP="00F80AD1">
      <w:pPr>
        <w:widowControl w:val="0"/>
        <w:rPr>
          <w:rFonts w:ascii="Arial" w:hAnsi="Arial" w:cs="Arial"/>
          <w:b/>
          <w:spacing w:val="-2"/>
          <w:lang w:val="tr-TR"/>
        </w:rPr>
      </w:pPr>
      <w:r w:rsidRPr="00903220">
        <w:rPr>
          <w:rFonts w:ascii="Arial" w:hAnsi="Arial" w:cs="Arial"/>
          <w:b/>
          <w:spacing w:val="-2"/>
          <w:lang w:val="tr-TR"/>
        </w:rPr>
        <w:t>Varlıklarda değer düşüklüğü</w:t>
      </w:r>
    </w:p>
    <w:p w:rsidR="00D322FB" w:rsidRPr="00903220" w:rsidRDefault="00D322FB" w:rsidP="00F80AD1">
      <w:pPr>
        <w:rPr>
          <w:rFonts w:ascii="Arial" w:hAnsi="Arial" w:cs="Arial"/>
          <w:spacing w:val="-2"/>
          <w:lang w:val="tr-TR"/>
        </w:rPr>
      </w:pPr>
    </w:p>
    <w:p w:rsidR="00D322FB" w:rsidRPr="00903220" w:rsidRDefault="00D322FB" w:rsidP="00F80AD1">
      <w:pPr>
        <w:autoSpaceDE w:val="0"/>
        <w:autoSpaceDN w:val="0"/>
        <w:adjustRightInd w:val="0"/>
        <w:rPr>
          <w:rFonts w:ascii="Arial" w:hAnsi="Arial" w:cs="Arial"/>
          <w:color w:val="000000"/>
          <w:lang w:val="tr-TR"/>
        </w:rPr>
      </w:pPr>
      <w:r w:rsidRPr="00903220">
        <w:rPr>
          <w:rFonts w:ascii="Arial" w:hAnsi="Arial" w:cs="Arial"/>
          <w:color w:val="000000"/>
          <w:lang w:val="tr-TR"/>
        </w:rPr>
        <w:t>Sınırsız ömrü olan varlıklar itfaya tabi tutulmazlar. Bu varlıklar için her yıl değer düşüklüğü testi uygulanır. İtfaya tabi olan varlıklar için ise defter değerinin geri kazanılmasının mümkün olmadığı durum ya da olayların ortaya çıkması halinde değer düşüklüğü testi uygulanır. Varlığın defter değerinin geri kazanılabilir tutarını aşması durumunda değer düşüklüğü karşılığı kaydedilir. Geri kazanılabilir tutar, satış maliyetleri düşüldükten sonra elde edilen gerçeğe uygun değer veya kullanımdaki değerin büyük olanıdır. Değer düşüklüğünün değerlendirilmesi için varlıklar ayrı tanımlanabilir nakit akımlarının olduğu en düşük seviyede gruplanır (nakit üreten birimler). Şerefiye haricinde değer düşüklüğüne tabi olan finansal olmayan varlıklar her raporlama tarihinde değer düşüklüğünün olası iptali için gözden geçirilir.</w:t>
      </w:r>
    </w:p>
    <w:p w:rsidR="00D322FB" w:rsidRDefault="00D322FB" w:rsidP="00942BE7">
      <w:pPr>
        <w:autoSpaceDE w:val="0"/>
        <w:autoSpaceDN w:val="0"/>
        <w:adjustRightInd w:val="0"/>
        <w:rPr>
          <w:rFonts w:ascii="Arial" w:hAnsi="Arial" w:cs="Arial"/>
          <w:b/>
          <w:color w:val="000000"/>
          <w:lang w:val="tr-TR"/>
        </w:rPr>
      </w:pPr>
    </w:p>
    <w:p w:rsidR="00D322FB" w:rsidRPr="00F80AD1" w:rsidRDefault="00D322FB" w:rsidP="00942BE7">
      <w:pPr>
        <w:autoSpaceDE w:val="0"/>
        <w:autoSpaceDN w:val="0"/>
        <w:adjustRightInd w:val="0"/>
        <w:rPr>
          <w:rFonts w:ascii="Arial" w:hAnsi="Arial" w:cs="Arial"/>
          <w:b/>
          <w:color w:val="000000"/>
          <w:lang w:val="tr-TR"/>
        </w:rPr>
      </w:pPr>
      <w:r w:rsidRPr="00F80AD1">
        <w:rPr>
          <w:rFonts w:ascii="Arial" w:hAnsi="Arial" w:cs="Arial"/>
          <w:b/>
          <w:color w:val="000000"/>
          <w:lang w:val="tr-TR"/>
        </w:rPr>
        <w:t>Finansal yükümlülükler</w:t>
      </w:r>
    </w:p>
    <w:p w:rsidR="00D322FB" w:rsidRPr="00F80AD1" w:rsidRDefault="00D322FB" w:rsidP="00942BE7">
      <w:pPr>
        <w:suppressAutoHyphens/>
        <w:rPr>
          <w:rFonts w:ascii="Arial" w:hAnsi="Arial" w:cs="Arial"/>
          <w:color w:val="000000"/>
          <w:lang w:val="tr-TR"/>
        </w:rPr>
      </w:pPr>
    </w:p>
    <w:p w:rsidR="00D322FB" w:rsidRDefault="00D322FB" w:rsidP="00FE23B8">
      <w:pPr>
        <w:suppressAutoHyphens/>
        <w:rPr>
          <w:rFonts w:ascii="Arial" w:hAnsi="Arial" w:cs="Arial"/>
          <w:color w:val="000000"/>
          <w:lang w:val="tr-TR"/>
        </w:rPr>
      </w:pPr>
      <w:r w:rsidRPr="00F80AD1">
        <w:rPr>
          <w:rFonts w:ascii="Arial" w:hAnsi="Arial" w:cs="Arial"/>
          <w:color w:val="000000"/>
          <w:lang w:val="tr-TR"/>
        </w:rPr>
        <w:t>Şirket’in finansal yükümlülükleri ve araçları, sözleşmeye bağlı düzenlemelere, finansal bir yükümlülüğün ve özkaynağa dayalı bir aracın tanımlanma esasına göre sınıflandırılır. Şirket’in tüm borçları düşüldükten sonra kalan varlıklarındaki hakkı temsil eden sözleşme özkaynağa dayalı finansal araçtır. Belirli finansal yükümlülükler ve özkaynağa dayalı finansal araçlar için uygulanan muhasebe politikaları aşağıda belirtilmiştir.</w:t>
      </w:r>
    </w:p>
    <w:p w:rsidR="00D322FB" w:rsidRPr="00727376" w:rsidRDefault="00D322FB" w:rsidP="00FE23B8">
      <w:pPr>
        <w:suppressAutoHyphens/>
        <w:rPr>
          <w:rFonts w:ascii="Arial" w:hAnsi="Arial" w:cs="Arial"/>
          <w:highlight w:val="yellow"/>
          <w:lang w:val="tr-TR"/>
        </w:rPr>
      </w:pPr>
    </w:p>
    <w:p w:rsidR="00D322FB" w:rsidRPr="00F80AD1" w:rsidRDefault="00D322FB" w:rsidP="00942BE7">
      <w:pPr>
        <w:rPr>
          <w:rFonts w:ascii="Arial" w:hAnsi="Arial" w:cs="Arial"/>
          <w:b/>
          <w:spacing w:val="-2"/>
          <w:lang w:val="tr-TR"/>
        </w:rPr>
      </w:pPr>
      <w:r w:rsidRPr="00F80AD1">
        <w:rPr>
          <w:rFonts w:ascii="Arial" w:hAnsi="Arial" w:cs="Arial"/>
          <w:b/>
          <w:spacing w:val="-2"/>
          <w:lang w:val="tr-TR"/>
        </w:rPr>
        <w:t>Diğer finansal yükümlülükler</w:t>
      </w:r>
    </w:p>
    <w:p w:rsidR="00D322FB" w:rsidRPr="00F80AD1" w:rsidRDefault="00D322FB" w:rsidP="00942BE7">
      <w:pPr>
        <w:pStyle w:val="bodycopyindent"/>
        <w:spacing w:before="0" w:line="240" w:lineRule="auto"/>
        <w:ind w:left="0" w:right="-23"/>
        <w:rPr>
          <w:sz w:val="20"/>
          <w:szCs w:val="20"/>
        </w:rPr>
      </w:pPr>
    </w:p>
    <w:p w:rsidR="00D322FB" w:rsidRPr="00F80AD1" w:rsidRDefault="00D322FB" w:rsidP="00942BE7">
      <w:pPr>
        <w:rPr>
          <w:rFonts w:ascii="Arial" w:hAnsi="Arial" w:cs="Arial"/>
          <w:spacing w:val="-2"/>
          <w:lang w:val="tr-TR"/>
        </w:rPr>
      </w:pPr>
      <w:r w:rsidRPr="00F80AD1">
        <w:rPr>
          <w:rFonts w:ascii="Arial" w:hAnsi="Arial" w:cs="Arial"/>
          <w:spacing w:val="-2"/>
          <w:lang w:val="tr-TR"/>
        </w:rPr>
        <w:t xml:space="preserve">Diğer finansal yükümlülükler başlangıçta işlem maliyetlerinden arındırılmış gerçeğe uygun değerleriyle muhasebeleştirilir. Diğer finansal yükümlülükler sonraki dönemlerde etkin faiz oranı üzerinden hesaplanan faiz gideri ile birlikte etkin faiz yöntemi kullanılarak itfa edilmiş maliyet bedelinden muhasebeleştirilir. </w:t>
      </w:r>
    </w:p>
    <w:p w:rsidR="00D322FB" w:rsidRPr="00F80AD1" w:rsidRDefault="00D322FB" w:rsidP="00942BE7">
      <w:pPr>
        <w:rPr>
          <w:rFonts w:ascii="Arial" w:hAnsi="Arial" w:cs="Arial"/>
          <w:spacing w:val="-2"/>
          <w:lang w:val="tr-TR"/>
        </w:rPr>
      </w:pPr>
    </w:p>
    <w:p w:rsidR="00D322FB" w:rsidRPr="00F80AD1" w:rsidRDefault="00D322FB" w:rsidP="00942BE7">
      <w:pPr>
        <w:rPr>
          <w:rFonts w:ascii="Arial" w:hAnsi="Arial" w:cs="Arial"/>
          <w:spacing w:val="-2"/>
          <w:lang w:val="tr-TR"/>
        </w:rPr>
      </w:pPr>
      <w:r w:rsidRPr="00F80AD1">
        <w:rPr>
          <w:rFonts w:ascii="Arial" w:hAnsi="Arial" w:cs="Arial"/>
          <w:spacing w:val="-2"/>
          <w:lang w:val="tr-TR"/>
        </w:rPr>
        <w:t>Etkin faiz yöntemi, finansal yükümlülüğün itfa edilmiş maliyetlerinin hesaplanması ve ilgili faiz giderinin ilişkili olduğu döneme dağıtılması yöntemidir. Etkin faiz oranı; finansal aracın beklenen ömrü boyunca veya uygun olması halinde daha kısa bir zaman dilimi süresince gelecekte yapılacak tahmini nakit ödemelerini tam olarak ilgili finansal yükümlülüğün net bugünkü değerine indirgeyen orandır.</w:t>
      </w:r>
    </w:p>
    <w:p w:rsidR="00D322FB" w:rsidRPr="00F80AD1" w:rsidRDefault="00D322FB" w:rsidP="00942BE7">
      <w:pPr>
        <w:ind w:right="-23"/>
        <w:rPr>
          <w:rFonts w:ascii="Arial" w:hAnsi="Arial" w:cs="Arial"/>
          <w:b/>
          <w:lang w:val="tr-TR"/>
        </w:rPr>
      </w:pPr>
    </w:p>
    <w:p w:rsidR="00D322FB" w:rsidRPr="00F80AD1" w:rsidRDefault="00D322FB" w:rsidP="00942BE7">
      <w:pPr>
        <w:ind w:right="-23"/>
        <w:rPr>
          <w:rFonts w:ascii="Arial" w:hAnsi="Arial" w:cs="Arial"/>
          <w:b/>
          <w:lang w:val="tr-TR"/>
        </w:rPr>
      </w:pPr>
      <w:r w:rsidRPr="00F80AD1">
        <w:rPr>
          <w:rFonts w:ascii="Arial" w:hAnsi="Arial" w:cs="Arial"/>
          <w:b/>
          <w:lang w:val="tr-TR"/>
        </w:rPr>
        <w:t>Kur değişiminin etkileri</w:t>
      </w:r>
    </w:p>
    <w:p w:rsidR="00D322FB" w:rsidRPr="00F80AD1" w:rsidRDefault="00D322FB" w:rsidP="00942BE7">
      <w:pPr>
        <w:ind w:right="-23"/>
        <w:rPr>
          <w:rFonts w:ascii="Arial" w:hAnsi="Arial" w:cs="Arial"/>
          <w:lang w:val="tr-TR"/>
        </w:rPr>
      </w:pPr>
    </w:p>
    <w:p w:rsidR="00D322FB" w:rsidRPr="00F80AD1" w:rsidRDefault="00D322FB" w:rsidP="00942BE7">
      <w:pPr>
        <w:autoSpaceDE w:val="0"/>
        <w:autoSpaceDN w:val="0"/>
        <w:adjustRightInd w:val="0"/>
        <w:rPr>
          <w:rFonts w:ascii="Arial" w:hAnsi="Arial" w:cs="Arial"/>
          <w:lang w:val="tr-TR"/>
        </w:rPr>
      </w:pPr>
      <w:r w:rsidRPr="00F80AD1">
        <w:rPr>
          <w:rFonts w:ascii="Arial" w:hAnsi="Arial" w:cs="Arial"/>
          <w:lang w:val="tr-TR"/>
        </w:rPr>
        <w:t>Şirket’in finansal tabloları, faaliyette bulunduğu temel ekonomik çevrede geçerli olan para birimi (fonksiyonel para birimi) ile sunulmuştur. Şirket’in mali durumu ve faaliyet sonucu, Şirket’in geçerli para birimi olan ve finansal tablo için sunum para birimi olan TL cinsinden ifade edilmiştir.</w:t>
      </w:r>
    </w:p>
    <w:p w:rsidR="00D322FB" w:rsidRPr="00F80AD1" w:rsidRDefault="00D322FB" w:rsidP="00942BE7">
      <w:pPr>
        <w:autoSpaceDE w:val="0"/>
        <w:autoSpaceDN w:val="0"/>
        <w:adjustRightInd w:val="0"/>
        <w:rPr>
          <w:rFonts w:ascii="Arial" w:hAnsi="Arial" w:cs="Arial"/>
          <w:color w:val="000000"/>
          <w:lang w:val="tr-TR"/>
        </w:rPr>
      </w:pPr>
    </w:p>
    <w:p w:rsidR="00D322FB" w:rsidRPr="00F80AD1" w:rsidRDefault="00D322FB" w:rsidP="00942BE7">
      <w:pPr>
        <w:autoSpaceDE w:val="0"/>
        <w:autoSpaceDN w:val="0"/>
        <w:adjustRightInd w:val="0"/>
        <w:rPr>
          <w:rFonts w:ascii="Arial" w:hAnsi="Arial" w:cs="Arial"/>
          <w:color w:val="000000"/>
          <w:lang w:val="tr-TR"/>
        </w:rPr>
      </w:pPr>
      <w:r w:rsidRPr="00F80AD1">
        <w:rPr>
          <w:rFonts w:ascii="Arial" w:hAnsi="Arial" w:cs="Arial"/>
          <w:color w:val="000000"/>
          <w:lang w:val="tr-TR"/>
        </w:rPr>
        <w:t xml:space="preserve">Şirket’in finansal tablolarının hazırlanması sırasında yabancı para cinsinden (TL dışındaki para birimleri) gerçekleşen işlemler, işlem tarihindeki kurlar esas alınmak suretiyle kaydedilmektedir. </w:t>
      </w:r>
    </w:p>
    <w:p w:rsidR="00D322FB" w:rsidRPr="00F80AD1" w:rsidRDefault="00D322FB" w:rsidP="00942BE7">
      <w:pPr>
        <w:autoSpaceDE w:val="0"/>
        <w:autoSpaceDN w:val="0"/>
        <w:adjustRightInd w:val="0"/>
        <w:rPr>
          <w:rFonts w:ascii="Arial" w:hAnsi="Arial" w:cs="Arial"/>
          <w:color w:val="000000"/>
          <w:lang w:val="tr-TR"/>
        </w:rPr>
      </w:pPr>
    </w:p>
    <w:p w:rsidR="00D322FB" w:rsidRPr="00F80AD1" w:rsidRDefault="00D322FB" w:rsidP="007F0A35">
      <w:pPr>
        <w:autoSpaceDE w:val="0"/>
        <w:autoSpaceDN w:val="0"/>
        <w:adjustRightInd w:val="0"/>
        <w:rPr>
          <w:rFonts w:ascii="Arial" w:hAnsi="Arial" w:cs="Arial"/>
          <w:color w:val="000000"/>
          <w:lang w:val="tr-TR"/>
        </w:rPr>
      </w:pPr>
      <w:r w:rsidRPr="00F80AD1">
        <w:rPr>
          <w:rFonts w:ascii="Arial" w:hAnsi="Arial" w:cs="Arial"/>
          <w:color w:val="000000"/>
          <w:lang w:val="tr-TR"/>
        </w:rPr>
        <w:t>Bilançoda yer alan dövize endeksli parasal varlık ve yükümlülükler bilanço tarihinde geçerli olan kurlar kullanılmak suretiyle Türk Lirası’na çevrilmektedir.</w:t>
      </w:r>
    </w:p>
    <w:p w:rsidR="00D322FB" w:rsidRPr="00F80AD1" w:rsidRDefault="00D322FB" w:rsidP="00942BE7">
      <w:pPr>
        <w:autoSpaceDE w:val="0"/>
        <w:autoSpaceDN w:val="0"/>
        <w:adjustRightInd w:val="0"/>
        <w:rPr>
          <w:rFonts w:ascii="Arial" w:hAnsi="Arial" w:cs="Arial"/>
          <w:color w:val="000000"/>
          <w:lang w:val="tr-TR"/>
        </w:rPr>
      </w:pPr>
    </w:p>
    <w:p w:rsidR="00D322FB" w:rsidRPr="00F80AD1" w:rsidRDefault="00D322FB" w:rsidP="00F80AD1">
      <w:pPr>
        <w:rPr>
          <w:rFonts w:ascii="Arial" w:hAnsi="Arial" w:cs="Arial"/>
          <w:b/>
          <w:spacing w:val="-2"/>
          <w:lang w:val="tr-TR"/>
        </w:rPr>
      </w:pPr>
      <w:r w:rsidRPr="00F80AD1">
        <w:rPr>
          <w:rFonts w:ascii="Arial" w:hAnsi="Arial" w:cs="Arial"/>
          <w:b/>
          <w:spacing w:val="-2"/>
          <w:lang w:val="tr-TR"/>
        </w:rPr>
        <w:t>Pay başına kazanç</w:t>
      </w:r>
    </w:p>
    <w:p w:rsidR="00D322FB" w:rsidRPr="00F80AD1" w:rsidRDefault="00D322FB" w:rsidP="00942BE7">
      <w:pPr>
        <w:ind w:right="-23"/>
        <w:rPr>
          <w:rFonts w:ascii="Arial" w:hAnsi="Arial" w:cs="Arial"/>
          <w:lang w:val="tr-TR"/>
        </w:rPr>
      </w:pPr>
    </w:p>
    <w:p w:rsidR="00D322FB" w:rsidRPr="00F80AD1" w:rsidRDefault="00D322FB" w:rsidP="00942BE7">
      <w:pPr>
        <w:rPr>
          <w:rFonts w:ascii="Arial" w:hAnsi="Arial" w:cs="Arial"/>
          <w:color w:val="000000"/>
          <w:lang w:val="tr-TR"/>
        </w:rPr>
      </w:pPr>
      <w:r w:rsidRPr="00F80AD1">
        <w:rPr>
          <w:rFonts w:ascii="Arial" w:hAnsi="Arial" w:cs="Arial"/>
          <w:color w:val="000000"/>
          <w:lang w:val="tr-TR"/>
        </w:rPr>
        <w:t>TMS 33 “Hisse Başına Kazanç” standardına göre, hisse senetleri borsada işlem görmeyen işletmeler hisse başına kazanç açıklamak zorunda değildirler. Şirket’in hisseleri borsada işlem görmediğinden ekli finansal tablolarda hisse başına kazanç/zarar hesaplanmamıştır.</w:t>
      </w:r>
    </w:p>
    <w:p w:rsidR="00D322FB" w:rsidRDefault="00D322FB" w:rsidP="00942BE7">
      <w:pPr>
        <w:rPr>
          <w:rFonts w:ascii="Arial" w:hAnsi="Arial" w:cs="Arial"/>
          <w:color w:val="000000"/>
          <w:lang w:val="tr-TR"/>
        </w:rPr>
      </w:pPr>
    </w:p>
    <w:p w:rsidR="00D322FB" w:rsidRDefault="00D322FB" w:rsidP="00FA4E0F">
      <w:pPr>
        <w:ind w:right="-23"/>
        <w:rPr>
          <w:rFonts w:ascii="Arial" w:hAnsi="Arial" w:cs="Arial"/>
          <w:b/>
          <w:lang w:val="tr-TR"/>
        </w:rPr>
      </w:pPr>
      <w:r>
        <w:rPr>
          <w:rFonts w:ascii="Arial" w:hAnsi="Arial" w:cs="Arial"/>
          <w:b/>
          <w:lang w:val="tr-TR"/>
        </w:rPr>
        <w:br w:type="page"/>
      </w:r>
    </w:p>
    <w:p w:rsidR="00D322FB" w:rsidRPr="00612496" w:rsidRDefault="00D322FB" w:rsidP="00FA4E0F">
      <w:pPr>
        <w:ind w:right="-23"/>
        <w:rPr>
          <w:rFonts w:ascii="Arial" w:hAnsi="Arial" w:cs="Arial"/>
          <w:b/>
          <w:lang w:val="tr-TR"/>
        </w:rPr>
      </w:pPr>
      <w:r w:rsidRPr="00612496">
        <w:rPr>
          <w:rFonts w:ascii="Arial" w:hAnsi="Arial" w:cs="Arial"/>
          <w:b/>
          <w:lang w:val="tr-TR"/>
        </w:rPr>
        <w:lastRenderedPageBreak/>
        <w:t>2.</w:t>
      </w:r>
      <w:r w:rsidRPr="00612496">
        <w:rPr>
          <w:rFonts w:ascii="Arial" w:hAnsi="Arial" w:cs="Arial"/>
          <w:b/>
          <w:lang w:val="tr-TR"/>
        </w:rPr>
        <w:tab/>
        <w:t>Finansal tabloların sunumuna ilişkin esaslar (devamı)</w:t>
      </w:r>
    </w:p>
    <w:p w:rsidR="00D322FB" w:rsidRDefault="00D322FB" w:rsidP="00FA4E0F">
      <w:pPr>
        <w:autoSpaceDE w:val="0"/>
        <w:autoSpaceDN w:val="0"/>
        <w:adjustRightInd w:val="0"/>
        <w:rPr>
          <w:rFonts w:ascii="Arial" w:hAnsi="Arial" w:cs="Arial"/>
          <w:color w:val="000000"/>
        </w:rPr>
      </w:pPr>
    </w:p>
    <w:p w:rsidR="00D322FB" w:rsidRPr="00F45229" w:rsidRDefault="00D322FB" w:rsidP="00FA4E0F">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D322FB" w:rsidRPr="00F80AD1" w:rsidRDefault="00D322FB" w:rsidP="00942BE7">
      <w:pPr>
        <w:rPr>
          <w:rFonts w:ascii="Arial" w:hAnsi="Arial" w:cs="Arial"/>
          <w:color w:val="000000"/>
          <w:lang w:val="tr-TR"/>
        </w:rPr>
      </w:pPr>
    </w:p>
    <w:p w:rsidR="00D322FB" w:rsidRPr="00F80AD1" w:rsidRDefault="00D322FB" w:rsidP="00942BE7">
      <w:pPr>
        <w:rPr>
          <w:rFonts w:ascii="Arial" w:hAnsi="Arial" w:cs="Arial"/>
          <w:b/>
          <w:spacing w:val="-2"/>
          <w:lang w:val="tr-TR"/>
        </w:rPr>
      </w:pPr>
      <w:r w:rsidRPr="00F80AD1">
        <w:rPr>
          <w:rFonts w:ascii="Arial" w:hAnsi="Arial" w:cs="Arial"/>
          <w:b/>
          <w:spacing w:val="-2"/>
          <w:lang w:val="tr-TR"/>
        </w:rPr>
        <w:t>Bilanço tarihinden sonraki olaylar</w:t>
      </w:r>
    </w:p>
    <w:p w:rsidR="00D322FB" w:rsidRPr="00F80AD1" w:rsidRDefault="00D322FB" w:rsidP="00942BE7">
      <w:pPr>
        <w:autoSpaceDE w:val="0"/>
        <w:autoSpaceDN w:val="0"/>
        <w:adjustRightInd w:val="0"/>
        <w:rPr>
          <w:rFonts w:ascii="Arial" w:hAnsi="Arial" w:cs="Arial"/>
          <w:lang w:val="tr-TR"/>
        </w:rPr>
      </w:pPr>
    </w:p>
    <w:p w:rsidR="00D322FB" w:rsidRPr="00F80AD1" w:rsidRDefault="00D322FB" w:rsidP="00942BE7">
      <w:pPr>
        <w:rPr>
          <w:rFonts w:ascii="Arial" w:hAnsi="Arial" w:cs="Arial"/>
          <w:color w:val="000000"/>
          <w:lang w:val="tr-TR"/>
        </w:rPr>
      </w:pPr>
      <w:r w:rsidRPr="00F80AD1">
        <w:rPr>
          <w:rFonts w:ascii="Arial" w:hAnsi="Arial" w:cs="Arial"/>
          <w:color w:val="000000"/>
          <w:lang w:val="tr-TR"/>
        </w:rPr>
        <w:t>Bilanço tarihinden sonraki olaylar; kara ilişkin herhangi bir duyuru veya diğer seçilmiş finansal bilgilerin kamuya açıklanmasından sonra ortaya çıkmış olsalar bile, bilanço tarihi ile bilançonun yayımı için yetkilendirilme tarihi arasındaki tüm olayları kapsar.</w:t>
      </w:r>
    </w:p>
    <w:p w:rsidR="00D322FB" w:rsidRPr="00F80AD1" w:rsidRDefault="00D322FB" w:rsidP="00942BE7">
      <w:pPr>
        <w:rPr>
          <w:rFonts w:ascii="Arial" w:hAnsi="Arial" w:cs="Arial"/>
          <w:color w:val="000000"/>
          <w:lang w:val="tr-TR"/>
        </w:rPr>
      </w:pPr>
    </w:p>
    <w:p w:rsidR="00D322FB" w:rsidRPr="00F80AD1" w:rsidRDefault="00D322FB" w:rsidP="00942BE7">
      <w:pPr>
        <w:rPr>
          <w:rFonts w:ascii="Arial" w:hAnsi="Arial" w:cs="Arial"/>
          <w:color w:val="000000"/>
          <w:lang w:val="tr-TR"/>
        </w:rPr>
      </w:pPr>
      <w:r w:rsidRPr="00F80AD1">
        <w:rPr>
          <w:rFonts w:ascii="Arial" w:hAnsi="Arial" w:cs="Arial"/>
          <w:color w:val="000000"/>
          <w:lang w:val="tr-TR"/>
        </w:rPr>
        <w:t>Şirket’in, bilanço tarihinden sonraki düzeltme gerektiren olayların ortaya çıkması durumunda, finansal tablolara alınan tutarları bu yeni duruma uygun şekilde düzeltir.</w:t>
      </w:r>
    </w:p>
    <w:p w:rsidR="00D322FB" w:rsidRPr="00F80AD1" w:rsidRDefault="00D322FB" w:rsidP="00942BE7">
      <w:pPr>
        <w:rPr>
          <w:rFonts w:ascii="Arial" w:hAnsi="Arial" w:cs="Arial"/>
          <w:lang w:val="tr-TR"/>
        </w:rPr>
      </w:pPr>
    </w:p>
    <w:p w:rsidR="00D322FB" w:rsidRPr="00F80AD1" w:rsidRDefault="00D322FB" w:rsidP="00942BE7">
      <w:pPr>
        <w:rPr>
          <w:rFonts w:ascii="Arial" w:hAnsi="Arial" w:cs="Arial"/>
          <w:b/>
          <w:spacing w:val="-2"/>
          <w:lang w:val="tr-TR"/>
        </w:rPr>
      </w:pPr>
      <w:r w:rsidRPr="00F80AD1">
        <w:rPr>
          <w:rFonts w:ascii="Arial" w:hAnsi="Arial" w:cs="Arial"/>
          <w:b/>
          <w:spacing w:val="-2"/>
          <w:lang w:val="tr-TR"/>
        </w:rPr>
        <w:t>Karşılıklar, şarta bağlı yükümlülükler ve şarta bağlı varlıklar</w:t>
      </w:r>
    </w:p>
    <w:p w:rsidR="00D322FB" w:rsidRPr="00F80AD1" w:rsidRDefault="00D322FB" w:rsidP="00942BE7">
      <w:pPr>
        <w:autoSpaceDE w:val="0"/>
        <w:autoSpaceDN w:val="0"/>
        <w:adjustRightInd w:val="0"/>
        <w:rPr>
          <w:rFonts w:ascii="Arial" w:hAnsi="Arial" w:cs="Arial"/>
          <w:lang w:val="tr-TR"/>
        </w:rPr>
      </w:pPr>
    </w:p>
    <w:p w:rsidR="00D322FB" w:rsidRDefault="00D322FB" w:rsidP="00942BE7">
      <w:pPr>
        <w:rPr>
          <w:rFonts w:ascii="Arial" w:hAnsi="Arial" w:cs="Arial"/>
          <w:color w:val="000000"/>
          <w:lang w:val="tr-TR"/>
        </w:rPr>
      </w:pPr>
      <w:r w:rsidRPr="00F80AD1">
        <w:rPr>
          <w:rFonts w:ascii="Arial" w:hAnsi="Arial" w:cs="Arial"/>
          <w:color w:val="000000"/>
          <w:lang w:val="tr-TR"/>
        </w:rPr>
        <w:t>Geçmiş olaylardan kaynaklanan mevcut bir yükümlülüğün bulunması, yükümlülüğün yerine  getirilmesinin muhtemel olması ve söz konusu yükümlülük tutarının güvenilir bir şekilde tahmin edilebilir olması durumunda finansal tablolarda karşılık ayrılır.</w:t>
      </w:r>
    </w:p>
    <w:p w:rsidR="00D322FB" w:rsidRPr="00F80AD1" w:rsidRDefault="00D322FB" w:rsidP="00942BE7">
      <w:pPr>
        <w:rPr>
          <w:rFonts w:ascii="Arial" w:hAnsi="Arial" w:cs="Arial"/>
          <w:color w:val="000000"/>
          <w:lang w:val="tr-TR"/>
        </w:rPr>
      </w:pPr>
    </w:p>
    <w:p w:rsidR="00D322FB" w:rsidRPr="00F80AD1" w:rsidRDefault="00D322FB" w:rsidP="00942BE7">
      <w:pPr>
        <w:rPr>
          <w:rFonts w:ascii="Arial" w:hAnsi="Arial" w:cs="Arial"/>
          <w:color w:val="000000"/>
          <w:lang w:val="tr-TR"/>
        </w:rPr>
      </w:pPr>
      <w:r w:rsidRPr="00F80AD1">
        <w:rPr>
          <w:rFonts w:ascii="Arial" w:hAnsi="Arial" w:cs="Arial"/>
          <w:color w:val="000000"/>
          <w:lang w:val="tr-TR"/>
        </w:rPr>
        <w:t>Karşılık olarak ayrılan tutar, yükümlülüğe ilişkin risk ve belirsizlikler göz önünde bulundurularak, bilanço tarihi itibariyle yükümlülüğün yerine getirilmesi için yapılacak harcamanın tahmin edilmesi yoluyla hesaplanır.</w:t>
      </w:r>
    </w:p>
    <w:p w:rsidR="00D322FB" w:rsidRPr="00F80AD1" w:rsidRDefault="00D322FB" w:rsidP="00942BE7">
      <w:pPr>
        <w:rPr>
          <w:rFonts w:ascii="Arial" w:hAnsi="Arial" w:cs="Arial"/>
          <w:color w:val="000000"/>
          <w:lang w:val="tr-TR"/>
        </w:rPr>
      </w:pPr>
    </w:p>
    <w:p w:rsidR="00D322FB" w:rsidRPr="00F80AD1" w:rsidRDefault="00D322FB" w:rsidP="00FE23B8">
      <w:pPr>
        <w:rPr>
          <w:rFonts w:ascii="Arial" w:hAnsi="Arial" w:cs="Arial"/>
          <w:b/>
          <w:lang w:val="tr-TR"/>
        </w:rPr>
      </w:pPr>
      <w:r w:rsidRPr="00F80AD1">
        <w:rPr>
          <w:rFonts w:ascii="Arial" w:hAnsi="Arial" w:cs="Arial"/>
          <w:color w:val="000000"/>
          <w:lang w:val="tr-TR"/>
        </w:rPr>
        <w:t>Karşılığın, mevcut yükümlülüğün karşılanması için gerekli tahmini nakit akımlarını kullanarak ölçülmesi durumunda söz konusu karşılığın defter değeri, ilgili nakit akımlarının bugünkü değerine eşittir.</w:t>
      </w:r>
    </w:p>
    <w:p w:rsidR="00D322FB" w:rsidRPr="00F80AD1" w:rsidRDefault="00D322FB" w:rsidP="00942BE7">
      <w:pPr>
        <w:rPr>
          <w:rFonts w:ascii="Arial" w:hAnsi="Arial" w:cs="Arial"/>
          <w:color w:val="000000"/>
          <w:lang w:val="tr-TR"/>
        </w:rPr>
      </w:pPr>
    </w:p>
    <w:p w:rsidR="00D322FB" w:rsidRPr="00F80AD1" w:rsidRDefault="00D322FB" w:rsidP="00942BE7">
      <w:pPr>
        <w:rPr>
          <w:rFonts w:ascii="Arial" w:hAnsi="Arial" w:cs="Arial"/>
          <w:color w:val="000000"/>
          <w:lang w:val="tr-TR"/>
        </w:rPr>
      </w:pPr>
      <w:r w:rsidRPr="00F80AD1">
        <w:rPr>
          <w:rFonts w:ascii="Arial" w:hAnsi="Arial" w:cs="Arial"/>
          <w:color w:val="000000"/>
          <w:lang w:val="tr-TR"/>
        </w:rPr>
        <w:t>Karşılığın ödenmesi için gerekli olan ekonomik faydanın bir kısmı ya da tamamının üçüncü taraflarca karşılanmasının beklendiği durumlarda, tahsil edilecek tutar, ilgili tutarın tahsil edilmesinin hemen hemen kesin olması ve güvenilir bir şekilde ölçülmesi halinde varlık olarak muhasebeleştirilir.</w:t>
      </w:r>
    </w:p>
    <w:p w:rsidR="00D322FB" w:rsidRPr="00F80AD1" w:rsidRDefault="00D322FB" w:rsidP="00942BE7">
      <w:pPr>
        <w:rPr>
          <w:rFonts w:ascii="Arial" w:hAnsi="Arial" w:cs="Arial"/>
          <w:color w:val="000000"/>
          <w:lang w:val="tr-TR"/>
        </w:rPr>
      </w:pPr>
    </w:p>
    <w:p w:rsidR="00D322FB" w:rsidRPr="00842630" w:rsidRDefault="00D322FB" w:rsidP="00942BE7">
      <w:pPr>
        <w:rPr>
          <w:rFonts w:ascii="Arial" w:hAnsi="Arial" w:cs="Arial"/>
          <w:lang w:val="tr-TR"/>
        </w:rPr>
      </w:pPr>
      <w:r w:rsidRPr="00842630">
        <w:rPr>
          <w:rFonts w:ascii="Arial" w:hAnsi="Arial" w:cs="Arial"/>
          <w:lang w:val="tr-TR"/>
        </w:rPr>
        <w:t>Geçmiş olaylardan kaynaklanan ve mevcudiyeti işletmenin tam olarak kontrolünde bulunmayan gelecekteki bir veya daha fazla kesin olmayan olayın gerçekleşip gerçekleşmemesi ile teyit edilebilmesi mümkün yükümlülükler ve varlıklar finansal tablolara alınmamakta ve şarta bağlı yükümlülükler ve varlıklar olarak değerlendirilmektedir.</w:t>
      </w:r>
    </w:p>
    <w:p w:rsidR="00D322FB" w:rsidRPr="00F80AD1" w:rsidRDefault="00D322FB" w:rsidP="00942BE7">
      <w:pPr>
        <w:rPr>
          <w:rFonts w:ascii="Arial" w:hAnsi="Arial" w:cs="Arial"/>
          <w:lang w:val="tr-TR"/>
        </w:rPr>
      </w:pPr>
    </w:p>
    <w:p w:rsidR="00D322FB" w:rsidRPr="00F80AD1" w:rsidRDefault="00D322FB" w:rsidP="00942BE7">
      <w:pPr>
        <w:widowControl w:val="0"/>
        <w:ind w:right="-21"/>
        <w:rPr>
          <w:rFonts w:ascii="Arial" w:hAnsi="Arial" w:cs="Arial"/>
          <w:b/>
          <w:snapToGrid w:val="0"/>
          <w:lang w:val="tr-TR"/>
        </w:rPr>
      </w:pPr>
      <w:r w:rsidRPr="00F80AD1">
        <w:rPr>
          <w:rFonts w:ascii="Arial" w:hAnsi="Arial" w:cs="Arial"/>
          <w:b/>
          <w:snapToGrid w:val="0"/>
          <w:lang w:val="tr-TR"/>
        </w:rPr>
        <w:t>Kurum kazancı üzerinden hesaplanan vergiler</w:t>
      </w:r>
    </w:p>
    <w:p w:rsidR="00D322FB" w:rsidRPr="00F80AD1" w:rsidRDefault="00D322FB" w:rsidP="00942BE7">
      <w:pPr>
        <w:pStyle w:val="BodyTextIndent"/>
        <w:ind w:left="0" w:firstLine="0"/>
        <w:rPr>
          <w:rFonts w:ascii="Arial" w:hAnsi="Arial" w:cs="Arial"/>
          <w:color w:val="000000"/>
          <w:sz w:val="20"/>
          <w:lang w:val="tr-TR"/>
        </w:rPr>
      </w:pPr>
    </w:p>
    <w:p w:rsidR="00D322FB" w:rsidRPr="00F80AD1" w:rsidRDefault="00D322FB"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Vergi karşılığı, dönem karı veya zararı hesaplanmasında dikkate alınan cari dönem ve ertelenen vergi karşılıklarının tamamıdır.</w:t>
      </w:r>
    </w:p>
    <w:p w:rsidR="00D322FB" w:rsidRPr="00F80AD1" w:rsidRDefault="00D322FB" w:rsidP="00942BE7">
      <w:pPr>
        <w:pStyle w:val="BodyTextIndent"/>
        <w:ind w:left="0" w:firstLine="0"/>
        <w:rPr>
          <w:rFonts w:ascii="Arial" w:hAnsi="Arial" w:cs="Arial"/>
          <w:color w:val="000000"/>
          <w:sz w:val="20"/>
          <w:lang w:val="tr-TR"/>
        </w:rPr>
      </w:pPr>
    </w:p>
    <w:p w:rsidR="00D322FB" w:rsidRPr="00793BF7" w:rsidRDefault="00D322FB" w:rsidP="00942BE7">
      <w:pPr>
        <w:pStyle w:val="BodyTextIndent"/>
        <w:ind w:left="0" w:firstLine="0"/>
        <w:rPr>
          <w:rFonts w:ascii="Arial" w:hAnsi="Arial" w:cs="Arial"/>
          <w:i/>
          <w:color w:val="000000"/>
          <w:sz w:val="20"/>
          <w:lang w:val="tr-TR"/>
        </w:rPr>
      </w:pPr>
      <w:r w:rsidRPr="00793BF7">
        <w:rPr>
          <w:rFonts w:ascii="Arial" w:hAnsi="Arial" w:cs="Arial"/>
          <w:i/>
          <w:color w:val="000000"/>
          <w:sz w:val="20"/>
          <w:lang w:val="tr-TR"/>
        </w:rPr>
        <w:t>Cari vergi</w:t>
      </w:r>
    </w:p>
    <w:p w:rsidR="00D322FB" w:rsidRPr="00F80AD1" w:rsidRDefault="00D322FB" w:rsidP="00942BE7">
      <w:pPr>
        <w:pStyle w:val="BodyTextIndent"/>
        <w:ind w:left="0" w:firstLine="0"/>
        <w:rPr>
          <w:rFonts w:ascii="Arial" w:hAnsi="Arial" w:cs="Arial"/>
          <w:color w:val="000000"/>
          <w:sz w:val="20"/>
          <w:lang w:val="tr-TR"/>
        </w:rPr>
      </w:pPr>
    </w:p>
    <w:p w:rsidR="00D322FB" w:rsidRPr="00606D1C" w:rsidRDefault="00D322FB"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 xml:space="preserve">Cari yıl vergi </w:t>
      </w:r>
      <w:r w:rsidRPr="00606D1C">
        <w:rPr>
          <w:rFonts w:ascii="Arial" w:hAnsi="Arial" w:cs="Arial"/>
          <w:color w:val="000000"/>
          <w:sz w:val="20"/>
          <w:lang w:val="tr-TR"/>
        </w:rPr>
        <w:t>yükümlülüğü, dönem karının vergiye tabi olan kısmı üzerinden hesaplanır. Vergiye tabi kar, diğer yıllarda vergilendirilebilir ya da vergiden indirilebilir kalemler ile vergilendirilmesi ya da vergiden indirilmesi mümkün olmayan kalemleri hariç tutması nedeniyle, gelir tablosunda yer verilen kardan farklılık gösterir. Şirket’in cari vergi yükümlülüğü bilanço tarihi itibariyle yasallaşmış ya da önemli ölçüde yasallaşmış vergi oranı kullanılarak hesaplanmıştır.</w:t>
      </w:r>
    </w:p>
    <w:p w:rsidR="00D322FB" w:rsidRPr="00606D1C" w:rsidRDefault="00D322FB" w:rsidP="00942BE7">
      <w:pPr>
        <w:pStyle w:val="BodyTextIndent"/>
        <w:ind w:left="0" w:firstLine="0"/>
        <w:rPr>
          <w:rFonts w:ascii="Arial" w:hAnsi="Arial" w:cs="Arial"/>
          <w:color w:val="000000"/>
          <w:sz w:val="20"/>
          <w:lang w:val="tr-TR"/>
        </w:rPr>
      </w:pPr>
    </w:p>
    <w:p w:rsidR="00D322FB" w:rsidRPr="00842630" w:rsidRDefault="00D322FB" w:rsidP="00980A45">
      <w:pPr>
        <w:widowControl w:val="0"/>
        <w:rPr>
          <w:rFonts w:ascii="Arial" w:hAnsi="Arial" w:cs="Arial"/>
          <w:lang w:val="tr-TR"/>
        </w:rPr>
      </w:pPr>
      <w:r w:rsidRPr="00842630">
        <w:rPr>
          <w:rFonts w:ascii="Arial" w:hAnsi="Arial" w:cs="Arial"/>
          <w:lang w:val="tr-TR"/>
        </w:rPr>
        <w:t>1 Ocak 2006 tarihinden itibaren geçerli olmak üzere yeni çıkarılan vergi kanunuyla, yıl içerisinde Şirket’in sermayedar veya diğer ilişkili kuruluşlarından kullanmış olduğu kredi tutarı, krediye kullanan kurumun özsermayesinin üç katını aştığı durumda, aşan kısım örtülü sermaye olarak dikkate alınmaktadır. Üç katını aşan tutar için tahakkuk eden ve ödenen faiz haricinde, kur farkı zararı ve benzeri giderler vergi matrahı hesaplamasında kanunen kabul edilmeyen gider olarak dikkate alınır. Bu kritere giren faiz giderleri vergi matrahı hesaplamasında kanunen kabul edilmeyen gider olarak vergi matrahına eklenir.</w:t>
      </w:r>
    </w:p>
    <w:p w:rsidR="00D322FB" w:rsidRPr="00842630" w:rsidRDefault="00D322FB" w:rsidP="00980A45">
      <w:pPr>
        <w:rPr>
          <w:rFonts w:ascii="Arial" w:hAnsi="Arial" w:cs="Arial"/>
          <w:highlight w:val="yellow"/>
          <w:lang w:val="tr-TR"/>
        </w:rPr>
      </w:pPr>
      <w:r w:rsidRPr="00842630">
        <w:rPr>
          <w:rFonts w:ascii="Arial" w:hAnsi="Arial" w:cs="Arial"/>
          <w:highlight w:val="yellow"/>
          <w:lang w:val="tr-TR"/>
        </w:rPr>
        <w:br w:type="page"/>
      </w:r>
    </w:p>
    <w:p w:rsidR="00D322FB" w:rsidRPr="00BA43AA" w:rsidRDefault="00D322FB" w:rsidP="00606D1C">
      <w:pPr>
        <w:ind w:right="-23"/>
        <w:rPr>
          <w:rFonts w:ascii="Arial" w:hAnsi="Arial" w:cs="Arial"/>
          <w:b/>
          <w:lang w:val="tr-TR"/>
        </w:rPr>
      </w:pPr>
      <w:r w:rsidRPr="00BA43AA">
        <w:rPr>
          <w:rFonts w:ascii="Arial" w:hAnsi="Arial" w:cs="Arial"/>
          <w:b/>
          <w:lang w:val="tr-TR"/>
        </w:rPr>
        <w:lastRenderedPageBreak/>
        <w:t>2.</w:t>
      </w:r>
      <w:r w:rsidRPr="00BA43AA">
        <w:rPr>
          <w:rFonts w:ascii="Arial" w:hAnsi="Arial" w:cs="Arial"/>
          <w:b/>
          <w:lang w:val="tr-TR"/>
        </w:rPr>
        <w:tab/>
        <w:t>Finansal tabloların sunumuna ilişkin esaslar (devamı)</w:t>
      </w:r>
    </w:p>
    <w:p w:rsidR="00D322FB" w:rsidRPr="00BA43AA" w:rsidRDefault="00D322FB" w:rsidP="00606D1C">
      <w:pPr>
        <w:autoSpaceDE w:val="0"/>
        <w:autoSpaceDN w:val="0"/>
        <w:adjustRightInd w:val="0"/>
        <w:rPr>
          <w:rFonts w:ascii="Arial" w:hAnsi="Arial" w:cs="Arial"/>
          <w:color w:val="000000"/>
        </w:rPr>
      </w:pPr>
    </w:p>
    <w:p w:rsidR="00D322FB" w:rsidRPr="00BA43AA" w:rsidRDefault="00D322FB" w:rsidP="00606D1C">
      <w:pPr>
        <w:rPr>
          <w:rFonts w:ascii="Arial" w:hAnsi="Arial" w:cs="Arial"/>
          <w:b/>
          <w:lang w:val="tr-TR"/>
        </w:rPr>
      </w:pPr>
      <w:r w:rsidRPr="00BA43AA">
        <w:rPr>
          <w:rFonts w:ascii="Arial" w:hAnsi="Arial" w:cs="Arial"/>
          <w:b/>
          <w:spacing w:val="-2"/>
          <w:lang w:val="tr-TR"/>
        </w:rPr>
        <w:t xml:space="preserve">2.5 </w:t>
      </w:r>
      <w:r w:rsidRPr="00BA43AA">
        <w:rPr>
          <w:rFonts w:ascii="Arial" w:hAnsi="Arial" w:cs="Arial"/>
          <w:b/>
          <w:spacing w:val="-2"/>
          <w:lang w:val="tr-TR"/>
        </w:rPr>
        <w:tab/>
      </w:r>
      <w:r w:rsidRPr="00BA43AA">
        <w:rPr>
          <w:rFonts w:ascii="Arial" w:hAnsi="Arial" w:cs="Arial"/>
          <w:b/>
          <w:lang w:val="tr-TR"/>
        </w:rPr>
        <w:t>Önemli muhasebe politikalarının özeti (devamı)</w:t>
      </w:r>
    </w:p>
    <w:p w:rsidR="00D322FB" w:rsidRPr="00842630" w:rsidRDefault="00D322FB" w:rsidP="00980A45">
      <w:pPr>
        <w:rPr>
          <w:rFonts w:ascii="Arial" w:hAnsi="Arial" w:cs="Arial"/>
          <w:lang w:val="de-DE"/>
        </w:rPr>
      </w:pPr>
    </w:p>
    <w:p w:rsidR="00D322FB" w:rsidRPr="00842630" w:rsidRDefault="00D322FB" w:rsidP="00980A45">
      <w:pPr>
        <w:widowControl w:val="0"/>
        <w:rPr>
          <w:rFonts w:ascii="Arial" w:hAnsi="Arial" w:cs="Arial"/>
          <w:lang w:val="de-DE"/>
        </w:rPr>
      </w:pPr>
      <w:r w:rsidRPr="00842630">
        <w:rPr>
          <w:rFonts w:ascii="Arial" w:hAnsi="Arial" w:cs="Arial"/>
          <w:lang w:val="de-DE"/>
        </w:rPr>
        <w:t>Yine 1 Ocak 2007 tarihinden itibaren geçerli olmak üzere yeni çıkarılan vergi kanunuyla, vergi yükümlüsü Şirket’in ilişkili kuruluşlarıyla yapmış olduğu mal ve hizmet alım satımı işlemleri sürecinde fiyatlar piyasa şartlarında belirlenmemişse bu şekilde oluşan ilgili karlar transfer fiyatlandırması çerçevesinde örtülü olarak dağıtılan kar olarak dikkate alınır. Bu şekilde transfer fiyatlandırması yoluyla yapılan örtülü kar dağıtımları mali kar hesaplamasında indirilebilir kalem olarak dikkate alınmaz.</w:t>
      </w:r>
    </w:p>
    <w:p w:rsidR="00D322FB" w:rsidRPr="00F80AD1" w:rsidRDefault="00D322FB">
      <w:pPr>
        <w:rPr>
          <w:rFonts w:ascii="Arial" w:hAnsi="Arial" w:cs="Arial"/>
          <w:color w:val="000000"/>
          <w:lang w:val="tr-TR"/>
        </w:rPr>
      </w:pPr>
    </w:p>
    <w:p w:rsidR="00D322FB" w:rsidRPr="00793BF7" w:rsidRDefault="00D322FB" w:rsidP="00942BE7">
      <w:pPr>
        <w:pStyle w:val="BodyTextIndent"/>
        <w:ind w:left="0" w:firstLine="0"/>
        <w:rPr>
          <w:rFonts w:ascii="Arial" w:hAnsi="Arial" w:cs="Arial"/>
          <w:i/>
          <w:color w:val="000000"/>
          <w:sz w:val="20"/>
          <w:lang w:val="tr-TR"/>
        </w:rPr>
      </w:pPr>
      <w:r w:rsidRPr="00793BF7">
        <w:rPr>
          <w:rFonts w:ascii="Arial" w:hAnsi="Arial" w:cs="Arial"/>
          <w:i/>
          <w:color w:val="000000"/>
          <w:sz w:val="20"/>
          <w:lang w:val="tr-TR"/>
        </w:rPr>
        <w:t>Ertelenmiş vergi</w:t>
      </w:r>
    </w:p>
    <w:p w:rsidR="00D322FB" w:rsidRPr="00F80AD1" w:rsidRDefault="00D322FB" w:rsidP="00942BE7">
      <w:pPr>
        <w:pStyle w:val="BodyTextIndent"/>
        <w:ind w:left="0" w:firstLine="0"/>
        <w:rPr>
          <w:rFonts w:ascii="Arial" w:hAnsi="Arial" w:cs="Arial"/>
          <w:color w:val="000000"/>
          <w:sz w:val="20"/>
          <w:lang w:val="tr-TR"/>
        </w:rPr>
      </w:pPr>
    </w:p>
    <w:p w:rsidR="00D322FB" w:rsidRPr="00F80AD1" w:rsidRDefault="00D322FB"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Ertelenmiş vergi yükümlülükleri vergilendirilebilir geçici farkların tümü için hesaplanırken, indirilebilir geçici farklardan oluşan ertelenmiş vergi varlıkları, gelecekte vergiye tabi kar elde etmek suretiyle söz konusu farklardan yararlanmanın kuvvetle muhtemel olması şartıyla hesaplanmaktadır. Bahse konu varlık ve yükümlülükler, ticari ya da mali kar/zararı etkilemeyen işleme ilişkin geçici fark, şerefiye veya diğer varlık ve yükümlülüklerin ilk defa finansal tablolara alınmasından (işletme birleşmeleri dışında) kaynaklanıyorsa muhasebeleştirilmez.</w:t>
      </w:r>
    </w:p>
    <w:p w:rsidR="00D322FB" w:rsidRPr="00F80AD1" w:rsidRDefault="00D322FB" w:rsidP="00942BE7">
      <w:pPr>
        <w:pStyle w:val="BodyTextIndent"/>
        <w:ind w:left="0" w:firstLine="0"/>
        <w:rPr>
          <w:rFonts w:ascii="Arial" w:hAnsi="Arial" w:cs="Arial"/>
          <w:color w:val="000000"/>
          <w:sz w:val="20"/>
          <w:lang w:val="tr-TR"/>
        </w:rPr>
      </w:pPr>
    </w:p>
    <w:p w:rsidR="00D322FB" w:rsidRPr="00F80AD1" w:rsidRDefault="00D322FB"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yükümlülükleri, Şirket’in geçici farklılıkların ortadan kalkmasını kontrol edebildiği ve yakın gelecekte bu farkın ortadan kalkma olasılığının düşük olduğu durumlar haricinde, bağlı ortaklık ve iştiraklerdeki yatırımlar ve iş ortaklıklarındaki paylar ile ilişkilendirilen vergilendirilebilir geçici farkların tümü için hesaplanır. Bu tür yatırım ve paylar ile ilişkilendirilen vergilendirilebilir geçici farklardan kaynaklanan ertelenmiş vergi varlıkları, yakın gelecekte vergiye tabi yeterli kar elde etmek suretiyle söz konusu farklardan yararlanmanın kuvvetle muhtemel olması ve gelecekte ilgili farkların ortadan kalkmasının muhtemel olması şartlarıyla hesaplanmaktadır.</w:t>
      </w:r>
    </w:p>
    <w:p w:rsidR="00D322FB" w:rsidRPr="00F80AD1" w:rsidRDefault="00D322FB" w:rsidP="00942BE7">
      <w:pPr>
        <w:pStyle w:val="BodyTextIndent"/>
        <w:ind w:left="0" w:firstLine="0"/>
        <w:rPr>
          <w:rFonts w:ascii="Arial" w:hAnsi="Arial" w:cs="Arial"/>
          <w:color w:val="000000"/>
          <w:sz w:val="20"/>
          <w:lang w:val="tr-TR"/>
        </w:rPr>
      </w:pPr>
    </w:p>
    <w:p w:rsidR="00D322FB" w:rsidRPr="00F80AD1" w:rsidRDefault="00D322FB"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varlığının kayıtlı değeri, her bilanço tarihi itibariyle gözden geçirilir. Ertelenmiş vergi varlığının kayıtlı değeri, bir kısmının veya tamamının sağlayacağı faydanın elde edilmesine imkan verecek düzeyde mali kar elde etmenin muhtemel olmadığı ölçüde azaltılır.</w:t>
      </w:r>
    </w:p>
    <w:p w:rsidR="00D322FB" w:rsidRPr="00F80AD1" w:rsidRDefault="00D322FB" w:rsidP="00942BE7">
      <w:pPr>
        <w:pStyle w:val="BodyTextIndent"/>
        <w:ind w:left="0" w:firstLine="0"/>
        <w:rPr>
          <w:rFonts w:ascii="Arial" w:hAnsi="Arial" w:cs="Arial"/>
          <w:color w:val="000000"/>
          <w:sz w:val="20"/>
          <w:lang w:val="tr-TR"/>
        </w:rPr>
      </w:pPr>
    </w:p>
    <w:p w:rsidR="00D322FB" w:rsidRDefault="00D322FB" w:rsidP="00FE23B8">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varlıkları ve yükümlülükleri varlıkların gerçekleşeceği veya yükümlülüklerin yerine getirileceği dönemde geçerli olması beklenen ve bilanço tarihi itibariyle yasallaşmış veya önemli ölçüde yasallaşmış vergi oranları (vergi düzenlemeleri) üzerinden hesaplanır. Ertelenmiş vergi varlıkları ve yükümlülüklerinin hesaplanması sırasında, Şirket’in bilanço tarihi itibariyle varlıklarının defter değerini geri kazanması ya da yükümlülüklerini yerine getirmesi için tahmin ettiği yöntemlerin vergi sonuçları dikkate alınır.</w:t>
      </w:r>
    </w:p>
    <w:p w:rsidR="00D322FB" w:rsidRPr="00F80AD1" w:rsidRDefault="00D322FB" w:rsidP="00FE23B8">
      <w:pPr>
        <w:pStyle w:val="BodyTextIndent"/>
        <w:ind w:left="0" w:firstLine="0"/>
        <w:rPr>
          <w:rFonts w:ascii="Arial" w:hAnsi="Arial" w:cs="Arial"/>
          <w:color w:val="000000"/>
          <w:sz w:val="20"/>
          <w:lang w:val="tr-TR"/>
        </w:rPr>
      </w:pPr>
    </w:p>
    <w:p w:rsidR="00D322FB" w:rsidRPr="00F80AD1" w:rsidRDefault="00D322FB"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varlıkları ve yükümlülükleri, cari vergi varlıklarıyla cari vergi yükümlülüklerini mahsup etme ile ilgili yasal bir hakkın olması veya söz konusu varlık ve yükümlülüklerin aynı vergi mercii tarafından toplanan gelir vergisiyle ilişkilendirilmesi ya da Şirket’in cari vergi varlık ve yükümlülüklerini netleştirmek suretiyle ödeme niyetinin olması durumunda mahsup edilir.</w:t>
      </w:r>
    </w:p>
    <w:p w:rsidR="00D322FB" w:rsidRPr="00F80AD1" w:rsidRDefault="00D322FB" w:rsidP="00942BE7">
      <w:pPr>
        <w:rPr>
          <w:rFonts w:ascii="Arial" w:hAnsi="Arial" w:cs="Arial"/>
          <w:lang w:val="tr-TR"/>
        </w:rPr>
      </w:pPr>
    </w:p>
    <w:p w:rsidR="00D322FB" w:rsidRPr="00F80AD1" w:rsidRDefault="00D322FB" w:rsidP="00942BE7">
      <w:pPr>
        <w:autoSpaceDE w:val="0"/>
        <w:autoSpaceDN w:val="0"/>
        <w:adjustRightInd w:val="0"/>
        <w:rPr>
          <w:rFonts w:ascii="Arial" w:hAnsi="Arial" w:cs="Arial"/>
          <w:lang w:val="tr-TR"/>
        </w:rPr>
      </w:pPr>
      <w:r w:rsidRPr="00F80AD1">
        <w:rPr>
          <w:rFonts w:ascii="Arial" w:hAnsi="Arial" w:cs="Arial"/>
          <w:lang w:val="tr-TR"/>
        </w:rPr>
        <w:t xml:space="preserve">Doğrudan özsermayede alacak ya da borç olarak muhasebeleştirilen kalemler (ki bu durumda ilgili kalemlere ilişkin ertelenmiş vergi de doğrudan özsermayede muhasebeleştirilir) ile ilişkilendirilen ya da işletme birleşmelerinin ilk kayda alımından kaynaklananlar haricindeki cari vergi ile döneme ait ertelenmiş vergi, gelir tablosunda gider ya da gelir olarak muhasebeleştirilir. </w:t>
      </w:r>
    </w:p>
    <w:p w:rsidR="00D322FB" w:rsidRDefault="00D322FB" w:rsidP="00606D1C">
      <w:pPr>
        <w:autoSpaceDE w:val="0"/>
        <w:autoSpaceDN w:val="0"/>
        <w:adjustRightInd w:val="0"/>
        <w:ind w:right="-23"/>
        <w:rPr>
          <w:rFonts w:ascii="Arial" w:hAnsi="Arial" w:cs="Arial"/>
          <w:b/>
          <w:lang w:val="tr-TR"/>
        </w:rPr>
      </w:pPr>
      <w:r>
        <w:rPr>
          <w:rFonts w:ascii="Arial" w:hAnsi="Arial" w:cs="Arial"/>
          <w:b/>
          <w:lang w:val="tr-TR"/>
        </w:rPr>
        <w:br w:type="page"/>
      </w:r>
    </w:p>
    <w:p w:rsidR="00D322FB" w:rsidRPr="007B4803" w:rsidRDefault="00D322FB" w:rsidP="00606D1C">
      <w:pPr>
        <w:autoSpaceDE w:val="0"/>
        <w:autoSpaceDN w:val="0"/>
        <w:adjustRightInd w:val="0"/>
        <w:ind w:right="-23"/>
        <w:rPr>
          <w:rFonts w:ascii="Arial" w:hAnsi="Arial" w:cs="Arial"/>
          <w:b/>
          <w:lang w:val="tr-TR"/>
        </w:rPr>
      </w:pPr>
      <w:r w:rsidRPr="007B4803">
        <w:rPr>
          <w:rFonts w:ascii="Arial" w:hAnsi="Arial" w:cs="Arial"/>
          <w:b/>
          <w:lang w:val="tr-TR"/>
        </w:rPr>
        <w:lastRenderedPageBreak/>
        <w:t>2.</w:t>
      </w:r>
      <w:r w:rsidRPr="007B4803">
        <w:rPr>
          <w:rFonts w:ascii="Arial" w:hAnsi="Arial" w:cs="Arial"/>
          <w:b/>
          <w:lang w:val="tr-TR"/>
        </w:rPr>
        <w:tab/>
        <w:t>Finansal tabloların sunumuna ilişkin esaslar (devamı)</w:t>
      </w:r>
    </w:p>
    <w:p w:rsidR="00D322FB" w:rsidRDefault="00D322FB" w:rsidP="00606D1C">
      <w:pPr>
        <w:rPr>
          <w:rFonts w:ascii="Arial" w:hAnsi="Arial" w:cs="Arial"/>
          <w:b/>
          <w:lang w:val="tr-TR"/>
        </w:rPr>
      </w:pPr>
    </w:p>
    <w:p w:rsidR="00D322FB" w:rsidRPr="00F45229" w:rsidRDefault="00D322FB" w:rsidP="00606D1C">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D322FB" w:rsidRPr="00F80AD1" w:rsidRDefault="00D322FB" w:rsidP="00942BE7">
      <w:pPr>
        <w:widowControl w:val="0"/>
        <w:rPr>
          <w:rFonts w:ascii="Arial" w:hAnsi="Arial" w:cs="Arial"/>
          <w:b/>
          <w:snapToGrid w:val="0"/>
          <w:lang w:val="tr-TR"/>
        </w:rPr>
      </w:pPr>
    </w:p>
    <w:p w:rsidR="00D322FB" w:rsidRPr="00F80AD1" w:rsidRDefault="00D322FB" w:rsidP="00942BE7">
      <w:pPr>
        <w:widowControl w:val="0"/>
        <w:rPr>
          <w:rFonts w:ascii="Arial" w:hAnsi="Arial" w:cs="Arial"/>
          <w:b/>
          <w:snapToGrid w:val="0"/>
          <w:lang w:val="tr-TR"/>
        </w:rPr>
      </w:pPr>
      <w:r w:rsidRPr="00F80AD1">
        <w:rPr>
          <w:rFonts w:ascii="Arial" w:hAnsi="Arial" w:cs="Arial"/>
          <w:b/>
          <w:snapToGrid w:val="0"/>
          <w:lang w:val="tr-TR"/>
        </w:rPr>
        <w:t>Çalışanlara sağlanan faydalar</w:t>
      </w:r>
    </w:p>
    <w:p w:rsidR="00D322FB" w:rsidRPr="00F80AD1" w:rsidRDefault="00D322FB"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D322FB" w:rsidRPr="00F80AD1" w:rsidRDefault="00D322FB" w:rsidP="00942BE7">
      <w:pPr>
        <w:pStyle w:val="BodyTextIndent"/>
        <w:ind w:left="0" w:firstLine="0"/>
        <w:rPr>
          <w:rFonts w:ascii="Arial" w:hAnsi="Arial" w:cs="Arial"/>
          <w:i/>
          <w:sz w:val="20"/>
          <w:lang w:val="tr-TR"/>
        </w:rPr>
      </w:pPr>
      <w:r w:rsidRPr="00F80AD1">
        <w:rPr>
          <w:rFonts w:ascii="Arial" w:hAnsi="Arial" w:cs="Arial"/>
          <w:i/>
          <w:sz w:val="20"/>
          <w:lang w:val="tr-TR"/>
        </w:rPr>
        <w:t>Kıdem tazminatları</w:t>
      </w:r>
    </w:p>
    <w:p w:rsidR="00D322FB" w:rsidRPr="00F80AD1" w:rsidRDefault="00D322FB" w:rsidP="00942BE7">
      <w:pPr>
        <w:pStyle w:val="BodyTextIndent"/>
        <w:ind w:left="0" w:firstLine="0"/>
        <w:rPr>
          <w:rFonts w:ascii="Arial" w:hAnsi="Arial" w:cs="Arial"/>
          <w:sz w:val="20"/>
          <w:lang w:val="tr-TR"/>
        </w:rPr>
      </w:pPr>
    </w:p>
    <w:p w:rsidR="00D322FB" w:rsidRPr="00F80AD1" w:rsidRDefault="00D322FB" w:rsidP="000C6CAB">
      <w:pPr>
        <w:rPr>
          <w:rFonts w:ascii="Arial" w:hAnsi="Arial" w:cs="Arial"/>
          <w:lang w:val="tr-TR"/>
        </w:rPr>
      </w:pPr>
      <w:r w:rsidRPr="00F80AD1">
        <w:rPr>
          <w:rFonts w:ascii="Arial" w:hAnsi="Arial" w:cs="Arial"/>
          <w:lang w:val="tr-TR"/>
        </w:rPr>
        <w:t xml:space="preserve">Türkiye’de mevcut kanunlar ve toplu iş sözleşmeleri hükümlerine göre kıdem tazminatı, emeklilik veya işten çıkarılma durumunda ödenmektedir. Güncellenmiş olan TMS 19 Çalışanlara Sağlanan Faydalar Standardı (“TMS 19”) uyarınca söz konusu türdeki ödemeler tanımlanmış emeklilik fayda </w:t>
      </w:r>
      <w:r>
        <w:rPr>
          <w:rFonts w:ascii="Arial" w:hAnsi="Arial" w:cs="Arial"/>
          <w:lang w:val="tr-TR"/>
        </w:rPr>
        <w:t>planları olarak nitelendirilir.</w:t>
      </w:r>
    </w:p>
    <w:p w:rsidR="00D322FB" w:rsidRPr="00F80AD1" w:rsidRDefault="00D322FB" w:rsidP="000C6CAB">
      <w:pPr>
        <w:pStyle w:val="BodyTextIndent"/>
        <w:ind w:left="0" w:firstLine="0"/>
        <w:rPr>
          <w:rFonts w:ascii="Arial" w:hAnsi="Arial" w:cs="Arial"/>
          <w:sz w:val="20"/>
          <w:lang w:val="tr-TR"/>
        </w:rPr>
      </w:pPr>
    </w:p>
    <w:p w:rsidR="00D322FB" w:rsidRPr="00F80AD1" w:rsidRDefault="00D322FB" w:rsidP="000C6CAB">
      <w:pPr>
        <w:rPr>
          <w:rFonts w:ascii="Arial" w:hAnsi="Arial" w:cs="Arial"/>
          <w:lang w:val="tr-TR"/>
        </w:rPr>
      </w:pPr>
      <w:r w:rsidRPr="00F80AD1">
        <w:rPr>
          <w:rFonts w:ascii="Arial" w:hAnsi="Arial" w:cs="Arial"/>
          <w:lang w:val="tr-TR"/>
        </w:rPr>
        <w:t xml:space="preserve">Bilançoda muhasebeleştirilen kıdem tazminatı yükümlülüğü, tüm çalışanların emeklilikleri dolayısıyla ileride doğması beklenen yükümlülük tutarlarının net bugünkü değerine göre hesaplanmış ve finansal tablolara yansıtılmıştır. </w:t>
      </w:r>
    </w:p>
    <w:p w:rsidR="00D322FB" w:rsidRDefault="00D322FB" w:rsidP="000C6CAB">
      <w:pPr>
        <w:rPr>
          <w:rFonts w:ascii="Arial" w:hAnsi="Arial" w:cs="Arial"/>
          <w:i/>
          <w:lang w:val="tr-TR"/>
        </w:rPr>
      </w:pPr>
    </w:p>
    <w:p w:rsidR="00D322FB" w:rsidRPr="00F80AD1" w:rsidRDefault="00D322FB" w:rsidP="000C6CAB">
      <w:pPr>
        <w:rPr>
          <w:rFonts w:ascii="Arial" w:hAnsi="Arial" w:cs="Arial"/>
          <w:i/>
          <w:lang w:val="tr-TR"/>
        </w:rPr>
      </w:pPr>
      <w:r w:rsidRPr="00F80AD1">
        <w:rPr>
          <w:rFonts w:ascii="Arial" w:hAnsi="Arial" w:cs="Arial"/>
          <w:i/>
          <w:lang w:val="tr-TR"/>
        </w:rPr>
        <w:t>Tanımlanan katkı planı</w:t>
      </w:r>
    </w:p>
    <w:p w:rsidR="00D322FB" w:rsidRPr="00F80AD1" w:rsidRDefault="00D322FB" w:rsidP="000C6CAB">
      <w:pPr>
        <w:rPr>
          <w:rFonts w:ascii="Arial" w:hAnsi="Arial" w:cs="Arial"/>
          <w:lang w:val="tr-TR"/>
        </w:rPr>
      </w:pPr>
    </w:p>
    <w:p w:rsidR="00D322FB" w:rsidRPr="00F80AD1" w:rsidRDefault="00D322FB" w:rsidP="000C6CAB">
      <w:pPr>
        <w:pStyle w:val="BodyTextIndent"/>
        <w:ind w:left="0" w:firstLine="0"/>
        <w:rPr>
          <w:rFonts w:ascii="Arial" w:hAnsi="Arial" w:cs="Arial"/>
          <w:sz w:val="20"/>
          <w:lang w:val="tr-TR"/>
        </w:rPr>
      </w:pPr>
      <w:r w:rsidRPr="00F80AD1">
        <w:rPr>
          <w:rFonts w:ascii="Arial" w:hAnsi="Arial" w:cs="Arial"/>
          <w:sz w:val="20"/>
          <w:lang w:val="tr-TR"/>
        </w:rPr>
        <w:t>Şirket, Sosyal Sigortalar Kurumu’na zorunlu olarak sosyal sigortalar primi ödemektedir. Şirket’in bu primleri ödedigi sürece baska yükümlülügü kalmamaktadır. Bu primler tahakkuk ettikleri dönemde personel giderlerine yansıtılmaktadır</w:t>
      </w:r>
      <w:r w:rsidRPr="00F80AD1">
        <w:rPr>
          <w:rFonts w:ascii="Arial" w:hAnsi="Arial" w:cs="Arial"/>
          <w:lang w:val="tr-TR"/>
        </w:rPr>
        <w:t>.</w:t>
      </w:r>
      <w:r w:rsidRPr="00F80AD1">
        <w:rPr>
          <w:rFonts w:ascii="Arial" w:hAnsi="Arial" w:cs="Arial"/>
          <w:sz w:val="20"/>
          <w:lang w:val="tr-TR"/>
        </w:rPr>
        <w:t xml:space="preserve"> </w:t>
      </w:r>
    </w:p>
    <w:p w:rsidR="00D322FB" w:rsidRPr="00F80AD1" w:rsidRDefault="00D322FB" w:rsidP="00942BE7">
      <w:pPr>
        <w:pStyle w:val="BodyTextIndent"/>
        <w:ind w:left="0" w:firstLine="0"/>
        <w:rPr>
          <w:rFonts w:ascii="Arial" w:hAnsi="Arial" w:cs="Arial"/>
          <w:sz w:val="20"/>
          <w:lang w:val="tr-TR"/>
        </w:rPr>
      </w:pPr>
    </w:p>
    <w:p w:rsidR="00D322FB" w:rsidRPr="00F80AD1" w:rsidRDefault="00D322FB" w:rsidP="00942BE7">
      <w:pPr>
        <w:autoSpaceDE w:val="0"/>
        <w:autoSpaceDN w:val="0"/>
        <w:rPr>
          <w:rFonts w:ascii="Arial" w:hAnsi="Arial" w:cs="Arial"/>
          <w:i/>
          <w:iCs/>
          <w:lang w:val="tr-TR"/>
        </w:rPr>
      </w:pPr>
      <w:r w:rsidRPr="00F80AD1">
        <w:rPr>
          <w:rFonts w:ascii="Arial" w:hAnsi="Arial" w:cs="Arial"/>
          <w:i/>
          <w:iCs/>
          <w:lang w:val="tr-TR"/>
        </w:rPr>
        <w:t>İkramiye ödemeleri</w:t>
      </w:r>
    </w:p>
    <w:p w:rsidR="00D322FB" w:rsidRPr="00F80AD1" w:rsidRDefault="00D322FB" w:rsidP="00942BE7">
      <w:pPr>
        <w:rPr>
          <w:rFonts w:ascii="Arial" w:hAnsi="Arial" w:cs="Arial"/>
          <w:color w:val="000000"/>
          <w:lang w:val="tr-TR"/>
        </w:rPr>
      </w:pPr>
    </w:p>
    <w:p w:rsidR="00D322FB" w:rsidRPr="00F80AD1" w:rsidRDefault="00D322FB" w:rsidP="00942BE7">
      <w:pPr>
        <w:rPr>
          <w:rFonts w:ascii="Arial" w:hAnsi="Arial" w:cs="Arial"/>
          <w:color w:val="1F497D"/>
          <w:lang w:val="tr-TR"/>
        </w:rPr>
      </w:pPr>
      <w:r w:rsidRPr="00F80AD1">
        <w:rPr>
          <w:rFonts w:ascii="Arial" w:hAnsi="Arial" w:cs="Arial"/>
          <w:color w:val="000000"/>
          <w:lang w:val="tr-TR"/>
        </w:rPr>
        <w:t>Şirket, sözleşmeye bağlı bir zorunluluk ya da zımni bir yükümlülük yaratan geçmiş bir uygulamanın olduğu durumlarda ikramiye ödemeleri için karşılık ayırmaktadır.</w:t>
      </w:r>
    </w:p>
    <w:p w:rsidR="00D322FB" w:rsidRPr="00F80AD1" w:rsidRDefault="00D322FB" w:rsidP="00942BE7">
      <w:pPr>
        <w:rPr>
          <w:rFonts w:ascii="Arial" w:hAnsi="Arial" w:cs="Arial"/>
          <w:u w:val="single"/>
          <w:lang w:val="tr-TR"/>
        </w:rPr>
      </w:pPr>
    </w:p>
    <w:p w:rsidR="00D322FB" w:rsidRPr="00F80AD1" w:rsidRDefault="00D322FB" w:rsidP="00942BE7">
      <w:pPr>
        <w:pStyle w:val="BodyText2"/>
        <w:tabs>
          <w:tab w:val="clear" w:pos="-720"/>
          <w:tab w:val="clear" w:pos="0"/>
        </w:tabs>
        <w:jc w:val="left"/>
        <w:rPr>
          <w:rFonts w:ascii="Arial" w:hAnsi="Arial" w:cs="Arial"/>
          <w:b/>
          <w:sz w:val="20"/>
          <w:lang w:val="tr-TR"/>
        </w:rPr>
      </w:pPr>
      <w:r w:rsidRPr="00F80AD1">
        <w:rPr>
          <w:rFonts w:ascii="Arial" w:hAnsi="Arial" w:cs="Arial"/>
          <w:b/>
          <w:sz w:val="20"/>
          <w:lang w:val="tr-TR"/>
        </w:rPr>
        <w:t>Nakit akış tablosu</w:t>
      </w:r>
    </w:p>
    <w:p w:rsidR="00D322FB" w:rsidRPr="00F80AD1" w:rsidRDefault="00D322FB"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D322FB" w:rsidRPr="00F80AD1" w:rsidRDefault="00D322FB" w:rsidP="00942BE7">
      <w:pPr>
        <w:rPr>
          <w:rFonts w:ascii="Arial" w:hAnsi="Arial" w:cs="Arial"/>
          <w:lang w:val="tr-TR"/>
        </w:rPr>
      </w:pPr>
      <w:r>
        <w:rPr>
          <w:rFonts w:ascii="Arial" w:hAnsi="Arial" w:cs="Arial"/>
          <w:lang w:val="tr-TR"/>
        </w:rPr>
        <w:t>Nakit akış</w:t>
      </w:r>
      <w:r w:rsidRPr="00F80AD1">
        <w:rPr>
          <w:rFonts w:ascii="Arial" w:hAnsi="Arial" w:cs="Arial"/>
          <w:lang w:val="tr-TR"/>
        </w:rPr>
        <w:t xml:space="preserve"> tablosunda, döneme ilişkin nakit akımları esas, yatırım ve finansman faaliyetlerine dayalı bir biçimde sınıflandırılarak raporlanır.</w:t>
      </w:r>
    </w:p>
    <w:p w:rsidR="00D322FB" w:rsidRPr="00F80AD1" w:rsidRDefault="00D322FB" w:rsidP="00942BE7">
      <w:pPr>
        <w:rPr>
          <w:rFonts w:ascii="Arial" w:hAnsi="Arial" w:cs="Arial"/>
          <w:lang w:val="tr-TR"/>
        </w:rPr>
      </w:pPr>
    </w:p>
    <w:p w:rsidR="00D322FB" w:rsidRDefault="00D322FB" w:rsidP="00FA4E0F">
      <w:pPr>
        <w:rPr>
          <w:rFonts w:ascii="Arial" w:hAnsi="Arial" w:cs="Arial"/>
          <w:lang w:val="tr-TR"/>
        </w:rPr>
      </w:pPr>
      <w:r w:rsidRPr="00F80AD1">
        <w:rPr>
          <w:rFonts w:ascii="Arial" w:hAnsi="Arial" w:cs="Arial"/>
          <w:lang w:val="tr-TR"/>
        </w:rPr>
        <w:t>Esas faaliyetlerden kaynaklanan nakit akımları, Şirket’in portföy yönetimi faaliyetlerinden kaynaklanan nakit akımlarını gösterir. Yatırım faaliyetleriyle ilgili nakit akımları, Şirket’in yatırım faaliyetlerinde (sabit yatırımlar ve finansal yatırımlar) kullandığı ve elde et</w:t>
      </w:r>
      <w:r>
        <w:rPr>
          <w:rFonts w:ascii="Arial" w:hAnsi="Arial" w:cs="Arial"/>
          <w:lang w:val="tr-TR"/>
        </w:rPr>
        <w:t xml:space="preserve">tiği nakit akımlarını gösterir. </w:t>
      </w:r>
      <w:r w:rsidRPr="00F80AD1">
        <w:rPr>
          <w:rFonts w:ascii="Arial" w:hAnsi="Arial" w:cs="Arial"/>
          <w:lang w:val="tr-TR"/>
        </w:rPr>
        <w:t>Finansman faaliyetlerine ilişkin nakit akımları, Şirket’in finansman faaliyetlerinde kullandığı kaynakları ve bu kaynakların geri ödemelerini gösterir.</w:t>
      </w:r>
    </w:p>
    <w:p w:rsidR="00D322FB" w:rsidRDefault="00D322FB" w:rsidP="00FA4E0F">
      <w:pPr>
        <w:rPr>
          <w:rFonts w:ascii="Arial" w:hAnsi="Arial" w:cs="Arial"/>
          <w:b/>
          <w:lang w:val="tr-TR"/>
        </w:rPr>
      </w:pPr>
    </w:p>
    <w:p w:rsidR="00D322FB" w:rsidRPr="00F80AD1" w:rsidRDefault="00D322FB" w:rsidP="00793BF7">
      <w:pPr>
        <w:pStyle w:val="BodyText2"/>
        <w:tabs>
          <w:tab w:val="clear" w:pos="-720"/>
          <w:tab w:val="clear" w:pos="0"/>
        </w:tabs>
        <w:jc w:val="left"/>
        <w:rPr>
          <w:rFonts w:ascii="Arial" w:hAnsi="Arial" w:cs="Arial"/>
          <w:b/>
          <w:sz w:val="20"/>
          <w:lang w:val="tr-TR"/>
        </w:rPr>
      </w:pPr>
      <w:r w:rsidRPr="00F80AD1">
        <w:rPr>
          <w:rFonts w:ascii="Arial" w:hAnsi="Arial" w:cs="Arial"/>
          <w:b/>
          <w:sz w:val="20"/>
          <w:lang w:val="tr-TR"/>
        </w:rPr>
        <w:t>Vadeli işlem ve opsiyon borsası (“VOB”) işlemleri</w:t>
      </w:r>
    </w:p>
    <w:p w:rsidR="00D322FB" w:rsidRPr="00F80AD1" w:rsidRDefault="00D322FB" w:rsidP="00793BF7">
      <w:pPr>
        <w:rPr>
          <w:rFonts w:ascii="Arial" w:hAnsi="Arial" w:cs="Arial"/>
          <w:b/>
          <w:bCs/>
          <w:lang w:val="tr-TR"/>
        </w:rPr>
      </w:pPr>
    </w:p>
    <w:p w:rsidR="00D322FB" w:rsidRPr="00F80AD1" w:rsidRDefault="00D322FB" w:rsidP="00793BF7">
      <w:pPr>
        <w:autoSpaceDE w:val="0"/>
        <w:autoSpaceDN w:val="0"/>
        <w:adjustRightInd w:val="0"/>
        <w:rPr>
          <w:rFonts w:ascii="Arial" w:hAnsi="Arial" w:cs="Arial"/>
          <w:lang w:val="tr-TR"/>
        </w:rPr>
      </w:pPr>
      <w:r w:rsidRPr="00F80AD1">
        <w:rPr>
          <w:rFonts w:ascii="Arial" w:hAnsi="Arial" w:cs="Arial"/>
          <w:lang w:val="tr-TR"/>
        </w:rPr>
        <w:t>VOB piyasasında işlem yapmak için verilen nakit teminatlar nakit ve nakit benzerleri olarak sınıflandırılmaktadır. Dönem içinde yapılan işlemler sonucu oluşan kar ve zararlar gelir tablosunda finansal gelirler/giderlere kaydedilmiştir. Açık olan işlemlerin piyasa fiyatları üzerinden değerlenmesi sonucunda gelir tablosuna yansıyan değerleme farkları ve kalan teminat tutarının nemalandırması sonucu oluşan faiz gelirleri netleştirilerek diğer alacaklar olarak gösterilmiştir.</w:t>
      </w:r>
    </w:p>
    <w:p w:rsidR="00D322FB" w:rsidRPr="00F80AD1" w:rsidRDefault="00D322FB" w:rsidP="00942BE7">
      <w:pPr>
        <w:rPr>
          <w:rFonts w:ascii="Arial" w:hAnsi="Arial" w:cs="Arial"/>
          <w:lang w:val="tr-TR"/>
        </w:rPr>
      </w:pPr>
    </w:p>
    <w:p w:rsidR="00D322FB" w:rsidRPr="00F80AD1" w:rsidRDefault="00D322FB" w:rsidP="00942BE7">
      <w:pPr>
        <w:pStyle w:val="BodyText2"/>
        <w:tabs>
          <w:tab w:val="clear" w:pos="-720"/>
          <w:tab w:val="clear" w:pos="0"/>
        </w:tabs>
        <w:jc w:val="left"/>
        <w:rPr>
          <w:rFonts w:ascii="Arial" w:hAnsi="Arial" w:cs="Arial"/>
          <w:b/>
          <w:bCs/>
          <w:sz w:val="20"/>
          <w:lang w:val="tr-TR"/>
        </w:rPr>
      </w:pPr>
      <w:r w:rsidRPr="00F80AD1">
        <w:rPr>
          <w:rFonts w:ascii="Arial" w:hAnsi="Arial" w:cs="Arial"/>
          <w:b/>
          <w:bCs/>
          <w:sz w:val="20"/>
          <w:lang w:val="tr-TR"/>
        </w:rPr>
        <w:t>Sermaye ve temettüler</w:t>
      </w:r>
    </w:p>
    <w:p w:rsidR="00D322FB" w:rsidRPr="00F80AD1" w:rsidRDefault="00D322FB" w:rsidP="00942BE7">
      <w:pPr>
        <w:pStyle w:val="BodyText2"/>
        <w:tabs>
          <w:tab w:val="clear" w:pos="-720"/>
          <w:tab w:val="clear" w:pos="0"/>
        </w:tabs>
        <w:jc w:val="left"/>
        <w:rPr>
          <w:rFonts w:ascii="Arial" w:hAnsi="Arial" w:cs="Arial"/>
          <w:bCs/>
          <w:sz w:val="20"/>
          <w:u w:val="single"/>
          <w:lang w:val="tr-TR"/>
        </w:rPr>
      </w:pPr>
    </w:p>
    <w:p w:rsidR="00D322FB" w:rsidRDefault="00D322FB" w:rsidP="00942BE7">
      <w:pPr>
        <w:rPr>
          <w:rFonts w:ascii="Arial" w:hAnsi="Arial" w:cs="Arial"/>
          <w:lang w:val="tr-TR"/>
        </w:rPr>
      </w:pPr>
      <w:r w:rsidRPr="00F80AD1">
        <w:rPr>
          <w:rFonts w:ascii="Arial" w:hAnsi="Arial" w:cs="Arial"/>
          <w:lang w:val="tr-TR"/>
        </w:rPr>
        <w:t>Adi hisseler, özsermaye olarak sınıflandırılır. Adi hisseler üzerinden dağıtılan temettüler, beyan edildiği dönemde birikmiş kardan indirilerek kaydedilir.</w:t>
      </w:r>
    </w:p>
    <w:p w:rsidR="00D322FB" w:rsidRDefault="00D322FB" w:rsidP="00606D1C">
      <w:pPr>
        <w:autoSpaceDE w:val="0"/>
        <w:autoSpaceDN w:val="0"/>
        <w:adjustRightInd w:val="0"/>
        <w:ind w:right="-23"/>
        <w:rPr>
          <w:rFonts w:ascii="Arial" w:hAnsi="Arial" w:cs="Arial"/>
          <w:b/>
          <w:lang w:val="tr-TR"/>
        </w:rPr>
      </w:pPr>
      <w:r>
        <w:rPr>
          <w:rFonts w:ascii="Arial" w:hAnsi="Arial" w:cs="Arial"/>
          <w:b/>
          <w:lang w:val="tr-TR"/>
        </w:rPr>
        <w:br w:type="page"/>
      </w:r>
    </w:p>
    <w:p w:rsidR="00D322FB" w:rsidRPr="007B4803" w:rsidRDefault="00D322FB" w:rsidP="00606D1C">
      <w:pPr>
        <w:autoSpaceDE w:val="0"/>
        <w:autoSpaceDN w:val="0"/>
        <w:adjustRightInd w:val="0"/>
        <w:ind w:right="-23"/>
        <w:rPr>
          <w:rFonts w:ascii="Arial" w:hAnsi="Arial" w:cs="Arial"/>
          <w:b/>
          <w:lang w:val="tr-TR"/>
        </w:rPr>
      </w:pPr>
      <w:r w:rsidRPr="007B4803">
        <w:rPr>
          <w:rFonts w:ascii="Arial" w:hAnsi="Arial" w:cs="Arial"/>
          <w:b/>
          <w:lang w:val="tr-TR"/>
        </w:rPr>
        <w:lastRenderedPageBreak/>
        <w:t>2.</w:t>
      </w:r>
      <w:r w:rsidRPr="007B4803">
        <w:rPr>
          <w:rFonts w:ascii="Arial" w:hAnsi="Arial" w:cs="Arial"/>
          <w:b/>
          <w:lang w:val="tr-TR"/>
        </w:rPr>
        <w:tab/>
        <w:t>Finansal tabloların sunumuna ilişkin esaslar (devamı)</w:t>
      </w:r>
    </w:p>
    <w:p w:rsidR="00D322FB" w:rsidRDefault="00D322FB" w:rsidP="00606D1C">
      <w:pPr>
        <w:rPr>
          <w:rFonts w:ascii="Arial" w:hAnsi="Arial" w:cs="Arial"/>
          <w:b/>
          <w:lang w:val="tr-TR"/>
        </w:rPr>
      </w:pPr>
    </w:p>
    <w:p w:rsidR="00D322FB" w:rsidRPr="00F45229" w:rsidRDefault="00D322FB" w:rsidP="00606D1C">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D322FB" w:rsidRPr="00F80AD1" w:rsidRDefault="00D322FB" w:rsidP="00942BE7">
      <w:pPr>
        <w:rPr>
          <w:rFonts w:ascii="Arial" w:hAnsi="Arial" w:cs="Arial"/>
          <w:lang w:val="tr-TR"/>
        </w:rPr>
      </w:pPr>
    </w:p>
    <w:p w:rsidR="00D322FB" w:rsidRPr="00842630" w:rsidRDefault="00D322FB" w:rsidP="00061150">
      <w:pPr>
        <w:autoSpaceDE w:val="0"/>
        <w:autoSpaceDN w:val="0"/>
        <w:adjustRightInd w:val="0"/>
        <w:jc w:val="both"/>
        <w:rPr>
          <w:rFonts w:ascii="Arial" w:hAnsi="Arial" w:cs="Arial"/>
          <w:lang w:val="tr-TR"/>
        </w:rPr>
      </w:pPr>
      <w:r w:rsidRPr="00842630">
        <w:rPr>
          <w:rFonts w:ascii="Arial" w:hAnsi="Arial" w:cs="Arial"/>
          <w:b/>
          <w:lang w:val="tr-TR"/>
        </w:rPr>
        <w:t xml:space="preserve">Kiralama işlemleri - kiracı durumunda </w:t>
      </w:r>
    </w:p>
    <w:p w:rsidR="00D322FB" w:rsidRPr="00842630" w:rsidRDefault="00D322FB" w:rsidP="00942BE7">
      <w:pPr>
        <w:tabs>
          <w:tab w:val="left" w:pos="567"/>
          <w:tab w:val="left" w:pos="1440"/>
          <w:tab w:val="left" w:pos="5510"/>
          <w:tab w:val="left" w:pos="5904"/>
          <w:tab w:val="left" w:pos="6283"/>
          <w:tab w:val="left" w:pos="6609"/>
          <w:tab w:val="left" w:pos="8094"/>
          <w:tab w:val="left" w:pos="8664"/>
        </w:tabs>
        <w:autoSpaceDE w:val="0"/>
        <w:autoSpaceDN w:val="0"/>
        <w:adjustRightInd w:val="0"/>
        <w:rPr>
          <w:rFonts w:ascii="Arial" w:hAnsi="Arial" w:cs="Arial"/>
          <w:iCs/>
          <w:color w:val="000000"/>
          <w:lang w:val="tr-TR"/>
        </w:rPr>
      </w:pPr>
    </w:p>
    <w:p w:rsidR="00D322FB" w:rsidRPr="00842630" w:rsidRDefault="00D322FB" w:rsidP="00061150">
      <w:pPr>
        <w:autoSpaceDE w:val="0"/>
        <w:autoSpaceDN w:val="0"/>
        <w:adjustRightInd w:val="0"/>
        <w:rPr>
          <w:rFonts w:ascii="Arial" w:hAnsi="Arial" w:cs="Arial"/>
          <w:lang w:val="tr-TR"/>
        </w:rPr>
      </w:pPr>
      <w:r w:rsidRPr="00842630">
        <w:rPr>
          <w:rFonts w:ascii="Arial" w:hAnsi="Arial" w:cs="Arial"/>
          <w:lang w:val="tr-TR"/>
        </w:rPr>
        <w:t>Mülkiyete ait risk ve faydanın tamamının kiracıya devir edildiği kiralama işlemi, finansal kiralama olarak sınıflandırılır. Diğer bütün kiralamalar operasyonel kiralama olarak sınıflanır.</w:t>
      </w:r>
    </w:p>
    <w:p w:rsidR="00D322FB" w:rsidRPr="00842630" w:rsidRDefault="00D322FB" w:rsidP="00942BE7">
      <w:pPr>
        <w:tabs>
          <w:tab w:val="left" w:pos="567"/>
          <w:tab w:val="left" w:pos="1440"/>
          <w:tab w:val="left" w:pos="5510"/>
          <w:tab w:val="left" w:pos="5904"/>
          <w:tab w:val="left" w:pos="6283"/>
          <w:tab w:val="left" w:pos="6609"/>
          <w:tab w:val="left" w:pos="8094"/>
          <w:tab w:val="left" w:pos="8664"/>
        </w:tabs>
        <w:autoSpaceDE w:val="0"/>
        <w:autoSpaceDN w:val="0"/>
        <w:adjustRightInd w:val="0"/>
        <w:rPr>
          <w:rFonts w:ascii="Arial" w:hAnsi="Arial" w:cs="Arial"/>
          <w:iCs/>
          <w:color w:val="000000"/>
          <w:lang w:val="tr-TR"/>
        </w:rPr>
      </w:pPr>
    </w:p>
    <w:p w:rsidR="00D322FB" w:rsidRPr="00842630" w:rsidRDefault="00D322FB" w:rsidP="00284495">
      <w:pPr>
        <w:autoSpaceDE w:val="0"/>
        <w:autoSpaceDN w:val="0"/>
        <w:adjustRightInd w:val="0"/>
        <w:rPr>
          <w:rFonts w:ascii="Arial" w:hAnsi="Arial" w:cs="Arial"/>
          <w:lang w:val="tr-TR"/>
        </w:rPr>
      </w:pPr>
      <w:r w:rsidRPr="00842630">
        <w:rPr>
          <w:rFonts w:ascii="Arial" w:hAnsi="Arial" w:cs="Arial"/>
          <w:lang w:val="tr-TR"/>
        </w:rPr>
        <w:t>Operasyonel kiralama sözleşmesinden kaynaklanan kira borçları kiralama dönemi boyunca gelir tablosunda eşit tutarlarda gider olarak kaydedilir. Operasyonel kiralamaya teşvik amacıyla elde edilen ve edilecek faydalar da aynı şekilde eşit tutarlarda operasyonel kiralama dönemi boyunca gelir tablosuna yansıtılır.</w:t>
      </w:r>
    </w:p>
    <w:p w:rsidR="00D322FB" w:rsidRPr="00842630" w:rsidRDefault="00D322FB" w:rsidP="00284495">
      <w:pPr>
        <w:autoSpaceDE w:val="0"/>
        <w:autoSpaceDN w:val="0"/>
        <w:adjustRightInd w:val="0"/>
        <w:rPr>
          <w:rFonts w:ascii="Arial" w:hAnsi="Arial" w:cs="Arial"/>
          <w:b/>
          <w:snapToGrid w:val="0"/>
          <w:lang w:val="tr-TR"/>
        </w:rPr>
      </w:pPr>
    </w:p>
    <w:p w:rsidR="00D322FB" w:rsidRPr="00842630" w:rsidRDefault="00D322FB" w:rsidP="005C3EEB">
      <w:pPr>
        <w:pStyle w:val="Heading2"/>
        <w:rPr>
          <w:rFonts w:ascii="Arial" w:hAnsi="Arial" w:cs="Arial"/>
          <w:snapToGrid w:val="0"/>
          <w:sz w:val="20"/>
          <w:lang w:val="de-DE"/>
        </w:rPr>
      </w:pPr>
      <w:r w:rsidRPr="00842630">
        <w:rPr>
          <w:rFonts w:ascii="Arial" w:hAnsi="Arial" w:cs="Arial"/>
          <w:snapToGrid w:val="0"/>
          <w:sz w:val="20"/>
          <w:lang w:val="de-DE"/>
        </w:rPr>
        <w:t>2.6</w:t>
      </w:r>
      <w:r w:rsidRPr="00842630">
        <w:rPr>
          <w:rFonts w:ascii="Arial" w:hAnsi="Arial" w:cs="Arial"/>
          <w:snapToGrid w:val="0"/>
          <w:sz w:val="20"/>
          <w:lang w:val="de-DE"/>
        </w:rPr>
        <w:tab/>
        <w:t>Önemli muhasebe değerlendirme, tahmin ve varsayımları</w:t>
      </w:r>
    </w:p>
    <w:p w:rsidR="00D322FB" w:rsidRPr="00842630" w:rsidRDefault="00D322FB" w:rsidP="00CE39DB">
      <w:pPr>
        <w:widowControl w:val="0"/>
        <w:ind w:left="567" w:hanging="567"/>
        <w:rPr>
          <w:rFonts w:ascii="Arial" w:hAnsi="Arial" w:cs="Arial"/>
          <w:b/>
          <w:snapToGrid w:val="0"/>
          <w:lang w:val="de-DE"/>
        </w:rPr>
      </w:pPr>
    </w:p>
    <w:p w:rsidR="00D322FB" w:rsidRPr="00842630" w:rsidRDefault="00D322FB" w:rsidP="00A27292">
      <w:pPr>
        <w:widowControl w:val="0"/>
        <w:rPr>
          <w:rFonts w:ascii="Arial" w:hAnsi="Arial" w:cs="Arial"/>
          <w:snapToGrid w:val="0"/>
          <w:lang w:val="de-DE"/>
        </w:rPr>
      </w:pPr>
      <w:r w:rsidRPr="00842630">
        <w:rPr>
          <w:rFonts w:ascii="Arial" w:hAnsi="Arial" w:cs="Arial"/>
          <w:snapToGrid w:val="0"/>
          <w:lang w:val="de-DE"/>
        </w:rPr>
        <w:t>Finansal tabloların hazırlanmasında Şirket yönetiminin, raporlanan varlık ve yükümlülük tutarlarını etkileyecek, bilanço tarihi itibari ile vukuu muhtemel yükümlülük ve taahhütleri ve raporlama dönemi itibariyle gelir ve gider tutarlarını belirleyen varsayımlar ve tahminler yapması gerekmektedir. Gerçekleşmiş sonuçlar tahminlerden farklı olabilmektedir. Tahminler düzenli olarak gözden geçirilmekte, gerekli düzeltmeler yapılmakta ve gerçekleştikleri dönemde gelir tablosuna yansıtılmaktadırlar.</w:t>
      </w:r>
      <w:r w:rsidRPr="00842630">
        <w:rPr>
          <w:rFonts w:ascii="Arial" w:hAnsi="Arial" w:cs="Arial"/>
          <w:lang w:val="de-DE"/>
        </w:rPr>
        <w:t xml:space="preserve"> Ancak, gerçek sonuçlar, bu sonuçlardan farklılık gösterebilmektedir.</w:t>
      </w:r>
    </w:p>
    <w:p w:rsidR="00D322FB" w:rsidRPr="00842630" w:rsidRDefault="00D322FB" w:rsidP="00CE39DB">
      <w:pPr>
        <w:widowControl w:val="0"/>
        <w:rPr>
          <w:rFonts w:ascii="Arial" w:hAnsi="Arial" w:cs="Arial"/>
          <w:snapToGrid w:val="0"/>
          <w:sz w:val="18"/>
          <w:highlight w:val="yellow"/>
          <w:lang w:val="de-DE"/>
        </w:rPr>
      </w:pPr>
    </w:p>
    <w:p w:rsidR="00D322FB" w:rsidRPr="00842630" w:rsidRDefault="00D322FB" w:rsidP="001F4F7C">
      <w:pPr>
        <w:widowControl w:val="0"/>
        <w:rPr>
          <w:rFonts w:ascii="Arial" w:hAnsi="Arial" w:cs="Arial"/>
          <w:snapToGrid w:val="0"/>
          <w:lang w:val="de-DE"/>
        </w:rPr>
      </w:pPr>
      <w:r w:rsidRPr="00842630">
        <w:rPr>
          <w:rFonts w:ascii="Arial" w:hAnsi="Arial" w:cs="Arial"/>
          <w:snapToGrid w:val="0"/>
          <w:lang w:val="de-DE"/>
        </w:rPr>
        <w:t>Finansal tablolara yansıtılan tutarlar üzerinde önemli derecede etkisi olabilecek yorumlar ve bilanço tarihinde var olan veya ileride gerçekleşebilecek tahminlerin esas kaynakları göz önünde bulundurularak varsayımlar yapar. Kullanılan önemli muhasebe değerlendirme, tahmin ve varsayımlar ilgili muhasebe politikalarında gösterilmektedir. Başlıcaları, aşağıdaki gibidir:</w:t>
      </w:r>
    </w:p>
    <w:p w:rsidR="00D322FB" w:rsidRPr="00842630" w:rsidRDefault="00D322FB" w:rsidP="001F4F7C">
      <w:pPr>
        <w:widowControl w:val="0"/>
        <w:rPr>
          <w:rFonts w:ascii="Arial" w:hAnsi="Arial" w:cs="Arial"/>
          <w:snapToGrid w:val="0"/>
          <w:sz w:val="18"/>
          <w:lang w:val="de-DE"/>
        </w:rPr>
      </w:pPr>
    </w:p>
    <w:p w:rsidR="00D322FB" w:rsidRPr="00842630" w:rsidRDefault="00D322FB" w:rsidP="001F4F7C">
      <w:pPr>
        <w:widowControl w:val="0"/>
        <w:ind w:left="567" w:hanging="567"/>
        <w:rPr>
          <w:rFonts w:ascii="Arial" w:hAnsi="Arial" w:cs="Arial"/>
          <w:snapToGrid w:val="0"/>
          <w:lang w:val="de-DE"/>
        </w:rPr>
      </w:pPr>
      <w:r w:rsidRPr="00842630">
        <w:rPr>
          <w:rFonts w:ascii="Arial" w:hAnsi="Arial" w:cs="Arial"/>
          <w:snapToGrid w:val="0"/>
          <w:lang w:val="de-DE"/>
        </w:rPr>
        <w:t xml:space="preserve">a) </w:t>
      </w:r>
      <w:r w:rsidRPr="00842630">
        <w:rPr>
          <w:rFonts w:ascii="Arial" w:hAnsi="Arial" w:cs="Arial"/>
          <w:snapToGrid w:val="0"/>
          <w:lang w:val="de-DE"/>
        </w:rPr>
        <w:tab/>
        <w:t xml:space="preserve">Kıdem tazminatı yükümlülüğü aktüeryal varsayımlar (iskonto oranları, gelecek maaş artışları ve çalışan ayrılma oranları) kullanılarak belirlenir. </w:t>
      </w:r>
    </w:p>
    <w:p w:rsidR="00D322FB" w:rsidRPr="00842630" w:rsidRDefault="00D322FB" w:rsidP="001F4F7C">
      <w:pPr>
        <w:widowControl w:val="0"/>
        <w:ind w:left="567" w:hanging="567"/>
        <w:rPr>
          <w:rFonts w:ascii="Arial" w:hAnsi="Arial" w:cs="Arial"/>
          <w:snapToGrid w:val="0"/>
          <w:sz w:val="18"/>
          <w:lang w:val="de-DE"/>
        </w:rPr>
      </w:pPr>
    </w:p>
    <w:p w:rsidR="00D322FB" w:rsidRPr="00842630" w:rsidRDefault="00D322FB" w:rsidP="001F4F7C">
      <w:pPr>
        <w:widowControl w:val="0"/>
        <w:ind w:left="567" w:hanging="567"/>
        <w:rPr>
          <w:rFonts w:ascii="Arial" w:hAnsi="Arial" w:cs="Arial"/>
          <w:snapToGrid w:val="0"/>
          <w:lang w:val="de-DE"/>
        </w:rPr>
      </w:pPr>
      <w:r w:rsidRPr="00842630">
        <w:rPr>
          <w:rFonts w:ascii="Arial" w:hAnsi="Arial" w:cs="Arial"/>
          <w:snapToGrid w:val="0"/>
          <w:lang w:val="de-DE"/>
        </w:rPr>
        <w:t>b)</w:t>
      </w:r>
      <w:r w:rsidRPr="00842630">
        <w:rPr>
          <w:rFonts w:ascii="Arial" w:hAnsi="Arial" w:cs="Arial"/>
          <w:snapToGrid w:val="0"/>
          <w:lang w:val="de-DE"/>
        </w:rPr>
        <w:tab/>
        <w:t>Ertelenmiş vergi varlıkları gelecekte vergiye tabi kar elde etmek suretiyle geçici farklardan ve birikmiş zararlardan faydalanmanın kuvvetle muhtemel olması durumunda kaydedilmektedir. Kaydedilecek olan ertelenmiş vergi varlıkların tutarı belirlenirken gelecekte oluşabilecek olan vergilendirilebilir karlara ilişkin önemli tahminler ve değerlendirmeler yapmak gerekmektedir.</w:t>
      </w:r>
    </w:p>
    <w:p w:rsidR="00D322FB" w:rsidRPr="00727376" w:rsidRDefault="00D322FB" w:rsidP="001F4F7C">
      <w:pPr>
        <w:pStyle w:val="BodyTextIndent"/>
        <w:ind w:left="0" w:firstLine="0"/>
        <w:rPr>
          <w:rFonts w:ascii="Arial" w:hAnsi="Arial" w:cs="Arial"/>
          <w:color w:val="000000"/>
          <w:sz w:val="20"/>
          <w:highlight w:val="yellow"/>
          <w:lang w:val="tr-TR"/>
        </w:rPr>
      </w:pPr>
    </w:p>
    <w:p w:rsidR="00D322FB" w:rsidRPr="00727376" w:rsidRDefault="00D322FB" w:rsidP="00C82EBF">
      <w:pPr>
        <w:ind w:right="-23"/>
        <w:rPr>
          <w:rFonts w:ascii="Arial" w:hAnsi="Arial" w:cs="Arial"/>
          <w:b/>
          <w:highlight w:val="yellow"/>
          <w:lang w:val="tr-TR"/>
        </w:rPr>
      </w:pPr>
    </w:p>
    <w:p w:rsidR="00D322FB" w:rsidRPr="00284495" w:rsidRDefault="00D322FB" w:rsidP="005C3EEB">
      <w:pPr>
        <w:pStyle w:val="Heading1"/>
        <w:rPr>
          <w:rFonts w:ascii="Arial" w:hAnsi="Arial" w:cs="Arial"/>
          <w:color w:val="auto"/>
          <w:sz w:val="20"/>
          <w:highlight w:val="yellow"/>
          <w:lang w:val="tr-TR"/>
        </w:rPr>
      </w:pPr>
      <w:r w:rsidRPr="00284495">
        <w:rPr>
          <w:rFonts w:ascii="Arial" w:hAnsi="Arial" w:cs="Arial"/>
          <w:color w:val="auto"/>
          <w:sz w:val="20"/>
          <w:lang w:val="tr-TR"/>
        </w:rPr>
        <w:t>3.</w:t>
      </w:r>
      <w:r w:rsidRPr="00284495">
        <w:rPr>
          <w:rFonts w:ascii="Arial" w:hAnsi="Arial" w:cs="Arial"/>
          <w:color w:val="auto"/>
          <w:sz w:val="20"/>
          <w:lang w:val="tr-TR"/>
        </w:rPr>
        <w:tab/>
      </w:r>
      <w:r w:rsidRPr="00284495">
        <w:rPr>
          <w:rFonts w:ascii="Arial" w:hAnsi="Arial" w:cs="Arial"/>
          <w:color w:val="auto"/>
          <w:spacing w:val="-2"/>
          <w:sz w:val="20"/>
          <w:lang w:val="tr-TR"/>
        </w:rPr>
        <w:t>Bölümlere göre raporlama</w:t>
      </w:r>
    </w:p>
    <w:p w:rsidR="00D322FB" w:rsidRPr="002A0011" w:rsidRDefault="00D322FB" w:rsidP="00F60B8B">
      <w:pPr>
        <w:ind w:right="-23"/>
        <w:rPr>
          <w:rFonts w:ascii="Arial" w:hAnsi="Arial" w:cs="Arial"/>
          <w:lang w:val="tr-TR"/>
        </w:rPr>
      </w:pPr>
    </w:p>
    <w:p w:rsidR="00D322FB" w:rsidRPr="002A0011" w:rsidRDefault="00D322FB" w:rsidP="00A5612D">
      <w:pPr>
        <w:autoSpaceDE w:val="0"/>
        <w:autoSpaceDN w:val="0"/>
        <w:adjustRightInd w:val="0"/>
        <w:rPr>
          <w:rFonts w:ascii="Arial" w:hAnsi="Arial" w:cs="Arial"/>
          <w:lang w:val="tr-TR"/>
        </w:rPr>
      </w:pPr>
      <w:r w:rsidRPr="002A0011">
        <w:rPr>
          <w:rFonts w:ascii="Arial" w:hAnsi="Arial" w:cs="Arial"/>
          <w:lang w:val="tr-TR"/>
        </w:rPr>
        <w:t xml:space="preserve">31 </w:t>
      </w:r>
      <w:r w:rsidR="00001C13">
        <w:rPr>
          <w:rFonts w:ascii="Arial" w:hAnsi="Arial" w:cs="Arial"/>
          <w:lang w:val="tr-TR"/>
        </w:rPr>
        <w:t>Mart</w:t>
      </w:r>
      <w:r w:rsidRPr="002A0011">
        <w:rPr>
          <w:rFonts w:ascii="Arial" w:hAnsi="Arial" w:cs="Arial"/>
          <w:lang w:val="tr-TR"/>
        </w:rPr>
        <w:t xml:space="preserve"> 201</w:t>
      </w:r>
      <w:r w:rsidR="00001C13">
        <w:rPr>
          <w:rFonts w:ascii="Arial" w:hAnsi="Arial" w:cs="Arial"/>
          <w:lang w:val="tr-TR"/>
        </w:rPr>
        <w:t>5</w:t>
      </w:r>
      <w:r w:rsidRPr="002A0011">
        <w:rPr>
          <w:rFonts w:ascii="Arial" w:hAnsi="Arial" w:cs="Arial"/>
          <w:lang w:val="tr-TR"/>
        </w:rPr>
        <w:t xml:space="preserve"> ve 201</w:t>
      </w:r>
      <w:r w:rsidR="00001C13">
        <w:rPr>
          <w:rFonts w:ascii="Arial" w:hAnsi="Arial" w:cs="Arial"/>
          <w:lang w:val="tr-TR"/>
        </w:rPr>
        <w:t>4</w:t>
      </w:r>
      <w:r w:rsidRPr="002A0011">
        <w:rPr>
          <w:rFonts w:ascii="Arial" w:hAnsi="Arial" w:cs="Arial"/>
          <w:lang w:val="tr-TR"/>
        </w:rPr>
        <w:t xml:space="preserve"> tarihleri itibariyle Şirket, tüm operasyonel işlemlerini yurtiçi piyasalardan gerçekleştirmekte olduğundan bölümlere göre raporlamayı gerektirecek herhangi bir farklı faaliyet alanı ve farklı coğrafi bölge ya da Şirket’in operasyonel gelirlerinin %10’nundan fazlasını elde ettiği tek bir müşterisi bulunmamaktadır.</w:t>
      </w:r>
    </w:p>
    <w:p w:rsidR="00D322FB" w:rsidRDefault="00D322FB" w:rsidP="00286108">
      <w:pPr>
        <w:ind w:right="-23"/>
        <w:rPr>
          <w:rFonts w:ascii="Arial" w:hAnsi="Arial" w:cs="Arial"/>
          <w:b/>
          <w:highlight w:val="yellow"/>
          <w:lang w:val="tr-TR"/>
        </w:rPr>
      </w:pPr>
    </w:p>
    <w:p w:rsidR="00D322FB" w:rsidRDefault="00D322FB" w:rsidP="00286108">
      <w:pPr>
        <w:ind w:right="-23"/>
        <w:rPr>
          <w:rFonts w:ascii="Arial" w:hAnsi="Arial" w:cs="Arial"/>
          <w:b/>
          <w:lang w:val="tr-TR"/>
        </w:rPr>
      </w:pPr>
      <w:r>
        <w:rPr>
          <w:rFonts w:ascii="Arial" w:hAnsi="Arial" w:cs="Arial"/>
          <w:b/>
          <w:lang w:val="tr-TR"/>
        </w:rPr>
        <w:br w:type="page"/>
      </w: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lastRenderedPageBreak/>
        <w:t>4.</w:t>
      </w:r>
      <w:r w:rsidRPr="00284495">
        <w:rPr>
          <w:rFonts w:ascii="Arial" w:hAnsi="Arial" w:cs="Arial"/>
          <w:color w:val="auto"/>
          <w:sz w:val="20"/>
          <w:lang w:val="tr-TR"/>
        </w:rPr>
        <w:tab/>
        <w:t>Nakit ve nakit benzerleri</w:t>
      </w:r>
    </w:p>
    <w:p w:rsidR="00D322FB" w:rsidRDefault="00D322FB" w:rsidP="000E0F91">
      <w:pPr>
        <w:ind w:left="567" w:right="-23" w:hanging="567"/>
        <w:rPr>
          <w:rFonts w:ascii="Arial" w:hAnsi="Arial" w:cs="Arial"/>
          <w:b/>
          <w:highlight w:val="yellow"/>
          <w:lang w:val="tr-TR"/>
        </w:rPr>
      </w:pPr>
    </w:p>
    <w:p w:rsidR="00D322FB" w:rsidRPr="00776A7A" w:rsidRDefault="00CC4C4F" w:rsidP="00404A09">
      <w:pPr>
        <w:pStyle w:val="body0"/>
        <w:spacing w:after="0" w:line="230" w:lineRule="auto"/>
        <w:ind w:right="-21"/>
        <w:jc w:val="left"/>
        <w:rPr>
          <w:rFonts w:ascii="Arial" w:hAnsi="Arial" w:cs="Arial"/>
          <w:sz w:val="20"/>
          <w:szCs w:val="20"/>
          <w:lang w:val="tr-TR"/>
        </w:rPr>
      </w:pPr>
      <w:r>
        <w:rPr>
          <w:rFonts w:ascii="Arial" w:hAnsi="Arial" w:cs="Arial"/>
          <w:sz w:val="20"/>
          <w:szCs w:val="20"/>
          <w:lang w:val="tr-TR"/>
        </w:rPr>
        <w:t>Şirket’in 31 Mart</w:t>
      </w:r>
      <w:r w:rsidR="00D322FB" w:rsidRPr="00776A7A">
        <w:rPr>
          <w:rFonts w:ascii="Arial" w:hAnsi="Arial" w:cs="Arial"/>
          <w:sz w:val="20"/>
          <w:szCs w:val="20"/>
          <w:lang w:val="tr-TR"/>
        </w:rPr>
        <w:t xml:space="preserve"> 201</w:t>
      </w:r>
      <w:r>
        <w:rPr>
          <w:rFonts w:ascii="Arial" w:hAnsi="Arial" w:cs="Arial"/>
          <w:sz w:val="20"/>
          <w:szCs w:val="20"/>
          <w:lang w:val="tr-TR"/>
        </w:rPr>
        <w:t>5</w:t>
      </w:r>
      <w:r w:rsidR="00D322FB">
        <w:rPr>
          <w:rFonts w:ascii="Arial" w:hAnsi="Arial" w:cs="Arial"/>
          <w:sz w:val="20"/>
          <w:szCs w:val="20"/>
          <w:lang w:val="tr-TR"/>
        </w:rPr>
        <w:t xml:space="preserve"> ve </w:t>
      </w:r>
      <w:r>
        <w:rPr>
          <w:rFonts w:ascii="Arial" w:hAnsi="Arial" w:cs="Arial"/>
          <w:sz w:val="20"/>
          <w:szCs w:val="20"/>
          <w:lang w:val="tr-TR"/>
        </w:rPr>
        <w:t xml:space="preserve">31 Aralık </w:t>
      </w:r>
      <w:r w:rsidR="00D322FB">
        <w:rPr>
          <w:rFonts w:ascii="Arial" w:hAnsi="Arial" w:cs="Arial"/>
          <w:sz w:val="20"/>
          <w:szCs w:val="20"/>
          <w:lang w:val="tr-TR"/>
        </w:rPr>
        <w:t>201</w:t>
      </w:r>
      <w:r>
        <w:rPr>
          <w:rFonts w:ascii="Arial" w:hAnsi="Arial" w:cs="Arial"/>
          <w:sz w:val="20"/>
          <w:szCs w:val="20"/>
          <w:lang w:val="tr-TR"/>
        </w:rPr>
        <w:t>4</w:t>
      </w:r>
      <w:r w:rsidR="00D322FB" w:rsidRPr="00776A7A">
        <w:rPr>
          <w:rFonts w:ascii="Arial" w:hAnsi="Arial" w:cs="Arial"/>
          <w:sz w:val="20"/>
          <w:szCs w:val="20"/>
          <w:lang w:val="tr-TR"/>
        </w:rPr>
        <w:t xml:space="preserve"> tarih</w:t>
      </w:r>
      <w:r w:rsidR="00D322FB">
        <w:rPr>
          <w:rFonts w:ascii="Arial" w:hAnsi="Arial" w:cs="Arial"/>
          <w:sz w:val="20"/>
          <w:szCs w:val="20"/>
          <w:lang w:val="tr-TR"/>
        </w:rPr>
        <w:t>ler</w:t>
      </w:r>
      <w:r w:rsidR="00D322FB" w:rsidRPr="00776A7A">
        <w:rPr>
          <w:rFonts w:ascii="Arial" w:hAnsi="Arial" w:cs="Arial"/>
          <w:sz w:val="20"/>
          <w:szCs w:val="20"/>
          <w:lang w:val="tr-TR"/>
        </w:rPr>
        <w:t xml:space="preserve">i itibariyle </w:t>
      </w:r>
      <w:r w:rsidR="00D322FB">
        <w:rPr>
          <w:rFonts w:ascii="Arial" w:hAnsi="Arial" w:cs="Arial"/>
          <w:sz w:val="20"/>
          <w:szCs w:val="20"/>
          <w:lang w:val="tr-TR"/>
        </w:rPr>
        <w:t xml:space="preserve">nakit ve nakit benzerleri </w:t>
      </w:r>
      <w:r w:rsidR="00D322FB" w:rsidRPr="00776A7A">
        <w:rPr>
          <w:rFonts w:ascii="Arial" w:hAnsi="Arial" w:cs="Arial"/>
          <w:sz w:val="20"/>
          <w:szCs w:val="20"/>
          <w:lang w:val="tr-TR"/>
        </w:rPr>
        <w:t>detayı aşağıdaki gibidir:</w:t>
      </w:r>
    </w:p>
    <w:p w:rsidR="00D322FB" w:rsidRPr="00727376" w:rsidRDefault="00D322FB" w:rsidP="000E0F91">
      <w:pPr>
        <w:ind w:left="567" w:right="-23" w:hanging="567"/>
        <w:rPr>
          <w:rFonts w:ascii="Arial" w:hAnsi="Arial" w:cs="Arial"/>
          <w:b/>
          <w:highlight w:val="yellow"/>
          <w:lang w:val="tr-TR"/>
        </w:rPr>
      </w:pPr>
    </w:p>
    <w:tbl>
      <w:tblPr>
        <w:tblW w:w="9072" w:type="dxa"/>
        <w:tblInd w:w="108" w:type="dxa"/>
        <w:tblLayout w:type="fixed"/>
        <w:tblLook w:val="01E0" w:firstRow="1" w:lastRow="1" w:firstColumn="1" w:lastColumn="1" w:noHBand="0" w:noVBand="0"/>
      </w:tblPr>
      <w:tblGrid>
        <w:gridCol w:w="5670"/>
        <w:gridCol w:w="1701"/>
        <w:gridCol w:w="1701"/>
      </w:tblGrid>
      <w:tr w:rsidR="00D322FB" w:rsidRPr="00727376" w:rsidTr="0099469B">
        <w:tc>
          <w:tcPr>
            <w:tcW w:w="5670" w:type="dxa"/>
            <w:tcBorders>
              <w:top w:val="single" w:sz="4" w:space="0" w:color="auto"/>
              <w:bottom w:val="single" w:sz="4" w:space="0" w:color="auto"/>
            </w:tcBorders>
          </w:tcPr>
          <w:p w:rsidR="00D322FB" w:rsidRPr="00A856BD" w:rsidRDefault="00D322FB" w:rsidP="000E5E54">
            <w:pPr>
              <w:autoSpaceDE w:val="0"/>
              <w:autoSpaceDN w:val="0"/>
              <w:adjustRightInd w:val="0"/>
              <w:jc w:val="both"/>
              <w:rPr>
                <w:rFonts w:ascii="Arial" w:hAnsi="Arial" w:cs="Arial"/>
                <w:lang w:val="tr-TR"/>
              </w:rPr>
            </w:pPr>
          </w:p>
        </w:tc>
        <w:tc>
          <w:tcPr>
            <w:tcW w:w="1701" w:type="dxa"/>
            <w:tcBorders>
              <w:top w:val="single" w:sz="4" w:space="0" w:color="auto"/>
              <w:bottom w:val="single" w:sz="4" w:space="0" w:color="auto"/>
            </w:tcBorders>
            <w:vAlign w:val="bottom"/>
          </w:tcPr>
          <w:p w:rsidR="00D322FB" w:rsidRPr="00A856BD" w:rsidRDefault="00D322FB" w:rsidP="00DD5697">
            <w:pPr>
              <w:autoSpaceDE w:val="0"/>
              <w:autoSpaceDN w:val="0"/>
              <w:adjustRightInd w:val="0"/>
              <w:jc w:val="right"/>
              <w:rPr>
                <w:rFonts w:ascii="Arial" w:hAnsi="Arial" w:cs="Arial"/>
                <w:b/>
                <w:lang w:val="tr-TR"/>
              </w:rPr>
            </w:pPr>
            <w:r w:rsidRPr="00A856BD">
              <w:rPr>
                <w:rFonts w:ascii="Arial" w:hAnsi="Arial" w:cs="Arial"/>
                <w:b/>
                <w:lang w:val="tr-TR"/>
              </w:rPr>
              <w:t xml:space="preserve">31 </w:t>
            </w:r>
            <w:r>
              <w:rPr>
                <w:rFonts w:ascii="Arial" w:hAnsi="Arial" w:cs="Arial"/>
                <w:b/>
                <w:lang w:val="tr-TR"/>
              </w:rPr>
              <w:t>Mart 2015</w:t>
            </w:r>
          </w:p>
        </w:tc>
        <w:tc>
          <w:tcPr>
            <w:tcW w:w="1701" w:type="dxa"/>
            <w:tcBorders>
              <w:top w:val="single" w:sz="4" w:space="0" w:color="auto"/>
              <w:bottom w:val="single" w:sz="4" w:space="0" w:color="auto"/>
            </w:tcBorders>
            <w:vAlign w:val="bottom"/>
          </w:tcPr>
          <w:p w:rsidR="00D322FB" w:rsidRPr="00A856BD" w:rsidRDefault="00D322FB" w:rsidP="00DE18BD">
            <w:pPr>
              <w:autoSpaceDE w:val="0"/>
              <w:autoSpaceDN w:val="0"/>
              <w:adjustRightInd w:val="0"/>
              <w:jc w:val="right"/>
              <w:rPr>
                <w:rFonts w:ascii="Arial" w:hAnsi="Arial" w:cs="Arial"/>
                <w:b/>
                <w:lang w:val="tr-TR"/>
              </w:rPr>
            </w:pPr>
            <w:r w:rsidRPr="00A856BD">
              <w:rPr>
                <w:rFonts w:ascii="Arial" w:hAnsi="Arial" w:cs="Arial"/>
                <w:b/>
                <w:lang w:val="tr-TR"/>
              </w:rPr>
              <w:t>31 Aralık 2014</w:t>
            </w:r>
          </w:p>
        </w:tc>
      </w:tr>
      <w:tr w:rsidR="00D322FB" w:rsidRPr="00727376" w:rsidTr="0099469B">
        <w:tc>
          <w:tcPr>
            <w:tcW w:w="5670" w:type="dxa"/>
            <w:tcBorders>
              <w:top w:val="single" w:sz="4" w:space="0" w:color="auto"/>
            </w:tcBorders>
          </w:tcPr>
          <w:p w:rsidR="00D322FB" w:rsidRPr="00995A2A" w:rsidRDefault="00D322FB" w:rsidP="000E5E54">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D322FB" w:rsidRPr="00727376" w:rsidRDefault="00D322FB" w:rsidP="000E5E54">
            <w:pPr>
              <w:autoSpaceDE w:val="0"/>
              <w:autoSpaceDN w:val="0"/>
              <w:adjustRightInd w:val="0"/>
              <w:jc w:val="right"/>
              <w:rPr>
                <w:rFonts w:ascii="Arial" w:hAnsi="Arial" w:cs="Arial"/>
                <w:b/>
                <w:highlight w:val="yellow"/>
                <w:lang w:val="tr-TR"/>
              </w:rPr>
            </w:pPr>
          </w:p>
        </w:tc>
        <w:tc>
          <w:tcPr>
            <w:tcW w:w="1701" w:type="dxa"/>
            <w:tcBorders>
              <w:top w:val="single" w:sz="4" w:space="0" w:color="auto"/>
            </w:tcBorders>
            <w:vAlign w:val="center"/>
          </w:tcPr>
          <w:p w:rsidR="00D322FB" w:rsidRPr="00727376" w:rsidRDefault="00D322FB" w:rsidP="00DE18BD">
            <w:pPr>
              <w:autoSpaceDE w:val="0"/>
              <w:autoSpaceDN w:val="0"/>
              <w:adjustRightInd w:val="0"/>
              <w:jc w:val="right"/>
              <w:rPr>
                <w:rFonts w:ascii="Arial" w:hAnsi="Arial" w:cs="Arial"/>
                <w:b/>
                <w:highlight w:val="yellow"/>
                <w:lang w:val="tr-TR"/>
              </w:rPr>
            </w:pPr>
          </w:p>
        </w:tc>
      </w:tr>
      <w:tr w:rsidR="00D322FB" w:rsidRPr="00727376" w:rsidTr="0099469B">
        <w:tc>
          <w:tcPr>
            <w:tcW w:w="5670" w:type="dxa"/>
          </w:tcPr>
          <w:p w:rsidR="00D322FB" w:rsidRPr="00995A2A" w:rsidRDefault="00D322FB" w:rsidP="000E5E54">
            <w:pPr>
              <w:autoSpaceDE w:val="0"/>
              <w:autoSpaceDN w:val="0"/>
              <w:adjustRightInd w:val="0"/>
              <w:ind w:left="-108"/>
              <w:jc w:val="both"/>
              <w:rPr>
                <w:rFonts w:ascii="Arial" w:hAnsi="Arial" w:cs="Arial"/>
                <w:lang w:val="tr-TR"/>
              </w:rPr>
            </w:pPr>
            <w:r w:rsidRPr="00995A2A">
              <w:rPr>
                <w:rFonts w:ascii="Arial" w:hAnsi="Arial" w:cs="Arial"/>
                <w:lang w:val="tr-TR"/>
              </w:rPr>
              <w:t>Vadesiz mevduat</w:t>
            </w:r>
          </w:p>
        </w:tc>
        <w:tc>
          <w:tcPr>
            <w:tcW w:w="1701" w:type="dxa"/>
            <w:vAlign w:val="bottom"/>
          </w:tcPr>
          <w:p w:rsidR="00D322FB" w:rsidRDefault="00D322FB" w:rsidP="00145A33">
            <w:pPr>
              <w:jc w:val="right"/>
              <w:rPr>
                <w:rFonts w:ascii="Arial" w:hAnsi="Arial" w:cs="Arial"/>
                <w:b/>
                <w:bCs/>
                <w:color w:val="000000"/>
              </w:rPr>
            </w:pPr>
            <w:r>
              <w:rPr>
                <w:rFonts w:ascii="Arial" w:hAnsi="Arial" w:cs="Arial"/>
                <w:b/>
                <w:bCs/>
                <w:color w:val="000000"/>
              </w:rPr>
              <w:t xml:space="preserve">                </w:t>
            </w:r>
            <w:r w:rsidR="00145A33">
              <w:rPr>
                <w:rFonts w:ascii="Arial" w:hAnsi="Arial" w:cs="Arial"/>
                <w:b/>
                <w:bCs/>
                <w:color w:val="000000"/>
              </w:rPr>
              <w:t>59.084</w:t>
            </w:r>
            <w:r>
              <w:rPr>
                <w:rFonts w:ascii="Arial" w:hAnsi="Arial" w:cs="Arial"/>
                <w:b/>
                <w:bCs/>
                <w:color w:val="000000"/>
              </w:rPr>
              <w:t xml:space="preserve"> </w:t>
            </w:r>
          </w:p>
        </w:tc>
        <w:tc>
          <w:tcPr>
            <w:tcW w:w="1701" w:type="dxa"/>
            <w:vAlign w:val="bottom"/>
          </w:tcPr>
          <w:p w:rsidR="00D322FB" w:rsidRDefault="00D322FB" w:rsidP="00DE18BD">
            <w:pPr>
              <w:jc w:val="right"/>
              <w:rPr>
                <w:rFonts w:ascii="Arial" w:hAnsi="Arial" w:cs="Arial"/>
                <w:b/>
                <w:bCs/>
                <w:color w:val="000000"/>
              </w:rPr>
            </w:pPr>
            <w:r>
              <w:rPr>
                <w:rFonts w:ascii="Arial" w:hAnsi="Arial" w:cs="Arial"/>
                <w:b/>
                <w:bCs/>
                <w:color w:val="000000"/>
              </w:rPr>
              <w:t xml:space="preserve">                   710 </w:t>
            </w:r>
          </w:p>
        </w:tc>
      </w:tr>
      <w:tr w:rsidR="00D322FB" w:rsidRPr="00727376" w:rsidTr="0099469B">
        <w:tc>
          <w:tcPr>
            <w:tcW w:w="5670" w:type="dxa"/>
          </w:tcPr>
          <w:p w:rsidR="00D322FB" w:rsidRPr="00995A2A" w:rsidRDefault="00D322FB" w:rsidP="000E5E54">
            <w:pPr>
              <w:autoSpaceDE w:val="0"/>
              <w:autoSpaceDN w:val="0"/>
              <w:adjustRightInd w:val="0"/>
              <w:ind w:left="-108" w:right="1026"/>
              <w:jc w:val="both"/>
              <w:rPr>
                <w:rFonts w:ascii="Arial" w:hAnsi="Arial" w:cs="Arial"/>
                <w:lang w:val="tr-TR"/>
              </w:rPr>
            </w:pPr>
            <w:r w:rsidRPr="00995A2A">
              <w:rPr>
                <w:rFonts w:ascii="Arial" w:hAnsi="Arial" w:cs="Arial"/>
                <w:lang w:val="tr-TR"/>
              </w:rPr>
              <w:t>Vadeli mevduat (orijinal vadesi 3 aydan kısa)</w:t>
            </w:r>
          </w:p>
        </w:tc>
        <w:tc>
          <w:tcPr>
            <w:tcW w:w="1701" w:type="dxa"/>
            <w:vAlign w:val="bottom"/>
          </w:tcPr>
          <w:p w:rsidR="00D322FB" w:rsidRDefault="00145A33" w:rsidP="00121AF9">
            <w:pPr>
              <w:jc w:val="right"/>
              <w:rPr>
                <w:rFonts w:ascii="Arial" w:hAnsi="Arial" w:cs="Arial"/>
                <w:b/>
                <w:bCs/>
                <w:color w:val="000000"/>
              </w:rPr>
            </w:pPr>
            <w:r>
              <w:rPr>
                <w:rFonts w:ascii="Arial" w:hAnsi="Arial" w:cs="Arial"/>
                <w:b/>
                <w:bCs/>
                <w:color w:val="000000"/>
              </w:rPr>
              <w:t>1.052.385</w:t>
            </w:r>
          </w:p>
        </w:tc>
        <w:tc>
          <w:tcPr>
            <w:tcW w:w="1701" w:type="dxa"/>
            <w:vAlign w:val="bottom"/>
          </w:tcPr>
          <w:p w:rsidR="00D322FB" w:rsidRDefault="00D322FB" w:rsidP="00DE18BD">
            <w:pPr>
              <w:jc w:val="right"/>
              <w:rPr>
                <w:rFonts w:ascii="Arial" w:hAnsi="Arial" w:cs="Arial"/>
                <w:b/>
                <w:bCs/>
                <w:color w:val="000000"/>
              </w:rPr>
            </w:pPr>
            <w:r>
              <w:rPr>
                <w:rFonts w:ascii="Arial" w:hAnsi="Arial" w:cs="Arial"/>
                <w:b/>
                <w:bCs/>
                <w:color w:val="000000"/>
              </w:rPr>
              <w:t xml:space="preserve">             551.347 </w:t>
            </w:r>
          </w:p>
        </w:tc>
      </w:tr>
      <w:tr w:rsidR="00D322FB" w:rsidRPr="00727376" w:rsidTr="0099469B">
        <w:tc>
          <w:tcPr>
            <w:tcW w:w="5670" w:type="dxa"/>
          </w:tcPr>
          <w:p w:rsidR="00D322FB" w:rsidRPr="00995A2A" w:rsidRDefault="00D322FB" w:rsidP="000E5E54">
            <w:pPr>
              <w:autoSpaceDE w:val="0"/>
              <w:autoSpaceDN w:val="0"/>
              <w:adjustRightInd w:val="0"/>
              <w:ind w:left="-108" w:right="1026"/>
              <w:jc w:val="both"/>
              <w:rPr>
                <w:rFonts w:ascii="Arial" w:hAnsi="Arial" w:cs="Arial"/>
                <w:lang w:val="tr-TR"/>
              </w:rPr>
            </w:pPr>
            <w:r w:rsidRPr="00995A2A">
              <w:rPr>
                <w:rFonts w:ascii="Arial" w:hAnsi="Arial" w:cs="Arial"/>
                <w:lang w:val="tr-TR"/>
              </w:rPr>
              <w:t>Borsa para piyasasından alacaklar</w:t>
            </w:r>
          </w:p>
        </w:tc>
        <w:tc>
          <w:tcPr>
            <w:tcW w:w="1701" w:type="dxa"/>
            <w:vAlign w:val="bottom"/>
          </w:tcPr>
          <w:p w:rsidR="00D322FB" w:rsidRDefault="00145A33" w:rsidP="00121AF9">
            <w:pPr>
              <w:jc w:val="right"/>
              <w:rPr>
                <w:rFonts w:ascii="Arial" w:hAnsi="Arial" w:cs="Arial"/>
                <w:b/>
                <w:bCs/>
                <w:color w:val="000000"/>
              </w:rPr>
            </w:pPr>
            <w:r>
              <w:rPr>
                <w:rFonts w:ascii="Arial" w:hAnsi="Arial" w:cs="Arial"/>
                <w:b/>
                <w:bCs/>
                <w:color w:val="000000"/>
              </w:rPr>
              <w:t>116.000</w:t>
            </w:r>
          </w:p>
        </w:tc>
        <w:tc>
          <w:tcPr>
            <w:tcW w:w="1701" w:type="dxa"/>
            <w:vAlign w:val="bottom"/>
          </w:tcPr>
          <w:p w:rsidR="00D322FB" w:rsidRDefault="00D322FB" w:rsidP="00DE18BD">
            <w:pPr>
              <w:jc w:val="right"/>
              <w:rPr>
                <w:rFonts w:ascii="Arial" w:hAnsi="Arial" w:cs="Arial"/>
                <w:b/>
                <w:bCs/>
                <w:color w:val="000000"/>
              </w:rPr>
            </w:pPr>
            <w:r>
              <w:rPr>
                <w:rFonts w:ascii="Arial" w:hAnsi="Arial" w:cs="Arial"/>
                <w:b/>
                <w:bCs/>
                <w:color w:val="000000"/>
              </w:rPr>
              <w:t xml:space="preserve">             567.768 </w:t>
            </w:r>
          </w:p>
        </w:tc>
      </w:tr>
      <w:tr w:rsidR="00D322FB" w:rsidRPr="00727376" w:rsidTr="0099469B">
        <w:tc>
          <w:tcPr>
            <w:tcW w:w="5670" w:type="dxa"/>
          </w:tcPr>
          <w:p w:rsidR="00D322FB" w:rsidRPr="00995A2A" w:rsidRDefault="00D322FB" w:rsidP="000E5E54">
            <w:pPr>
              <w:autoSpaceDE w:val="0"/>
              <w:autoSpaceDN w:val="0"/>
              <w:adjustRightInd w:val="0"/>
              <w:ind w:left="-108"/>
              <w:jc w:val="both"/>
              <w:rPr>
                <w:rFonts w:ascii="Arial" w:hAnsi="Arial" w:cs="Arial"/>
                <w:lang w:val="tr-TR"/>
              </w:rPr>
            </w:pPr>
            <w:r w:rsidRPr="00995A2A">
              <w:rPr>
                <w:rFonts w:ascii="Arial" w:hAnsi="Arial" w:cs="Arial"/>
                <w:lang w:val="tr-TR"/>
              </w:rPr>
              <w:t>Diğer hazır değerler (*)</w:t>
            </w:r>
          </w:p>
        </w:tc>
        <w:tc>
          <w:tcPr>
            <w:tcW w:w="1701" w:type="dxa"/>
            <w:vAlign w:val="bottom"/>
          </w:tcPr>
          <w:p w:rsidR="00D322FB" w:rsidRDefault="00145A33" w:rsidP="00121AF9">
            <w:pPr>
              <w:jc w:val="right"/>
              <w:rPr>
                <w:rFonts w:ascii="Arial" w:hAnsi="Arial" w:cs="Arial"/>
                <w:b/>
                <w:bCs/>
                <w:color w:val="000000"/>
              </w:rPr>
            </w:pPr>
            <w:r>
              <w:rPr>
                <w:rFonts w:ascii="Arial" w:hAnsi="Arial" w:cs="Arial"/>
                <w:b/>
                <w:bCs/>
                <w:color w:val="000000"/>
              </w:rPr>
              <w:t>2.182</w:t>
            </w:r>
          </w:p>
        </w:tc>
        <w:tc>
          <w:tcPr>
            <w:tcW w:w="1701" w:type="dxa"/>
            <w:vAlign w:val="bottom"/>
          </w:tcPr>
          <w:p w:rsidR="00D322FB" w:rsidRDefault="00D322FB" w:rsidP="00DE18BD">
            <w:pPr>
              <w:jc w:val="right"/>
              <w:rPr>
                <w:rFonts w:ascii="Arial" w:hAnsi="Arial" w:cs="Arial"/>
                <w:b/>
                <w:bCs/>
                <w:color w:val="000000"/>
              </w:rPr>
            </w:pPr>
            <w:r>
              <w:rPr>
                <w:rFonts w:ascii="Arial" w:hAnsi="Arial" w:cs="Arial"/>
                <w:b/>
                <w:bCs/>
                <w:color w:val="000000"/>
              </w:rPr>
              <w:t xml:space="preserve">                4.637 </w:t>
            </w:r>
          </w:p>
        </w:tc>
      </w:tr>
      <w:tr w:rsidR="00D322FB" w:rsidRPr="00727376" w:rsidTr="0099469B">
        <w:tc>
          <w:tcPr>
            <w:tcW w:w="5670" w:type="dxa"/>
            <w:tcBorders>
              <w:bottom w:val="single" w:sz="4" w:space="0" w:color="auto"/>
            </w:tcBorders>
          </w:tcPr>
          <w:p w:rsidR="00D322FB" w:rsidRPr="00995A2A" w:rsidRDefault="00D322FB" w:rsidP="000E5E54">
            <w:pPr>
              <w:autoSpaceDE w:val="0"/>
              <w:autoSpaceDN w:val="0"/>
              <w:adjustRightInd w:val="0"/>
              <w:ind w:left="-108"/>
              <w:jc w:val="both"/>
              <w:rPr>
                <w:rFonts w:ascii="Arial" w:hAnsi="Arial" w:cs="Arial"/>
                <w:lang w:val="tr-TR"/>
              </w:rPr>
            </w:pPr>
          </w:p>
        </w:tc>
        <w:tc>
          <w:tcPr>
            <w:tcW w:w="1701" w:type="dxa"/>
            <w:tcBorders>
              <w:bottom w:val="single" w:sz="4" w:space="0" w:color="auto"/>
            </w:tcBorders>
            <w:vAlign w:val="bottom"/>
          </w:tcPr>
          <w:p w:rsidR="00D322FB" w:rsidRPr="00995A2A" w:rsidRDefault="00D322FB" w:rsidP="00121AF9">
            <w:pPr>
              <w:autoSpaceDE w:val="0"/>
              <w:autoSpaceDN w:val="0"/>
              <w:adjustRightInd w:val="0"/>
              <w:jc w:val="right"/>
              <w:rPr>
                <w:rFonts w:ascii="Arial" w:hAnsi="Arial" w:cs="Arial"/>
                <w:color w:val="000000"/>
                <w:highlight w:val="yellow"/>
              </w:rPr>
            </w:pPr>
          </w:p>
        </w:tc>
        <w:tc>
          <w:tcPr>
            <w:tcW w:w="1701" w:type="dxa"/>
            <w:tcBorders>
              <w:bottom w:val="single" w:sz="4" w:space="0" w:color="auto"/>
            </w:tcBorders>
            <w:vAlign w:val="bottom"/>
          </w:tcPr>
          <w:p w:rsidR="00D322FB" w:rsidRPr="00995A2A" w:rsidRDefault="00D322FB" w:rsidP="00DE18BD">
            <w:pPr>
              <w:autoSpaceDE w:val="0"/>
              <w:autoSpaceDN w:val="0"/>
              <w:adjustRightInd w:val="0"/>
              <w:jc w:val="right"/>
              <w:rPr>
                <w:rFonts w:ascii="Arial" w:hAnsi="Arial" w:cs="Arial"/>
                <w:color w:val="000000"/>
                <w:highlight w:val="yellow"/>
              </w:rPr>
            </w:pPr>
          </w:p>
        </w:tc>
      </w:tr>
      <w:tr w:rsidR="00D322FB" w:rsidRPr="00727376" w:rsidTr="0099469B">
        <w:tc>
          <w:tcPr>
            <w:tcW w:w="5670" w:type="dxa"/>
            <w:tcBorders>
              <w:top w:val="single" w:sz="4" w:space="0" w:color="auto"/>
              <w:bottom w:val="double" w:sz="4" w:space="0" w:color="auto"/>
            </w:tcBorders>
          </w:tcPr>
          <w:p w:rsidR="00D322FB" w:rsidRPr="00995A2A" w:rsidRDefault="00D322FB" w:rsidP="000E5E54">
            <w:pPr>
              <w:autoSpaceDE w:val="0"/>
              <w:autoSpaceDN w:val="0"/>
              <w:adjustRightInd w:val="0"/>
              <w:ind w:left="-108"/>
              <w:jc w:val="both"/>
              <w:rPr>
                <w:rFonts w:ascii="Arial" w:hAnsi="Arial" w:cs="Arial"/>
                <w:b/>
                <w:lang w:val="tr-TR"/>
              </w:rPr>
            </w:pPr>
            <w:r w:rsidRPr="00995A2A">
              <w:rPr>
                <w:rFonts w:ascii="Arial" w:hAnsi="Arial" w:cs="Arial"/>
                <w:b/>
                <w:lang w:val="tr-TR"/>
              </w:rPr>
              <w:t>Toplam</w:t>
            </w:r>
          </w:p>
        </w:tc>
        <w:tc>
          <w:tcPr>
            <w:tcW w:w="1701" w:type="dxa"/>
            <w:tcBorders>
              <w:top w:val="single" w:sz="4" w:space="0" w:color="auto"/>
              <w:bottom w:val="double" w:sz="4" w:space="0" w:color="auto"/>
            </w:tcBorders>
            <w:vAlign w:val="bottom"/>
          </w:tcPr>
          <w:p w:rsidR="00D322FB" w:rsidRPr="00A856BD" w:rsidRDefault="00145A33" w:rsidP="00121AF9">
            <w:pPr>
              <w:jc w:val="right"/>
              <w:rPr>
                <w:rFonts w:ascii="Arial" w:hAnsi="Arial" w:cs="Arial"/>
                <w:b/>
                <w:bCs/>
                <w:color w:val="000000"/>
              </w:rPr>
            </w:pPr>
            <w:r>
              <w:rPr>
                <w:rFonts w:ascii="Arial" w:hAnsi="Arial" w:cs="Arial"/>
                <w:b/>
                <w:bCs/>
                <w:color w:val="000000"/>
              </w:rPr>
              <w:t>1.229.651</w:t>
            </w:r>
          </w:p>
        </w:tc>
        <w:tc>
          <w:tcPr>
            <w:tcW w:w="1701" w:type="dxa"/>
            <w:tcBorders>
              <w:top w:val="single" w:sz="4" w:space="0" w:color="auto"/>
              <w:bottom w:val="double" w:sz="4" w:space="0" w:color="auto"/>
            </w:tcBorders>
            <w:vAlign w:val="bottom"/>
          </w:tcPr>
          <w:p w:rsidR="00D322FB" w:rsidRPr="00A856BD" w:rsidRDefault="00D322FB" w:rsidP="00DE18BD">
            <w:pPr>
              <w:jc w:val="right"/>
              <w:rPr>
                <w:rFonts w:ascii="Arial" w:hAnsi="Arial" w:cs="Arial"/>
                <w:b/>
                <w:bCs/>
                <w:color w:val="000000"/>
              </w:rPr>
            </w:pPr>
            <w:r>
              <w:rPr>
                <w:rFonts w:ascii="Arial" w:hAnsi="Arial" w:cs="Arial"/>
                <w:b/>
                <w:bCs/>
                <w:color w:val="000000"/>
              </w:rPr>
              <w:t xml:space="preserve">          1.124.462 </w:t>
            </w:r>
          </w:p>
        </w:tc>
      </w:tr>
    </w:tbl>
    <w:p w:rsidR="00D322FB" w:rsidRPr="00727376" w:rsidRDefault="00D322FB" w:rsidP="00F60B8B">
      <w:pPr>
        <w:pStyle w:val="body0"/>
        <w:spacing w:after="0" w:line="240" w:lineRule="auto"/>
        <w:ind w:left="567" w:right="-21" w:hanging="567"/>
        <w:rPr>
          <w:rFonts w:ascii="Arial" w:hAnsi="Arial" w:cs="Arial"/>
          <w:sz w:val="20"/>
          <w:szCs w:val="20"/>
          <w:highlight w:val="yellow"/>
          <w:lang w:val="tr-TR"/>
        </w:rPr>
      </w:pPr>
    </w:p>
    <w:p w:rsidR="00D322FB" w:rsidRPr="00FB60C7" w:rsidRDefault="00D322FB" w:rsidP="00C82EBF">
      <w:pPr>
        <w:pStyle w:val="body0"/>
        <w:spacing w:after="0" w:line="240" w:lineRule="auto"/>
        <w:ind w:left="567" w:right="-21" w:hanging="567"/>
        <w:jc w:val="left"/>
        <w:rPr>
          <w:rFonts w:ascii="Arial" w:hAnsi="Arial" w:cs="Arial"/>
          <w:sz w:val="20"/>
          <w:szCs w:val="20"/>
          <w:lang w:val="tr-TR"/>
        </w:rPr>
      </w:pPr>
      <w:r w:rsidRPr="00FB60C7">
        <w:rPr>
          <w:rFonts w:ascii="Arial" w:hAnsi="Arial" w:cs="Arial"/>
          <w:sz w:val="20"/>
          <w:szCs w:val="20"/>
          <w:lang w:val="tr-TR"/>
        </w:rPr>
        <w:t xml:space="preserve">(*) </w:t>
      </w:r>
      <w:r w:rsidRPr="00FB60C7">
        <w:rPr>
          <w:rFonts w:ascii="Arial" w:hAnsi="Arial" w:cs="Arial"/>
          <w:sz w:val="20"/>
          <w:szCs w:val="20"/>
          <w:lang w:val="tr-TR"/>
        </w:rPr>
        <w:tab/>
      </w:r>
      <w:r w:rsidR="00CC4C4F">
        <w:rPr>
          <w:rFonts w:ascii="Arial" w:hAnsi="Arial" w:cs="Arial"/>
          <w:sz w:val="20"/>
          <w:szCs w:val="20"/>
          <w:lang w:val="tr-TR"/>
        </w:rPr>
        <w:t>Şirket’in 31 Mart</w:t>
      </w:r>
      <w:r w:rsidR="00CC4C4F" w:rsidRPr="00776A7A">
        <w:rPr>
          <w:rFonts w:ascii="Arial" w:hAnsi="Arial" w:cs="Arial"/>
          <w:sz w:val="20"/>
          <w:szCs w:val="20"/>
          <w:lang w:val="tr-TR"/>
        </w:rPr>
        <w:t xml:space="preserve"> 201</w:t>
      </w:r>
      <w:r w:rsidR="00CC4C4F">
        <w:rPr>
          <w:rFonts w:ascii="Arial" w:hAnsi="Arial" w:cs="Arial"/>
          <w:sz w:val="20"/>
          <w:szCs w:val="20"/>
          <w:lang w:val="tr-TR"/>
        </w:rPr>
        <w:t>5 ve 31 Aralık 2014</w:t>
      </w:r>
      <w:r w:rsidR="00CC4C4F" w:rsidRPr="00776A7A">
        <w:rPr>
          <w:rFonts w:ascii="Arial" w:hAnsi="Arial" w:cs="Arial"/>
          <w:sz w:val="20"/>
          <w:szCs w:val="20"/>
          <w:lang w:val="tr-TR"/>
        </w:rPr>
        <w:t xml:space="preserve"> </w:t>
      </w:r>
      <w:r>
        <w:rPr>
          <w:rFonts w:ascii="Arial" w:hAnsi="Arial" w:cs="Arial"/>
          <w:sz w:val="20"/>
          <w:szCs w:val="20"/>
          <w:lang w:val="tr-TR"/>
        </w:rPr>
        <w:t xml:space="preserve"> tarihleri itibariyle d</w:t>
      </w:r>
      <w:r w:rsidRPr="00FB60C7">
        <w:rPr>
          <w:rFonts w:ascii="Arial" w:hAnsi="Arial" w:cs="Arial"/>
          <w:sz w:val="20"/>
          <w:szCs w:val="20"/>
          <w:lang w:val="tr-TR"/>
        </w:rPr>
        <w:t xml:space="preserve">iğer hazır değerler Şirket’in ilişkili taraf olan Ata Yatırm Menkul Kıymetler A.Ş. nezdindeki cari hesap </w:t>
      </w:r>
      <w:r>
        <w:rPr>
          <w:rFonts w:ascii="Arial" w:hAnsi="Arial" w:cs="Arial"/>
          <w:sz w:val="20"/>
          <w:szCs w:val="20"/>
          <w:lang w:val="tr-TR"/>
        </w:rPr>
        <w:t>bakiyesinden oluşmaktadır.(Not: 23)</w:t>
      </w:r>
    </w:p>
    <w:p w:rsidR="00D322FB" w:rsidRPr="00727376" w:rsidRDefault="00D322FB" w:rsidP="008C495B">
      <w:pPr>
        <w:ind w:right="-23"/>
        <w:rPr>
          <w:rFonts w:ascii="Arial" w:hAnsi="Arial" w:cs="Arial"/>
          <w:b/>
          <w:highlight w:val="yellow"/>
          <w:lang w:val="tr-TR"/>
        </w:rPr>
      </w:pPr>
    </w:p>
    <w:p w:rsidR="00D322FB" w:rsidRPr="006C3517" w:rsidRDefault="00D322FB" w:rsidP="003F2B3E">
      <w:pPr>
        <w:pStyle w:val="body0"/>
        <w:spacing w:after="0" w:line="240" w:lineRule="auto"/>
        <w:ind w:right="-21"/>
        <w:jc w:val="left"/>
        <w:rPr>
          <w:rFonts w:ascii="Arial" w:hAnsi="Arial" w:cs="Arial"/>
          <w:sz w:val="20"/>
          <w:szCs w:val="20"/>
          <w:lang w:val="tr-TR"/>
        </w:rPr>
      </w:pPr>
      <w:r w:rsidRPr="006C3517">
        <w:rPr>
          <w:rFonts w:ascii="Arial" w:hAnsi="Arial" w:cs="Arial"/>
          <w:sz w:val="20"/>
          <w:szCs w:val="20"/>
          <w:lang w:val="tr-TR"/>
        </w:rPr>
        <w:t>Şirket’in</w:t>
      </w:r>
      <w:r w:rsidR="00CC4C4F" w:rsidRPr="00CC4C4F">
        <w:rPr>
          <w:rFonts w:ascii="Arial" w:hAnsi="Arial" w:cs="Arial"/>
          <w:sz w:val="20"/>
          <w:szCs w:val="20"/>
          <w:lang w:val="tr-TR"/>
        </w:rPr>
        <w:t xml:space="preserve"> </w:t>
      </w:r>
      <w:r w:rsidR="00CC4C4F">
        <w:rPr>
          <w:rFonts w:ascii="Arial" w:hAnsi="Arial" w:cs="Arial"/>
          <w:sz w:val="20"/>
          <w:szCs w:val="20"/>
          <w:lang w:val="tr-TR"/>
        </w:rPr>
        <w:t>Şirket’in 31 Mart</w:t>
      </w:r>
      <w:r w:rsidR="00CC4C4F" w:rsidRPr="00776A7A">
        <w:rPr>
          <w:rFonts w:ascii="Arial" w:hAnsi="Arial" w:cs="Arial"/>
          <w:sz w:val="20"/>
          <w:szCs w:val="20"/>
          <w:lang w:val="tr-TR"/>
        </w:rPr>
        <w:t xml:space="preserve"> 201</w:t>
      </w:r>
      <w:r w:rsidR="00CC4C4F">
        <w:rPr>
          <w:rFonts w:ascii="Arial" w:hAnsi="Arial" w:cs="Arial"/>
          <w:sz w:val="20"/>
          <w:szCs w:val="20"/>
          <w:lang w:val="tr-TR"/>
        </w:rPr>
        <w:t>5 ve 31 Aralık 2014</w:t>
      </w:r>
      <w:r w:rsidR="00CC4C4F" w:rsidRPr="00776A7A">
        <w:rPr>
          <w:rFonts w:ascii="Arial" w:hAnsi="Arial" w:cs="Arial"/>
          <w:sz w:val="20"/>
          <w:szCs w:val="20"/>
          <w:lang w:val="tr-TR"/>
        </w:rPr>
        <w:t xml:space="preserve"> </w:t>
      </w:r>
      <w:r w:rsidRPr="006C3517">
        <w:rPr>
          <w:rFonts w:ascii="Arial" w:hAnsi="Arial" w:cs="Arial"/>
          <w:sz w:val="20"/>
          <w:szCs w:val="20"/>
          <w:lang w:val="tr-TR"/>
        </w:rPr>
        <w:t>tarihleri itibariyle vadeli mevduatının detayı aşağıdaki gibidir:</w:t>
      </w:r>
    </w:p>
    <w:p w:rsidR="00D322FB" w:rsidRDefault="00D322FB" w:rsidP="00F60B8B">
      <w:pPr>
        <w:pStyle w:val="body0"/>
        <w:spacing w:after="0" w:line="240" w:lineRule="auto"/>
        <w:ind w:right="-21"/>
        <w:rPr>
          <w:rFonts w:ascii="Arial" w:hAnsi="Arial" w:cs="Arial"/>
          <w:sz w:val="20"/>
          <w:szCs w:val="20"/>
          <w:highlight w:val="yellow"/>
          <w:lang w:val="tr-TR"/>
        </w:rPr>
      </w:pPr>
    </w:p>
    <w:tbl>
      <w:tblPr>
        <w:tblW w:w="9186" w:type="dxa"/>
        <w:tblInd w:w="108" w:type="dxa"/>
        <w:tblLook w:val="0000" w:firstRow="0" w:lastRow="0" w:firstColumn="0" w:lastColumn="0" w:noHBand="0" w:noVBand="0"/>
      </w:tblPr>
      <w:tblGrid>
        <w:gridCol w:w="1620"/>
        <w:gridCol w:w="1701"/>
        <w:gridCol w:w="2889"/>
        <w:gridCol w:w="1275"/>
        <w:gridCol w:w="1701"/>
      </w:tblGrid>
      <w:tr w:rsidR="00D322FB" w:rsidRPr="00620299" w:rsidTr="00620299">
        <w:trPr>
          <w:cantSplit/>
        </w:trPr>
        <w:tc>
          <w:tcPr>
            <w:tcW w:w="1620" w:type="dxa"/>
            <w:tcBorders>
              <w:top w:val="single" w:sz="4" w:space="0" w:color="auto"/>
              <w:bottom w:val="single" w:sz="4" w:space="0" w:color="auto"/>
            </w:tcBorders>
          </w:tcPr>
          <w:p w:rsidR="00D322FB" w:rsidRPr="00620299" w:rsidRDefault="00D322FB" w:rsidP="00CB5525">
            <w:pPr>
              <w:ind w:left="-108" w:right="14"/>
              <w:jc w:val="both"/>
              <w:rPr>
                <w:rFonts w:ascii="Arial" w:hAnsi="Arial" w:cs="Arial"/>
                <w:b/>
                <w:sz w:val="18"/>
                <w:szCs w:val="18"/>
                <w:lang w:val="tr-TR"/>
              </w:rPr>
            </w:pPr>
          </w:p>
        </w:tc>
        <w:tc>
          <w:tcPr>
            <w:tcW w:w="7566" w:type="dxa"/>
            <w:gridSpan w:val="4"/>
            <w:tcBorders>
              <w:top w:val="single" w:sz="4" w:space="0" w:color="auto"/>
              <w:bottom w:val="single" w:sz="4" w:space="0" w:color="auto"/>
            </w:tcBorders>
          </w:tcPr>
          <w:p w:rsidR="00D322FB" w:rsidRPr="00620299" w:rsidRDefault="00D322FB" w:rsidP="00CB5525">
            <w:pPr>
              <w:ind w:right="14"/>
              <w:jc w:val="right"/>
              <w:rPr>
                <w:rFonts w:ascii="Arial" w:hAnsi="Arial" w:cs="Arial"/>
                <w:b/>
                <w:bCs/>
                <w:sz w:val="18"/>
                <w:szCs w:val="18"/>
                <w:lang w:val="tr-TR"/>
              </w:rPr>
            </w:pPr>
            <w:r w:rsidRPr="00620299">
              <w:rPr>
                <w:rFonts w:ascii="Arial" w:hAnsi="Arial" w:cs="Arial"/>
                <w:b/>
                <w:bCs/>
                <w:sz w:val="18"/>
                <w:szCs w:val="18"/>
                <w:lang w:val="tr-TR"/>
              </w:rPr>
              <w:t xml:space="preserve">31 </w:t>
            </w:r>
            <w:r>
              <w:rPr>
                <w:rFonts w:ascii="Arial" w:hAnsi="Arial" w:cs="Arial"/>
                <w:b/>
                <w:bCs/>
                <w:sz w:val="18"/>
                <w:szCs w:val="18"/>
                <w:lang w:val="tr-TR"/>
              </w:rPr>
              <w:t>Mart 2015</w:t>
            </w:r>
          </w:p>
        </w:tc>
      </w:tr>
      <w:tr w:rsidR="004910CF" w:rsidRPr="00620299" w:rsidTr="00620299">
        <w:tc>
          <w:tcPr>
            <w:tcW w:w="1620" w:type="dxa"/>
            <w:tcBorders>
              <w:top w:val="single" w:sz="4" w:space="0" w:color="auto"/>
              <w:bottom w:val="single" w:sz="4" w:space="0" w:color="auto"/>
            </w:tcBorders>
          </w:tcPr>
          <w:p w:rsidR="00D322FB" w:rsidRPr="00620299" w:rsidRDefault="00D322FB" w:rsidP="00CB5525">
            <w:pPr>
              <w:ind w:left="-108" w:right="14"/>
              <w:jc w:val="both"/>
              <w:rPr>
                <w:rFonts w:ascii="Arial" w:hAnsi="Arial" w:cs="Arial"/>
                <w:b/>
                <w:lang w:val="tr-TR"/>
              </w:rPr>
            </w:pPr>
            <w:r w:rsidRPr="00620299">
              <w:rPr>
                <w:rFonts w:ascii="Arial" w:hAnsi="Arial" w:cs="Arial"/>
                <w:b/>
                <w:lang w:val="tr-TR"/>
              </w:rPr>
              <w:t>Para birimi</w:t>
            </w:r>
          </w:p>
        </w:tc>
        <w:tc>
          <w:tcPr>
            <w:tcW w:w="1701" w:type="dxa"/>
            <w:tcBorders>
              <w:top w:val="single" w:sz="4" w:space="0" w:color="auto"/>
              <w:bottom w:val="single" w:sz="4" w:space="0" w:color="auto"/>
            </w:tcBorders>
          </w:tcPr>
          <w:p w:rsidR="00D322FB" w:rsidRPr="00620299" w:rsidRDefault="00D322FB" w:rsidP="00CB5525">
            <w:pPr>
              <w:jc w:val="right"/>
              <w:rPr>
                <w:rFonts w:ascii="Arial" w:hAnsi="Arial" w:cs="Arial"/>
                <w:b/>
                <w:bCs/>
                <w:lang w:val="tr-TR"/>
              </w:rPr>
            </w:pPr>
            <w:r>
              <w:rPr>
                <w:rFonts w:ascii="Arial" w:hAnsi="Arial" w:cs="Arial"/>
                <w:b/>
                <w:bCs/>
                <w:lang w:val="tr-TR"/>
              </w:rPr>
              <w:t>Tutar (Orijinal bakiye</w:t>
            </w:r>
            <w:r w:rsidRPr="00620299">
              <w:rPr>
                <w:rFonts w:ascii="Arial" w:hAnsi="Arial" w:cs="Arial"/>
                <w:b/>
                <w:bCs/>
                <w:lang w:val="tr-TR"/>
              </w:rPr>
              <w:t>)</w:t>
            </w:r>
          </w:p>
        </w:tc>
        <w:tc>
          <w:tcPr>
            <w:tcW w:w="2889" w:type="dxa"/>
            <w:tcBorders>
              <w:top w:val="single" w:sz="4" w:space="0" w:color="auto"/>
              <w:bottom w:val="single" w:sz="4" w:space="0" w:color="auto"/>
            </w:tcBorders>
          </w:tcPr>
          <w:p w:rsidR="00D322FB" w:rsidRPr="00620299" w:rsidRDefault="00D322FB" w:rsidP="00CB5525">
            <w:pPr>
              <w:jc w:val="right"/>
              <w:rPr>
                <w:rFonts w:ascii="Arial" w:hAnsi="Arial" w:cs="Arial"/>
                <w:b/>
                <w:bCs/>
                <w:lang w:val="tr-TR"/>
              </w:rPr>
            </w:pPr>
            <w:r w:rsidRPr="00620299">
              <w:rPr>
                <w:rFonts w:ascii="Arial" w:hAnsi="Arial" w:cs="Arial"/>
                <w:b/>
                <w:bCs/>
                <w:lang w:val="tr-TR"/>
              </w:rPr>
              <w:t>Vade tarihi</w:t>
            </w:r>
          </w:p>
        </w:tc>
        <w:tc>
          <w:tcPr>
            <w:tcW w:w="1275" w:type="dxa"/>
            <w:tcBorders>
              <w:top w:val="single" w:sz="4" w:space="0" w:color="auto"/>
              <w:bottom w:val="single" w:sz="4" w:space="0" w:color="auto"/>
            </w:tcBorders>
          </w:tcPr>
          <w:p w:rsidR="00D322FB" w:rsidRPr="00620299" w:rsidRDefault="00D322FB" w:rsidP="00CB5525">
            <w:pPr>
              <w:jc w:val="right"/>
              <w:rPr>
                <w:rFonts w:ascii="Arial" w:hAnsi="Arial" w:cs="Arial"/>
                <w:b/>
                <w:bCs/>
                <w:lang w:val="tr-TR"/>
              </w:rPr>
            </w:pPr>
            <w:r w:rsidRPr="00620299">
              <w:rPr>
                <w:rFonts w:ascii="Arial" w:hAnsi="Arial" w:cs="Arial"/>
                <w:b/>
                <w:bCs/>
                <w:lang w:val="tr-TR"/>
              </w:rPr>
              <w:t>Tutar (TL)</w:t>
            </w:r>
          </w:p>
        </w:tc>
        <w:tc>
          <w:tcPr>
            <w:tcW w:w="1701" w:type="dxa"/>
            <w:tcBorders>
              <w:top w:val="single" w:sz="4" w:space="0" w:color="auto"/>
              <w:bottom w:val="single" w:sz="4" w:space="0" w:color="auto"/>
            </w:tcBorders>
          </w:tcPr>
          <w:p w:rsidR="00D322FB" w:rsidRPr="00620299" w:rsidRDefault="00D322FB" w:rsidP="00CB5525">
            <w:pPr>
              <w:jc w:val="right"/>
              <w:rPr>
                <w:rFonts w:ascii="Arial" w:hAnsi="Arial" w:cs="Arial"/>
                <w:b/>
                <w:bCs/>
                <w:lang w:val="tr-TR"/>
              </w:rPr>
            </w:pPr>
            <w:r w:rsidRPr="00620299">
              <w:rPr>
                <w:rFonts w:ascii="Arial" w:hAnsi="Arial" w:cs="Arial"/>
                <w:b/>
                <w:bCs/>
                <w:lang w:val="tr-TR"/>
              </w:rPr>
              <w:t>Faiz oranı (%)</w:t>
            </w:r>
          </w:p>
        </w:tc>
      </w:tr>
      <w:tr w:rsidR="004910CF" w:rsidRPr="00620299" w:rsidTr="00620299">
        <w:tc>
          <w:tcPr>
            <w:tcW w:w="1620" w:type="dxa"/>
            <w:tcBorders>
              <w:top w:val="single" w:sz="4" w:space="0" w:color="auto"/>
            </w:tcBorders>
          </w:tcPr>
          <w:p w:rsidR="00D322FB" w:rsidRPr="00620299" w:rsidRDefault="00D322FB" w:rsidP="00CB5525">
            <w:pPr>
              <w:ind w:left="-108" w:right="14"/>
              <w:jc w:val="both"/>
              <w:rPr>
                <w:rFonts w:ascii="Arial" w:hAnsi="Arial" w:cs="Arial"/>
                <w:b/>
                <w:sz w:val="18"/>
                <w:szCs w:val="18"/>
                <w:lang w:val="tr-TR"/>
              </w:rPr>
            </w:pPr>
          </w:p>
        </w:tc>
        <w:tc>
          <w:tcPr>
            <w:tcW w:w="1701" w:type="dxa"/>
            <w:tcBorders>
              <w:top w:val="single" w:sz="4" w:space="0" w:color="auto"/>
            </w:tcBorders>
          </w:tcPr>
          <w:p w:rsidR="00D322FB" w:rsidRPr="00620299" w:rsidRDefault="00D322FB" w:rsidP="00CB5525">
            <w:pPr>
              <w:ind w:right="14"/>
              <w:jc w:val="right"/>
              <w:rPr>
                <w:rFonts w:ascii="Arial" w:hAnsi="Arial" w:cs="Arial"/>
                <w:b/>
                <w:bCs/>
                <w:sz w:val="18"/>
                <w:szCs w:val="18"/>
                <w:lang w:val="tr-TR"/>
              </w:rPr>
            </w:pPr>
          </w:p>
        </w:tc>
        <w:tc>
          <w:tcPr>
            <w:tcW w:w="2889" w:type="dxa"/>
            <w:tcBorders>
              <w:top w:val="single" w:sz="4" w:space="0" w:color="auto"/>
            </w:tcBorders>
          </w:tcPr>
          <w:p w:rsidR="00D322FB" w:rsidRPr="00620299" w:rsidRDefault="00D322FB" w:rsidP="00CB5525">
            <w:pPr>
              <w:ind w:right="14"/>
              <w:jc w:val="right"/>
              <w:rPr>
                <w:rFonts w:ascii="Arial" w:hAnsi="Arial" w:cs="Arial"/>
                <w:b/>
                <w:bCs/>
                <w:sz w:val="18"/>
                <w:szCs w:val="18"/>
                <w:lang w:val="tr-TR"/>
              </w:rPr>
            </w:pPr>
          </w:p>
        </w:tc>
        <w:tc>
          <w:tcPr>
            <w:tcW w:w="1275" w:type="dxa"/>
            <w:tcBorders>
              <w:top w:val="single" w:sz="4" w:space="0" w:color="auto"/>
            </w:tcBorders>
          </w:tcPr>
          <w:p w:rsidR="00D322FB" w:rsidRPr="00620299" w:rsidRDefault="00D322FB" w:rsidP="00CB5525">
            <w:pPr>
              <w:ind w:right="14"/>
              <w:jc w:val="right"/>
              <w:rPr>
                <w:rFonts w:ascii="Arial" w:hAnsi="Arial" w:cs="Arial"/>
                <w:b/>
                <w:bCs/>
                <w:sz w:val="18"/>
                <w:szCs w:val="18"/>
                <w:lang w:val="tr-TR"/>
              </w:rPr>
            </w:pPr>
          </w:p>
        </w:tc>
        <w:tc>
          <w:tcPr>
            <w:tcW w:w="1701" w:type="dxa"/>
            <w:tcBorders>
              <w:top w:val="single" w:sz="4" w:space="0" w:color="auto"/>
            </w:tcBorders>
          </w:tcPr>
          <w:p w:rsidR="00D322FB" w:rsidRPr="00620299" w:rsidRDefault="00D322FB" w:rsidP="00CB5525">
            <w:pPr>
              <w:ind w:right="14"/>
              <w:jc w:val="right"/>
              <w:rPr>
                <w:rFonts w:ascii="Arial" w:hAnsi="Arial" w:cs="Arial"/>
                <w:b/>
                <w:sz w:val="18"/>
                <w:szCs w:val="18"/>
                <w:lang w:val="tr-TR"/>
              </w:rPr>
            </w:pPr>
          </w:p>
        </w:tc>
      </w:tr>
      <w:tr w:rsidR="004910CF" w:rsidRPr="00620299" w:rsidTr="00620299">
        <w:trPr>
          <w:trHeight w:val="111"/>
        </w:trPr>
        <w:tc>
          <w:tcPr>
            <w:tcW w:w="1620" w:type="dxa"/>
            <w:vAlign w:val="bottom"/>
          </w:tcPr>
          <w:p w:rsidR="00D322FB" w:rsidRPr="00620299" w:rsidRDefault="00D322FB" w:rsidP="00CB5525">
            <w:pPr>
              <w:ind w:left="-108" w:right="601"/>
              <w:rPr>
                <w:rFonts w:ascii="Arial" w:hAnsi="Arial" w:cs="Arial"/>
                <w:b/>
                <w:sz w:val="18"/>
                <w:szCs w:val="18"/>
                <w:lang w:val="tr-TR"/>
              </w:rPr>
            </w:pPr>
            <w:r w:rsidRPr="00620299">
              <w:rPr>
                <w:rFonts w:ascii="Arial" w:hAnsi="Arial" w:cs="Arial"/>
                <w:b/>
                <w:sz w:val="18"/>
                <w:szCs w:val="18"/>
                <w:lang w:val="tr-TR"/>
              </w:rPr>
              <w:t>TL</w:t>
            </w:r>
          </w:p>
        </w:tc>
        <w:tc>
          <w:tcPr>
            <w:tcW w:w="1701" w:type="dxa"/>
            <w:vAlign w:val="bottom"/>
          </w:tcPr>
          <w:p w:rsidR="00D322FB" w:rsidRPr="00620299" w:rsidRDefault="00145A33" w:rsidP="00145A33">
            <w:pPr>
              <w:ind w:right="14"/>
              <w:jc w:val="right"/>
              <w:rPr>
                <w:rFonts w:ascii="Arial" w:hAnsi="Arial" w:cs="Arial"/>
                <w:b/>
                <w:bCs/>
                <w:sz w:val="18"/>
                <w:szCs w:val="18"/>
                <w:lang w:val="tr-TR"/>
              </w:rPr>
            </w:pPr>
            <w:r>
              <w:rPr>
                <w:rFonts w:ascii="Arial" w:hAnsi="Arial" w:cs="Arial"/>
                <w:b/>
                <w:sz w:val="18"/>
                <w:szCs w:val="18"/>
                <w:lang w:val="tr-TR"/>
              </w:rPr>
              <w:t>1.050</w:t>
            </w:r>
            <w:r w:rsidR="00D322FB" w:rsidRPr="00620299">
              <w:rPr>
                <w:rFonts w:ascii="Arial" w:hAnsi="Arial" w:cs="Arial"/>
                <w:b/>
                <w:sz w:val="18"/>
                <w:szCs w:val="18"/>
                <w:lang w:val="tr-TR"/>
              </w:rPr>
              <w:t>.000</w:t>
            </w:r>
          </w:p>
        </w:tc>
        <w:tc>
          <w:tcPr>
            <w:tcW w:w="2889" w:type="dxa"/>
            <w:vAlign w:val="bottom"/>
          </w:tcPr>
          <w:p w:rsidR="00D322FB" w:rsidRPr="00F159BC" w:rsidRDefault="00B35CAB" w:rsidP="00B35CAB">
            <w:pPr>
              <w:jc w:val="right"/>
              <w:rPr>
                <w:rFonts w:ascii="Arial" w:hAnsi="Arial" w:cs="Arial"/>
                <w:b/>
                <w:bCs/>
                <w:color w:val="000000"/>
                <w:sz w:val="18"/>
                <w:szCs w:val="18"/>
              </w:rPr>
            </w:pPr>
            <w:r w:rsidRPr="00B35CAB">
              <w:rPr>
                <w:rFonts w:ascii="Arial" w:hAnsi="Arial" w:cs="Arial"/>
                <w:b/>
                <w:bCs/>
                <w:color w:val="000000"/>
                <w:sz w:val="18"/>
                <w:szCs w:val="18"/>
              </w:rPr>
              <w:t>08</w:t>
            </w:r>
            <w:r w:rsidR="00D322FB" w:rsidRPr="00B35CAB">
              <w:rPr>
                <w:rFonts w:ascii="Arial" w:hAnsi="Arial" w:cs="Arial"/>
                <w:b/>
                <w:bCs/>
                <w:color w:val="000000"/>
                <w:sz w:val="18"/>
                <w:szCs w:val="18"/>
              </w:rPr>
              <w:t xml:space="preserve"> </w:t>
            </w:r>
            <w:r w:rsidRPr="00B35CAB">
              <w:rPr>
                <w:rFonts w:ascii="Arial" w:hAnsi="Arial" w:cs="Arial"/>
                <w:b/>
                <w:bCs/>
                <w:color w:val="000000"/>
                <w:sz w:val="18"/>
                <w:szCs w:val="18"/>
              </w:rPr>
              <w:t>Nısan</w:t>
            </w:r>
            <w:r w:rsidR="00D322FB" w:rsidRPr="00B35CAB">
              <w:rPr>
                <w:rFonts w:ascii="Arial" w:hAnsi="Arial" w:cs="Arial"/>
                <w:b/>
                <w:bCs/>
                <w:color w:val="000000"/>
                <w:sz w:val="18"/>
                <w:szCs w:val="18"/>
              </w:rPr>
              <w:t xml:space="preserve"> 2015 - </w:t>
            </w:r>
            <w:r w:rsidRPr="00B35CAB">
              <w:rPr>
                <w:rFonts w:ascii="Arial" w:hAnsi="Arial" w:cs="Arial"/>
                <w:b/>
                <w:bCs/>
                <w:color w:val="000000"/>
                <w:sz w:val="18"/>
                <w:szCs w:val="18"/>
              </w:rPr>
              <w:t>04</w:t>
            </w:r>
            <w:r w:rsidR="00D322FB" w:rsidRPr="00B35CAB">
              <w:rPr>
                <w:rFonts w:ascii="Arial" w:hAnsi="Arial" w:cs="Arial"/>
                <w:b/>
                <w:bCs/>
                <w:color w:val="000000"/>
                <w:sz w:val="18"/>
                <w:szCs w:val="18"/>
              </w:rPr>
              <w:t xml:space="preserve"> </w:t>
            </w:r>
            <w:r w:rsidRPr="00B35CAB">
              <w:rPr>
                <w:rFonts w:ascii="Arial" w:hAnsi="Arial" w:cs="Arial"/>
                <w:b/>
                <w:bCs/>
                <w:color w:val="000000"/>
                <w:sz w:val="18"/>
                <w:szCs w:val="18"/>
              </w:rPr>
              <w:t>Mayıs</w:t>
            </w:r>
            <w:r w:rsidR="00D322FB" w:rsidRPr="00B35CAB">
              <w:rPr>
                <w:rFonts w:ascii="Arial" w:hAnsi="Arial" w:cs="Arial"/>
                <w:b/>
                <w:bCs/>
                <w:color w:val="000000"/>
                <w:sz w:val="18"/>
                <w:szCs w:val="18"/>
              </w:rPr>
              <w:t xml:space="preserve"> 2015</w:t>
            </w:r>
          </w:p>
        </w:tc>
        <w:tc>
          <w:tcPr>
            <w:tcW w:w="1275" w:type="dxa"/>
            <w:vAlign w:val="bottom"/>
          </w:tcPr>
          <w:p w:rsidR="00D322FB" w:rsidRPr="00620299" w:rsidRDefault="004910CF" w:rsidP="004910CF">
            <w:pPr>
              <w:jc w:val="right"/>
              <w:rPr>
                <w:rFonts w:ascii="Arial" w:hAnsi="Arial" w:cs="Arial"/>
                <w:b/>
                <w:bCs/>
                <w:sz w:val="18"/>
                <w:szCs w:val="18"/>
                <w:lang w:val="tr-TR"/>
              </w:rPr>
            </w:pPr>
            <w:r>
              <w:rPr>
                <w:rFonts w:ascii="Arial" w:hAnsi="Arial" w:cs="Arial"/>
                <w:b/>
                <w:sz w:val="18"/>
                <w:szCs w:val="18"/>
                <w:lang w:val="tr-TR"/>
              </w:rPr>
              <w:t>1.052.385</w:t>
            </w:r>
          </w:p>
        </w:tc>
        <w:tc>
          <w:tcPr>
            <w:tcW w:w="1701" w:type="dxa"/>
            <w:vAlign w:val="bottom"/>
          </w:tcPr>
          <w:p w:rsidR="00D322FB" w:rsidRPr="00620299" w:rsidRDefault="00D322FB" w:rsidP="00B35CAB">
            <w:pPr>
              <w:jc w:val="right"/>
              <w:rPr>
                <w:rFonts w:ascii="Arial" w:hAnsi="Arial" w:cs="Arial"/>
                <w:b/>
                <w:bCs/>
                <w:color w:val="000000"/>
                <w:sz w:val="18"/>
                <w:szCs w:val="18"/>
              </w:rPr>
            </w:pPr>
            <w:r w:rsidRPr="00B35CAB">
              <w:rPr>
                <w:rFonts w:ascii="Arial" w:hAnsi="Arial" w:cs="Arial"/>
                <w:b/>
                <w:bCs/>
                <w:color w:val="000000"/>
                <w:sz w:val="18"/>
                <w:szCs w:val="18"/>
              </w:rPr>
              <w:t>10,75-11,</w:t>
            </w:r>
            <w:r w:rsidR="00B35CAB" w:rsidRPr="00B35CAB">
              <w:rPr>
                <w:rFonts w:ascii="Arial" w:hAnsi="Arial" w:cs="Arial"/>
                <w:b/>
                <w:bCs/>
                <w:color w:val="000000"/>
                <w:sz w:val="18"/>
                <w:szCs w:val="18"/>
              </w:rPr>
              <w:t>40</w:t>
            </w:r>
          </w:p>
        </w:tc>
      </w:tr>
      <w:tr w:rsidR="004910CF" w:rsidRPr="00620299" w:rsidTr="00620299">
        <w:trPr>
          <w:trHeight w:val="111"/>
        </w:trPr>
        <w:tc>
          <w:tcPr>
            <w:tcW w:w="1620" w:type="dxa"/>
            <w:tcBorders>
              <w:bottom w:val="single" w:sz="4" w:space="0" w:color="auto"/>
            </w:tcBorders>
            <w:vAlign w:val="bottom"/>
          </w:tcPr>
          <w:p w:rsidR="00D322FB" w:rsidRPr="00620299" w:rsidRDefault="00D322FB" w:rsidP="00CB5525">
            <w:pPr>
              <w:ind w:left="-108" w:right="601"/>
              <w:rPr>
                <w:rFonts w:ascii="Arial" w:hAnsi="Arial" w:cs="Arial"/>
                <w:b/>
                <w:sz w:val="18"/>
                <w:szCs w:val="18"/>
                <w:lang w:val="tr-TR"/>
              </w:rPr>
            </w:pPr>
          </w:p>
        </w:tc>
        <w:tc>
          <w:tcPr>
            <w:tcW w:w="1701" w:type="dxa"/>
            <w:tcBorders>
              <w:bottom w:val="single" w:sz="4" w:space="0" w:color="auto"/>
            </w:tcBorders>
            <w:vAlign w:val="bottom"/>
          </w:tcPr>
          <w:p w:rsidR="00D322FB" w:rsidRPr="00620299" w:rsidRDefault="00D322FB" w:rsidP="00CB5525">
            <w:pPr>
              <w:ind w:right="14"/>
              <w:jc w:val="right"/>
              <w:rPr>
                <w:rFonts w:ascii="Arial" w:hAnsi="Arial" w:cs="Arial"/>
                <w:b/>
                <w:bCs/>
                <w:sz w:val="18"/>
                <w:szCs w:val="18"/>
                <w:lang w:val="tr-TR"/>
              </w:rPr>
            </w:pPr>
          </w:p>
        </w:tc>
        <w:tc>
          <w:tcPr>
            <w:tcW w:w="2889" w:type="dxa"/>
            <w:tcBorders>
              <w:bottom w:val="single" w:sz="4" w:space="0" w:color="auto"/>
            </w:tcBorders>
            <w:vAlign w:val="bottom"/>
          </w:tcPr>
          <w:p w:rsidR="00D322FB" w:rsidRPr="00620299" w:rsidRDefault="00D322FB" w:rsidP="00CB5525">
            <w:pPr>
              <w:ind w:right="14"/>
              <w:jc w:val="right"/>
              <w:rPr>
                <w:rFonts w:ascii="Arial" w:hAnsi="Arial" w:cs="Arial"/>
                <w:b/>
                <w:bCs/>
                <w:sz w:val="18"/>
                <w:szCs w:val="18"/>
                <w:lang w:val="tr-TR"/>
              </w:rPr>
            </w:pPr>
          </w:p>
        </w:tc>
        <w:tc>
          <w:tcPr>
            <w:tcW w:w="1275" w:type="dxa"/>
            <w:tcBorders>
              <w:bottom w:val="single" w:sz="4" w:space="0" w:color="auto"/>
            </w:tcBorders>
            <w:vAlign w:val="bottom"/>
          </w:tcPr>
          <w:p w:rsidR="00D322FB" w:rsidRPr="00620299" w:rsidRDefault="00D322FB" w:rsidP="00CB5525">
            <w:pPr>
              <w:jc w:val="right"/>
              <w:rPr>
                <w:rFonts w:ascii="Arial" w:hAnsi="Arial" w:cs="Arial"/>
                <w:b/>
                <w:bCs/>
                <w:sz w:val="18"/>
                <w:szCs w:val="18"/>
                <w:lang w:val="tr-TR"/>
              </w:rPr>
            </w:pPr>
          </w:p>
        </w:tc>
        <w:tc>
          <w:tcPr>
            <w:tcW w:w="1701" w:type="dxa"/>
            <w:tcBorders>
              <w:bottom w:val="single" w:sz="4" w:space="0" w:color="auto"/>
            </w:tcBorders>
            <w:vAlign w:val="bottom"/>
          </w:tcPr>
          <w:p w:rsidR="00D322FB" w:rsidRPr="00620299" w:rsidRDefault="00D322FB" w:rsidP="00CB5525">
            <w:pPr>
              <w:jc w:val="right"/>
              <w:rPr>
                <w:rFonts w:ascii="Arial" w:hAnsi="Arial" w:cs="Arial"/>
                <w:b/>
                <w:bCs/>
                <w:sz w:val="18"/>
                <w:szCs w:val="18"/>
                <w:lang w:val="tr-TR"/>
              </w:rPr>
            </w:pPr>
          </w:p>
        </w:tc>
      </w:tr>
      <w:tr w:rsidR="004910CF" w:rsidRPr="00620299" w:rsidTr="00620299">
        <w:trPr>
          <w:trHeight w:val="111"/>
        </w:trPr>
        <w:tc>
          <w:tcPr>
            <w:tcW w:w="1620" w:type="dxa"/>
            <w:tcBorders>
              <w:top w:val="single" w:sz="4" w:space="0" w:color="auto"/>
              <w:bottom w:val="double" w:sz="4" w:space="0" w:color="auto"/>
            </w:tcBorders>
            <w:vAlign w:val="bottom"/>
          </w:tcPr>
          <w:p w:rsidR="00D322FB" w:rsidRPr="00620299" w:rsidRDefault="00D322FB" w:rsidP="00CB5525">
            <w:pPr>
              <w:ind w:left="-108" w:right="601"/>
              <w:rPr>
                <w:rFonts w:ascii="Arial" w:hAnsi="Arial" w:cs="Arial"/>
                <w:b/>
                <w:sz w:val="18"/>
                <w:szCs w:val="18"/>
                <w:lang w:val="tr-TR"/>
              </w:rPr>
            </w:pPr>
            <w:r w:rsidRPr="00620299">
              <w:rPr>
                <w:rFonts w:ascii="Arial" w:hAnsi="Arial" w:cs="Arial"/>
                <w:b/>
                <w:sz w:val="18"/>
                <w:szCs w:val="18"/>
                <w:lang w:val="tr-TR"/>
              </w:rPr>
              <w:t>Toplam</w:t>
            </w:r>
          </w:p>
        </w:tc>
        <w:tc>
          <w:tcPr>
            <w:tcW w:w="1701" w:type="dxa"/>
            <w:tcBorders>
              <w:top w:val="single" w:sz="4" w:space="0" w:color="auto"/>
              <w:bottom w:val="double" w:sz="4" w:space="0" w:color="auto"/>
            </w:tcBorders>
            <w:vAlign w:val="bottom"/>
          </w:tcPr>
          <w:p w:rsidR="00D322FB" w:rsidRPr="00620299" w:rsidRDefault="00D322FB" w:rsidP="00CB5525">
            <w:pPr>
              <w:ind w:right="14"/>
              <w:jc w:val="right"/>
              <w:rPr>
                <w:rFonts w:ascii="Arial" w:hAnsi="Arial" w:cs="Arial"/>
                <w:b/>
                <w:bCs/>
                <w:sz w:val="18"/>
                <w:szCs w:val="18"/>
                <w:lang w:val="tr-TR"/>
              </w:rPr>
            </w:pPr>
          </w:p>
        </w:tc>
        <w:tc>
          <w:tcPr>
            <w:tcW w:w="2889" w:type="dxa"/>
            <w:tcBorders>
              <w:top w:val="single" w:sz="4" w:space="0" w:color="auto"/>
              <w:bottom w:val="double" w:sz="4" w:space="0" w:color="auto"/>
            </w:tcBorders>
            <w:vAlign w:val="bottom"/>
          </w:tcPr>
          <w:p w:rsidR="00D322FB" w:rsidRPr="00620299" w:rsidRDefault="00D322FB" w:rsidP="00CB5525">
            <w:pPr>
              <w:ind w:right="14"/>
              <w:jc w:val="right"/>
              <w:rPr>
                <w:rFonts w:ascii="Arial" w:hAnsi="Arial" w:cs="Arial"/>
                <w:b/>
                <w:bCs/>
                <w:sz w:val="18"/>
                <w:szCs w:val="18"/>
                <w:lang w:val="tr-TR"/>
              </w:rPr>
            </w:pPr>
          </w:p>
        </w:tc>
        <w:tc>
          <w:tcPr>
            <w:tcW w:w="1275" w:type="dxa"/>
            <w:tcBorders>
              <w:top w:val="single" w:sz="4" w:space="0" w:color="auto"/>
              <w:bottom w:val="double" w:sz="4" w:space="0" w:color="auto"/>
            </w:tcBorders>
            <w:vAlign w:val="bottom"/>
          </w:tcPr>
          <w:p w:rsidR="00D322FB" w:rsidRPr="00620299" w:rsidRDefault="004910CF" w:rsidP="004910CF">
            <w:pPr>
              <w:jc w:val="right"/>
              <w:rPr>
                <w:rFonts w:ascii="Arial" w:hAnsi="Arial" w:cs="Arial"/>
                <w:b/>
                <w:bCs/>
                <w:sz w:val="18"/>
                <w:szCs w:val="18"/>
                <w:lang w:val="tr-TR"/>
              </w:rPr>
            </w:pPr>
            <w:r>
              <w:rPr>
                <w:rFonts w:ascii="Arial" w:hAnsi="Arial" w:cs="Arial"/>
                <w:b/>
                <w:sz w:val="18"/>
                <w:szCs w:val="18"/>
                <w:lang w:val="tr-TR"/>
              </w:rPr>
              <w:t>1.052.385</w:t>
            </w:r>
          </w:p>
        </w:tc>
        <w:tc>
          <w:tcPr>
            <w:tcW w:w="1701" w:type="dxa"/>
            <w:tcBorders>
              <w:top w:val="single" w:sz="4" w:space="0" w:color="auto"/>
              <w:bottom w:val="double" w:sz="4" w:space="0" w:color="auto"/>
            </w:tcBorders>
            <w:vAlign w:val="bottom"/>
          </w:tcPr>
          <w:p w:rsidR="00D322FB" w:rsidRPr="00620299" w:rsidRDefault="00D322FB" w:rsidP="00CB5525">
            <w:pPr>
              <w:jc w:val="right"/>
              <w:rPr>
                <w:rFonts w:ascii="Arial" w:hAnsi="Arial" w:cs="Arial"/>
                <w:b/>
                <w:bCs/>
                <w:sz w:val="18"/>
                <w:szCs w:val="18"/>
                <w:lang w:val="tr-TR"/>
              </w:rPr>
            </w:pPr>
          </w:p>
        </w:tc>
      </w:tr>
      <w:tr w:rsidR="00D322FB" w:rsidRPr="00620299" w:rsidTr="00DE18BD">
        <w:trPr>
          <w:cantSplit/>
        </w:trPr>
        <w:tc>
          <w:tcPr>
            <w:tcW w:w="1620" w:type="dxa"/>
            <w:tcBorders>
              <w:top w:val="single" w:sz="4" w:space="0" w:color="auto"/>
              <w:bottom w:val="single" w:sz="4" w:space="0" w:color="auto"/>
            </w:tcBorders>
          </w:tcPr>
          <w:p w:rsidR="00D322FB" w:rsidRPr="00620299" w:rsidRDefault="00D322FB" w:rsidP="00DE18BD">
            <w:pPr>
              <w:ind w:left="-108" w:right="14"/>
              <w:jc w:val="both"/>
              <w:rPr>
                <w:rFonts w:ascii="Arial" w:hAnsi="Arial" w:cs="Arial"/>
                <w:b/>
                <w:sz w:val="18"/>
                <w:szCs w:val="18"/>
                <w:lang w:val="tr-TR"/>
              </w:rPr>
            </w:pPr>
          </w:p>
        </w:tc>
        <w:tc>
          <w:tcPr>
            <w:tcW w:w="7566" w:type="dxa"/>
            <w:gridSpan w:val="4"/>
            <w:tcBorders>
              <w:top w:val="single" w:sz="4" w:space="0" w:color="auto"/>
              <w:bottom w:val="single" w:sz="4" w:space="0" w:color="auto"/>
            </w:tcBorders>
          </w:tcPr>
          <w:p w:rsidR="00D322FB" w:rsidRPr="00620299" w:rsidRDefault="00D322FB" w:rsidP="00DE18BD">
            <w:pPr>
              <w:ind w:right="14"/>
              <w:jc w:val="right"/>
              <w:rPr>
                <w:rFonts w:ascii="Arial" w:hAnsi="Arial" w:cs="Arial"/>
                <w:b/>
                <w:bCs/>
                <w:sz w:val="18"/>
                <w:szCs w:val="18"/>
                <w:lang w:val="tr-TR"/>
              </w:rPr>
            </w:pPr>
            <w:r w:rsidRPr="00620299">
              <w:rPr>
                <w:rFonts w:ascii="Arial" w:hAnsi="Arial" w:cs="Arial"/>
                <w:b/>
                <w:bCs/>
                <w:sz w:val="18"/>
                <w:szCs w:val="18"/>
                <w:lang w:val="tr-TR"/>
              </w:rPr>
              <w:t xml:space="preserve">31 </w:t>
            </w:r>
            <w:r>
              <w:rPr>
                <w:rFonts w:ascii="Arial" w:hAnsi="Arial" w:cs="Arial"/>
                <w:b/>
                <w:bCs/>
                <w:sz w:val="18"/>
                <w:szCs w:val="18"/>
                <w:lang w:val="tr-TR"/>
              </w:rPr>
              <w:t>Mart</w:t>
            </w:r>
            <w:r w:rsidRPr="00620299">
              <w:rPr>
                <w:rFonts w:ascii="Arial" w:hAnsi="Arial" w:cs="Arial"/>
                <w:b/>
                <w:bCs/>
                <w:sz w:val="18"/>
                <w:szCs w:val="18"/>
                <w:lang w:val="tr-TR"/>
              </w:rPr>
              <w:t xml:space="preserve"> 2014</w:t>
            </w:r>
          </w:p>
        </w:tc>
      </w:tr>
    </w:tbl>
    <w:p w:rsidR="00D322FB" w:rsidRDefault="00D322FB" w:rsidP="00F60B8B">
      <w:pPr>
        <w:pStyle w:val="body0"/>
        <w:spacing w:after="0" w:line="240" w:lineRule="auto"/>
        <w:ind w:right="-21"/>
        <w:rPr>
          <w:rFonts w:ascii="Arial" w:hAnsi="Arial" w:cs="Arial"/>
          <w:sz w:val="20"/>
          <w:szCs w:val="20"/>
          <w:highlight w:val="yellow"/>
          <w:lang w:val="tr-TR"/>
        </w:rPr>
      </w:pPr>
    </w:p>
    <w:tbl>
      <w:tblPr>
        <w:tblW w:w="9186" w:type="dxa"/>
        <w:tblInd w:w="108" w:type="dxa"/>
        <w:tblLook w:val="0000" w:firstRow="0" w:lastRow="0" w:firstColumn="0" w:lastColumn="0" w:noHBand="0" w:noVBand="0"/>
      </w:tblPr>
      <w:tblGrid>
        <w:gridCol w:w="1620"/>
        <w:gridCol w:w="1701"/>
        <w:gridCol w:w="2889"/>
        <w:gridCol w:w="1275"/>
        <w:gridCol w:w="1701"/>
      </w:tblGrid>
      <w:tr w:rsidR="00D322FB" w:rsidRPr="00620299" w:rsidTr="00DE18BD">
        <w:trPr>
          <w:cantSplit/>
        </w:trPr>
        <w:tc>
          <w:tcPr>
            <w:tcW w:w="1620" w:type="dxa"/>
            <w:tcBorders>
              <w:top w:val="single" w:sz="4" w:space="0" w:color="auto"/>
              <w:bottom w:val="single" w:sz="4" w:space="0" w:color="auto"/>
            </w:tcBorders>
          </w:tcPr>
          <w:p w:rsidR="00D322FB" w:rsidRPr="006C3517" w:rsidRDefault="00D322FB" w:rsidP="00DE18BD">
            <w:pPr>
              <w:ind w:left="-108" w:right="14"/>
              <w:jc w:val="both"/>
              <w:rPr>
                <w:rFonts w:ascii="Arial" w:hAnsi="Arial" w:cs="Arial"/>
                <w:sz w:val="18"/>
                <w:szCs w:val="18"/>
                <w:lang w:val="tr-TR"/>
              </w:rPr>
            </w:pPr>
          </w:p>
        </w:tc>
        <w:tc>
          <w:tcPr>
            <w:tcW w:w="7566" w:type="dxa"/>
            <w:gridSpan w:val="4"/>
            <w:tcBorders>
              <w:top w:val="single" w:sz="4" w:space="0" w:color="auto"/>
              <w:bottom w:val="single" w:sz="4" w:space="0" w:color="auto"/>
            </w:tcBorders>
          </w:tcPr>
          <w:p w:rsidR="00D322FB" w:rsidRPr="006C3517" w:rsidRDefault="00D322FB" w:rsidP="00DE18BD">
            <w:pPr>
              <w:ind w:right="14"/>
              <w:jc w:val="right"/>
              <w:rPr>
                <w:rFonts w:ascii="Arial" w:hAnsi="Arial" w:cs="Arial"/>
                <w:bCs/>
                <w:sz w:val="18"/>
                <w:szCs w:val="18"/>
                <w:lang w:val="tr-TR"/>
              </w:rPr>
            </w:pPr>
            <w:r w:rsidRPr="006C3517">
              <w:rPr>
                <w:rFonts w:ascii="Arial" w:hAnsi="Arial" w:cs="Arial"/>
                <w:bCs/>
                <w:sz w:val="18"/>
                <w:szCs w:val="18"/>
                <w:lang w:val="tr-TR"/>
              </w:rPr>
              <w:t>31 Aralık 2014</w:t>
            </w:r>
          </w:p>
        </w:tc>
      </w:tr>
      <w:tr w:rsidR="00D322FB" w:rsidRPr="00620299" w:rsidTr="00DE18BD">
        <w:tc>
          <w:tcPr>
            <w:tcW w:w="1620" w:type="dxa"/>
            <w:tcBorders>
              <w:top w:val="single" w:sz="4" w:space="0" w:color="auto"/>
              <w:bottom w:val="single" w:sz="4" w:space="0" w:color="auto"/>
            </w:tcBorders>
          </w:tcPr>
          <w:p w:rsidR="00D322FB" w:rsidRPr="006C3517" w:rsidRDefault="00D322FB" w:rsidP="00DE18BD">
            <w:pPr>
              <w:ind w:left="-108" w:right="14"/>
              <w:jc w:val="both"/>
              <w:rPr>
                <w:rFonts w:ascii="Arial" w:hAnsi="Arial" w:cs="Arial"/>
                <w:lang w:val="tr-TR"/>
              </w:rPr>
            </w:pPr>
            <w:r w:rsidRPr="006C3517">
              <w:rPr>
                <w:rFonts w:ascii="Arial" w:hAnsi="Arial" w:cs="Arial"/>
                <w:lang w:val="tr-TR"/>
              </w:rPr>
              <w:t>Para birimi</w:t>
            </w:r>
          </w:p>
        </w:tc>
        <w:tc>
          <w:tcPr>
            <w:tcW w:w="1701" w:type="dxa"/>
            <w:tcBorders>
              <w:top w:val="single" w:sz="4" w:space="0" w:color="auto"/>
              <w:bottom w:val="single" w:sz="4" w:space="0" w:color="auto"/>
            </w:tcBorders>
          </w:tcPr>
          <w:p w:rsidR="00D322FB" w:rsidRPr="006C3517" w:rsidRDefault="00D322FB" w:rsidP="00DE18BD">
            <w:pPr>
              <w:jc w:val="right"/>
              <w:rPr>
                <w:rFonts w:ascii="Arial" w:hAnsi="Arial" w:cs="Arial"/>
                <w:bCs/>
                <w:lang w:val="tr-TR"/>
              </w:rPr>
            </w:pPr>
            <w:r w:rsidRPr="006C3517">
              <w:rPr>
                <w:rFonts w:ascii="Arial" w:hAnsi="Arial" w:cs="Arial"/>
                <w:bCs/>
                <w:lang w:val="tr-TR"/>
              </w:rPr>
              <w:t>Tutar (Orijinal bakiye)</w:t>
            </w:r>
          </w:p>
        </w:tc>
        <w:tc>
          <w:tcPr>
            <w:tcW w:w="2889" w:type="dxa"/>
            <w:tcBorders>
              <w:top w:val="single" w:sz="4" w:space="0" w:color="auto"/>
              <w:bottom w:val="single" w:sz="4" w:space="0" w:color="auto"/>
            </w:tcBorders>
          </w:tcPr>
          <w:p w:rsidR="00D322FB" w:rsidRPr="006C3517" w:rsidRDefault="00D322FB" w:rsidP="00DE18BD">
            <w:pPr>
              <w:jc w:val="right"/>
              <w:rPr>
                <w:rFonts w:ascii="Arial" w:hAnsi="Arial" w:cs="Arial"/>
                <w:bCs/>
                <w:lang w:val="tr-TR"/>
              </w:rPr>
            </w:pPr>
            <w:r w:rsidRPr="006C3517">
              <w:rPr>
                <w:rFonts w:ascii="Arial" w:hAnsi="Arial" w:cs="Arial"/>
                <w:bCs/>
                <w:lang w:val="tr-TR"/>
              </w:rPr>
              <w:t>Vade tarihi</w:t>
            </w:r>
          </w:p>
        </w:tc>
        <w:tc>
          <w:tcPr>
            <w:tcW w:w="1275" w:type="dxa"/>
            <w:tcBorders>
              <w:top w:val="single" w:sz="4" w:space="0" w:color="auto"/>
              <w:bottom w:val="single" w:sz="4" w:space="0" w:color="auto"/>
            </w:tcBorders>
          </w:tcPr>
          <w:p w:rsidR="00D322FB" w:rsidRPr="006C3517" w:rsidRDefault="00D322FB" w:rsidP="00DE18BD">
            <w:pPr>
              <w:jc w:val="right"/>
              <w:rPr>
                <w:rFonts w:ascii="Arial" w:hAnsi="Arial" w:cs="Arial"/>
                <w:bCs/>
                <w:lang w:val="tr-TR"/>
              </w:rPr>
            </w:pPr>
            <w:r w:rsidRPr="006C3517">
              <w:rPr>
                <w:rFonts w:ascii="Arial" w:hAnsi="Arial" w:cs="Arial"/>
                <w:bCs/>
                <w:lang w:val="tr-TR"/>
              </w:rPr>
              <w:t>Tutar (TL)</w:t>
            </w:r>
          </w:p>
        </w:tc>
        <w:tc>
          <w:tcPr>
            <w:tcW w:w="1701" w:type="dxa"/>
            <w:tcBorders>
              <w:top w:val="single" w:sz="4" w:space="0" w:color="auto"/>
              <w:bottom w:val="single" w:sz="4" w:space="0" w:color="auto"/>
            </w:tcBorders>
          </w:tcPr>
          <w:p w:rsidR="00D322FB" w:rsidRPr="006C3517" w:rsidRDefault="00D322FB" w:rsidP="00DE18BD">
            <w:pPr>
              <w:jc w:val="right"/>
              <w:rPr>
                <w:rFonts w:ascii="Arial" w:hAnsi="Arial" w:cs="Arial"/>
                <w:bCs/>
                <w:lang w:val="tr-TR"/>
              </w:rPr>
            </w:pPr>
            <w:r w:rsidRPr="006C3517">
              <w:rPr>
                <w:rFonts w:ascii="Arial" w:hAnsi="Arial" w:cs="Arial"/>
                <w:bCs/>
                <w:lang w:val="tr-TR"/>
              </w:rPr>
              <w:t>Faiz oranı (%)</w:t>
            </w:r>
          </w:p>
        </w:tc>
      </w:tr>
      <w:tr w:rsidR="00D322FB" w:rsidRPr="00620299" w:rsidTr="00DE18BD">
        <w:tc>
          <w:tcPr>
            <w:tcW w:w="1620" w:type="dxa"/>
            <w:tcBorders>
              <w:top w:val="single" w:sz="4" w:space="0" w:color="auto"/>
            </w:tcBorders>
          </w:tcPr>
          <w:p w:rsidR="00D322FB" w:rsidRPr="006C3517" w:rsidRDefault="00D322FB" w:rsidP="00DE18BD">
            <w:pPr>
              <w:ind w:left="-108" w:right="14"/>
              <w:jc w:val="both"/>
              <w:rPr>
                <w:rFonts w:ascii="Arial" w:hAnsi="Arial" w:cs="Arial"/>
                <w:sz w:val="18"/>
                <w:szCs w:val="18"/>
                <w:lang w:val="tr-TR"/>
              </w:rPr>
            </w:pPr>
          </w:p>
        </w:tc>
        <w:tc>
          <w:tcPr>
            <w:tcW w:w="1701" w:type="dxa"/>
            <w:tcBorders>
              <w:top w:val="single" w:sz="4" w:space="0" w:color="auto"/>
            </w:tcBorders>
          </w:tcPr>
          <w:p w:rsidR="00D322FB" w:rsidRPr="006C3517" w:rsidRDefault="00D322FB" w:rsidP="00DE18BD">
            <w:pPr>
              <w:ind w:right="14"/>
              <w:jc w:val="right"/>
              <w:rPr>
                <w:rFonts w:ascii="Arial" w:hAnsi="Arial" w:cs="Arial"/>
                <w:bCs/>
                <w:sz w:val="18"/>
                <w:szCs w:val="18"/>
                <w:lang w:val="tr-TR"/>
              </w:rPr>
            </w:pPr>
          </w:p>
        </w:tc>
        <w:tc>
          <w:tcPr>
            <w:tcW w:w="2889" w:type="dxa"/>
            <w:tcBorders>
              <w:top w:val="single" w:sz="4" w:space="0" w:color="auto"/>
            </w:tcBorders>
          </w:tcPr>
          <w:p w:rsidR="00D322FB" w:rsidRPr="006C3517" w:rsidRDefault="00D322FB" w:rsidP="00DE18BD">
            <w:pPr>
              <w:ind w:right="14"/>
              <w:jc w:val="right"/>
              <w:rPr>
                <w:rFonts w:ascii="Arial" w:hAnsi="Arial" w:cs="Arial"/>
                <w:bCs/>
                <w:sz w:val="18"/>
                <w:szCs w:val="18"/>
                <w:lang w:val="tr-TR"/>
              </w:rPr>
            </w:pPr>
          </w:p>
        </w:tc>
        <w:tc>
          <w:tcPr>
            <w:tcW w:w="1275" w:type="dxa"/>
            <w:tcBorders>
              <w:top w:val="single" w:sz="4" w:space="0" w:color="auto"/>
            </w:tcBorders>
          </w:tcPr>
          <w:p w:rsidR="00D322FB" w:rsidRPr="006C3517" w:rsidRDefault="00D322FB" w:rsidP="00DE18BD">
            <w:pPr>
              <w:ind w:right="14"/>
              <w:jc w:val="right"/>
              <w:rPr>
                <w:rFonts w:ascii="Arial" w:hAnsi="Arial" w:cs="Arial"/>
                <w:bCs/>
                <w:sz w:val="18"/>
                <w:szCs w:val="18"/>
                <w:lang w:val="tr-TR"/>
              </w:rPr>
            </w:pPr>
          </w:p>
        </w:tc>
        <w:tc>
          <w:tcPr>
            <w:tcW w:w="1701" w:type="dxa"/>
            <w:tcBorders>
              <w:top w:val="single" w:sz="4" w:space="0" w:color="auto"/>
            </w:tcBorders>
          </w:tcPr>
          <w:p w:rsidR="00D322FB" w:rsidRPr="006C3517" w:rsidRDefault="00D322FB" w:rsidP="00DE18BD">
            <w:pPr>
              <w:ind w:right="14"/>
              <w:jc w:val="right"/>
              <w:rPr>
                <w:rFonts w:ascii="Arial" w:hAnsi="Arial" w:cs="Arial"/>
                <w:sz w:val="18"/>
                <w:szCs w:val="18"/>
                <w:lang w:val="tr-TR"/>
              </w:rPr>
            </w:pPr>
          </w:p>
        </w:tc>
      </w:tr>
      <w:tr w:rsidR="00D322FB" w:rsidRPr="00620299" w:rsidTr="00DE18BD">
        <w:trPr>
          <w:trHeight w:val="111"/>
        </w:trPr>
        <w:tc>
          <w:tcPr>
            <w:tcW w:w="1620" w:type="dxa"/>
            <w:vAlign w:val="bottom"/>
          </w:tcPr>
          <w:p w:rsidR="00D322FB" w:rsidRPr="006C3517" w:rsidRDefault="00D322FB" w:rsidP="00DE18BD">
            <w:pPr>
              <w:ind w:left="-108" w:right="601"/>
              <w:rPr>
                <w:rFonts w:ascii="Arial" w:hAnsi="Arial" w:cs="Arial"/>
                <w:sz w:val="18"/>
                <w:szCs w:val="18"/>
                <w:lang w:val="tr-TR"/>
              </w:rPr>
            </w:pPr>
            <w:r w:rsidRPr="006C3517">
              <w:rPr>
                <w:rFonts w:ascii="Arial" w:hAnsi="Arial" w:cs="Arial"/>
                <w:sz w:val="18"/>
                <w:szCs w:val="18"/>
                <w:lang w:val="tr-TR"/>
              </w:rPr>
              <w:t>TL</w:t>
            </w:r>
          </w:p>
        </w:tc>
        <w:tc>
          <w:tcPr>
            <w:tcW w:w="1701" w:type="dxa"/>
            <w:vAlign w:val="bottom"/>
          </w:tcPr>
          <w:p w:rsidR="00D322FB" w:rsidRPr="006C3517" w:rsidRDefault="00D322FB" w:rsidP="00DE18BD">
            <w:pPr>
              <w:ind w:right="14"/>
              <w:jc w:val="right"/>
              <w:rPr>
                <w:rFonts w:ascii="Arial" w:hAnsi="Arial" w:cs="Arial"/>
                <w:bCs/>
                <w:sz w:val="18"/>
                <w:szCs w:val="18"/>
                <w:lang w:val="tr-TR"/>
              </w:rPr>
            </w:pPr>
            <w:r w:rsidRPr="006C3517">
              <w:rPr>
                <w:rFonts w:ascii="Arial" w:hAnsi="Arial" w:cs="Arial"/>
                <w:sz w:val="18"/>
                <w:szCs w:val="18"/>
                <w:lang w:val="tr-TR"/>
              </w:rPr>
              <w:t>550.000</w:t>
            </w:r>
          </w:p>
        </w:tc>
        <w:tc>
          <w:tcPr>
            <w:tcW w:w="2889" w:type="dxa"/>
            <w:vAlign w:val="bottom"/>
          </w:tcPr>
          <w:p w:rsidR="00D322FB" w:rsidRPr="006C3517" w:rsidRDefault="00D322FB" w:rsidP="00DE18BD">
            <w:pPr>
              <w:jc w:val="right"/>
              <w:rPr>
                <w:rFonts w:ascii="Arial" w:hAnsi="Arial" w:cs="Arial"/>
                <w:bCs/>
                <w:color w:val="000000"/>
                <w:sz w:val="18"/>
                <w:szCs w:val="18"/>
              </w:rPr>
            </w:pPr>
            <w:r w:rsidRPr="006C3517">
              <w:rPr>
                <w:rFonts w:ascii="Arial" w:hAnsi="Arial" w:cs="Arial"/>
                <w:bCs/>
                <w:color w:val="000000"/>
                <w:sz w:val="18"/>
                <w:szCs w:val="18"/>
              </w:rPr>
              <w:t>16 Ocak 2015 - 09 Şubat 2015</w:t>
            </w:r>
          </w:p>
        </w:tc>
        <w:tc>
          <w:tcPr>
            <w:tcW w:w="1275" w:type="dxa"/>
            <w:vAlign w:val="bottom"/>
          </w:tcPr>
          <w:p w:rsidR="00D322FB" w:rsidRPr="006C3517" w:rsidRDefault="00D322FB" w:rsidP="00DE18BD">
            <w:pPr>
              <w:jc w:val="right"/>
              <w:rPr>
                <w:rFonts w:ascii="Arial" w:hAnsi="Arial" w:cs="Arial"/>
                <w:bCs/>
                <w:sz w:val="18"/>
                <w:szCs w:val="18"/>
                <w:lang w:val="tr-TR"/>
              </w:rPr>
            </w:pPr>
            <w:r w:rsidRPr="006C3517">
              <w:rPr>
                <w:rFonts w:ascii="Arial" w:hAnsi="Arial" w:cs="Arial"/>
                <w:sz w:val="18"/>
                <w:szCs w:val="18"/>
                <w:lang w:val="tr-TR"/>
              </w:rPr>
              <w:t>551.347</w:t>
            </w:r>
          </w:p>
        </w:tc>
        <w:tc>
          <w:tcPr>
            <w:tcW w:w="1701" w:type="dxa"/>
            <w:vAlign w:val="bottom"/>
          </w:tcPr>
          <w:p w:rsidR="00D322FB" w:rsidRPr="006C3517" w:rsidRDefault="00D322FB" w:rsidP="00DE18BD">
            <w:pPr>
              <w:jc w:val="right"/>
              <w:rPr>
                <w:rFonts w:ascii="Arial" w:hAnsi="Arial" w:cs="Arial"/>
                <w:bCs/>
                <w:color w:val="000000"/>
                <w:sz w:val="18"/>
                <w:szCs w:val="18"/>
              </w:rPr>
            </w:pPr>
            <w:r w:rsidRPr="006C3517">
              <w:rPr>
                <w:rFonts w:ascii="Arial" w:hAnsi="Arial" w:cs="Arial"/>
                <w:bCs/>
                <w:color w:val="000000"/>
                <w:sz w:val="18"/>
                <w:szCs w:val="18"/>
              </w:rPr>
              <w:t>10,75-11,50</w:t>
            </w:r>
          </w:p>
        </w:tc>
      </w:tr>
      <w:tr w:rsidR="00D322FB" w:rsidRPr="00620299" w:rsidTr="00DE18BD">
        <w:trPr>
          <w:trHeight w:val="111"/>
        </w:trPr>
        <w:tc>
          <w:tcPr>
            <w:tcW w:w="1620" w:type="dxa"/>
            <w:tcBorders>
              <w:bottom w:val="single" w:sz="4" w:space="0" w:color="auto"/>
            </w:tcBorders>
            <w:vAlign w:val="bottom"/>
          </w:tcPr>
          <w:p w:rsidR="00D322FB" w:rsidRPr="006C3517" w:rsidRDefault="00D322FB" w:rsidP="00DE18BD">
            <w:pPr>
              <w:ind w:left="-108" w:right="601"/>
              <w:rPr>
                <w:rFonts w:ascii="Arial" w:hAnsi="Arial" w:cs="Arial"/>
                <w:sz w:val="18"/>
                <w:szCs w:val="18"/>
                <w:lang w:val="tr-TR"/>
              </w:rPr>
            </w:pPr>
          </w:p>
        </w:tc>
        <w:tc>
          <w:tcPr>
            <w:tcW w:w="1701" w:type="dxa"/>
            <w:tcBorders>
              <w:bottom w:val="single" w:sz="4" w:space="0" w:color="auto"/>
            </w:tcBorders>
            <w:vAlign w:val="bottom"/>
          </w:tcPr>
          <w:p w:rsidR="00D322FB" w:rsidRPr="006C3517" w:rsidRDefault="00D322FB" w:rsidP="00DE18BD">
            <w:pPr>
              <w:ind w:right="14"/>
              <w:jc w:val="right"/>
              <w:rPr>
                <w:rFonts w:ascii="Arial" w:hAnsi="Arial" w:cs="Arial"/>
                <w:bCs/>
                <w:sz w:val="18"/>
                <w:szCs w:val="18"/>
                <w:lang w:val="tr-TR"/>
              </w:rPr>
            </w:pPr>
          </w:p>
        </w:tc>
        <w:tc>
          <w:tcPr>
            <w:tcW w:w="2889" w:type="dxa"/>
            <w:tcBorders>
              <w:bottom w:val="single" w:sz="4" w:space="0" w:color="auto"/>
            </w:tcBorders>
            <w:vAlign w:val="bottom"/>
          </w:tcPr>
          <w:p w:rsidR="00D322FB" w:rsidRPr="006C3517" w:rsidRDefault="00D322FB" w:rsidP="00DE18BD">
            <w:pPr>
              <w:ind w:right="14"/>
              <w:jc w:val="right"/>
              <w:rPr>
                <w:rFonts w:ascii="Arial" w:hAnsi="Arial" w:cs="Arial"/>
                <w:bCs/>
                <w:sz w:val="18"/>
                <w:szCs w:val="18"/>
                <w:lang w:val="tr-TR"/>
              </w:rPr>
            </w:pPr>
          </w:p>
        </w:tc>
        <w:tc>
          <w:tcPr>
            <w:tcW w:w="1275" w:type="dxa"/>
            <w:tcBorders>
              <w:bottom w:val="single" w:sz="4" w:space="0" w:color="auto"/>
            </w:tcBorders>
            <w:vAlign w:val="bottom"/>
          </w:tcPr>
          <w:p w:rsidR="00D322FB" w:rsidRPr="006C3517" w:rsidRDefault="00D322FB" w:rsidP="00DE18BD">
            <w:pPr>
              <w:jc w:val="right"/>
              <w:rPr>
                <w:rFonts w:ascii="Arial" w:hAnsi="Arial" w:cs="Arial"/>
                <w:bCs/>
                <w:sz w:val="18"/>
                <w:szCs w:val="18"/>
                <w:lang w:val="tr-TR"/>
              </w:rPr>
            </w:pPr>
          </w:p>
        </w:tc>
        <w:tc>
          <w:tcPr>
            <w:tcW w:w="1701" w:type="dxa"/>
            <w:tcBorders>
              <w:bottom w:val="single" w:sz="4" w:space="0" w:color="auto"/>
            </w:tcBorders>
            <w:vAlign w:val="bottom"/>
          </w:tcPr>
          <w:p w:rsidR="00D322FB" w:rsidRPr="006C3517" w:rsidRDefault="00D322FB" w:rsidP="00DE18BD">
            <w:pPr>
              <w:jc w:val="right"/>
              <w:rPr>
                <w:rFonts w:ascii="Arial" w:hAnsi="Arial" w:cs="Arial"/>
                <w:bCs/>
                <w:sz w:val="18"/>
                <w:szCs w:val="18"/>
                <w:lang w:val="tr-TR"/>
              </w:rPr>
            </w:pPr>
          </w:p>
        </w:tc>
      </w:tr>
      <w:tr w:rsidR="00D322FB" w:rsidRPr="00620299" w:rsidTr="00DE18BD">
        <w:trPr>
          <w:trHeight w:val="111"/>
        </w:trPr>
        <w:tc>
          <w:tcPr>
            <w:tcW w:w="1620" w:type="dxa"/>
            <w:tcBorders>
              <w:top w:val="single" w:sz="4" w:space="0" w:color="auto"/>
              <w:bottom w:val="double" w:sz="4" w:space="0" w:color="auto"/>
            </w:tcBorders>
            <w:vAlign w:val="bottom"/>
          </w:tcPr>
          <w:p w:rsidR="00D322FB" w:rsidRPr="006C3517" w:rsidRDefault="00D322FB" w:rsidP="00DE18BD">
            <w:pPr>
              <w:ind w:left="-108" w:right="601"/>
              <w:rPr>
                <w:rFonts w:ascii="Arial" w:hAnsi="Arial" w:cs="Arial"/>
                <w:sz w:val="18"/>
                <w:szCs w:val="18"/>
                <w:lang w:val="tr-TR"/>
              </w:rPr>
            </w:pPr>
            <w:r w:rsidRPr="006C3517">
              <w:rPr>
                <w:rFonts w:ascii="Arial" w:hAnsi="Arial" w:cs="Arial"/>
                <w:sz w:val="18"/>
                <w:szCs w:val="18"/>
                <w:lang w:val="tr-TR"/>
              </w:rPr>
              <w:t>Toplam</w:t>
            </w:r>
          </w:p>
        </w:tc>
        <w:tc>
          <w:tcPr>
            <w:tcW w:w="1701" w:type="dxa"/>
            <w:tcBorders>
              <w:top w:val="single" w:sz="4" w:space="0" w:color="auto"/>
              <w:bottom w:val="double" w:sz="4" w:space="0" w:color="auto"/>
            </w:tcBorders>
            <w:vAlign w:val="bottom"/>
          </w:tcPr>
          <w:p w:rsidR="00D322FB" w:rsidRPr="006C3517" w:rsidRDefault="00D322FB" w:rsidP="00DE18BD">
            <w:pPr>
              <w:ind w:right="14"/>
              <w:jc w:val="right"/>
              <w:rPr>
                <w:rFonts w:ascii="Arial" w:hAnsi="Arial" w:cs="Arial"/>
                <w:bCs/>
                <w:sz w:val="18"/>
                <w:szCs w:val="18"/>
                <w:lang w:val="tr-TR"/>
              </w:rPr>
            </w:pPr>
          </w:p>
        </w:tc>
        <w:tc>
          <w:tcPr>
            <w:tcW w:w="2889" w:type="dxa"/>
            <w:tcBorders>
              <w:top w:val="single" w:sz="4" w:space="0" w:color="auto"/>
              <w:bottom w:val="double" w:sz="4" w:space="0" w:color="auto"/>
            </w:tcBorders>
            <w:vAlign w:val="bottom"/>
          </w:tcPr>
          <w:p w:rsidR="00D322FB" w:rsidRPr="006C3517" w:rsidRDefault="00D322FB" w:rsidP="00DE18BD">
            <w:pPr>
              <w:ind w:right="14"/>
              <w:jc w:val="right"/>
              <w:rPr>
                <w:rFonts w:ascii="Arial" w:hAnsi="Arial" w:cs="Arial"/>
                <w:bCs/>
                <w:sz w:val="18"/>
                <w:szCs w:val="18"/>
                <w:lang w:val="tr-TR"/>
              </w:rPr>
            </w:pPr>
          </w:p>
        </w:tc>
        <w:tc>
          <w:tcPr>
            <w:tcW w:w="1275" w:type="dxa"/>
            <w:tcBorders>
              <w:top w:val="single" w:sz="4" w:space="0" w:color="auto"/>
              <w:bottom w:val="double" w:sz="4" w:space="0" w:color="auto"/>
            </w:tcBorders>
            <w:vAlign w:val="bottom"/>
          </w:tcPr>
          <w:p w:rsidR="00D322FB" w:rsidRPr="006C3517" w:rsidRDefault="00D322FB" w:rsidP="00DE18BD">
            <w:pPr>
              <w:jc w:val="right"/>
              <w:rPr>
                <w:rFonts w:ascii="Arial" w:hAnsi="Arial" w:cs="Arial"/>
                <w:bCs/>
                <w:sz w:val="18"/>
                <w:szCs w:val="18"/>
                <w:lang w:val="tr-TR"/>
              </w:rPr>
            </w:pPr>
            <w:r w:rsidRPr="006C3517">
              <w:rPr>
                <w:rFonts w:ascii="Arial" w:hAnsi="Arial" w:cs="Arial"/>
                <w:sz w:val="18"/>
                <w:szCs w:val="18"/>
                <w:lang w:val="tr-TR"/>
              </w:rPr>
              <w:t>551.347</w:t>
            </w:r>
          </w:p>
        </w:tc>
        <w:tc>
          <w:tcPr>
            <w:tcW w:w="1701" w:type="dxa"/>
            <w:tcBorders>
              <w:top w:val="single" w:sz="4" w:space="0" w:color="auto"/>
              <w:bottom w:val="double" w:sz="4" w:space="0" w:color="auto"/>
            </w:tcBorders>
            <w:vAlign w:val="bottom"/>
          </w:tcPr>
          <w:p w:rsidR="00D322FB" w:rsidRPr="006C3517" w:rsidRDefault="00D322FB" w:rsidP="00DE18BD">
            <w:pPr>
              <w:jc w:val="right"/>
              <w:rPr>
                <w:rFonts w:ascii="Arial" w:hAnsi="Arial" w:cs="Arial"/>
                <w:bCs/>
                <w:sz w:val="18"/>
                <w:szCs w:val="18"/>
                <w:lang w:val="tr-TR"/>
              </w:rPr>
            </w:pPr>
          </w:p>
        </w:tc>
      </w:tr>
      <w:tr w:rsidR="00D322FB" w:rsidRPr="00620299" w:rsidTr="00DE18BD">
        <w:trPr>
          <w:cantSplit/>
        </w:trPr>
        <w:tc>
          <w:tcPr>
            <w:tcW w:w="1620" w:type="dxa"/>
            <w:tcBorders>
              <w:top w:val="single" w:sz="4" w:space="0" w:color="auto"/>
              <w:bottom w:val="single" w:sz="4" w:space="0" w:color="auto"/>
            </w:tcBorders>
          </w:tcPr>
          <w:p w:rsidR="00D322FB" w:rsidRPr="00620299" w:rsidRDefault="00D322FB" w:rsidP="00DE18BD">
            <w:pPr>
              <w:ind w:left="-108" w:right="14"/>
              <w:jc w:val="both"/>
              <w:rPr>
                <w:rFonts w:ascii="Arial" w:hAnsi="Arial" w:cs="Arial"/>
                <w:b/>
                <w:sz w:val="18"/>
                <w:szCs w:val="18"/>
                <w:lang w:val="tr-TR"/>
              </w:rPr>
            </w:pPr>
          </w:p>
        </w:tc>
        <w:tc>
          <w:tcPr>
            <w:tcW w:w="7566" w:type="dxa"/>
            <w:gridSpan w:val="4"/>
            <w:tcBorders>
              <w:top w:val="single" w:sz="4" w:space="0" w:color="auto"/>
              <w:bottom w:val="single" w:sz="4" w:space="0" w:color="auto"/>
            </w:tcBorders>
          </w:tcPr>
          <w:p w:rsidR="00D322FB" w:rsidRPr="00620299" w:rsidRDefault="00D322FB" w:rsidP="00DE18BD">
            <w:pPr>
              <w:ind w:right="14"/>
              <w:jc w:val="right"/>
              <w:rPr>
                <w:rFonts w:ascii="Arial" w:hAnsi="Arial" w:cs="Arial"/>
                <w:b/>
                <w:bCs/>
                <w:sz w:val="18"/>
                <w:szCs w:val="18"/>
                <w:lang w:val="tr-TR"/>
              </w:rPr>
            </w:pPr>
          </w:p>
        </w:tc>
      </w:tr>
    </w:tbl>
    <w:p w:rsidR="00D322FB" w:rsidRDefault="00D322FB" w:rsidP="00F60B8B">
      <w:pPr>
        <w:pStyle w:val="body0"/>
        <w:spacing w:after="0" w:line="240" w:lineRule="auto"/>
        <w:ind w:right="-21"/>
        <w:rPr>
          <w:rFonts w:ascii="Arial" w:hAnsi="Arial" w:cs="Arial"/>
          <w:sz w:val="20"/>
          <w:szCs w:val="20"/>
          <w:highlight w:val="yellow"/>
          <w:lang w:val="tr-TR"/>
        </w:rPr>
      </w:pPr>
    </w:p>
    <w:p w:rsidR="00D322FB" w:rsidRDefault="00D322FB" w:rsidP="00F60B8B">
      <w:pPr>
        <w:pStyle w:val="body0"/>
        <w:spacing w:after="0" w:line="240" w:lineRule="auto"/>
        <w:ind w:right="-21"/>
        <w:rPr>
          <w:rFonts w:ascii="Arial" w:hAnsi="Arial" w:cs="Arial"/>
          <w:sz w:val="20"/>
          <w:szCs w:val="20"/>
          <w:highlight w:val="yellow"/>
          <w:lang w:val="tr-TR"/>
        </w:rPr>
      </w:pPr>
    </w:p>
    <w:p w:rsidR="00D322FB" w:rsidRDefault="00D322FB" w:rsidP="00F60B8B">
      <w:pPr>
        <w:pStyle w:val="body0"/>
        <w:spacing w:after="0" w:line="240" w:lineRule="auto"/>
        <w:ind w:right="-21"/>
        <w:rPr>
          <w:rFonts w:ascii="Arial" w:hAnsi="Arial" w:cs="Arial"/>
          <w:sz w:val="20"/>
          <w:szCs w:val="20"/>
          <w:highlight w:val="yellow"/>
          <w:lang w:val="tr-TR"/>
        </w:rPr>
      </w:pPr>
      <w:r>
        <w:rPr>
          <w:rFonts w:ascii="Arial" w:hAnsi="Arial" w:cs="Arial"/>
          <w:sz w:val="20"/>
          <w:szCs w:val="20"/>
          <w:highlight w:val="yellow"/>
          <w:lang w:val="tr-TR"/>
        </w:rPr>
        <w:br w:type="page"/>
      </w:r>
    </w:p>
    <w:p w:rsidR="00D322FB" w:rsidRDefault="00D322FB" w:rsidP="00C67110">
      <w:pPr>
        <w:ind w:right="-23"/>
        <w:rPr>
          <w:rFonts w:ascii="Arial" w:hAnsi="Arial" w:cs="Arial"/>
          <w:highlight w:val="yellow"/>
          <w:lang w:val="tr-TR"/>
        </w:rPr>
      </w:pPr>
      <w:r w:rsidRPr="00D05F86">
        <w:rPr>
          <w:rFonts w:ascii="Arial" w:hAnsi="Arial" w:cs="Arial"/>
          <w:b/>
          <w:lang w:val="tr-TR"/>
        </w:rPr>
        <w:lastRenderedPageBreak/>
        <w:t>4.</w:t>
      </w:r>
      <w:r w:rsidRPr="00D05F86">
        <w:rPr>
          <w:rFonts w:ascii="Arial" w:hAnsi="Arial" w:cs="Arial"/>
          <w:b/>
          <w:lang w:val="tr-TR"/>
        </w:rPr>
        <w:tab/>
        <w:t>Nakit ve nakit benzerleri</w:t>
      </w:r>
      <w:r>
        <w:rPr>
          <w:rFonts w:ascii="Arial" w:hAnsi="Arial" w:cs="Arial"/>
          <w:b/>
          <w:lang w:val="tr-TR"/>
        </w:rPr>
        <w:t xml:space="preserve"> (devamı)</w:t>
      </w:r>
    </w:p>
    <w:p w:rsidR="00D322FB" w:rsidRDefault="00D322FB" w:rsidP="00A94DA9">
      <w:pPr>
        <w:pStyle w:val="body0"/>
        <w:spacing w:after="0" w:line="240" w:lineRule="auto"/>
        <w:ind w:right="-21"/>
        <w:jc w:val="left"/>
        <w:rPr>
          <w:rFonts w:ascii="Arial" w:hAnsi="Arial" w:cs="Arial"/>
          <w:sz w:val="20"/>
          <w:szCs w:val="20"/>
          <w:highlight w:val="yellow"/>
          <w:lang w:val="tr-TR"/>
        </w:rPr>
      </w:pPr>
    </w:p>
    <w:p w:rsidR="00D322FB" w:rsidRPr="00C67110" w:rsidRDefault="00D322FB" w:rsidP="00A94DA9">
      <w:pPr>
        <w:pStyle w:val="body0"/>
        <w:spacing w:after="0" w:line="240" w:lineRule="auto"/>
        <w:ind w:right="-21"/>
        <w:jc w:val="left"/>
        <w:rPr>
          <w:rFonts w:ascii="Arial" w:hAnsi="Arial" w:cs="Arial"/>
          <w:sz w:val="20"/>
          <w:szCs w:val="20"/>
          <w:lang w:val="tr-TR"/>
        </w:rPr>
      </w:pPr>
      <w:r w:rsidRPr="00C67110">
        <w:rPr>
          <w:rFonts w:ascii="Arial" w:hAnsi="Arial" w:cs="Arial"/>
          <w:sz w:val="20"/>
          <w:szCs w:val="20"/>
          <w:lang w:val="tr-TR"/>
        </w:rPr>
        <w:t xml:space="preserve">Şirket’in </w:t>
      </w:r>
      <w:r w:rsidR="00CC4C4F">
        <w:rPr>
          <w:rFonts w:ascii="Arial" w:hAnsi="Arial" w:cs="Arial"/>
          <w:sz w:val="20"/>
          <w:szCs w:val="20"/>
          <w:lang w:val="tr-TR"/>
        </w:rPr>
        <w:t>Şirket’in 31 Mart</w:t>
      </w:r>
      <w:r w:rsidR="00CC4C4F" w:rsidRPr="00776A7A">
        <w:rPr>
          <w:rFonts w:ascii="Arial" w:hAnsi="Arial" w:cs="Arial"/>
          <w:sz w:val="20"/>
          <w:szCs w:val="20"/>
          <w:lang w:val="tr-TR"/>
        </w:rPr>
        <w:t xml:space="preserve"> 201</w:t>
      </w:r>
      <w:r w:rsidR="006F2183">
        <w:rPr>
          <w:rFonts w:ascii="Arial" w:hAnsi="Arial" w:cs="Arial"/>
          <w:sz w:val="20"/>
          <w:szCs w:val="20"/>
          <w:lang w:val="tr-TR"/>
        </w:rPr>
        <w:t>5</w:t>
      </w:r>
      <w:r w:rsidR="00CC4C4F">
        <w:rPr>
          <w:rFonts w:ascii="Arial" w:hAnsi="Arial" w:cs="Arial"/>
          <w:sz w:val="20"/>
          <w:szCs w:val="20"/>
          <w:lang w:val="tr-TR"/>
        </w:rPr>
        <w:t xml:space="preserve"> ve 31 Aralık 2014</w:t>
      </w:r>
      <w:r w:rsidR="00CC4C4F" w:rsidRPr="00776A7A">
        <w:rPr>
          <w:rFonts w:ascii="Arial" w:hAnsi="Arial" w:cs="Arial"/>
          <w:sz w:val="20"/>
          <w:szCs w:val="20"/>
          <w:lang w:val="tr-TR"/>
        </w:rPr>
        <w:t xml:space="preserve"> </w:t>
      </w:r>
      <w:r w:rsidRPr="00C67110">
        <w:rPr>
          <w:rFonts w:ascii="Arial" w:hAnsi="Arial" w:cs="Arial"/>
          <w:sz w:val="20"/>
          <w:szCs w:val="20"/>
          <w:lang w:val="tr-TR"/>
        </w:rPr>
        <w:t xml:space="preserve"> tarihleri itibariyle borsa para piyasasından alacaklarının detayı aşağıdaki gibidir :</w:t>
      </w:r>
    </w:p>
    <w:p w:rsidR="00D322FB" w:rsidRDefault="00D322FB" w:rsidP="00F60B8B">
      <w:pPr>
        <w:pStyle w:val="body0"/>
        <w:spacing w:after="0" w:line="240" w:lineRule="auto"/>
        <w:ind w:right="-21"/>
        <w:rPr>
          <w:rFonts w:ascii="Arial" w:hAnsi="Arial" w:cs="Arial"/>
          <w:sz w:val="20"/>
          <w:szCs w:val="20"/>
          <w:highlight w:val="yellow"/>
          <w:lang w:val="tr-TR"/>
        </w:rPr>
      </w:pPr>
    </w:p>
    <w:tbl>
      <w:tblPr>
        <w:tblW w:w="9072" w:type="dxa"/>
        <w:tblInd w:w="108" w:type="dxa"/>
        <w:tblLook w:val="0000" w:firstRow="0" w:lastRow="0" w:firstColumn="0" w:lastColumn="0" w:noHBand="0" w:noVBand="0"/>
      </w:tblPr>
      <w:tblGrid>
        <w:gridCol w:w="2835"/>
        <w:gridCol w:w="1560"/>
        <w:gridCol w:w="1701"/>
        <w:gridCol w:w="1275"/>
        <w:gridCol w:w="1701"/>
      </w:tblGrid>
      <w:tr w:rsidR="00D322FB" w:rsidRPr="00727376" w:rsidTr="001A0C62">
        <w:trPr>
          <w:cantSplit/>
        </w:trPr>
        <w:tc>
          <w:tcPr>
            <w:tcW w:w="2835" w:type="dxa"/>
            <w:tcBorders>
              <w:top w:val="single" w:sz="4" w:space="0" w:color="auto"/>
              <w:bottom w:val="single" w:sz="4" w:space="0" w:color="auto"/>
            </w:tcBorders>
          </w:tcPr>
          <w:p w:rsidR="00D322FB" w:rsidRPr="005E7020" w:rsidRDefault="00D322FB" w:rsidP="001A0C62">
            <w:pPr>
              <w:ind w:left="-108" w:right="14"/>
              <w:jc w:val="both"/>
              <w:rPr>
                <w:rFonts w:ascii="Arial" w:hAnsi="Arial" w:cs="Arial"/>
                <w:lang w:val="tr-TR"/>
              </w:rPr>
            </w:pPr>
          </w:p>
        </w:tc>
        <w:tc>
          <w:tcPr>
            <w:tcW w:w="6237" w:type="dxa"/>
            <w:gridSpan w:val="4"/>
            <w:tcBorders>
              <w:top w:val="single" w:sz="4" w:space="0" w:color="auto"/>
              <w:bottom w:val="single" w:sz="4" w:space="0" w:color="auto"/>
            </w:tcBorders>
          </w:tcPr>
          <w:p w:rsidR="00D322FB" w:rsidRPr="005E7020" w:rsidRDefault="00D322FB" w:rsidP="001A0C62">
            <w:pPr>
              <w:ind w:right="14"/>
              <w:jc w:val="center"/>
              <w:rPr>
                <w:rFonts w:ascii="Arial" w:hAnsi="Arial" w:cs="Arial"/>
                <w:b/>
                <w:bCs/>
                <w:lang w:val="tr-TR"/>
              </w:rPr>
            </w:pPr>
            <w:r w:rsidRPr="005E7020">
              <w:rPr>
                <w:rFonts w:ascii="Arial" w:hAnsi="Arial" w:cs="Arial"/>
                <w:b/>
                <w:bCs/>
                <w:lang w:val="tr-TR"/>
              </w:rPr>
              <w:t xml:space="preserve">31 </w:t>
            </w:r>
            <w:r>
              <w:rPr>
                <w:rFonts w:ascii="Arial" w:hAnsi="Arial" w:cs="Arial"/>
                <w:b/>
                <w:bCs/>
                <w:lang w:val="tr-TR"/>
              </w:rPr>
              <w:t>Mart 2015</w:t>
            </w:r>
          </w:p>
        </w:tc>
      </w:tr>
      <w:tr w:rsidR="00D322FB" w:rsidRPr="00727376" w:rsidTr="001A0C62">
        <w:tc>
          <w:tcPr>
            <w:tcW w:w="2835" w:type="dxa"/>
            <w:tcBorders>
              <w:top w:val="single" w:sz="4" w:space="0" w:color="auto"/>
              <w:bottom w:val="single" w:sz="4" w:space="0" w:color="auto"/>
            </w:tcBorders>
          </w:tcPr>
          <w:p w:rsidR="00D322FB" w:rsidRPr="005E7020" w:rsidRDefault="00D322FB" w:rsidP="001A0C62">
            <w:pPr>
              <w:ind w:left="-108" w:right="14"/>
              <w:jc w:val="both"/>
              <w:rPr>
                <w:rFonts w:ascii="Arial" w:hAnsi="Arial" w:cs="Arial"/>
                <w:lang w:val="tr-TR"/>
              </w:rPr>
            </w:pPr>
          </w:p>
        </w:tc>
        <w:tc>
          <w:tcPr>
            <w:tcW w:w="1560" w:type="dxa"/>
            <w:tcBorders>
              <w:top w:val="single" w:sz="4" w:space="0" w:color="auto"/>
              <w:bottom w:val="single" w:sz="4" w:space="0" w:color="auto"/>
            </w:tcBorders>
          </w:tcPr>
          <w:p w:rsidR="00D322FB" w:rsidRPr="005E7020" w:rsidRDefault="00D322FB" w:rsidP="001A0C62">
            <w:pPr>
              <w:ind w:right="14"/>
              <w:jc w:val="right"/>
              <w:rPr>
                <w:rFonts w:ascii="Arial" w:hAnsi="Arial" w:cs="Arial"/>
                <w:b/>
                <w:bCs/>
                <w:lang w:val="tr-TR"/>
              </w:rPr>
            </w:pPr>
            <w:r w:rsidRPr="005E7020">
              <w:rPr>
                <w:rFonts w:ascii="Arial" w:hAnsi="Arial" w:cs="Arial"/>
                <w:b/>
                <w:bCs/>
                <w:lang w:val="tr-TR"/>
              </w:rPr>
              <w:t>Faiz oranı (%)</w:t>
            </w:r>
          </w:p>
        </w:tc>
        <w:tc>
          <w:tcPr>
            <w:tcW w:w="1701" w:type="dxa"/>
            <w:tcBorders>
              <w:top w:val="single" w:sz="4" w:space="0" w:color="auto"/>
              <w:bottom w:val="single" w:sz="4" w:space="0" w:color="auto"/>
            </w:tcBorders>
          </w:tcPr>
          <w:p w:rsidR="00D322FB" w:rsidRPr="005E7020" w:rsidRDefault="00D322FB" w:rsidP="001A0C62">
            <w:pPr>
              <w:ind w:right="14"/>
              <w:jc w:val="right"/>
              <w:rPr>
                <w:rFonts w:ascii="Arial" w:hAnsi="Arial" w:cs="Arial"/>
                <w:b/>
                <w:bCs/>
                <w:lang w:val="tr-TR"/>
              </w:rPr>
            </w:pPr>
            <w:r w:rsidRPr="005E7020">
              <w:rPr>
                <w:rFonts w:ascii="Arial" w:hAnsi="Arial" w:cs="Arial"/>
                <w:b/>
                <w:bCs/>
                <w:lang w:val="tr-TR"/>
              </w:rPr>
              <w:t>Vade tarihi</w:t>
            </w:r>
          </w:p>
        </w:tc>
        <w:tc>
          <w:tcPr>
            <w:tcW w:w="1275" w:type="dxa"/>
            <w:tcBorders>
              <w:top w:val="single" w:sz="4" w:space="0" w:color="auto"/>
              <w:bottom w:val="single" w:sz="4" w:space="0" w:color="auto"/>
            </w:tcBorders>
          </w:tcPr>
          <w:p w:rsidR="00D322FB" w:rsidRPr="005E7020" w:rsidRDefault="00D322FB" w:rsidP="001A0C62">
            <w:pPr>
              <w:ind w:right="14"/>
              <w:jc w:val="right"/>
              <w:rPr>
                <w:rFonts w:ascii="Arial" w:hAnsi="Arial" w:cs="Arial"/>
                <w:b/>
                <w:bCs/>
                <w:lang w:val="tr-TR"/>
              </w:rPr>
            </w:pPr>
            <w:r w:rsidRPr="005E7020">
              <w:rPr>
                <w:rFonts w:ascii="Arial" w:hAnsi="Arial" w:cs="Arial"/>
                <w:b/>
                <w:bCs/>
                <w:lang w:val="tr-TR"/>
              </w:rPr>
              <w:t>Maliyet</w:t>
            </w:r>
          </w:p>
        </w:tc>
        <w:tc>
          <w:tcPr>
            <w:tcW w:w="1701" w:type="dxa"/>
            <w:tcBorders>
              <w:top w:val="single" w:sz="4" w:space="0" w:color="auto"/>
              <w:bottom w:val="single" w:sz="4" w:space="0" w:color="auto"/>
            </w:tcBorders>
          </w:tcPr>
          <w:p w:rsidR="00D322FB" w:rsidRPr="005E7020" w:rsidRDefault="00D322FB" w:rsidP="001A0C62">
            <w:pPr>
              <w:ind w:right="14"/>
              <w:jc w:val="right"/>
              <w:rPr>
                <w:rFonts w:ascii="Arial" w:hAnsi="Arial" w:cs="Arial"/>
                <w:b/>
                <w:lang w:val="tr-TR"/>
              </w:rPr>
            </w:pPr>
            <w:r w:rsidRPr="005E7020">
              <w:rPr>
                <w:rFonts w:ascii="Arial" w:hAnsi="Arial" w:cs="Arial"/>
                <w:b/>
                <w:lang w:val="tr-TR"/>
              </w:rPr>
              <w:t>Kayıtlı değer</w:t>
            </w:r>
          </w:p>
        </w:tc>
      </w:tr>
      <w:tr w:rsidR="00D322FB" w:rsidRPr="00727376" w:rsidTr="001A0C62">
        <w:tc>
          <w:tcPr>
            <w:tcW w:w="2835" w:type="dxa"/>
            <w:tcBorders>
              <w:top w:val="single" w:sz="4" w:space="0" w:color="auto"/>
            </w:tcBorders>
          </w:tcPr>
          <w:p w:rsidR="00D322FB" w:rsidRPr="005E7020" w:rsidRDefault="00D322FB" w:rsidP="001A0C62">
            <w:pPr>
              <w:ind w:left="-108" w:right="14"/>
              <w:jc w:val="both"/>
              <w:rPr>
                <w:rFonts w:ascii="Arial" w:hAnsi="Arial" w:cs="Arial"/>
                <w:lang w:val="tr-TR"/>
              </w:rPr>
            </w:pPr>
          </w:p>
        </w:tc>
        <w:tc>
          <w:tcPr>
            <w:tcW w:w="1560" w:type="dxa"/>
            <w:tcBorders>
              <w:top w:val="single" w:sz="4" w:space="0" w:color="auto"/>
            </w:tcBorders>
          </w:tcPr>
          <w:p w:rsidR="00D322FB" w:rsidRPr="005E7020" w:rsidRDefault="00D322FB" w:rsidP="001A0C62">
            <w:pPr>
              <w:ind w:right="14"/>
              <w:jc w:val="right"/>
              <w:rPr>
                <w:rFonts w:ascii="Arial" w:hAnsi="Arial" w:cs="Arial"/>
                <w:b/>
                <w:bCs/>
                <w:lang w:val="tr-TR"/>
              </w:rPr>
            </w:pPr>
          </w:p>
        </w:tc>
        <w:tc>
          <w:tcPr>
            <w:tcW w:w="1701" w:type="dxa"/>
            <w:tcBorders>
              <w:top w:val="single" w:sz="4" w:space="0" w:color="auto"/>
            </w:tcBorders>
          </w:tcPr>
          <w:p w:rsidR="00D322FB" w:rsidRPr="005E7020" w:rsidRDefault="00D322FB" w:rsidP="001A0C62">
            <w:pPr>
              <w:ind w:right="14"/>
              <w:jc w:val="right"/>
              <w:rPr>
                <w:rFonts w:ascii="Arial" w:hAnsi="Arial" w:cs="Arial"/>
                <w:b/>
                <w:bCs/>
                <w:lang w:val="tr-TR"/>
              </w:rPr>
            </w:pPr>
          </w:p>
        </w:tc>
        <w:tc>
          <w:tcPr>
            <w:tcW w:w="1275" w:type="dxa"/>
            <w:tcBorders>
              <w:top w:val="single" w:sz="4" w:space="0" w:color="auto"/>
            </w:tcBorders>
          </w:tcPr>
          <w:p w:rsidR="00D322FB" w:rsidRPr="005E7020" w:rsidRDefault="00D322FB" w:rsidP="001A0C62">
            <w:pPr>
              <w:ind w:right="14"/>
              <w:jc w:val="right"/>
              <w:rPr>
                <w:rFonts w:ascii="Arial" w:hAnsi="Arial" w:cs="Arial"/>
                <w:b/>
                <w:bCs/>
                <w:lang w:val="tr-TR"/>
              </w:rPr>
            </w:pPr>
          </w:p>
        </w:tc>
        <w:tc>
          <w:tcPr>
            <w:tcW w:w="1701" w:type="dxa"/>
            <w:tcBorders>
              <w:top w:val="single" w:sz="4" w:space="0" w:color="auto"/>
            </w:tcBorders>
          </w:tcPr>
          <w:p w:rsidR="00D322FB" w:rsidRPr="005E7020" w:rsidRDefault="00D322FB" w:rsidP="001A0C62">
            <w:pPr>
              <w:ind w:right="14"/>
              <w:jc w:val="right"/>
              <w:rPr>
                <w:rFonts w:ascii="Arial" w:hAnsi="Arial" w:cs="Arial"/>
                <w:b/>
                <w:lang w:val="tr-TR"/>
              </w:rPr>
            </w:pPr>
          </w:p>
        </w:tc>
      </w:tr>
      <w:tr w:rsidR="00D322FB" w:rsidRPr="00727376" w:rsidTr="002F5584">
        <w:tc>
          <w:tcPr>
            <w:tcW w:w="2835" w:type="dxa"/>
            <w:vAlign w:val="bottom"/>
          </w:tcPr>
          <w:p w:rsidR="00D322FB" w:rsidRPr="005E7020" w:rsidRDefault="00D322FB" w:rsidP="002F5584">
            <w:pPr>
              <w:ind w:left="176" w:right="-108" w:hanging="284"/>
              <w:rPr>
                <w:rFonts w:ascii="Arial" w:hAnsi="Arial" w:cs="Arial"/>
                <w:lang w:val="tr-TR"/>
              </w:rPr>
            </w:pPr>
            <w:r w:rsidRPr="005E7020">
              <w:rPr>
                <w:rFonts w:ascii="Arial" w:hAnsi="Arial" w:cs="Arial"/>
                <w:lang w:val="tr-TR"/>
              </w:rPr>
              <w:t>Borsa para piyasasından alacaklar (TL)</w:t>
            </w:r>
          </w:p>
        </w:tc>
        <w:tc>
          <w:tcPr>
            <w:tcW w:w="1560" w:type="dxa"/>
            <w:vAlign w:val="bottom"/>
          </w:tcPr>
          <w:p w:rsidR="00D322FB" w:rsidRPr="00120521" w:rsidRDefault="00D322FB" w:rsidP="00120521">
            <w:pPr>
              <w:jc w:val="right"/>
              <w:rPr>
                <w:rFonts w:ascii="Arial" w:hAnsi="Arial" w:cs="Arial"/>
                <w:b/>
                <w:bCs/>
                <w:color w:val="000000"/>
                <w:sz w:val="18"/>
                <w:szCs w:val="18"/>
              </w:rPr>
            </w:pPr>
            <w:r w:rsidRPr="00120521">
              <w:rPr>
                <w:rFonts w:ascii="Arial" w:hAnsi="Arial" w:cs="Arial"/>
                <w:b/>
                <w:bCs/>
                <w:color w:val="000000"/>
                <w:sz w:val="18"/>
                <w:szCs w:val="18"/>
              </w:rPr>
              <w:t>10,</w:t>
            </w:r>
            <w:r w:rsidR="00120521" w:rsidRPr="00120521">
              <w:rPr>
                <w:rFonts w:ascii="Arial" w:hAnsi="Arial" w:cs="Arial"/>
                <w:b/>
                <w:bCs/>
                <w:color w:val="000000"/>
                <w:sz w:val="18"/>
                <w:szCs w:val="18"/>
              </w:rPr>
              <w:t>10</w:t>
            </w:r>
          </w:p>
        </w:tc>
        <w:tc>
          <w:tcPr>
            <w:tcW w:w="1701" w:type="dxa"/>
            <w:vAlign w:val="bottom"/>
          </w:tcPr>
          <w:p w:rsidR="00D322FB" w:rsidRPr="00120521" w:rsidRDefault="00D322FB" w:rsidP="00120521">
            <w:pPr>
              <w:jc w:val="right"/>
              <w:rPr>
                <w:rFonts w:ascii="Arial" w:hAnsi="Arial" w:cs="Arial"/>
                <w:b/>
                <w:bCs/>
                <w:color w:val="000000"/>
                <w:sz w:val="18"/>
                <w:szCs w:val="18"/>
              </w:rPr>
            </w:pPr>
            <w:r w:rsidRPr="00120521">
              <w:rPr>
                <w:rFonts w:ascii="Arial" w:hAnsi="Arial" w:cs="Arial"/>
                <w:b/>
                <w:bCs/>
                <w:color w:val="000000"/>
                <w:sz w:val="18"/>
                <w:szCs w:val="18"/>
              </w:rPr>
              <w:t xml:space="preserve"> 31 </w:t>
            </w:r>
            <w:r w:rsidR="00120521" w:rsidRPr="00120521">
              <w:rPr>
                <w:rFonts w:ascii="Arial" w:hAnsi="Arial" w:cs="Arial"/>
                <w:b/>
                <w:bCs/>
                <w:color w:val="000000"/>
                <w:sz w:val="18"/>
                <w:szCs w:val="18"/>
              </w:rPr>
              <w:t>Mart</w:t>
            </w:r>
            <w:r w:rsidRPr="00120521">
              <w:rPr>
                <w:rFonts w:ascii="Arial" w:hAnsi="Arial" w:cs="Arial"/>
                <w:b/>
                <w:bCs/>
                <w:color w:val="000000"/>
                <w:sz w:val="18"/>
                <w:szCs w:val="18"/>
              </w:rPr>
              <w:t xml:space="preserve"> 201</w:t>
            </w:r>
            <w:r w:rsidR="00120521" w:rsidRPr="00120521">
              <w:rPr>
                <w:rFonts w:ascii="Arial" w:hAnsi="Arial" w:cs="Arial"/>
                <w:b/>
                <w:bCs/>
                <w:color w:val="000000"/>
                <w:sz w:val="18"/>
                <w:szCs w:val="18"/>
              </w:rPr>
              <w:t>5</w:t>
            </w:r>
          </w:p>
        </w:tc>
        <w:tc>
          <w:tcPr>
            <w:tcW w:w="1275" w:type="dxa"/>
            <w:vAlign w:val="bottom"/>
          </w:tcPr>
          <w:p w:rsidR="00D322FB" w:rsidRPr="005E7020" w:rsidRDefault="004910CF" w:rsidP="004910CF">
            <w:pPr>
              <w:jc w:val="right"/>
              <w:rPr>
                <w:rFonts w:ascii="Arial" w:hAnsi="Arial" w:cs="Arial"/>
                <w:b/>
                <w:bCs/>
                <w:color w:val="000000"/>
                <w:sz w:val="18"/>
                <w:szCs w:val="18"/>
              </w:rPr>
            </w:pPr>
            <w:r>
              <w:rPr>
                <w:rFonts w:ascii="Arial" w:hAnsi="Arial" w:cs="Arial"/>
                <w:b/>
                <w:bCs/>
                <w:color w:val="000000"/>
                <w:sz w:val="18"/>
                <w:szCs w:val="18"/>
              </w:rPr>
              <w:t>116</w:t>
            </w:r>
            <w:r w:rsidR="00D322FB" w:rsidRPr="005E7020">
              <w:rPr>
                <w:rFonts w:ascii="Arial" w:hAnsi="Arial" w:cs="Arial"/>
                <w:b/>
                <w:bCs/>
                <w:color w:val="000000"/>
                <w:sz w:val="18"/>
                <w:szCs w:val="18"/>
              </w:rPr>
              <w:t>.000</w:t>
            </w:r>
          </w:p>
        </w:tc>
        <w:tc>
          <w:tcPr>
            <w:tcW w:w="1701" w:type="dxa"/>
            <w:vAlign w:val="bottom"/>
          </w:tcPr>
          <w:p w:rsidR="00D322FB" w:rsidRPr="005E7020" w:rsidRDefault="004910CF" w:rsidP="004910CF">
            <w:pPr>
              <w:jc w:val="right"/>
              <w:rPr>
                <w:rFonts w:ascii="Arial" w:hAnsi="Arial" w:cs="Arial"/>
                <w:b/>
                <w:bCs/>
                <w:color w:val="000000"/>
                <w:sz w:val="18"/>
                <w:szCs w:val="18"/>
              </w:rPr>
            </w:pPr>
            <w:r>
              <w:rPr>
                <w:rFonts w:ascii="Arial" w:hAnsi="Arial" w:cs="Arial"/>
                <w:b/>
                <w:bCs/>
                <w:color w:val="000000"/>
                <w:sz w:val="18"/>
                <w:szCs w:val="18"/>
              </w:rPr>
              <w:t>116</w:t>
            </w:r>
            <w:r w:rsidR="00D322FB" w:rsidRPr="005E7020">
              <w:rPr>
                <w:rFonts w:ascii="Arial" w:hAnsi="Arial" w:cs="Arial"/>
                <w:b/>
                <w:bCs/>
                <w:color w:val="000000"/>
                <w:sz w:val="18"/>
                <w:szCs w:val="18"/>
              </w:rPr>
              <w:t>.</w:t>
            </w:r>
            <w:r>
              <w:rPr>
                <w:rFonts w:ascii="Arial" w:hAnsi="Arial" w:cs="Arial"/>
                <w:b/>
                <w:bCs/>
                <w:color w:val="000000"/>
                <w:sz w:val="18"/>
                <w:szCs w:val="18"/>
              </w:rPr>
              <w:t>033</w:t>
            </w:r>
          </w:p>
        </w:tc>
      </w:tr>
      <w:tr w:rsidR="00D322FB" w:rsidRPr="00727376" w:rsidTr="001A0C62">
        <w:tc>
          <w:tcPr>
            <w:tcW w:w="2835" w:type="dxa"/>
            <w:tcBorders>
              <w:bottom w:val="single" w:sz="2" w:space="0" w:color="000000"/>
            </w:tcBorders>
          </w:tcPr>
          <w:p w:rsidR="00D322FB" w:rsidRPr="005E7020" w:rsidRDefault="00D322FB" w:rsidP="001A0C62">
            <w:pPr>
              <w:ind w:left="176" w:right="-108" w:hanging="284"/>
              <w:rPr>
                <w:rFonts w:ascii="Arial" w:hAnsi="Arial" w:cs="Arial"/>
                <w:lang w:val="tr-TR"/>
              </w:rPr>
            </w:pPr>
          </w:p>
        </w:tc>
        <w:tc>
          <w:tcPr>
            <w:tcW w:w="1560" w:type="dxa"/>
            <w:tcBorders>
              <w:bottom w:val="single" w:sz="2" w:space="0" w:color="000000"/>
            </w:tcBorders>
            <w:vAlign w:val="bottom"/>
          </w:tcPr>
          <w:p w:rsidR="00D322FB" w:rsidRPr="005E7020" w:rsidRDefault="00D322FB" w:rsidP="00CB5525">
            <w:pPr>
              <w:ind w:right="14"/>
              <w:jc w:val="right"/>
              <w:rPr>
                <w:rFonts w:ascii="Arial" w:hAnsi="Arial" w:cs="Arial"/>
                <w:bCs/>
                <w:lang w:val="tr-TR"/>
              </w:rPr>
            </w:pPr>
          </w:p>
        </w:tc>
        <w:tc>
          <w:tcPr>
            <w:tcW w:w="1701" w:type="dxa"/>
            <w:tcBorders>
              <w:bottom w:val="single" w:sz="2" w:space="0" w:color="000000"/>
            </w:tcBorders>
            <w:vAlign w:val="bottom"/>
          </w:tcPr>
          <w:p w:rsidR="00D322FB" w:rsidRPr="005E7020" w:rsidRDefault="00D322FB" w:rsidP="00CB5525">
            <w:pPr>
              <w:ind w:right="14"/>
              <w:jc w:val="right"/>
              <w:rPr>
                <w:rFonts w:ascii="Arial" w:hAnsi="Arial" w:cs="Arial"/>
                <w:bCs/>
                <w:lang w:val="tr-TR"/>
              </w:rPr>
            </w:pPr>
          </w:p>
        </w:tc>
        <w:tc>
          <w:tcPr>
            <w:tcW w:w="1275" w:type="dxa"/>
            <w:tcBorders>
              <w:bottom w:val="single" w:sz="2" w:space="0" w:color="000000"/>
            </w:tcBorders>
            <w:vAlign w:val="bottom"/>
          </w:tcPr>
          <w:p w:rsidR="00D322FB" w:rsidRPr="005E7020" w:rsidRDefault="00D322FB" w:rsidP="00CB5525">
            <w:pPr>
              <w:ind w:right="14"/>
              <w:jc w:val="right"/>
              <w:rPr>
                <w:rFonts w:ascii="Arial" w:hAnsi="Arial" w:cs="Arial"/>
                <w:bCs/>
                <w:lang w:val="tr-TR"/>
              </w:rPr>
            </w:pPr>
          </w:p>
        </w:tc>
        <w:tc>
          <w:tcPr>
            <w:tcW w:w="1701" w:type="dxa"/>
            <w:tcBorders>
              <w:bottom w:val="single" w:sz="2" w:space="0" w:color="000000"/>
            </w:tcBorders>
            <w:vAlign w:val="bottom"/>
          </w:tcPr>
          <w:p w:rsidR="00D322FB" w:rsidRPr="005E7020" w:rsidRDefault="00D322FB" w:rsidP="00CB5525">
            <w:pPr>
              <w:ind w:right="14"/>
              <w:jc w:val="right"/>
              <w:rPr>
                <w:rFonts w:ascii="Arial" w:hAnsi="Arial" w:cs="Arial"/>
                <w:lang w:val="tr-TR"/>
              </w:rPr>
            </w:pPr>
          </w:p>
        </w:tc>
      </w:tr>
      <w:tr w:rsidR="00D322FB" w:rsidRPr="00727376" w:rsidTr="001A0C62">
        <w:tc>
          <w:tcPr>
            <w:tcW w:w="2835" w:type="dxa"/>
            <w:tcBorders>
              <w:top w:val="single" w:sz="2" w:space="0" w:color="000000"/>
              <w:bottom w:val="double" w:sz="4" w:space="0" w:color="auto"/>
            </w:tcBorders>
          </w:tcPr>
          <w:p w:rsidR="00D322FB" w:rsidRPr="005E7020" w:rsidRDefault="00D322FB" w:rsidP="001A0C62">
            <w:pPr>
              <w:ind w:left="176" w:right="-108" w:hanging="284"/>
              <w:rPr>
                <w:rFonts w:ascii="Arial" w:hAnsi="Arial" w:cs="Arial"/>
                <w:lang w:val="tr-TR"/>
              </w:rPr>
            </w:pPr>
            <w:r w:rsidRPr="005E7020">
              <w:rPr>
                <w:rFonts w:ascii="Arial" w:hAnsi="Arial" w:cs="Arial"/>
                <w:b/>
                <w:lang w:val="tr-TR"/>
              </w:rPr>
              <w:t>Toplam</w:t>
            </w:r>
          </w:p>
        </w:tc>
        <w:tc>
          <w:tcPr>
            <w:tcW w:w="1560" w:type="dxa"/>
            <w:tcBorders>
              <w:top w:val="single" w:sz="2" w:space="0" w:color="000000"/>
              <w:bottom w:val="double" w:sz="4" w:space="0" w:color="auto"/>
            </w:tcBorders>
            <w:vAlign w:val="bottom"/>
          </w:tcPr>
          <w:p w:rsidR="00D322FB" w:rsidRPr="005E7020" w:rsidRDefault="00D322FB" w:rsidP="001A0C62">
            <w:pPr>
              <w:ind w:right="14"/>
              <w:jc w:val="right"/>
              <w:rPr>
                <w:rFonts w:ascii="Arial" w:hAnsi="Arial" w:cs="Arial"/>
                <w:b/>
                <w:bCs/>
                <w:lang w:val="tr-TR"/>
              </w:rPr>
            </w:pPr>
          </w:p>
        </w:tc>
        <w:tc>
          <w:tcPr>
            <w:tcW w:w="1701" w:type="dxa"/>
            <w:tcBorders>
              <w:top w:val="single" w:sz="2" w:space="0" w:color="000000"/>
              <w:bottom w:val="double" w:sz="4" w:space="0" w:color="auto"/>
            </w:tcBorders>
            <w:vAlign w:val="bottom"/>
          </w:tcPr>
          <w:p w:rsidR="00D322FB" w:rsidRPr="005E7020" w:rsidRDefault="00D322FB" w:rsidP="001A0C62">
            <w:pPr>
              <w:ind w:right="14"/>
              <w:jc w:val="right"/>
              <w:rPr>
                <w:rFonts w:ascii="Arial" w:hAnsi="Arial" w:cs="Arial"/>
                <w:b/>
                <w:bCs/>
                <w:lang w:val="tr-TR"/>
              </w:rPr>
            </w:pPr>
          </w:p>
        </w:tc>
        <w:tc>
          <w:tcPr>
            <w:tcW w:w="1275" w:type="dxa"/>
            <w:tcBorders>
              <w:top w:val="single" w:sz="2" w:space="0" w:color="000000"/>
              <w:bottom w:val="double" w:sz="4" w:space="0" w:color="auto"/>
            </w:tcBorders>
            <w:vAlign w:val="bottom"/>
          </w:tcPr>
          <w:p w:rsidR="00D322FB" w:rsidRPr="005E7020" w:rsidRDefault="00D322FB" w:rsidP="001A0C62">
            <w:pPr>
              <w:ind w:right="14"/>
              <w:jc w:val="right"/>
              <w:rPr>
                <w:rFonts w:ascii="Arial" w:hAnsi="Arial" w:cs="Arial"/>
                <w:b/>
                <w:bCs/>
                <w:lang w:val="tr-TR"/>
              </w:rPr>
            </w:pPr>
          </w:p>
        </w:tc>
        <w:tc>
          <w:tcPr>
            <w:tcW w:w="1701" w:type="dxa"/>
            <w:tcBorders>
              <w:top w:val="single" w:sz="2" w:space="0" w:color="000000"/>
              <w:bottom w:val="double" w:sz="4" w:space="0" w:color="auto"/>
            </w:tcBorders>
            <w:vAlign w:val="bottom"/>
          </w:tcPr>
          <w:p w:rsidR="00D322FB" w:rsidRPr="005E7020" w:rsidRDefault="004910CF" w:rsidP="001A0C62">
            <w:pPr>
              <w:ind w:right="14"/>
              <w:jc w:val="right"/>
              <w:rPr>
                <w:rFonts w:ascii="Arial" w:hAnsi="Arial" w:cs="Arial"/>
                <w:b/>
                <w:lang w:val="tr-TR"/>
              </w:rPr>
            </w:pPr>
            <w:r>
              <w:rPr>
                <w:rFonts w:ascii="Arial" w:hAnsi="Arial" w:cs="Arial"/>
                <w:b/>
                <w:bCs/>
                <w:color w:val="000000"/>
                <w:sz w:val="18"/>
                <w:szCs w:val="18"/>
              </w:rPr>
              <w:t>116.033</w:t>
            </w:r>
          </w:p>
        </w:tc>
      </w:tr>
    </w:tbl>
    <w:p w:rsidR="00D322FB" w:rsidRDefault="00D322FB" w:rsidP="00F60B8B">
      <w:pPr>
        <w:pStyle w:val="body0"/>
        <w:spacing w:after="0" w:line="240" w:lineRule="auto"/>
        <w:ind w:right="-21"/>
        <w:rPr>
          <w:rFonts w:ascii="Arial" w:hAnsi="Arial" w:cs="Arial"/>
          <w:sz w:val="20"/>
          <w:szCs w:val="20"/>
          <w:highlight w:val="yellow"/>
          <w:lang w:val="tr-TR"/>
        </w:rPr>
      </w:pPr>
    </w:p>
    <w:p w:rsidR="00D322FB" w:rsidRDefault="00D322FB" w:rsidP="00F60B8B">
      <w:pPr>
        <w:pStyle w:val="body0"/>
        <w:spacing w:after="0" w:line="240" w:lineRule="auto"/>
        <w:ind w:right="-21"/>
        <w:rPr>
          <w:rFonts w:ascii="Arial" w:hAnsi="Arial" w:cs="Arial"/>
          <w:sz w:val="20"/>
          <w:szCs w:val="20"/>
          <w:highlight w:val="yellow"/>
          <w:lang w:val="tr-TR"/>
        </w:rPr>
      </w:pPr>
    </w:p>
    <w:tbl>
      <w:tblPr>
        <w:tblW w:w="9072" w:type="dxa"/>
        <w:tblInd w:w="108" w:type="dxa"/>
        <w:tblLook w:val="0000" w:firstRow="0" w:lastRow="0" w:firstColumn="0" w:lastColumn="0" w:noHBand="0" w:noVBand="0"/>
      </w:tblPr>
      <w:tblGrid>
        <w:gridCol w:w="2835"/>
        <w:gridCol w:w="1560"/>
        <w:gridCol w:w="1701"/>
        <w:gridCol w:w="1275"/>
        <w:gridCol w:w="1701"/>
      </w:tblGrid>
      <w:tr w:rsidR="00D322FB" w:rsidRPr="00727376" w:rsidTr="006C3517">
        <w:trPr>
          <w:cantSplit/>
        </w:trPr>
        <w:tc>
          <w:tcPr>
            <w:tcW w:w="2835" w:type="dxa"/>
            <w:tcBorders>
              <w:top w:val="single" w:sz="4" w:space="0" w:color="auto"/>
              <w:bottom w:val="single" w:sz="4" w:space="0" w:color="auto"/>
            </w:tcBorders>
          </w:tcPr>
          <w:p w:rsidR="00D322FB" w:rsidRPr="006C3517" w:rsidRDefault="00D322FB" w:rsidP="006C3517">
            <w:pPr>
              <w:tabs>
                <w:tab w:val="left" w:pos="735"/>
              </w:tabs>
              <w:ind w:left="-108" w:right="14"/>
              <w:jc w:val="both"/>
              <w:rPr>
                <w:rFonts w:ascii="Arial" w:hAnsi="Arial" w:cs="Arial"/>
                <w:lang w:val="tr-TR"/>
              </w:rPr>
            </w:pPr>
            <w:r w:rsidRPr="006C3517">
              <w:rPr>
                <w:rFonts w:ascii="Arial" w:hAnsi="Arial" w:cs="Arial"/>
                <w:lang w:val="tr-TR"/>
              </w:rPr>
              <w:tab/>
            </w:r>
          </w:p>
        </w:tc>
        <w:tc>
          <w:tcPr>
            <w:tcW w:w="6237" w:type="dxa"/>
            <w:gridSpan w:val="4"/>
            <w:tcBorders>
              <w:top w:val="single" w:sz="4" w:space="0" w:color="auto"/>
              <w:bottom w:val="single" w:sz="4" w:space="0" w:color="auto"/>
            </w:tcBorders>
          </w:tcPr>
          <w:p w:rsidR="00D322FB" w:rsidRPr="006C3517" w:rsidRDefault="00D322FB" w:rsidP="00DE18BD">
            <w:pPr>
              <w:ind w:right="14"/>
              <w:jc w:val="center"/>
              <w:rPr>
                <w:rFonts w:ascii="Arial" w:hAnsi="Arial" w:cs="Arial"/>
                <w:bCs/>
                <w:lang w:val="tr-TR"/>
              </w:rPr>
            </w:pPr>
            <w:r w:rsidRPr="006C3517">
              <w:rPr>
                <w:rFonts w:ascii="Arial" w:hAnsi="Arial" w:cs="Arial"/>
                <w:bCs/>
                <w:lang w:val="tr-TR"/>
              </w:rPr>
              <w:t>31 Aralık 2014</w:t>
            </w:r>
          </w:p>
        </w:tc>
      </w:tr>
      <w:tr w:rsidR="00D322FB" w:rsidRPr="00727376" w:rsidTr="00DE18BD">
        <w:tc>
          <w:tcPr>
            <w:tcW w:w="2835" w:type="dxa"/>
            <w:tcBorders>
              <w:top w:val="single" w:sz="4" w:space="0" w:color="auto"/>
              <w:bottom w:val="single" w:sz="4" w:space="0" w:color="auto"/>
            </w:tcBorders>
          </w:tcPr>
          <w:p w:rsidR="00D322FB" w:rsidRPr="006C3517" w:rsidRDefault="00D322FB" w:rsidP="00DE18BD">
            <w:pPr>
              <w:ind w:left="-108" w:right="14"/>
              <w:jc w:val="both"/>
              <w:rPr>
                <w:rFonts w:ascii="Arial" w:hAnsi="Arial" w:cs="Arial"/>
                <w:lang w:val="tr-TR"/>
              </w:rPr>
            </w:pPr>
          </w:p>
        </w:tc>
        <w:tc>
          <w:tcPr>
            <w:tcW w:w="1560" w:type="dxa"/>
            <w:tcBorders>
              <w:top w:val="single" w:sz="4" w:space="0" w:color="auto"/>
              <w:bottom w:val="single" w:sz="4" w:space="0" w:color="auto"/>
            </w:tcBorders>
          </w:tcPr>
          <w:p w:rsidR="00D322FB" w:rsidRPr="006C3517" w:rsidRDefault="00D322FB" w:rsidP="00DE18BD">
            <w:pPr>
              <w:ind w:right="14"/>
              <w:jc w:val="right"/>
              <w:rPr>
                <w:rFonts w:ascii="Arial" w:hAnsi="Arial" w:cs="Arial"/>
                <w:bCs/>
                <w:lang w:val="tr-TR"/>
              </w:rPr>
            </w:pPr>
            <w:r w:rsidRPr="006C3517">
              <w:rPr>
                <w:rFonts w:ascii="Arial" w:hAnsi="Arial" w:cs="Arial"/>
                <w:bCs/>
                <w:lang w:val="tr-TR"/>
              </w:rPr>
              <w:t>Faiz oranı (%)</w:t>
            </w:r>
          </w:p>
        </w:tc>
        <w:tc>
          <w:tcPr>
            <w:tcW w:w="1701" w:type="dxa"/>
            <w:tcBorders>
              <w:top w:val="single" w:sz="4" w:space="0" w:color="auto"/>
              <w:bottom w:val="single" w:sz="4" w:space="0" w:color="auto"/>
            </w:tcBorders>
          </w:tcPr>
          <w:p w:rsidR="00D322FB" w:rsidRPr="006C3517" w:rsidRDefault="00D322FB" w:rsidP="00DE18BD">
            <w:pPr>
              <w:ind w:right="14"/>
              <w:jc w:val="right"/>
              <w:rPr>
                <w:rFonts w:ascii="Arial" w:hAnsi="Arial" w:cs="Arial"/>
                <w:bCs/>
                <w:lang w:val="tr-TR"/>
              </w:rPr>
            </w:pPr>
            <w:r w:rsidRPr="006C3517">
              <w:rPr>
                <w:rFonts w:ascii="Arial" w:hAnsi="Arial" w:cs="Arial"/>
                <w:bCs/>
                <w:lang w:val="tr-TR"/>
              </w:rPr>
              <w:t>Vade tarihi</w:t>
            </w:r>
          </w:p>
        </w:tc>
        <w:tc>
          <w:tcPr>
            <w:tcW w:w="1275" w:type="dxa"/>
            <w:tcBorders>
              <w:top w:val="single" w:sz="4" w:space="0" w:color="auto"/>
              <w:bottom w:val="single" w:sz="4" w:space="0" w:color="auto"/>
            </w:tcBorders>
          </w:tcPr>
          <w:p w:rsidR="00D322FB" w:rsidRPr="006C3517" w:rsidRDefault="00D322FB" w:rsidP="00DE18BD">
            <w:pPr>
              <w:ind w:right="14"/>
              <w:jc w:val="right"/>
              <w:rPr>
                <w:rFonts w:ascii="Arial" w:hAnsi="Arial" w:cs="Arial"/>
                <w:bCs/>
                <w:lang w:val="tr-TR"/>
              </w:rPr>
            </w:pPr>
            <w:r w:rsidRPr="006C3517">
              <w:rPr>
                <w:rFonts w:ascii="Arial" w:hAnsi="Arial" w:cs="Arial"/>
                <w:bCs/>
                <w:lang w:val="tr-TR"/>
              </w:rPr>
              <w:t>Maliyet</w:t>
            </w:r>
          </w:p>
        </w:tc>
        <w:tc>
          <w:tcPr>
            <w:tcW w:w="1701" w:type="dxa"/>
            <w:tcBorders>
              <w:top w:val="single" w:sz="4" w:space="0" w:color="auto"/>
              <w:bottom w:val="single" w:sz="4" w:space="0" w:color="auto"/>
            </w:tcBorders>
          </w:tcPr>
          <w:p w:rsidR="00D322FB" w:rsidRPr="006C3517" w:rsidRDefault="00D322FB" w:rsidP="00DE18BD">
            <w:pPr>
              <w:ind w:right="14"/>
              <w:jc w:val="right"/>
              <w:rPr>
                <w:rFonts w:ascii="Arial" w:hAnsi="Arial" w:cs="Arial"/>
                <w:lang w:val="tr-TR"/>
              </w:rPr>
            </w:pPr>
            <w:r w:rsidRPr="006C3517">
              <w:rPr>
                <w:rFonts w:ascii="Arial" w:hAnsi="Arial" w:cs="Arial"/>
                <w:lang w:val="tr-TR"/>
              </w:rPr>
              <w:t>Kayıtlı değer</w:t>
            </w:r>
          </w:p>
        </w:tc>
      </w:tr>
      <w:tr w:rsidR="00D322FB" w:rsidRPr="00727376" w:rsidTr="00DE18BD">
        <w:tc>
          <w:tcPr>
            <w:tcW w:w="2835" w:type="dxa"/>
            <w:tcBorders>
              <w:top w:val="single" w:sz="4" w:space="0" w:color="auto"/>
            </w:tcBorders>
          </w:tcPr>
          <w:p w:rsidR="00D322FB" w:rsidRPr="006C3517" w:rsidRDefault="00D322FB" w:rsidP="00DE18BD">
            <w:pPr>
              <w:ind w:left="-108" w:right="14"/>
              <w:jc w:val="both"/>
              <w:rPr>
                <w:rFonts w:ascii="Arial" w:hAnsi="Arial" w:cs="Arial"/>
                <w:lang w:val="tr-TR"/>
              </w:rPr>
            </w:pPr>
          </w:p>
        </w:tc>
        <w:tc>
          <w:tcPr>
            <w:tcW w:w="1560" w:type="dxa"/>
            <w:tcBorders>
              <w:top w:val="single" w:sz="4" w:space="0" w:color="auto"/>
            </w:tcBorders>
          </w:tcPr>
          <w:p w:rsidR="00D322FB" w:rsidRPr="006C3517" w:rsidRDefault="00D322FB" w:rsidP="00DE18BD">
            <w:pPr>
              <w:ind w:right="14"/>
              <w:jc w:val="right"/>
              <w:rPr>
                <w:rFonts w:ascii="Arial" w:hAnsi="Arial" w:cs="Arial"/>
                <w:bCs/>
                <w:lang w:val="tr-TR"/>
              </w:rPr>
            </w:pPr>
          </w:p>
        </w:tc>
        <w:tc>
          <w:tcPr>
            <w:tcW w:w="1701" w:type="dxa"/>
            <w:tcBorders>
              <w:top w:val="single" w:sz="4" w:space="0" w:color="auto"/>
            </w:tcBorders>
          </w:tcPr>
          <w:p w:rsidR="00D322FB" w:rsidRPr="006C3517" w:rsidRDefault="00D322FB" w:rsidP="00DE18BD">
            <w:pPr>
              <w:ind w:right="14"/>
              <w:jc w:val="right"/>
              <w:rPr>
                <w:rFonts w:ascii="Arial" w:hAnsi="Arial" w:cs="Arial"/>
                <w:bCs/>
                <w:lang w:val="tr-TR"/>
              </w:rPr>
            </w:pPr>
          </w:p>
        </w:tc>
        <w:tc>
          <w:tcPr>
            <w:tcW w:w="1275" w:type="dxa"/>
            <w:tcBorders>
              <w:top w:val="single" w:sz="4" w:space="0" w:color="auto"/>
            </w:tcBorders>
          </w:tcPr>
          <w:p w:rsidR="00D322FB" w:rsidRPr="006C3517" w:rsidRDefault="00D322FB" w:rsidP="00DE18BD">
            <w:pPr>
              <w:ind w:right="14"/>
              <w:jc w:val="right"/>
              <w:rPr>
                <w:rFonts w:ascii="Arial" w:hAnsi="Arial" w:cs="Arial"/>
                <w:bCs/>
                <w:lang w:val="tr-TR"/>
              </w:rPr>
            </w:pPr>
          </w:p>
        </w:tc>
        <w:tc>
          <w:tcPr>
            <w:tcW w:w="1701" w:type="dxa"/>
            <w:tcBorders>
              <w:top w:val="single" w:sz="4" w:space="0" w:color="auto"/>
            </w:tcBorders>
          </w:tcPr>
          <w:p w:rsidR="00D322FB" w:rsidRPr="006C3517" w:rsidRDefault="00D322FB" w:rsidP="00DE18BD">
            <w:pPr>
              <w:ind w:right="14"/>
              <w:jc w:val="right"/>
              <w:rPr>
                <w:rFonts w:ascii="Arial" w:hAnsi="Arial" w:cs="Arial"/>
                <w:lang w:val="tr-TR"/>
              </w:rPr>
            </w:pPr>
          </w:p>
        </w:tc>
      </w:tr>
      <w:tr w:rsidR="00D322FB" w:rsidRPr="00727376" w:rsidTr="00DE18BD">
        <w:tc>
          <w:tcPr>
            <w:tcW w:w="2835" w:type="dxa"/>
            <w:vAlign w:val="bottom"/>
          </w:tcPr>
          <w:p w:rsidR="00D322FB" w:rsidRPr="006C3517" w:rsidRDefault="00D322FB" w:rsidP="00DE18BD">
            <w:pPr>
              <w:ind w:left="176" w:right="-108" w:hanging="284"/>
              <w:rPr>
                <w:rFonts w:ascii="Arial" w:hAnsi="Arial" w:cs="Arial"/>
                <w:lang w:val="tr-TR"/>
              </w:rPr>
            </w:pPr>
            <w:r w:rsidRPr="006C3517">
              <w:rPr>
                <w:rFonts w:ascii="Arial" w:hAnsi="Arial" w:cs="Arial"/>
                <w:lang w:val="tr-TR"/>
              </w:rPr>
              <w:t>Borsa para piyasasından alacaklar (TL)</w:t>
            </w:r>
          </w:p>
        </w:tc>
        <w:tc>
          <w:tcPr>
            <w:tcW w:w="1560" w:type="dxa"/>
            <w:vAlign w:val="bottom"/>
          </w:tcPr>
          <w:p w:rsidR="00D322FB" w:rsidRPr="006C3517" w:rsidRDefault="00D322FB" w:rsidP="00DE18BD">
            <w:pPr>
              <w:jc w:val="right"/>
              <w:rPr>
                <w:rFonts w:ascii="Arial" w:hAnsi="Arial" w:cs="Arial"/>
                <w:bCs/>
                <w:color w:val="000000"/>
                <w:sz w:val="18"/>
                <w:szCs w:val="18"/>
              </w:rPr>
            </w:pPr>
            <w:r w:rsidRPr="006C3517">
              <w:rPr>
                <w:rFonts w:ascii="Arial" w:hAnsi="Arial" w:cs="Arial"/>
                <w:bCs/>
                <w:color w:val="000000"/>
                <w:sz w:val="18"/>
                <w:szCs w:val="18"/>
              </w:rPr>
              <w:t>10,30-10,80</w:t>
            </w:r>
          </w:p>
        </w:tc>
        <w:tc>
          <w:tcPr>
            <w:tcW w:w="1701" w:type="dxa"/>
            <w:vAlign w:val="bottom"/>
          </w:tcPr>
          <w:p w:rsidR="00D322FB" w:rsidRPr="006C3517" w:rsidRDefault="00D322FB" w:rsidP="00DE18BD">
            <w:pPr>
              <w:jc w:val="right"/>
              <w:rPr>
                <w:rFonts w:ascii="Arial" w:hAnsi="Arial" w:cs="Arial"/>
                <w:bCs/>
                <w:color w:val="000000"/>
                <w:sz w:val="18"/>
                <w:szCs w:val="18"/>
              </w:rPr>
            </w:pPr>
            <w:r w:rsidRPr="006C3517">
              <w:rPr>
                <w:rFonts w:ascii="Arial" w:hAnsi="Arial" w:cs="Arial"/>
                <w:bCs/>
                <w:color w:val="000000"/>
                <w:sz w:val="18"/>
                <w:szCs w:val="18"/>
              </w:rPr>
              <w:t>26 Aralık 2014- 31 Aralık 2014</w:t>
            </w:r>
          </w:p>
        </w:tc>
        <w:tc>
          <w:tcPr>
            <w:tcW w:w="1275" w:type="dxa"/>
            <w:vAlign w:val="bottom"/>
          </w:tcPr>
          <w:p w:rsidR="00D322FB" w:rsidRPr="006C3517" w:rsidRDefault="00D322FB" w:rsidP="00DE18BD">
            <w:pPr>
              <w:jc w:val="right"/>
              <w:rPr>
                <w:rFonts w:ascii="Arial" w:hAnsi="Arial" w:cs="Arial"/>
                <w:bCs/>
                <w:color w:val="000000"/>
                <w:sz w:val="18"/>
                <w:szCs w:val="18"/>
              </w:rPr>
            </w:pPr>
            <w:r w:rsidRPr="006C3517">
              <w:rPr>
                <w:rFonts w:ascii="Arial" w:hAnsi="Arial" w:cs="Arial"/>
                <w:bCs/>
                <w:color w:val="000000"/>
                <w:sz w:val="18"/>
                <w:szCs w:val="18"/>
              </w:rPr>
              <w:t>567.000</w:t>
            </w:r>
          </w:p>
        </w:tc>
        <w:tc>
          <w:tcPr>
            <w:tcW w:w="1701" w:type="dxa"/>
            <w:vAlign w:val="bottom"/>
          </w:tcPr>
          <w:p w:rsidR="00D322FB" w:rsidRPr="006C3517" w:rsidRDefault="00D322FB" w:rsidP="00DE18BD">
            <w:pPr>
              <w:jc w:val="right"/>
              <w:rPr>
                <w:rFonts w:ascii="Arial" w:hAnsi="Arial" w:cs="Arial"/>
                <w:bCs/>
                <w:color w:val="000000"/>
                <w:sz w:val="18"/>
                <w:szCs w:val="18"/>
              </w:rPr>
            </w:pPr>
            <w:r w:rsidRPr="006C3517">
              <w:rPr>
                <w:rFonts w:ascii="Arial" w:hAnsi="Arial" w:cs="Arial"/>
                <w:bCs/>
                <w:color w:val="000000"/>
                <w:sz w:val="18"/>
                <w:szCs w:val="18"/>
              </w:rPr>
              <w:t>567.768</w:t>
            </w:r>
          </w:p>
        </w:tc>
      </w:tr>
      <w:tr w:rsidR="00D322FB" w:rsidRPr="00727376" w:rsidTr="00DE18BD">
        <w:tc>
          <w:tcPr>
            <w:tcW w:w="2835" w:type="dxa"/>
            <w:tcBorders>
              <w:bottom w:val="single" w:sz="2" w:space="0" w:color="000000"/>
            </w:tcBorders>
          </w:tcPr>
          <w:p w:rsidR="00D322FB" w:rsidRPr="006C3517" w:rsidRDefault="00D322FB" w:rsidP="00DE18BD">
            <w:pPr>
              <w:ind w:left="176" w:right="-108" w:hanging="284"/>
              <w:rPr>
                <w:rFonts w:ascii="Arial" w:hAnsi="Arial" w:cs="Arial"/>
                <w:lang w:val="tr-TR"/>
              </w:rPr>
            </w:pPr>
          </w:p>
        </w:tc>
        <w:tc>
          <w:tcPr>
            <w:tcW w:w="1560" w:type="dxa"/>
            <w:tcBorders>
              <w:bottom w:val="single" w:sz="2" w:space="0" w:color="000000"/>
            </w:tcBorders>
            <w:vAlign w:val="bottom"/>
          </w:tcPr>
          <w:p w:rsidR="00D322FB" w:rsidRPr="006C3517" w:rsidRDefault="00D322FB" w:rsidP="00DE18BD">
            <w:pPr>
              <w:ind w:right="14"/>
              <w:jc w:val="right"/>
              <w:rPr>
                <w:rFonts w:ascii="Arial" w:hAnsi="Arial" w:cs="Arial"/>
                <w:bCs/>
                <w:lang w:val="tr-TR"/>
              </w:rPr>
            </w:pPr>
          </w:p>
        </w:tc>
        <w:tc>
          <w:tcPr>
            <w:tcW w:w="1701" w:type="dxa"/>
            <w:tcBorders>
              <w:bottom w:val="single" w:sz="2" w:space="0" w:color="000000"/>
            </w:tcBorders>
            <w:vAlign w:val="bottom"/>
          </w:tcPr>
          <w:p w:rsidR="00D322FB" w:rsidRPr="006C3517" w:rsidRDefault="00D322FB" w:rsidP="00DE18BD">
            <w:pPr>
              <w:ind w:right="14"/>
              <w:jc w:val="right"/>
              <w:rPr>
                <w:rFonts w:ascii="Arial" w:hAnsi="Arial" w:cs="Arial"/>
                <w:bCs/>
                <w:lang w:val="tr-TR"/>
              </w:rPr>
            </w:pPr>
          </w:p>
        </w:tc>
        <w:tc>
          <w:tcPr>
            <w:tcW w:w="1275" w:type="dxa"/>
            <w:tcBorders>
              <w:bottom w:val="single" w:sz="2" w:space="0" w:color="000000"/>
            </w:tcBorders>
            <w:vAlign w:val="bottom"/>
          </w:tcPr>
          <w:p w:rsidR="00D322FB" w:rsidRPr="006C3517" w:rsidRDefault="00D322FB" w:rsidP="00DE18BD">
            <w:pPr>
              <w:ind w:right="14"/>
              <w:jc w:val="right"/>
              <w:rPr>
                <w:rFonts w:ascii="Arial" w:hAnsi="Arial" w:cs="Arial"/>
                <w:bCs/>
                <w:lang w:val="tr-TR"/>
              </w:rPr>
            </w:pPr>
          </w:p>
        </w:tc>
        <w:tc>
          <w:tcPr>
            <w:tcW w:w="1701" w:type="dxa"/>
            <w:tcBorders>
              <w:bottom w:val="single" w:sz="2" w:space="0" w:color="000000"/>
            </w:tcBorders>
            <w:vAlign w:val="bottom"/>
          </w:tcPr>
          <w:p w:rsidR="00D322FB" w:rsidRPr="006C3517" w:rsidRDefault="00D322FB" w:rsidP="00DE18BD">
            <w:pPr>
              <w:ind w:right="14"/>
              <w:jc w:val="right"/>
              <w:rPr>
                <w:rFonts w:ascii="Arial" w:hAnsi="Arial" w:cs="Arial"/>
                <w:lang w:val="tr-TR"/>
              </w:rPr>
            </w:pPr>
          </w:p>
        </w:tc>
      </w:tr>
      <w:tr w:rsidR="00D322FB" w:rsidRPr="00727376" w:rsidTr="00DE18BD">
        <w:tc>
          <w:tcPr>
            <w:tcW w:w="2835" w:type="dxa"/>
            <w:tcBorders>
              <w:top w:val="single" w:sz="2" w:space="0" w:color="000000"/>
              <w:bottom w:val="double" w:sz="4" w:space="0" w:color="auto"/>
            </w:tcBorders>
          </w:tcPr>
          <w:p w:rsidR="00D322FB" w:rsidRPr="006C3517" w:rsidRDefault="00D322FB" w:rsidP="00DE18BD">
            <w:pPr>
              <w:ind w:left="176" w:right="-108" w:hanging="284"/>
              <w:rPr>
                <w:rFonts w:ascii="Arial" w:hAnsi="Arial" w:cs="Arial"/>
                <w:lang w:val="tr-TR"/>
              </w:rPr>
            </w:pPr>
            <w:r w:rsidRPr="006C3517">
              <w:rPr>
                <w:rFonts w:ascii="Arial" w:hAnsi="Arial" w:cs="Arial"/>
                <w:lang w:val="tr-TR"/>
              </w:rPr>
              <w:t>Toplam</w:t>
            </w:r>
          </w:p>
        </w:tc>
        <w:tc>
          <w:tcPr>
            <w:tcW w:w="1560" w:type="dxa"/>
            <w:tcBorders>
              <w:top w:val="single" w:sz="2" w:space="0" w:color="000000"/>
              <w:bottom w:val="double" w:sz="4" w:space="0" w:color="auto"/>
            </w:tcBorders>
            <w:vAlign w:val="bottom"/>
          </w:tcPr>
          <w:p w:rsidR="00D322FB" w:rsidRPr="006C3517" w:rsidRDefault="00D322FB" w:rsidP="00DE18BD">
            <w:pPr>
              <w:ind w:right="14"/>
              <w:jc w:val="right"/>
              <w:rPr>
                <w:rFonts w:ascii="Arial" w:hAnsi="Arial" w:cs="Arial"/>
                <w:bCs/>
                <w:lang w:val="tr-TR"/>
              </w:rPr>
            </w:pPr>
          </w:p>
        </w:tc>
        <w:tc>
          <w:tcPr>
            <w:tcW w:w="1701" w:type="dxa"/>
            <w:tcBorders>
              <w:top w:val="single" w:sz="2" w:space="0" w:color="000000"/>
              <w:bottom w:val="double" w:sz="4" w:space="0" w:color="auto"/>
            </w:tcBorders>
            <w:vAlign w:val="bottom"/>
          </w:tcPr>
          <w:p w:rsidR="00D322FB" w:rsidRPr="006C3517" w:rsidRDefault="00D322FB" w:rsidP="00DE18BD">
            <w:pPr>
              <w:ind w:right="14"/>
              <w:jc w:val="right"/>
              <w:rPr>
                <w:rFonts w:ascii="Arial" w:hAnsi="Arial" w:cs="Arial"/>
                <w:bCs/>
                <w:lang w:val="tr-TR"/>
              </w:rPr>
            </w:pPr>
          </w:p>
        </w:tc>
        <w:tc>
          <w:tcPr>
            <w:tcW w:w="1275" w:type="dxa"/>
            <w:tcBorders>
              <w:top w:val="single" w:sz="2" w:space="0" w:color="000000"/>
              <w:bottom w:val="double" w:sz="4" w:space="0" w:color="auto"/>
            </w:tcBorders>
            <w:vAlign w:val="bottom"/>
          </w:tcPr>
          <w:p w:rsidR="00D322FB" w:rsidRPr="006C3517" w:rsidRDefault="00D322FB" w:rsidP="00DE18BD">
            <w:pPr>
              <w:ind w:right="14"/>
              <w:jc w:val="right"/>
              <w:rPr>
                <w:rFonts w:ascii="Arial" w:hAnsi="Arial" w:cs="Arial"/>
                <w:bCs/>
                <w:lang w:val="tr-TR"/>
              </w:rPr>
            </w:pPr>
          </w:p>
        </w:tc>
        <w:tc>
          <w:tcPr>
            <w:tcW w:w="1701" w:type="dxa"/>
            <w:tcBorders>
              <w:top w:val="single" w:sz="2" w:space="0" w:color="000000"/>
              <w:bottom w:val="double" w:sz="4" w:space="0" w:color="auto"/>
            </w:tcBorders>
            <w:vAlign w:val="bottom"/>
          </w:tcPr>
          <w:p w:rsidR="00D322FB" w:rsidRPr="006C3517" w:rsidRDefault="00D322FB" w:rsidP="00DE18BD">
            <w:pPr>
              <w:ind w:right="14"/>
              <w:jc w:val="right"/>
              <w:rPr>
                <w:rFonts w:ascii="Arial" w:hAnsi="Arial" w:cs="Arial"/>
                <w:lang w:val="tr-TR"/>
              </w:rPr>
            </w:pPr>
            <w:r w:rsidRPr="006C3517">
              <w:rPr>
                <w:rFonts w:ascii="Arial" w:hAnsi="Arial" w:cs="Arial"/>
                <w:bCs/>
                <w:color w:val="000000"/>
                <w:sz w:val="18"/>
                <w:szCs w:val="18"/>
              </w:rPr>
              <w:t>567.768</w:t>
            </w:r>
          </w:p>
        </w:tc>
      </w:tr>
    </w:tbl>
    <w:p w:rsidR="00D322FB" w:rsidRPr="00727376" w:rsidRDefault="00D322FB" w:rsidP="00DD4844">
      <w:pPr>
        <w:ind w:right="-23"/>
        <w:rPr>
          <w:rFonts w:ascii="Arial" w:hAnsi="Arial" w:cs="Arial"/>
          <w:b/>
          <w:highlight w:val="yellow"/>
          <w:lang w:val="tr-TR"/>
        </w:rPr>
      </w:pPr>
    </w:p>
    <w:p w:rsidR="00D322FB" w:rsidRPr="00842630" w:rsidRDefault="00CC4C4F" w:rsidP="00C9206A">
      <w:pPr>
        <w:tabs>
          <w:tab w:val="left" w:pos="-720"/>
        </w:tabs>
        <w:suppressAutoHyphens/>
        <w:rPr>
          <w:rFonts w:ascii="Arial" w:hAnsi="Arial" w:cs="Arial"/>
          <w:lang w:val="tr-TR"/>
        </w:rPr>
      </w:pPr>
      <w:r>
        <w:rPr>
          <w:rFonts w:ascii="Arial" w:hAnsi="Arial" w:cs="Arial"/>
          <w:lang w:val="tr-TR"/>
        </w:rPr>
        <w:t>Şirket’in 31 Mart</w:t>
      </w:r>
      <w:r w:rsidRPr="00776A7A">
        <w:rPr>
          <w:rFonts w:ascii="Arial" w:hAnsi="Arial" w:cs="Arial"/>
          <w:lang w:val="tr-TR"/>
        </w:rPr>
        <w:t xml:space="preserve"> 201</w:t>
      </w:r>
      <w:r w:rsidR="006F2183">
        <w:rPr>
          <w:rFonts w:ascii="Arial" w:hAnsi="Arial" w:cs="Arial"/>
          <w:lang w:val="tr-TR"/>
        </w:rPr>
        <w:t>5</w:t>
      </w:r>
      <w:r>
        <w:rPr>
          <w:rFonts w:ascii="Arial" w:hAnsi="Arial" w:cs="Arial"/>
          <w:lang w:val="tr-TR"/>
        </w:rPr>
        <w:t xml:space="preserve"> ve 31 Aralık 2014</w:t>
      </w:r>
      <w:r w:rsidRPr="00776A7A">
        <w:rPr>
          <w:rFonts w:ascii="Arial" w:hAnsi="Arial" w:cs="Arial"/>
          <w:lang w:val="tr-TR"/>
        </w:rPr>
        <w:t xml:space="preserve"> </w:t>
      </w:r>
      <w:r w:rsidR="00D322FB">
        <w:rPr>
          <w:rFonts w:ascii="Arial" w:hAnsi="Arial" w:cs="Arial"/>
          <w:lang w:val="tr-TR"/>
        </w:rPr>
        <w:t xml:space="preserve"> tarihleri itibariyle </w:t>
      </w:r>
      <w:r w:rsidR="00D322FB" w:rsidRPr="00B271E5">
        <w:rPr>
          <w:rFonts w:ascii="Arial" w:hAnsi="Arial" w:cs="Arial"/>
          <w:lang w:val="tr-TR"/>
        </w:rPr>
        <w:t xml:space="preserve">Şirket’in </w:t>
      </w:r>
      <w:r w:rsidR="00D322FB" w:rsidRPr="00842630">
        <w:rPr>
          <w:rFonts w:ascii="Arial" w:hAnsi="Arial" w:cs="Arial"/>
          <w:lang w:val="tr-TR"/>
        </w:rPr>
        <w:t>nakit akış tablolarının düzenlenmesi amacıyla nakit ve nakde eşdeğer varlıkların kırılımı aşağıdaki gibidir:</w:t>
      </w:r>
    </w:p>
    <w:p w:rsidR="00D322FB" w:rsidRPr="00727376" w:rsidRDefault="00D322FB" w:rsidP="00AE0484">
      <w:pPr>
        <w:rPr>
          <w:rFonts w:ascii="Arial" w:hAnsi="Arial" w:cs="Arial"/>
          <w:highlight w:val="yellow"/>
          <w:lang w:val="tr-TR"/>
        </w:rPr>
      </w:pPr>
    </w:p>
    <w:tbl>
      <w:tblPr>
        <w:tblW w:w="9072" w:type="dxa"/>
        <w:tblInd w:w="108" w:type="dxa"/>
        <w:tblLayout w:type="fixed"/>
        <w:tblLook w:val="0000" w:firstRow="0" w:lastRow="0" w:firstColumn="0" w:lastColumn="0" w:noHBand="0" w:noVBand="0"/>
      </w:tblPr>
      <w:tblGrid>
        <w:gridCol w:w="5670"/>
        <w:gridCol w:w="1701"/>
        <w:gridCol w:w="1701"/>
      </w:tblGrid>
      <w:tr w:rsidR="00D322FB" w:rsidRPr="007C2F3F" w:rsidTr="006C3517">
        <w:trPr>
          <w:trHeight w:val="113"/>
        </w:trPr>
        <w:tc>
          <w:tcPr>
            <w:tcW w:w="5670" w:type="dxa"/>
            <w:tcBorders>
              <w:top w:val="single" w:sz="6" w:space="0" w:color="auto"/>
              <w:left w:val="nil"/>
              <w:bottom w:val="single" w:sz="6" w:space="0" w:color="auto"/>
              <w:right w:val="nil"/>
            </w:tcBorders>
          </w:tcPr>
          <w:p w:rsidR="00D322FB" w:rsidRPr="00842630" w:rsidRDefault="00D322FB" w:rsidP="00722844">
            <w:pPr>
              <w:autoSpaceDE w:val="0"/>
              <w:autoSpaceDN w:val="0"/>
              <w:adjustRightInd w:val="0"/>
              <w:rPr>
                <w:rFonts w:ascii="Arial" w:hAnsi="Arial" w:cs="Arial"/>
                <w:color w:val="000000"/>
                <w:lang w:val="tr-TR"/>
              </w:rPr>
            </w:pPr>
          </w:p>
        </w:tc>
        <w:tc>
          <w:tcPr>
            <w:tcW w:w="1701" w:type="dxa"/>
            <w:tcBorders>
              <w:top w:val="single" w:sz="6" w:space="0" w:color="auto"/>
              <w:left w:val="nil"/>
              <w:bottom w:val="single" w:sz="6" w:space="0" w:color="auto"/>
              <w:right w:val="nil"/>
            </w:tcBorders>
          </w:tcPr>
          <w:p w:rsidR="00D322FB" w:rsidRPr="007C2F3F" w:rsidRDefault="00D322FB" w:rsidP="003F2B3E">
            <w:pPr>
              <w:autoSpaceDE w:val="0"/>
              <w:autoSpaceDN w:val="0"/>
              <w:adjustRightInd w:val="0"/>
              <w:jc w:val="right"/>
              <w:rPr>
                <w:rFonts w:ascii="Arial" w:hAnsi="Arial" w:cs="Arial"/>
                <w:b/>
                <w:bCs/>
                <w:color w:val="000000"/>
              </w:rPr>
            </w:pPr>
            <w:r w:rsidRPr="007C2F3F">
              <w:rPr>
                <w:rFonts w:ascii="Arial" w:hAnsi="Arial" w:cs="Arial"/>
                <w:b/>
                <w:bCs/>
                <w:color w:val="000000"/>
              </w:rPr>
              <w:t xml:space="preserve">31 </w:t>
            </w:r>
            <w:r>
              <w:rPr>
                <w:rFonts w:ascii="Arial" w:hAnsi="Arial" w:cs="Arial"/>
                <w:b/>
                <w:bCs/>
                <w:color w:val="000000"/>
              </w:rPr>
              <w:t>Mart 2015</w:t>
            </w:r>
          </w:p>
        </w:tc>
        <w:tc>
          <w:tcPr>
            <w:tcW w:w="1701" w:type="dxa"/>
            <w:tcBorders>
              <w:top w:val="single" w:sz="6" w:space="0" w:color="auto"/>
              <w:left w:val="nil"/>
              <w:bottom w:val="single" w:sz="6" w:space="0" w:color="auto"/>
              <w:right w:val="nil"/>
            </w:tcBorders>
          </w:tcPr>
          <w:p w:rsidR="00D322FB" w:rsidRPr="006C3517" w:rsidRDefault="00D322FB" w:rsidP="00DE18BD">
            <w:pPr>
              <w:autoSpaceDE w:val="0"/>
              <w:autoSpaceDN w:val="0"/>
              <w:adjustRightInd w:val="0"/>
              <w:jc w:val="right"/>
              <w:rPr>
                <w:rFonts w:ascii="Arial" w:hAnsi="Arial" w:cs="Arial"/>
                <w:bCs/>
                <w:color w:val="000000"/>
              </w:rPr>
            </w:pPr>
            <w:r w:rsidRPr="006C3517">
              <w:rPr>
                <w:rFonts w:ascii="Arial" w:hAnsi="Arial" w:cs="Arial"/>
                <w:bCs/>
                <w:color w:val="000000"/>
              </w:rPr>
              <w:t>31 Aralık 2014</w:t>
            </w:r>
          </w:p>
        </w:tc>
      </w:tr>
      <w:tr w:rsidR="00D322FB" w:rsidRPr="007C2F3F" w:rsidTr="006C3517">
        <w:trPr>
          <w:trHeight w:val="113"/>
        </w:trPr>
        <w:tc>
          <w:tcPr>
            <w:tcW w:w="5670" w:type="dxa"/>
            <w:tcBorders>
              <w:top w:val="single" w:sz="6" w:space="0" w:color="auto"/>
              <w:left w:val="nil"/>
              <w:bottom w:val="nil"/>
              <w:right w:val="nil"/>
            </w:tcBorders>
          </w:tcPr>
          <w:p w:rsidR="00D322FB" w:rsidRPr="007C2F3F" w:rsidRDefault="00D322FB" w:rsidP="00722844">
            <w:pPr>
              <w:autoSpaceDE w:val="0"/>
              <w:autoSpaceDN w:val="0"/>
              <w:adjustRightInd w:val="0"/>
              <w:rPr>
                <w:rFonts w:ascii="Arial" w:hAnsi="Arial" w:cs="Arial"/>
                <w:color w:val="000000"/>
              </w:rPr>
            </w:pPr>
          </w:p>
        </w:tc>
        <w:tc>
          <w:tcPr>
            <w:tcW w:w="1701" w:type="dxa"/>
            <w:tcBorders>
              <w:top w:val="single" w:sz="6" w:space="0" w:color="auto"/>
              <w:left w:val="nil"/>
              <w:bottom w:val="nil"/>
              <w:right w:val="nil"/>
            </w:tcBorders>
          </w:tcPr>
          <w:p w:rsidR="00D322FB" w:rsidRPr="007C2F3F" w:rsidRDefault="00D322FB" w:rsidP="003F2B3E">
            <w:pPr>
              <w:autoSpaceDE w:val="0"/>
              <w:autoSpaceDN w:val="0"/>
              <w:adjustRightInd w:val="0"/>
              <w:jc w:val="right"/>
              <w:rPr>
                <w:rFonts w:ascii="Arial" w:hAnsi="Arial" w:cs="Arial"/>
                <w:b/>
                <w:bCs/>
                <w:color w:val="000000"/>
              </w:rPr>
            </w:pPr>
          </w:p>
        </w:tc>
        <w:tc>
          <w:tcPr>
            <w:tcW w:w="1701" w:type="dxa"/>
            <w:tcBorders>
              <w:top w:val="single" w:sz="6" w:space="0" w:color="auto"/>
              <w:left w:val="nil"/>
              <w:bottom w:val="nil"/>
              <w:right w:val="nil"/>
            </w:tcBorders>
          </w:tcPr>
          <w:p w:rsidR="00D322FB" w:rsidRPr="006C3517" w:rsidRDefault="00D322FB" w:rsidP="00DE18BD">
            <w:pPr>
              <w:autoSpaceDE w:val="0"/>
              <w:autoSpaceDN w:val="0"/>
              <w:adjustRightInd w:val="0"/>
              <w:jc w:val="right"/>
              <w:rPr>
                <w:rFonts w:ascii="Arial" w:hAnsi="Arial" w:cs="Arial"/>
                <w:bCs/>
                <w:color w:val="000000"/>
              </w:rPr>
            </w:pPr>
          </w:p>
        </w:tc>
      </w:tr>
      <w:tr w:rsidR="00D322FB" w:rsidRPr="007C2F3F" w:rsidTr="00296537">
        <w:trPr>
          <w:trHeight w:val="113"/>
        </w:trPr>
        <w:tc>
          <w:tcPr>
            <w:tcW w:w="5670" w:type="dxa"/>
            <w:tcBorders>
              <w:top w:val="nil"/>
              <w:left w:val="nil"/>
              <w:bottom w:val="nil"/>
              <w:right w:val="nil"/>
            </w:tcBorders>
          </w:tcPr>
          <w:p w:rsidR="00D322FB" w:rsidRPr="007C2F3F" w:rsidRDefault="00D322FB" w:rsidP="001A0C62">
            <w:pPr>
              <w:autoSpaceDE w:val="0"/>
              <w:autoSpaceDN w:val="0"/>
              <w:adjustRightInd w:val="0"/>
              <w:rPr>
                <w:rFonts w:ascii="Arial" w:hAnsi="Arial" w:cs="Arial"/>
                <w:color w:val="000000"/>
              </w:rPr>
            </w:pPr>
            <w:r w:rsidRPr="007C2F3F">
              <w:rPr>
                <w:rFonts w:ascii="Arial" w:hAnsi="Arial" w:cs="Arial"/>
                <w:color w:val="000000"/>
              </w:rPr>
              <w:t>Nakit ve nakit benzerleri</w:t>
            </w:r>
          </w:p>
        </w:tc>
        <w:tc>
          <w:tcPr>
            <w:tcW w:w="1701" w:type="dxa"/>
            <w:tcBorders>
              <w:top w:val="nil"/>
              <w:left w:val="nil"/>
              <w:bottom w:val="nil"/>
              <w:right w:val="nil"/>
            </w:tcBorders>
            <w:vAlign w:val="bottom"/>
          </w:tcPr>
          <w:p w:rsidR="00D322FB" w:rsidRPr="007C2F3F" w:rsidRDefault="00D322FB" w:rsidP="004910CF">
            <w:pPr>
              <w:jc w:val="right"/>
              <w:rPr>
                <w:rFonts w:ascii="Arial" w:hAnsi="Arial" w:cs="Arial"/>
                <w:b/>
                <w:bCs/>
                <w:color w:val="000000"/>
              </w:rPr>
            </w:pPr>
            <w:r w:rsidRPr="007C2F3F">
              <w:rPr>
                <w:rFonts w:ascii="Arial" w:hAnsi="Arial" w:cs="Arial"/>
                <w:b/>
                <w:bCs/>
                <w:color w:val="000000"/>
              </w:rPr>
              <w:t>1.</w:t>
            </w:r>
            <w:r w:rsidR="004910CF">
              <w:rPr>
                <w:rFonts w:ascii="Arial" w:hAnsi="Arial" w:cs="Arial"/>
                <w:b/>
                <w:bCs/>
                <w:color w:val="000000"/>
              </w:rPr>
              <w:t>229.651</w:t>
            </w:r>
          </w:p>
        </w:tc>
        <w:tc>
          <w:tcPr>
            <w:tcW w:w="1701" w:type="dxa"/>
            <w:tcBorders>
              <w:top w:val="nil"/>
              <w:left w:val="nil"/>
              <w:bottom w:val="nil"/>
              <w:right w:val="nil"/>
            </w:tcBorders>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1.124.462</w:t>
            </w:r>
          </w:p>
        </w:tc>
      </w:tr>
      <w:tr w:rsidR="00D322FB" w:rsidRPr="007C2F3F" w:rsidTr="00296537">
        <w:trPr>
          <w:trHeight w:val="113"/>
        </w:trPr>
        <w:tc>
          <w:tcPr>
            <w:tcW w:w="5670" w:type="dxa"/>
            <w:tcBorders>
              <w:top w:val="nil"/>
              <w:left w:val="nil"/>
              <w:bottom w:val="nil"/>
              <w:right w:val="nil"/>
            </w:tcBorders>
          </w:tcPr>
          <w:p w:rsidR="00D322FB" w:rsidRPr="007C2F3F" w:rsidRDefault="00D322FB" w:rsidP="001A0C62">
            <w:pPr>
              <w:autoSpaceDE w:val="0"/>
              <w:autoSpaceDN w:val="0"/>
              <w:adjustRightInd w:val="0"/>
              <w:rPr>
                <w:rFonts w:ascii="Arial" w:hAnsi="Arial" w:cs="Arial"/>
                <w:color w:val="000000"/>
              </w:rPr>
            </w:pPr>
            <w:r w:rsidRPr="007C2F3F">
              <w:rPr>
                <w:rFonts w:ascii="Arial" w:hAnsi="Arial" w:cs="Arial"/>
                <w:color w:val="000000"/>
              </w:rPr>
              <w:t>Faiz tahakkukları (-)</w:t>
            </w:r>
          </w:p>
        </w:tc>
        <w:tc>
          <w:tcPr>
            <w:tcW w:w="1701" w:type="dxa"/>
            <w:tcBorders>
              <w:top w:val="nil"/>
              <w:left w:val="nil"/>
              <w:bottom w:val="nil"/>
              <w:right w:val="nil"/>
            </w:tcBorders>
            <w:vAlign w:val="bottom"/>
          </w:tcPr>
          <w:p w:rsidR="00D322FB" w:rsidRPr="007C2F3F" w:rsidRDefault="00D322FB" w:rsidP="004910CF">
            <w:pPr>
              <w:jc w:val="right"/>
              <w:rPr>
                <w:rFonts w:ascii="Arial" w:hAnsi="Arial" w:cs="Arial"/>
                <w:b/>
                <w:bCs/>
                <w:color w:val="000000"/>
              </w:rPr>
            </w:pPr>
            <w:r w:rsidRPr="007C2F3F">
              <w:rPr>
                <w:rFonts w:ascii="Arial" w:hAnsi="Arial" w:cs="Arial"/>
                <w:b/>
                <w:bCs/>
                <w:color w:val="000000"/>
              </w:rPr>
              <w:t>(2.</w:t>
            </w:r>
            <w:r w:rsidR="004910CF">
              <w:rPr>
                <w:rFonts w:ascii="Arial" w:hAnsi="Arial" w:cs="Arial"/>
                <w:b/>
                <w:bCs/>
                <w:color w:val="000000"/>
              </w:rPr>
              <w:t>418</w:t>
            </w:r>
            <w:r w:rsidRPr="007C2F3F">
              <w:rPr>
                <w:rFonts w:ascii="Arial" w:hAnsi="Arial" w:cs="Arial"/>
                <w:b/>
                <w:bCs/>
                <w:color w:val="000000"/>
              </w:rPr>
              <w:t>)</w:t>
            </w:r>
          </w:p>
        </w:tc>
        <w:tc>
          <w:tcPr>
            <w:tcW w:w="1701" w:type="dxa"/>
            <w:tcBorders>
              <w:top w:val="nil"/>
              <w:left w:val="nil"/>
              <w:bottom w:val="nil"/>
              <w:right w:val="nil"/>
            </w:tcBorders>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(2.115)</w:t>
            </w:r>
          </w:p>
        </w:tc>
      </w:tr>
      <w:tr w:rsidR="00D322FB" w:rsidRPr="007C2F3F" w:rsidTr="00296537">
        <w:trPr>
          <w:trHeight w:val="113"/>
        </w:trPr>
        <w:tc>
          <w:tcPr>
            <w:tcW w:w="5670" w:type="dxa"/>
            <w:tcBorders>
              <w:top w:val="nil"/>
              <w:left w:val="nil"/>
              <w:bottom w:val="single" w:sz="6" w:space="0" w:color="auto"/>
              <w:right w:val="nil"/>
            </w:tcBorders>
          </w:tcPr>
          <w:p w:rsidR="00D322FB" w:rsidRPr="007C2F3F" w:rsidRDefault="00D322FB" w:rsidP="001A0C62">
            <w:pPr>
              <w:autoSpaceDE w:val="0"/>
              <w:autoSpaceDN w:val="0"/>
              <w:adjustRightInd w:val="0"/>
              <w:rPr>
                <w:rFonts w:ascii="Arial" w:hAnsi="Arial" w:cs="Arial"/>
                <w:color w:val="000000"/>
              </w:rPr>
            </w:pPr>
          </w:p>
        </w:tc>
        <w:tc>
          <w:tcPr>
            <w:tcW w:w="1701" w:type="dxa"/>
            <w:tcBorders>
              <w:top w:val="nil"/>
              <w:left w:val="nil"/>
              <w:bottom w:val="single" w:sz="6" w:space="0" w:color="auto"/>
              <w:right w:val="nil"/>
            </w:tcBorders>
            <w:vAlign w:val="bottom"/>
          </w:tcPr>
          <w:p w:rsidR="00D322FB" w:rsidRPr="007C2F3F" w:rsidRDefault="00D322FB" w:rsidP="007C2F3F">
            <w:pPr>
              <w:jc w:val="right"/>
              <w:rPr>
                <w:rFonts w:ascii="Arial" w:hAnsi="Arial" w:cs="Arial"/>
                <w:b/>
                <w:bCs/>
                <w:color w:val="000000"/>
              </w:rPr>
            </w:pPr>
          </w:p>
        </w:tc>
        <w:tc>
          <w:tcPr>
            <w:tcW w:w="1701" w:type="dxa"/>
            <w:tcBorders>
              <w:top w:val="nil"/>
              <w:left w:val="nil"/>
              <w:bottom w:val="single" w:sz="6" w:space="0" w:color="auto"/>
              <w:right w:val="nil"/>
            </w:tcBorders>
            <w:vAlign w:val="bottom"/>
          </w:tcPr>
          <w:p w:rsidR="00D322FB" w:rsidRPr="006C3517" w:rsidRDefault="00D322FB" w:rsidP="00DE18BD">
            <w:pPr>
              <w:jc w:val="right"/>
              <w:rPr>
                <w:rFonts w:ascii="Arial" w:hAnsi="Arial" w:cs="Arial"/>
                <w:bCs/>
                <w:color w:val="000000"/>
              </w:rPr>
            </w:pPr>
          </w:p>
        </w:tc>
      </w:tr>
      <w:tr w:rsidR="00D322FB" w:rsidRPr="007C2F3F" w:rsidTr="00296537">
        <w:trPr>
          <w:trHeight w:val="113"/>
        </w:trPr>
        <w:tc>
          <w:tcPr>
            <w:tcW w:w="5670" w:type="dxa"/>
            <w:tcBorders>
              <w:top w:val="single" w:sz="6" w:space="0" w:color="auto"/>
              <w:left w:val="nil"/>
              <w:bottom w:val="double" w:sz="6" w:space="0" w:color="auto"/>
              <w:right w:val="nil"/>
            </w:tcBorders>
          </w:tcPr>
          <w:p w:rsidR="00D322FB" w:rsidRPr="007C2F3F" w:rsidRDefault="00D322FB" w:rsidP="001A0C62">
            <w:pPr>
              <w:autoSpaceDE w:val="0"/>
              <w:autoSpaceDN w:val="0"/>
              <w:adjustRightInd w:val="0"/>
              <w:rPr>
                <w:rFonts w:ascii="Arial" w:hAnsi="Arial" w:cs="Arial"/>
                <w:b/>
                <w:color w:val="000000"/>
              </w:rPr>
            </w:pPr>
            <w:r w:rsidRPr="007C2F3F">
              <w:rPr>
                <w:rFonts w:ascii="Arial" w:hAnsi="Arial" w:cs="Arial"/>
                <w:b/>
                <w:color w:val="000000"/>
              </w:rPr>
              <w:t>Nakit akış tablosunda yer alan toplam nakit ve</w:t>
            </w:r>
          </w:p>
          <w:p w:rsidR="00D322FB" w:rsidRPr="007C2F3F" w:rsidRDefault="00D322FB" w:rsidP="001A0C62">
            <w:pPr>
              <w:autoSpaceDE w:val="0"/>
              <w:autoSpaceDN w:val="0"/>
              <w:adjustRightInd w:val="0"/>
              <w:rPr>
                <w:rFonts w:ascii="Arial" w:hAnsi="Arial" w:cs="Arial"/>
                <w:color w:val="000000"/>
              </w:rPr>
            </w:pPr>
            <w:r w:rsidRPr="007C2F3F">
              <w:rPr>
                <w:rFonts w:ascii="Arial" w:hAnsi="Arial" w:cs="Arial"/>
                <w:b/>
                <w:color w:val="000000"/>
              </w:rPr>
              <w:t>nakde eşdeğer varlıklar</w:t>
            </w:r>
          </w:p>
        </w:tc>
        <w:tc>
          <w:tcPr>
            <w:tcW w:w="1701" w:type="dxa"/>
            <w:tcBorders>
              <w:top w:val="single" w:sz="6" w:space="0" w:color="auto"/>
              <w:left w:val="nil"/>
              <w:bottom w:val="double" w:sz="6" w:space="0" w:color="auto"/>
              <w:right w:val="nil"/>
            </w:tcBorders>
            <w:vAlign w:val="bottom"/>
          </w:tcPr>
          <w:p w:rsidR="00D322FB" w:rsidRPr="007C2F3F" w:rsidRDefault="00D322FB" w:rsidP="00CC4C4F">
            <w:pPr>
              <w:jc w:val="right"/>
              <w:rPr>
                <w:rFonts w:ascii="Arial" w:hAnsi="Arial" w:cs="Arial"/>
                <w:b/>
                <w:bCs/>
                <w:color w:val="000000"/>
              </w:rPr>
            </w:pPr>
            <w:r w:rsidRPr="007C2F3F">
              <w:rPr>
                <w:rFonts w:ascii="Arial" w:hAnsi="Arial" w:cs="Arial"/>
                <w:b/>
                <w:bCs/>
                <w:color w:val="000000"/>
              </w:rPr>
              <w:t>1.</w:t>
            </w:r>
            <w:r w:rsidR="004910CF">
              <w:rPr>
                <w:rFonts w:ascii="Arial" w:hAnsi="Arial" w:cs="Arial"/>
                <w:b/>
                <w:bCs/>
                <w:color w:val="000000"/>
              </w:rPr>
              <w:t>22</w:t>
            </w:r>
            <w:r w:rsidR="00CC4C4F">
              <w:rPr>
                <w:rFonts w:ascii="Arial" w:hAnsi="Arial" w:cs="Arial"/>
                <w:b/>
                <w:bCs/>
                <w:color w:val="000000"/>
              </w:rPr>
              <w:t>7</w:t>
            </w:r>
            <w:r w:rsidR="004910CF">
              <w:rPr>
                <w:rFonts w:ascii="Arial" w:hAnsi="Arial" w:cs="Arial"/>
                <w:b/>
                <w:bCs/>
                <w:color w:val="000000"/>
              </w:rPr>
              <w:t>.</w:t>
            </w:r>
            <w:r w:rsidR="00CC4C4F">
              <w:rPr>
                <w:rFonts w:ascii="Arial" w:hAnsi="Arial" w:cs="Arial"/>
                <w:b/>
                <w:bCs/>
                <w:color w:val="000000"/>
              </w:rPr>
              <w:t>233</w:t>
            </w:r>
          </w:p>
        </w:tc>
        <w:tc>
          <w:tcPr>
            <w:tcW w:w="1701" w:type="dxa"/>
            <w:tcBorders>
              <w:top w:val="single" w:sz="6" w:space="0" w:color="auto"/>
              <w:left w:val="nil"/>
              <w:bottom w:val="double" w:sz="6" w:space="0" w:color="auto"/>
              <w:right w:val="nil"/>
            </w:tcBorders>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1.122.347</w:t>
            </w:r>
          </w:p>
        </w:tc>
      </w:tr>
    </w:tbl>
    <w:p w:rsidR="00D322FB" w:rsidRPr="007C2F3F" w:rsidRDefault="00D322FB" w:rsidP="00AE0484">
      <w:pPr>
        <w:rPr>
          <w:rFonts w:ascii="Arial" w:hAnsi="Arial" w:cs="Arial"/>
          <w:lang w:val="tr-TR"/>
        </w:rPr>
      </w:pPr>
    </w:p>
    <w:p w:rsidR="00D322FB" w:rsidRPr="007C2F3F" w:rsidRDefault="00D322FB" w:rsidP="00E43ECC">
      <w:pPr>
        <w:pStyle w:val="body0"/>
        <w:spacing w:after="0" w:line="230" w:lineRule="auto"/>
        <w:ind w:right="-21"/>
        <w:jc w:val="left"/>
        <w:rPr>
          <w:rFonts w:ascii="Arial" w:hAnsi="Arial" w:cs="Arial"/>
          <w:sz w:val="20"/>
          <w:szCs w:val="20"/>
          <w:lang w:val="tr-TR"/>
        </w:rPr>
      </w:pPr>
      <w:r w:rsidRPr="007C2F3F">
        <w:rPr>
          <w:rFonts w:ascii="Arial" w:hAnsi="Arial" w:cs="Arial"/>
          <w:sz w:val="20"/>
          <w:szCs w:val="20"/>
          <w:lang w:val="tr-TR"/>
        </w:rPr>
        <w:t>Nakit ve nakit benzerlerindeki risklerin niteliği ve düzeyine ilişkin açıklamalar Not 24’de sunulmaktadır.</w:t>
      </w:r>
    </w:p>
    <w:p w:rsidR="00D322FB" w:rsidRPr="007C2F3F" w:rsidRDefault="00D322FB" w:rsidP="003C359E">
      <w:pPr>
        <w:pStyle w:val="body0"/>
        <w:rPr>
          <w:rFonts w:ascii="Arial" w:hAnsi="Arial" w:cs="Arial"/>
          <w:b/>
          <w:noProof/>
          <w:lang w:val="tr-TR"/>
        </w:rPr>
      </w:pPr>
      <w:r w:rsidRPr="007C2F3F">
        <w:rPr>
          <w:rFonts w:ascii="Arial" w:hAnsi="Arial" w:cs="Arial"/>
          <w:b/>
          <w:noProof/>
          <w:sz w:val="20"/>
          <w:szCs w:val="20"/>
          <w:lang w:val="tr-TR"/>
        </w:rPr>
        <w:br w:type="page"/>
      </w:r>
    </w:p>
    <w:p w:rsidR="00D322FB" w:rsidRPr="00404A09" w:rsidRDefault="00D322FB" w:rsidP="005C3EEB">
      <w:pPr>
        <w:pStyle w:val="body0"/>
        <w:spacing w:after="0" w:line="240" w:lineRule="auto"/>
        <w:ind w:right="-21"/>
        <w:outlineLvl w:val="0"/>
        <w:rPr>
          <w:rFonts w:ascii="Arial" w:hAnsi="Arial" w:cs="Arial"/>
          <w:b/>
          <w:noProof/>
          <w:sz w:val="20"/>
          <w:szCs w:val="20"/>
          <w:lang w:val="tr-TR"/>
        </w:rPr>
      </w:pPr>
      <w:r w:rsidRPr="00404A09">
        <w:rPr>
          <w:rFonts w:ascii="Arial" w:hAnsi="Arial" w:cs="Arial"/>
          <w:b/>
          <w:noProof/>
          <w:sz w:val="20"/>
          <w:szCs w:val="20"/>
          <w:lang w:val="tr-TR"/>
        </w:rPr>
        <w:lastRenderedPageBreak/>
        <w:t>5.</w:t>
      </w:r>
      <w:r w:rsidRPr="00404A09">
        <w:rPr>
          <w:rFonts w:ascii="Arial" w:hAnsi="Arial" w:cs="Arial"/>
          <w:b/>
          <w:noProof/>
          <w:sz w:val="20"/>
          <w:szCs w:val="20"/>
          <w:lang w:val="tr-TR"/>
        </w:rPr>
        <w:tab/>
        <w:t>Finansal yatırımlar</w:t>
      </w:r>
    </w:p>
    <w:p w:rsidR="00D322FB" w:rsidRPr="00727376" w:rsidRDefault="00D322FB" w:rsidP="00AE0484">
      <w:pPr>
        <w:pStyle w:val="body0"/>
        <w:spacing w:after="0" w:line="240" w:lineRule="auto"/>
        <w:ind w:left="567" w:right="-21" w:hanging="567"/>
        <w:rPr>
          <w:rFonts w:ascii="Arial" w:hAnsi="Arial" w:cs="Arial"/>
          <w:b/>
          <w:noProof/>
          <w:sz w:val="20"/>
          <w:szCs w:val="20"/>
          <w:highlight w:val="yellow"/>
          <w:lang w:val="tr-TR"/>
        </w:rPr>
      </w:pPr>
    </w:p>
    <w:p w:rsidR="00D322FB" w:rsidRPr="00776A7A" w:rsidRDefault="006F2183" w:rsidP="00404A09">
      <w:pPr>
        <w:pStyle w:val="body0"/>
        <w:spacing w:after="0" w:line="230" w:lineRule="auto"/>
        <w:ind w:right="-21"/>
        <w:jc w:val="left"/>
        <w:rPr>
          <w:rFonts w:ascii="Arial" w:hAnsi="Arial" w:cs="Arial"/>
          <w:sz w:val="20"/>
          <w:szCs w:val="20"/>
          <w:lang w:val="tr-TR"/>
        </w:rPr>
      </w:pPr>
      <w:r>
        <w:rPr>
          <w:rFonts w:ascii="Arial" w:hAnsi="Arial" w:cs="Arial"/>
          <w:sz w:val="20"/>
          <w:szCs w:val="20"/>
          <w:lang w:val="tr-TR"/>
        </w:rPr>
        <w:t>Şirket’in 31 Mart</w:t>
      </w:r>
      <w:r w:rsidRPr="00776A7A">
        <w:rPr>
          <w:rFonts w:ascii="Arial" w:hAnsi="Arial" w:cs="Arial"/>
          <w:sz w:val="20"/>
          <w:szCs w:val="20"/>
          <w:lang w:val="tr-TR"/>
        </w:rPr>
        <w:t xml:space="preserve"> 201</w:t>
      </w:r>
      <w:r>
        <w:rPr>
          <w:rFonts w:ascii="Arial" w:hAnsi="Arial" w:cs="Arial"/>
          <w:sz w:val="20"/>
          <w:szCs w:val="20"/>
          <w:lang w:val="tr-TR"/>
        </w:rPr>
        <w:t>5 ve 31 Aralık 2014</w:t>
      </w:r>
      <w:r w:rsidRPr="00776A7A">
        <w:rPr>
          <w:rFonts w:ascii="Arial" w:hAnsi="Arial" w:cs="Arial"/>
          <w:sz w:val="20"/>
          <w:szCs w:val="20"/>
          <w:lang w:val="tr-TR"/>
        </w:rPr>
        <w:t xml:space="preserve"> </w:t>
      </w:r>
      <w:r w:rsidR="00D322FB" w:rsidRPr="00776A7A">
        <w:rPr>
          <w:rFonts w:ascii="Arial" w:hAnsi="Arial" w:cs="Arial"/>
          <w:sz w:val="20"/>
          <w:szCs w:val="20"/>
          <w:lang w:val="tr-TR"/>
        </w:rPr>
        <w:t xml:space="preserve"> tarih</w:t>
      </w:r>
      <w:r w:rsidR="00D322FB">
        <w:rPr>
          <w:rFonts w:ascii="Arial" w:hAnsi="Arial" w:cs="Arial"/>
          <w:sz w:val="20"/>
          <w:szCs w:val="20"/>
          <w:lang w:val="tr-TR"/>
        </w:rPr>
        <w:t>ler</w:t>
      </w:r>
      <w:r w:rsidR="00D322FB" w:rsidRPr="00776A7A">
        <w:rPr>
          <w:rFonts w:ascii="Arial" w:hAnsi="Arial" w:cs="Arial"/>
          <w:sz w:val="20"/>
          <w:szCs w:val="20"/>
          <w:lang w:val="tr-TR"/>
        </w:rPr>
        <w:t xml:space="preserve">i itibariyle </w:t>
      </w:r>
      <w:r w:rsidR="00D322FB">
        <w:rPr>
          <w:rFonts w:ascii="Arial" w:hAnsi="Arial" w:cs="Arial"/>
          <w:sz w:val="20"/>
          <w:szCs w:val="20"/>
          <w:lang w:val="tr-TR"/>
        </w:rPr>
        <w:t>k</w:t>
      </w:r>
      <w:r w:rsidR="00D322FB" w:rsidRPr="00404A09">
        <w:rPr>
          <w:rFonts w:ascii="Arial" w:hAnsi="Arial" w:cs="Arial"/>
          <w:sz w:val="20"/>
          <w:szCs w:val="20"/>
          <w:lang w:val="tr-TR"/>
        </w:rPr>
        <w:t>ısa vadeli finansal yatırımlar</w:t>
      </w:r>
      <w:r w:rsidR="00D322FB">
        <w:rPr>
          <w:rFonts w:ascii="Arial" w:hAnsi="Arial" w:cs="Arial"/>
          <w:sz w:val="20"/>
          <w:szCs w:val="20"/>
          <w:lang w:val="tr-TR"/>
        </w:rPr>
        <w:t xml:space="preserve">ın </w:t>
      </w:r>
      <w:r w:rsidR="00D322FB" w:rsidRPr="00776A7A">
        <w:rPr>
          <w:rFonts w:ascii="Arial" w:hAnsi="Arial" w:cs="Arial"/>
          <w:sz w:val="20"/>
          <w:szCs w:val="20"/>
          <w:lang w:val="tr-TR"/>
        </w:rPr>
        <w:t>detayı aşağıdaki gibidir:</w:t>
      </w:r>
    </w:p>
    <w:p w:rsidR="00D322FB" w:rsidRPr="00727376" w:rsidRDefault="00D322FB" w:rsidP="00AE0484">
      <w:pPr>
        <w:pStyle w:val="body0"/>
        <w:spacing w:after="0" w:line="240" w:lineRule="auto"/>
        <w:ind w:left="567" w:right="-21" w:hanging="567"/>
        <w:rPr>
          <w:rFonts w:ascii="Arial" w:hAnsi="Arial" w:cs="Arial"/>
          <w:b/>
          <w:noProof/>
          <w:sz w:val="20"/>
          <w:szCs w:val="20"/>
          <w:highlight w:val="yellow"/>
          <w:lang w:val="tr-TR"/>
        </w:rPr>
      </w:pPr>
    </w:p>
    <w:tbl>
      <w:tblPr>
        <w:tblW w:w="9072" w:type="dxa"/>
        <w:tblInd w:w="108" w:type="dxa"/>
        <w:tblLayout w:type="fixed"/>
        <w:tblLook w:val="01E0" w:firstRow="1" w:lastRow="1" w:firstColumn="1" w:lastColumn="1" w:noHBand="0" w:noVBand="0"/>
      </w:tblPr>
      <w:tblGrid>
        <w:gridCol w:w="5670"/>
        <w:gridCol w:w="1701"/>
        <w:gridCol w:w="1701"/>
      </w:tblGrid>
      <w:tr w:rsidR="00D322FB" w:rsidRPr="00727376" w:rsidTr="0031638A">
        <w:tc>
          <w:tcPr>
            <w:tcW w:w="5670" w:type="dxa"/>
            <w:tcBorders>
              <w:top w:val="single" w:sz="4" w:space="0" w:color="auto"/>
              <w:bottom w:val="single" w:sz="4" w:space="0" w:color="auto"/>
            </w:tcBorders>
          </w:tcPr>
          <w:p w:rsidR="00D322FB" w:rsidRPr="00727376" w:rsidRDefault="00D322FB" w:rsidP="003F2B3E">
            <w:pPr>
              <w:autoSpaceDE w:val="0"/>
              <w:autoSpaceDN w:val="0"/>
              <w:adjustRightInd w:val="0"/>
              <w:ind w:left="176" w:hanging="284"/>
              <w:jc w:val="both"/>
              <w:rPr>
                <w:rFonts w:ascii="Arial" w:hAnsi="Arial" w:cs="Arial"/>
                <w:highlight w:val="yellow"/>
                <w:lang w:val="tr-TR"/>
              </w:rPr>
            </w:pPr>
          </w:p>
        </w:tc>
        <w:tc>
          <w:tcPr>
            <w:tcW w:w="1701" w:type="dxa"/>
            <w:tcBorders>
              <w:top w:val="single" w:sz="4" w:space="0" w:color="auto"/>
              <w:bottom w:val="single" w:sz="4" w:space="0" w:color="auto"/>
            </w:tcBorders>
            <w:vAlign w:val="bottom"/>
          </w:tcPr>
          <w:p w:rsidR="00D322FB" w:rsidRPr="006371E5" w:rsidRDefault="00D322FB" w:rsidP="00DD5697">
            <w:pPr>
              <w:tabs>
                <w:tab w:val="left" w:pos="1422"/>
              </w:tabs>
              <w:autoSpaceDE w:val="0"/>
              <w:autoSpaceDN w:val="0"/>
              <w:adjustRightInd w:val="0"/>
              <w:jc w:val="right"/>
              <w:rPr>
                <w:rFonts w:ascii="Arial" w:hAnsi="Arial" w:cs="Arial"/>
                <w:b/>
                <w:lang w:val="tr-TR"/>
              </w:rPr>
            </w:pPr>
            <w:r w:rsidRPr="006371E5">
              <w:rPr>
                <w:rFonts w:ascii="Arial" w:hAnsi="Arial" w:cs="Arial"/>
                <w:b/>
                <w:lang w:val="tr-TR"/>
              </w:rPr>
              <w:t xml:space="preserve">31 </w:t>
            </w:r>
            <w:r>
              <w:rPr>
                <w:rFonts w:ascii="Arial" w:hAnsi="Arial" w:cs="Arial"/>
                <w:b/>
                <w:lang w:val="tr-TR"/>
              </w:rPr>
              <w:t>Mart 2015</w:t>
            </w:r>
          </w:p>
        </w:tc>
        <w:tc>
          <w:tcPr>
            <w:tcW w:w="1701" w:type="dxa"/>
            <w:tcBorders>
              <w:top w:val="single" w:sz="4" w:space="0" w:color="auto"/>
              <w:bottom w:val="single" w:sz="4" w:space="0" w:color="auto"/>
            </w:tcBorders>
            <w:vAlign w:val="bottom"/>
          </w:tcPr>
          <w:p w:rsidR="00D322FB" w:rsidRPr="006C3517" w:rsidRDefault="00D322FB" w:rsidP="00DE18BD">
            <w:pPr>
              <w:tabs>
                <w:tab w:val="left" w:pos="1422"/>
              </w:tabs>
              <w:autoSpaceDE w:val="0"/>
              <w:autoSpaceDN w:val="0"/>
              <w:adjustRightInd w:val="0"/>
              <w:jc w:val="right"/>
              <w:rPr>
                <w:rFonts w:ascii="Arial" w:hAnsi="Arial" w:cs="Arial"/>
                <w:lang w:val="tr-TR"/>
              </w:rPr>
            </w:pPr>
            <w:r w:rsidRPr="006C3517">
              <w:rPr>
                <w:rFonts w:ascii="Arial" w:hAnsi="Arial" w:cs="Arial"/>
                <w:lang w:val="tr-TR"/>
              </w:rPr>
              <w:t>31 Aralık 2014</w:t>
            </w:r>
          </w:p>
        </w:tc>
      </w:tr>
      <w:tr w:rsidR="00D322FB" w:rsidRPr="00727376" w:rsidTr="0031638A">
        <w:tc>
          <w:tcPr>
            <w:tcW w:w="5670" w:type="dxa"/>
            <w:tcBorders>
              <w:top w:val="single" w:sz="4" w:space="0" w:color="auto"/>
            </w:tcBorders>
          </w:tcPr>
          <w:p w:rsidR="00D322FB" w:rsidRPr="00727376" w:rsidRDefault="00D322FB" w:rsidP="003F2B3E">
            <w:pPr>
              <w:autoSpaceDE w:val="0"/>
              <w:autoSpaceDN w:val="0"/>
              <w:adjustRightInd w:val="0"/>
              <w:ind w:left="176" w:hanging="284"/>
              <w:jc w:val="both"/>
              <w:rPr>
                <w:rFonts w:ascii="Arial" w:hAnsi="Arial" w:cs="Arial"/>
                <w:highlight w:val="yellow"/>
                <w:lang w:val="tr-TR"/>
              </w:rPr>
            </w:pPr>
          </w:p>
        </w:tc>
        <w:tc>
          <w:tcPr>
            <w:tcW w:w="1701" w:type="dxa"/>
            <w:tcBorders>
              <w:top w:val="single" w:sz="4" w:space="0" w:color="auto"/>
            </w:tcBorders>
            <w:vAlign w:val="center"/>
          </w:tcPr>
          <w:p w:rsidR="00D322FB" w:rsidRPr="00727376" w:rsidRDefault="00D322FB" w:rsidP="001A2951">
            <w:pPr>
              <w:tabs>
                <w:tab w:val="left" w:pos="1422"/>
              </w:tabs>
              <w:autoSpaceDE w:val="0"/>
              <w:autoSpaceDN w:val="0"/>
              <w:adjustRightInd w:val="0"/>
              <w:jc w:val="right"/>
              <w:rPr>
                <w:rFonts w:ascii="Arial" w:hAnsi="Arial" w:cs="Arial"/>
                <w:b/>
                <w:highlight w:val="yellow"/>
                <w:lang w:val="tr-TR"/>
              </w:rPr>
            </w:pPr>
          </w:p>
        </w:tc>
        <w:tc>
          <w:tcPr>
            <w:tcW w:w="1701" w:type="dxa"/>
            <w:tcBorders>
              <w:top w:val="single" w:sz="4" w:space="0" w:color="auto"/>
            </w:tcBorders>
            <w:vAlign w:val="center"/>
          </w:tcPr>
          <w:p w:rsidR="00D322FB" w:rsidRPr="006C3517" w:rsidRDefault="00D322FB" w:rsidP="00DE18BD">
            <w:pPr>
              <w:tabs>
                <w:tab w:val="left" w:pos="1422"/>
              </w:tabs>
              <w:autoSpaceDE w:val="0"/>
              <w:autoSpaceDN w:val="0"/>
              <w:adjustRightInd w:val="0"/>
              <w:jc w:val="right"/>
              <w:rPr>
                <w:rFonts w:ascii="Arial" w:hAnsi="Arial" w:cs="Arial"/>
                <w:highlight w:val="yellow"/>
                <w:lang w:val="tr-TR"/>
              </w:rPr>
            </w:pPr>
          </w:p>
        </w:tc>
      </w:tr>
      <w:tr w:rsidR="00D322FB" w:rsidRPr="00727376" w:rsidTr="0031638A">
        <w:tc>
          <w:tcPr>
            <w:tcW w:w="5670" w:type="dxa"/>
          </w:tcPr>
          <w:p w:rsidR="00D322FB" w:rsidRPr="00404A09" w:rsidRDefault="00D322FB" w:rsidP="003F2B3E">
            <w:pPr>
              <w:autoSpaceDE w:val="0"/>
              <w:autoSpaceDN w:val="0"/>
              <w:adjustRightInd w:val="0"/>
              <w:ind w:left="176" w:hanging="284"/>
              <w:jc w:val="both"/>
              <w:rPr>
                <w:rFonts w:ascii="Arial" w:hAnsi="Arial" w:cs="Arial"/>
                <w:lang w:val="tr-TR"/>
              </w:rPr>
            </w:pPr>
            <w:r w:rsidRPr="00404A09">
              <w:rPr>
                <w:rFonts w:ascii="Arial" w:hAnsi="Arial" w:cs="Arial"/>
                <w:lang w:val="tr-TR"/>
              </w:rPr>
              <w:t>Gerçeğe uygun değer farkı kar veya zarara yansıtılan finansal yatırımlar</w:t>
            </w:r>
          </w:p>
        </w:tc>
        <w:tc>
          <w:tcPr>
            <w:tcW w:w="1701" w:type="dxa"/>
            <w:vAlign w:val="bottom"/>
          </w:tcPr>
          <w:p w:rsidR="00D322FB" w:rsidRDefault="004910CF" w:rsidP="004910CF">
            <w:pPr>
              <w:jc w:val="right"/>
              <w:rPr>
                <w:rFonts w:ascii="Arial" w:hAnsi="Arial" w:cs="Arial"/>
                <w:b/>
                <w:bCs/>
                <w:color w:val="000000"/>
              </w:rPr>
            </w:pPr>
            <w:r>
              <w:rPr>
                <w:rFonts w:ascii="Arial" w:hAnsi="Arial" w:cs="Arial"/>
                <w:b/>
                <w:bCs/>
                <w:color w:val="000000"/>
              </w:rPr>
              <w:t>101.409</w:t>
            </w:r>
          </w:p>
        </w:tc>
        <w:tc>
          <w:tcPr>
            <w:tcW w:w="1701" w:type="dxa"/>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99.348</w:t>
            </w:r>
          </w:p>
        </w:tc>
      </w:tr>
      <w:tr w:rsidR="00D322FB" w:rsidRPr="00727376" w:rsidTr="0031638A">
        <w:tc>
          <w:tcPr>
            <w:tcW w:w="5670" w:type="dxa"/>
            <w:tcBorders>
              <w:bottom w:val="single" w:sz="8" w:space="0" w:color="auto"/>
            </w:tcBorders>
          </w:tcPr>
          <w:p w:rsidR="00D322FB" w:rsidRPr="00404A09" w:rsidRDefault="00D322FB" w:rsidP="003F2B3E">
            <w:pPr>
              <w:autoSpaceDE w:val="0"/>
              <w:autoSpaceDN w:val="0"/>
              <w:adjustRightInd w:val="0"/>
              <w:ind w:left="176" w:hanging="284"/>
              <w:jc w:val="both"/>
              <w:rPr>
                <w:rFonts w:ascii="Arial" w:hAnsi="Arial" w:cs="Arial"/>
                <w:lang w:val="tr-TR"/>
              </w:rPr>
            </w:pPr>
          </w:p>
        </w:tc>
        <w:tc>
          <w:tcPr>
            <w:tcW w:w="1701" w:type="dxa"/>
            <w:tcBorders>
              <w:bottom w:val="single" w:sz="8" w:space="0" w:color="auto"/>
            </w:tcBorders>
            <w:vAlign w:val="bottom"/>
          </w:tcPr>
          <w:p w:rsidR="00D322FB" w:rsidRDefault="00D322FB" w:rsidP="00F0311F">
            <w:pPr>
              <w:jc w:val="right"/>
              <w:rPr>
                <w:rFonts w:ascii="Arial" w:hAnsi="Arial" w:cs="Arial"/>
                <w:b/>
                <w:bCs/>
                <w:color w:val="000000"/>
              </w:rPr>
            </w:pPr>
            <w:r>
              <w:rPr>
                <w:rFonts w:ascii="Arial" w:hAnsi="Arial" w:cs="Arial"/>
                <w:b/>
                <w:bCs/>
                <w:color w:val="000000"/>
              </w:rPr>
              <w:t> </w:t>
            </w:r>
          </w:p>
        </w:tc>
        <w:tc>
          <w:tcPr>
            <w:tcW w:w="1701" w:type="dxa"/>
            <w:tcBorders>
              <w:bottom w:val="single" w:sz="8" w:space="0" w:color="auto"/>
            </w:tcBorders>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 </w:t>
            </w:r>
          </w:p>
        </w:tc>
      </w:tr>
      <w:tr w:rsidR="00D322FB" w:rsidRPr="00727376" w:rsidTr="0031638A">
        <w:tc>
          <w:tcPr>
            <w:tcW w:w="5670" w:type="dxa"/>
            <w:tcBorders>
              <w:top w:val="single" w:sz="8" w:space="0" w:color="auto"/>
              <w:bottom w:val="double" w:sz="4" w:space="0" w:color="auto"/>
            </w:tcBorders>
          </w:tcPr>
          <w:p w:rsidR="00D322FB" w:rsidRPr="00404A09" w:rsidRDefault="00D322FB" w:rsidP="003F2B3E">
            <w:pPr>
              <w:autoSpaceDE w:val="0"/>
              <w:autoSpaceDN w:val="0"/>
              <w:adjustRightInd w:val="0"/>
              <w:ind w:left="176" w:hanging="284"/>
              <w:jc w:val="both"/>
              <w:rPr>
                <w:rFonts w:ascii="Arial" w:hAnsi="Arial" w:cs="Arial"/>
                <w:b/>
                <w:lang w:val="tr-TR"/>
              </w:rPr>
            </w:pPr>
            <w:r w:rsidRPr="00404A09">
              <w:rPr>
                <w:rFonts w:ascii="Arial" w:hAnsi="Arial" w:cs="Arial"/>
                <w:b/>
                <w:lang w:val="tr-TR"/>
              </w:rPr>
              <w:t>Toplam</w:t>
            </w:r>
          </w:p>
        </w:tc>
        <w:tc>
          <w:tcPr>
            <w:tcW w:w="1701" w:type="dxa"/>
            <w:tcBorders>
              <w:top w:val="single" w:sz="8" w:space="0" w:color="auto"/>
              <w:bottom w:val="double" w:sz="4" w:space="0" w:color="auto"/>
            </w:tcBorders>
            <w:vAlign w:val="bottom"/>
          </w:tcPr>
          <w:p w:rsidR="00D322FB" w:rsidRDefault="004910CF" w:rsidP="00F0311F">
            <w:pPr>
              <w:jc w:val="right"/>
              <w:rPr>
                <w:rFonts w:ascii="Arial" w:hAnsi="Arial" w:cs="Arial"/>
                <w:b/>
                <w:bCs/>
                <w:color w:val="000000"/>
              </w:rPr>
            </w:pPr>
            <w:r>
              <w:rPr>
                <w:rFonts w:ascii="Arial" w:hAnsi="Arial" w:cs="Arial"/>
                <w:b/>
                <w:bCs/>
                <w:color w:val="000000"/>
              </w:rPr>
              <w:t>101.409</w:t>
            </w:r>
          </w:p>
        </w:tc>
        <w:tc>
          <w:tcPr>
            <w:tcW w:w="1701" w:type="dxa"/>
            <w:tcBorders>
              <w:top w:val="single" w:sz="8" w:space="0" w:color="auto"/>
              <w:bottom w:val="double" w:sz="4" w:space="0" w:color="auto"/>
            </w:tcBorders>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99.348</w:t>
            </w:r>
          </w:p>
        </w:tc>
      </w:tr>
    </w:tbl>
    <w:p w:rsidR="00D322FB" w:rsidRDefault="00D322FB">
      <w:pPr>
        <w:rPr>
          <w:rFonts w:ascii="Arial" w:hAnsi="Arial" w:cs="Arial"/>
          <w:noProof/>
          <w:highlight w:val="yellow"/>
          <w:lang w:val="tr-TR"/>
        </w:rPr>
      </w:pPr>
    </w:p>
    <w:p w:rsidR="00D322FB" w:rsidRPr="00C67110" w:rsidRDefault="00D322FB" w:rsidP="008042CC">
      <w:pPr>
        <w:pStyle w:val="body0"/>
        <w:spacing w:after="0" w:line="240" w:lineRule="auto"/>
        <w:ind w:right="-21"/>
        <w:jc w:val="left"/>
        <w:rPr>
          <w:rFonts w:ascii="Arial" w:hAnsi="Arial" w:cs="Arial"/>
          <w:sz w:val="20"/>
          <w:szCs w:val="20"/>
          <w:lang w:val="tr-TR"/>
        </w:rPr>
      </w:pPr>
      <w:r w:rsidRPr="00C67110">
        <w:rPr>
          <w:rFonts w:ascii="Arial" w:hAnsi="Arial" w:cs="Arial"/>
          <w:sz w:val="20"/>
          <w:szCs w:val="20"/>
          <w:lang w:val="tr-TR"/>
        </w:rPr>
        <w:t xml:space="preserve">Şirket’in </w:t>
      </w:r>
      <w:r w:rsidR="006F2183">
        <w:rPr>
          <w:rFonts w:ascii="Arial" w:hAnsi="Arial" w:cs="Arial"/>
          <w:sz w:val="20"/>
          <w:szCs w:val="20"/>
          <w:lang w:val="tr-TR"/>
        </w:rPr>
        <w:t>31 Mart</w:t>
      </w:r>
      <w:r w:rsidR="006F2183" w:rsidRPr="00776A7A">
        <w:rPr>
          <w:rFonts w:ascii="Arial" w:hAnsi="Arial" w:cs="Arial"/>
          <w:sz w:val="20"/>
          <w:szCs w:val="20"/>
          <w:lang w:val="tr-TR"/>
        </w:rPr>
        <w:t xml:space="preserve"> 201</w:t>
      </w:r>
      <w:r w:rsidR="006F2183">
        <w:rPr>
          <w:rFonts w:ascii="Arial" w:hAnsi="Arial" w:cs="Arial"/>
          <w:sz w:val="20"/>
          <w:szCs w:val="20"/>
          <w:lang w:val="tr-TR"/>
        </w:rPr>
        <w:t>5 ve 31 Aralık 2014</w:t>
      </w:r>
      <w:r w:rsidR="006F2183" w:rsidRPr="00776A7A">
        <w:rPr>
          <w:rFonts w:ascii="Arial" w:hAnsi="Arial" w:cs="Arial"/>
          <w:sz w:val="20"/>
          <w:szCs w:val="20"/>
          <w:lang w:val="tr-TR"/>
        </w:rPr>
        <w:t xml:space="preserve">  </w:t>
      </w:r>
      <w:r w:rsidRPr="00C67110">
        <w:rPr>
          <w:rFonts w:ascii="Arial" w:hAnsi="Arial" w:cs="Arial"/>
          <w:sz w:val="20"/>
          <w:szCs w:val="20"/>
          <w:lang w:val="tr-TR"/>
        </w:rPr>
        <w:t xml:space="preserve">tarihleri itibariyle </w:t>
      </w:r>
      <w:r>
        <w:rPr>
          <w:rFonts w:ascii="Arial" w:hAnsi="Arial" w:cs="Arial"/>
          <w:sz w:val="20"/>
          <w:szCs w:val="20"/>
          <w:lang w:val="tr-TR"/>
        </w:rPr>
        <w:t>g</w:t>
      </w:r>
      <w:r w:rsidRPr="008042CC">
        <w:rPr>
          <w:rFonts w:ascii="Arial" w:hAnsi="Arial" w:cs="Arial"/>
          <w:sz w:val="20"/>
          <w:szCs w:val="20"/>
          <w:lang w:val="tr-TR"/>
        </w:rPr>
        <w:t>erçeğe uygun değer farkı kar veya zarar</w:t>
      </w:r>
      <w:r>
        <w:rPr>
          <w:rFonts w:ascii="Arial" w:hAnsi="Arial" w:cs="Arial"/>
          <w:sz w:val="20"/>
          <w:szCs w:val="20"/>
          <w:lang w:val="tr-TR"/>
        </w:rPr>
        <w:t>a yansıtılan finansal varlıkların</w:t>
      </w:r>
      <w:r w:rsidRPr="00C67110">
        <w:rPr>
          <w:rFonts w:ascii="Arial" w:hAnsi="Arial" w:cs="Arial"/>
          <w:sz w:val="20"/>
          <w:szCs w:val="20"/>
          <w:lang w:val="tr-TR"/>
        </w:rPr>
        <w:t xml:space="preserve"> detayı aşağıdaki gibidir :</w:t>
      </w:r>
    </w:p>
    <w:p w:rsidR="00D322FB" w:rsidRDefault="00D322FB">
      <w:pPr>
        <w:rPr>
          <w:rFonts w:ascii="Arial" w:hAnsi="Arial" w:cs="Arial"/>
          <w:noProof/>
          <w:highlight w:val="yellow"/>
          <w:lang w:val="tr-TR"/>
        </w:rPr>
      </w:pPr>
    </w:p>
    <w:tbl>
      <w:tblPr>
        <w:tblW w:w="9072" w:type="dxa"/>
        <w:tblInd w:w="108" w:type="dxa"/>
        <w:tblLook w:val="0000" w:firstRow="0" w:lastRow="0" w:firstColumn="0" w:lastColumn="0" w:noHBand="0" w:noVBand="0"/>
      </w:tblPr>
      <w:tblGrid>
        <w:gridCol w:w="4820"/>
        <w:gridCol w:w="1301"/>
        <w:gridCol w:w="1487"/>
        <w:gridCol w:w="1464"/>
      </w:tblGrid>
      <w:tr w:rsidR="00D322FB" w:rsidRPr="00727376" w:rsidTr="001A0C62">
        <w:trPr>
          <w:trHeight w:val="113"/>
        </w:trPr>
        <w:tc>
          <w:tcPr>
            <w:tcW w:w="4820" w:type="dxa"/>
            <w:tcBorders>
              <w:top w:val="single" w:sz="4" w:space="0" w:color="auto"/>
              <w:bottom w:val="single" w:sz="4" w:space="0" w:color="auto"/>
            </w:tcBorders>
          </w:tcPr>
          <w:p w:rsidR="00D322FB" w:rsidRPr="00F0311F" w:rsidRDefault="00D322FB" w:rsidP="001A0C62">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D322FB" w:rsidRPr="00F0311F" w:rsidRDefault="00D322FB" w:rsidP="001A0C62">
            <w:pPr>
              <w:spacing w:line="230" w:lineRule="auto"/>
              <w:jc w:val="center"/>
              <w:rPr>
                <w:rFonts w:ascii="Arial" w:hAnsi="Arial" w:cs="Arial"/>
                <w:b/>
                <w:lang w:val="tr-TR"/>
              </w:rPr>
            </w:pPr>
            <w:r w:rsidRPr="00F0311F">
              <w:rPr>
                <w:rFonts w:ascii="Arial" w:hAnsi="Arial" w:cs="Arial"/>
                <w:b/>
                <w:lang w:val="tr-TR"/>
              </w:rPr>
              <w:t xml:space="preserve">31 </w:t>
            </w:r>
            <w:r>
              <w:rPr>
                <w:rFonts w:ascii="Arial" w:hAnsi="Arial" w:cs="Arial"/>
                <w:b/>
                <w:lang w:val="tr-TR"/>
              </w:rPr>
              <w:t>Mart 2015</w:t>
            </w:r>
          </w:p>
        </w:tc>
      </w:tr>
      <w:tr w:rsidR="00D322FB" w:rsidRPr="00727376" w:rsidTr="001A0C62">
        <w:trPr>
          <w:trHeight w:val="113"/>
        </w:trPr>
        <w:tc>
          <w:tcPr>
            <w:tcW w:w="4820" w:type="dxa"/>
            <w:tcBorders>
              <w:top w:val="single" w:sz="4" w:space="0" w:color="auto"/>
            </w:tcBorders>
          </w:tcPr>
          <w:p w:rsidR="00D322FB" w:rsidRPr="00F0311F" w:rsidRDefault="00D322FB" w:rsidP="001A0C62">
            <w:pPr>
              <w:spacing w:line="230" w:lineRule="auto"/>
              <w:ind w:left="318" w:hanging="426"/>
              <w:rPr>
                <w:rFonts w:ascii="Arial" w:hAnsi="Arial" w:cs="Arial"/>
                <w:lang w:val="tr-TR"/>
              </w:rPr>
            </w:pPr>
          </w:p>
        </w:tc>
        <w:tc>
          <w:tcPr>
            <w:tcW w:w="1301" w:type="dxa"/>
            <w:tcBorders>
              <w:top w:val="single" w:sz="4" w:space="0" w:color="auto"/>
            </w:tcBorders>
            <w:vAlign w:val="bottom"/>
          </w:tcPr>
          <w:p w:rsidR="00D322FB" w:rsidRPr="00F0311F" w:rsidRDefault="00D322FB" w:rsidP="001A0C62">
            <w:pPr>
              <w:spacing w:line="230" w:lineRule="auto"/>
              <w:jc w:val="right"/>
              <w:rPr>
                <w:rFonts w:ascii="Arial" w:hAnsi="Arial" w:cs="Arial"/>
                <w:b/>
                <w:lang w:val="tr-TR"/>
              </w:rPr>
            </w:pPr>
            <w:r w:rsidRPr="00F0311F">
              <w:rPr>
                <w:rFonts w:ascii="Arial" w:hAnsi="Arial" w:cs="Arial"/>
                <w:b/>
                <w:lang w:val="tr-TR"/>
              </w:rPr>
              <w:t>Maliyet</w:t>
            </w:r>
          </w:p>
        </w:tc>
        <w:tc>
          <w:tcPr>
            <w:tcW w:w="1487" w:type="dxa"/>
            <w:tcBorders>
              <w:top w:val="single" w:sz="4" w:space="0" w:color="auto"/>
            </w:tcBorders>
            <w:vAlign w:val="bottom"/>
          </w:tcPr>
          <w:p w:rsidR="00D322FB" w:rsidRPr="00F0311F" w:rsidRDefault="00D322FB" w:rsidP="001A0C62">
            <w:pPr>
              <w:spacing w:line="230" w:lineRule="auto"/>
              <w:jc w:val="right"/>
              <w:rPr>
                <w:rFonts w:ascii="Arial" w:hAnsi="Arial" w:cs="Arial"/>
                <w:b/>
                <w:lang w:val="tr-TR"/>
              </w:rPr>
            </w:pPr>
            <w:r w:rsidRPr="00F0311F">
              <w:rPr>
                <w:rFonts w:ascii="Arial" w:hAnsi="Arial" w:cs="Arial"/>
                <w:b/>
                <w:lang w:val="tr-TR"/>
              </w:rPr>
              <w:t>Makul değeri</w:t>
            </w:r>
          </w:p>
        </w:tc>
        <w:tc>
          <w:tcPr>
            <w:tcW w:w="1464" w:type="dxa"/>
            <w:tcBorders>
              <w:top w:val="single" w:sz="4" w:space="0" w:color="auto"/>
            </w:tcBorders>
            <w:vAlign w:val="bottom"/>
          </w:tcPr>
          <w:p w:rsidR="00D322FB" w:rsidRPr="00F0311F" w:rsidRDefault="00D322FB" w:rsidP="001A0C62">
            <w:pPr>
              <w:spacing w:line="230" w:lineRule="auto"/>
              <w:ind w:left="-61"/>
              <w:jc w:val="right"/>
              <w:rPr>
                <w:rFonts w:ascii="Arial" w:hAnsi="Arial" w:cs="Arial"/>
                <w:b/>
                <w:lang w:val="tr-TR"/>
              </w:rPr>
            </w:pPr>
            <w:r w:rsidRPr="00F0311F">
              <w:rPr>
                <w:rFonts w:ascii="Arial" w:hAnsi="Arial" w:cs="Arial"/>
                <w:b/>
                <w:lang w:val="tr-TR"/>
              </w:rPr>
              <w:t>Kayıtlı değeri</w:t>
            </w:r>
          </w:p>
        </w:tc>
      </w:tr>
      <w:tr w:rsidR="00D322FB" w:rsidRPr="00727376" w:rsidTr="001A0C62">
        <w:trPr>
          <w:trHeight w:val="113"/>
        </w:trPr>
        <w:tc>
          <w:tcPr>
            <w:tcW w:w="4820" w:type="dxa"/>
            <w:tcBorders>
              <w:top w:val="single" w:sz="4" w:space="0" w:color="auto"/>
            </w:tcBorders>
          </w:tcPr>
          <w:p w:rsidR="00D322FB" w:rsidRPr="00F0311F" w:rsidRDefault="00D322FB" w:rsidP="001A0C62">
            <w:pPr>
              <w:spacing w:line="230" w:lineRule="auto"/>
              <w:ind w:left="318" w:hanging="426"/>
              <w:rPr>
                <w:rFonts w:ascii="Arial" w:hAnsi="Arial" w:cs="Arial"/>
                <w:lang w:val="tr-TR"/>
              </w:rPr>
            </w:pPr>
          </w:p>
        </w:tc>
        <w:tc>
          <w:tcPr>
            <w:tcW w:w="1301" w:type="dxa"/>
            <w:tcBorders>
              <w:top w:val="single" w:sz="4" w:space="0" w:color="auto"/>
            </w:tcBorders>
            <w:vAlign w:val="bottom"/>
          </w:tcPr>
          <w:p w:rsidR="00D322FB" w:rsidRPr="00F0311F" w:rsidRDefault="00D322FB" w:rsidP="001A0C62">
            <w:pPr>
              <w:spacing w:line="230" w:lineRule="auto"/>
              <w:jc w:val="right"/>
              <w:rPr>
                <w:rFonts w:ascii="Arial" w:hAnsi="Arial" w:cs="Arial"/>
                <w:b/>
                <w:lang w:val="tr-TR"/>
              </w:rPr>
            </w:pPr>
          </w:p>
        </w:tc>
        <w:tc>
          <w:tcPr>
            <w:tcW w:w="1487" w:type="dxa"/>
            <w:tcBorders>
              <w:top w:val="single" w:sz="4" w:space="0" w:color="auto"/>
            </w:tcBorders>
            <w:vAlign w:val="bottom"/>
          </w:tcPr>
          <w:p w:rsidR="00D322FB" w:rsidRPr="00F0311F" w:rsidRDefault="00D322FB" w:rsidP="001A0C62">
            <w:pPr>
              <w:spacing w:line="230" w:lineRule="auto"/>
              <w:jc w:val="right"/>
              <w:rPr>
                <w:rFonts w:ascii="Arial" w:hAnsi="Arial" w:cs="Arial"/>
                <w:b/>
                <w:lang w:val="tr-TR"/>
              </w:rPr>
            </w:pPr>
          </w:p>
        </w:tc>
        <w:tc>
          <w:tcPr>
            <w:tcW w:w="1464" w:type="dxa"/>
            <w:tcBorders>
              <w:top w:val="single" w:sz="4" w:space="0" w:color="auto"/>
            </w:tcBorders>
            <w:vAlign w:val="bottom"/>
          </w:tcPr>
          <w:p w:rsidR="00D322FB" w:rsidRPr="00F0311F" w:rsidRDefault="00D322FB" w:rsidP="001A0C62">
            <w:pPr>
              <w:spacing w:line="230" w:lineRule="auto"/>
              <w:jc w:val="right"/>
              <w:rPr>
                <w:rFonts w:ascii="Arial" w:hAnsi="Arial" w:cs="Arial"/>
                <w:b/>
                <w:lang w:val="tr-TR"/>
              </w:rPr>
            </w:pPr>
          </w:p>
        </w:tc>
      </w:tr>
      <w:tr w:rsidR="00D322FB" w:rsidRPr="00727376" w:rsidTr="001A0C62">
        <w:trPr>
          <w:trHeight w:val="113"/>
        </w:trPr>
        <w:tc>
          <w:tcPr>
            <w:tcW w:w="4820" w:type="dxa"/>
          </w:tcPr>
          <w:p w:rsidR="00D322FB" w:rsidRPr="00F0311F" w:rsidRDefault="00D322FB" w:rsidP="001A0C62">
            <w:pPr>
              <w:spacing w:line="230" w:lineRule="auto"/>
              <w:ind w:left="-108"/>
              <w:rPr>
                <w:rFonts w:ascii="Arial" w:hAnsi="Arial" w:cs="Arial"/>
                <w:b/>
                <w:lang w:val="tr-TR"/>
              </w:rPr>
            </w:pPr>
            <w:r w:rsidRPr="00F0311F">
              <w:rPr>
                <w:rFonts w:ascii="Arial" w:hAnsi="Arial" w:cs="Arial"/>
                <w:b/>
                <w:lang w:val="tr-TR"/>
              </w:rPr>
              <w:t>Alım-satım amaçlı finansal varlıklar:</w:t>
            </w:r>
          </w:p>
        </w:tc>
        <w:tc>
          <w:tcPr>
            <w:tcW w:w="1301" w:type="dxa"/>
            <w:vAlign w:val="bottom"/>
          </w:tcPr>
          <w:p w:rsidR="00D322FB" w:rsidRPr="00F0311F" w:rsidRDefault="00D322FB" w:rsidP="001A0C62">
            <w:pPr>
              <w:spacing w:line="230" w:lineRule="auto"/>
              <w:jc w:val="right"/>
              <w:rPr>
                <w:rFonts w:ascii="Arial" w:hAnsi="Arial" w:cs="Arial"/>
                <w:b/>
                <w:lang w:val="tr-TR"/>
              </w:rPr>
            </w:pPr>
          </w:p>
        </w:tc>
        <w:tc>
          <w:tcPr>
            <w:tcW w:w="1487" w:type="dxa"/>
            <w:vAlign w:val="bottom"/>
          </w:tcPr>
          <w:p w:rsidR="00D322FB" w:rsidRPr="00F0311F" w:rsidRDefault="00D322FB" w:rsidP="001A0C62">
            <w:pPr>
              <w:spacing w:line="230" w:lineRule="auto"/>
              <w:jc w:val="right"/>
              <w:rPr>
                <w:rFonts w:ascii="Arial" w:hAnsi="Arial" w:cs="Arial"/>
                <w:b/>
                <w:lang w:val="tr-TR"/>
              </w:rPr>
            </w:pPr>
          </w:p>
        </w:tc>
        <w:tc>
          <w:tcPr>
            <w:tcW w:w="1464" w:type="dxa"/>
            <w:vAlign w:val="bottom"/>
          </w:tcPr>
          <w:p w:rsidR="00D322FB" w:rsidRPr="00F0311F" w:rsidRDefault="00D322FB" w:rsidP="001A0C62">
            <w:pPr>
              <w:spacing w:line="230" w:lineRule="auto"/>
              <w:jc w:val="right"/>
              <w:rPr>
                <w:rFonts w:ascii="Arial" w:hAnsi="Arial" w:cs="Arial"/>
                <w:b/>
                <w:lang w:val="tr-TR"/>
              </w:rPr>
            </w:pPr>
          </w:p>
        </w:tc>
      </w:tr>
      <w:tr w:rsidR="00D322FB" w:rsidRPr="00727376" w:rsidTr="00F0311F">
        <w:trPr>
          <w:trHeight w:val="113"/>
        </w:trPr>
        <w:tc>
          <w:tcPr>
            <w:tcW w:w="4820" w:type="dxa"/>
          </w:tcPr>
          <w:p w:rsidR="00D322FB" w:rsidRPr="00F0311F" w:rsidRDefault="00D322FB" w:rsidP="001A0C62">
            <w:pPr>
              <w:spacing w:line="230" w:lineRule="auto"/>
              <w:ind w:left="-108"/>
              <w:rPr>
                <w:rFonts w:ascii="Arial" w:hAnsi="Arial" w:cs="Arial"/>
                <w:lang w:val="tr-TR"/>
              </w:rPr>
            </w:pPr>
            <w:r w:rsidRPr="00F0311F">
              <w:rPr>
                <w:rFonts w:ascii="Arial" w:hAnsi="Arial" w:cs="Arial"/>
                <w:lang w:val="tr-TR"/>
              </w:rPr>
              <w:t>Devlet tahvili</w:t>
            </w:r>
          </w:p>
        </w:tc>
        <w:tc>
          <w:tcPr>
            <w:tcW w:w="1301" w:type="dxa"/>
            <w:vAlign w:val="bottom"/>
          </w:tcPr>
          <w:p w:rsidR="00D322FB" w:rsidRPr="00F0311F" w:rsidRDefault="00D322FB" w:rsidP="00F0311F">
            <w:pPr>
              <w:jc w:val="right"/>
              <w:rPr>
                <w:rFonts w:ascii="Arial" w:hAnsi="Arial" w:cs="Arial"/>
                <w:b/>
                <w:bCs/>
                <w:color w:val="000000"/>
              </w:rPr>
            </w:pPr>
            <w:r w:rsidRPr="00F0311F">
              <w:rPr>
                <w:rFonts w:ascii="Arial" w:hAnsi="Arial" w:cs="Arial"/>
                <w:b/>
                <w:bCs/>
                <w:color w:val="000000"/>
              </w:rPr>
              <w:t>100.000</w:t>
            </w:r>
          </w:p>
        </w:tc>
        <w:tc>
          <w:tcPr>
            <w:tcW w:w="1487" w:type="dxa"/>
            <w:vAlign w:val="bottom"/>
          </w:tcPr>
          <w:p w:rsidR="00D322FB" w:rsidRPr="00F0311F" w:rsidRDefault="004910CF" w:rsidP="004910CF">
            <w:pPr>
              <w:jc w:val="right"/>
              <w:rPr>
                <w:rFonts w:ascii="Arial" w:hAnsi="Arial" w:cs="Arial"/>
                <w:b/>
                <w:bCs/>
                <w:color w:val="000000"/>
              </w:rPr>
            </w:pPr>
            <w:r>
              <w:rPr>
                <w:rFonts w:ascii="Arial" w:hAnsi="Arial" w:cs="Arial"/>
                <w:b/>
                <w:bCs/>
                <w:color w:val="000000"/>
              </w:rPr>
              <w:t>101</w:t>
            </w:r>
            <w:r w:rsidR="00D322FB" w:rsidRPr="00F0311F">
              <w:rPr>
                <w:rFonts w:ascii="Arial" w:hAnsi="Arial" w:cs="Arial"/>
                <w:b/>
                <w:bCs/>
                <w:color w:val="000000"/>
              </w:rPr>
              <w:t>.</w:t>
            </w:r>
            <w:r>
              <w:rPr>
                <w:rFonts w:ascii="Arial" w:hAnsi="Arial" w:cs="Arial"/>
                <w:b/>
                <w:bCs/>
                <w:color w:val="000000"/>
              </w:rPr>
              <w:t>409</w:t>
            </w:r>
          </w:p>
        </w:tc>
        <w:tc>
          <w:tcPr>
            <w:tcW w:w="1464" w:type="dxa"/>
            <w:vAlign w:val="bottom"/>
          </w:tcPr>
          <w:p w:rsidR="00D322FB" w:rsidRPr="00F0311F" w:rsidRDefault="004910CF" w:rsidP="00F0311F">
            <w:pPr>
              <w:jc w:val="right"/>
              <w:rPr>
                <w:rFonts w:ascii="Arial" w:hAnsi="Arial" w:cs="Arial"/>
                <w:b/>
                <w:bCs/>
                <w:color w:val="000000"/>
              </w:rPr>
            </w:pPr>
            <w:r>
              <w:rPr>
                <w:rFonts w:ascii="Arial" w:hAnsi="Arial" w:cs="Arial"/>
                <w:b/>
                <w:bCs/>
                <w:color w:val="000000"/>
              </w:rPr>
              <w:t>101.409</w:t>
            </w:r>
          </w:p>
        </w:tc>
      </w:tr>
      <w:tr w:rsidR="00D322FB" w:rsidRPr="00727376" w:rsidTr="001A0C62">
        <w:trPr>
          <w:trHeight w:val="113"/>
        </w:trPr>
        <w:tc>
          <w:tcPr>
            <w:tcW w:w="4820" w:type="dxa"/>
            <w:tcBorders>
              <w:bottom w:val="single" w:sz="8" w:space="0" w:color="auto"/>
            </w:tcBorders>
          </w:tcPr>
          <w:p w:rsidR="00D322FB" w:rsidRPr="00F0311F" w:rsidRDefault="00D322FB" w:rsidP="001A0C62">
            <w:pPr>
              <w:spacing w:line="230" w:lineRule="auto"/>
              <w:ind w:left="-108"/>
              <w:rPr>
                <w:rFonts w:ascii="Arial" w:hAnsi="Arial" w:cs="Arial"/>
                <w:lang w:val="tr-TR"/>
              </w:rPr>
            </w:pPr>
          </w:p>
        </w:tc>
        <w:tc>
          <w:tcPr>
            <w:tcW w:w="1301" w:type="dxa"/>
            <w:tcBorders>
              <w:bottom w:val="single" w:sz="8" w:space="0" w:color="auto"/>
            </w:tcBorders>
            <w:vAlign w:val="bottom"/>
          </w:tcPr>
          <w:p w:rsidR="00D322FB" w:rsidRPr="00F0311F" w:rsidRDefault="00D322FB" w:rsidP="001A0C62">
            <w:pPr>
              <w:spacing w:line="230" w:lineRule="auto"/>
              <w:jc w:val="right"/>
              <w:rPr>
                <w:rFonts w:ascii="Arial" w:hAnsi="Arial" w:cs="Arial"/>
                <w:b/>
                <w:lang w:val="sv-SE"/>
              </w:rPr>
            </w:pPr>
          </w:p>
        </w:tc>
        <w:tc>
          <w:tcPr>
            <w:tcW w:w="1487" w:type="dxa"/>
            <w:tcBorders>
              <w:bottom w:val="single" w:sz="8" w:space="0" w:color="auto"/>
            </w:tcBorders>
            <w:vAlign w:val="bottom"/>
          </w:tcPr>
          <w:p w:rsidR="00D322FB" w:rsidRPr="00F0311F" w:rsidRDefault="00D322FB" w:rsidP="001A0C62">
            <w:pPr>
              <w:spacing w:line="230" w:lineRule="auto"/>
              <w:jc w:val="right"/>
              <w:rPr>
                <w:rFonts w:ascii="Arial" w:hAnsi="Arial" w:cs="Arial"/>
                <w:b/>
                <w:lang w:val="sv-SE"/>
              </w:rPr>
            </w:pPr>
          </w:p>
        </w:tc>
        <w:tc>
          <w:tcPr>
            <w:tcW w:w="1464" w:type="dxa"/>
            <w:tcBorders>
              <w:bottom w:val="single" w:sz="8" w:space="0" w:color="auto"/>
            </w:tcBorders>
            <w:vAlign w:val="bottom"/>
          </w:tcPr>
          <w:p w:rsidR="00D322FB" w:rsidRPr="00F0311F" w:rsidRDefault="00D322FB" w:rsidP="001A0C62">
            <w:pPr>
              <w:spacing w:line="230" w:lineRule="auto"/>
              <w:jc w:val="right"/>
              <w:rPr>
                <w:rFonts w:ascii="Arial" w:hAnsi="Arial" w:cs="Arial"/>
                <w:b/>
                <w:lang w:val="sv-SE"/>
              </w:rPr>
            </w:pPr>
          </w:p>
        </w:tc>
      </w:tr>
      <w:tr w:rsidR="00D322FB" w:rsidRPr="00727376" w:rsidTr="0082413F">
        <w:trPr>
          <w:trHeight w:val="113"/>
        </w:trPr>
        <w:tc>
          <w:tcPr>
            <w:tcW w:w="4820" w:type="dxa"/>
            <w:tcBorders>
              <w:top w:val="single" w:sz="8" w:space="0" w:color="auto"/>
              <w:bottom w:val="double" w:sz="4" w:space="0" w:color="auto"/>
            </w:tcBorders>
          </w:tcPr>
          <w:p w:rsidR="00D322FB" w:rsidRPr="00F0311F" w:rsidRDefault="00D322FB" w:rsidP="001A0C62">
            <w:pPr>
              <w:spacing w:line="230" w:lineRule="auto"/>
              <w:rPr>
                <w:rFonts w:ascii="Arial" w:hAnsi="Arial" w:cs="Arial"/>
                <w:lang w:val="tr-TR"/>
              </w:rPr>
            </w:pPr>
            <w:r w:rsidRPr="00F0311F">
              <w:rPr>
                <w:rFonts w:ascii="Arial" w:hAnsi="Arial" w:cs="Arial"/>
                <w:b/>
                <w:lang w:val="tr-TR"/>
              </w:rPr>
              <w:t>Toplam</w:t>
            </w:r>
          </w:p>
        </w:tc>
        <w:tc>
          <w:tcPr>
            <w:tcW w:w="1301" w:type="dxa"/>
            <w:tcBorders>
              <w:top w:val="single" w:sz="8" w:space="0" w:color="auto"/>
              <w:bottom w:val="double" w:sz="4" w:space="0" w:color="auto"/>
            </w:tcBorders>
            <w:vAlign w:val="bottom"/>
          </w:tcPr>
          <w:p w:rsidR="00D322FB" w:rsidRPr="00F0311F" w:rsidRDefault="00D322FB" w:rsidP="0082413F">
            <w:pPr>
              <w:jc w:val="right"/>
              <w:rPr>
                <w:rFonts w:ascii="Arial" w:hAnsi="Arial" w:cs="Arial"/>
                <w:b/>
                <w:bCs/>
                <w:color w:val="000000"/>
              </w:rPr>
            </w:pPr>
            <w:r w:rsidRPr="00F0311F">
              <w:rPr>
                <w:rFonts w:ascii="Arial" w:hAnsi="Arial" w:cs="Arial"/>
                <w:b/>
                <w:bCs/>
                <w:color w:val="000000"/>
              </w:rPr>
              <w:t>100.000</w:t>
            </w:r>
          </w:p>
        </w:tc>
        <w:tc>
          <w:tcPr>
            <w:tcW w:w="1487" w:type="dxa"/>
            <w:tcBorders>
              <w:top w:val="single" w:sz="8" w:space="0" w:color="auto"/>
              <w:bottom w:val="double" w:sz="4" w:space="0" w:color="auto"/>
            </w:tcBorders>
            <w:vAlign w:val="bottom"/>
          </w:tcPr>
          <w:p w:rsidR="00D322FB" w:rsidRPr="00F0311F" w:rsidRDefault="004910CF" w:rsidP="0082413F">
            <w:pPr>
              <w:jc w:val="right"/>
              <w:rPr>
                <w:rFonts w:ascii="Arial" w:hAnsi="Arial" w:cs="Arial"/>
                <w:b/>
                <w:bCs/>
                <w:color w:val="000000"/>
              </w:rPr>
            </w:pPr>
            <w:r>
              <w:rPr>
                <w:rFonts w:ascii="Arial" w:hAnsi="Arial" w:cs="Arial"/>
                <w:b/>
                <w:bCs/>
                <w:color w:val="000000"/>
              </w:rPr>
              <w:t>101.409</w:t>
            </w:r>
          </w:p>
        </w:tc>
        <w:tc>
          <w:tcPr>
            <w:tcW w:w="1464" w:type="dxa"/>
            <w:tcBorders>
              <w:top w:val="single" w:sz="8" w:space="0" w:color="auto"/>
              <w:bottom w:val="double" w:sz="4" w:space="0" w:color="auto"/>
            </w:tcBorders>
            <w:vAlign w:val="bottom"/>
          </w:tcPr>
          <w:p w:rsidR="00D322FB" w:rsidRPr="00F0311F" w:rsidRDefault="004910CF" w:rsidP="0082413F">
            <w:pPr>
              <w:jc w:val="right"/>
              <w:rPr>
                <w:rFonts w:ascii="Arial" w:hAnsi="Arial" w:cs="Arial"/>
                <w:b/>
                <w:bCs/>
                <w:color w:val="000000"/>
              </w:rPr>
            </w:pPr>
            <w:r>
              <w:rPr>
                <w:rFonts w:ascii="Arial" w:hAnsi="Arial" w:cs="Arial"/>
                <w:b/>
                <w:bCs/>
                <w:color w:val="000000"/>
              </w:rPr>
              <w:t>101.409</w:t>
            </w:r>
          </w:p>
        </w:tc>
      </w:tr>
    </w:tbl>
    <w:p w:rsidR="00D322FB" w:rsidRDefault="00D322FB">
      <w:pPr>
        <w:rPr>
          <w:rFonts w:ascii="Arial" w:hAnsi="Arial" w:cs="Arial"/>
          <w:noProof/>
          <w:highlight w:val="yellow"/>
          <w:lang w:val="tr-TR"/>
        </w:rPr>
      </w:pPr>
    </w:p>
    <w:p w:rsidR="00D322FB" w:rsidRDefault="00D322FB">
      <w:pPr>
        <w:rPr>
          <w:rFonts w:ascii="Arial" w:hAnsi="Arial" w:cs="Arial"/>
          <w:noProof/>
          <w:highlight w:val="yellow"/>
          <w:lang w:val="tr-TR"/>
        </w:rPr>
      </w:pPr>
    </w:p>
    <w:tbl>
      <w:tblPr>
        <w:tblW w:w="9072" w:type="dxa"/>
        <w:tblInd w:w="108" w:type="dxa"/>
        <w:tblLook w:val="0000" w:firstRow="0" w:lastRow="0" w:firstColumn="0" w:lastColumn="0" w:noHBand="0" w:noVBand="0"/>
      </w:tblPr>
      <w:tblGrid>
        <w:gridCol w:w="4820"/>
        <w:gridCol w:w="1301"/>
        <w:gridCol w:w="1487"/>
        <w:gridCol w:w="1464"/>
      </w:tblGrid>
      <w:tr w:rsidR="00D322FB" w:rsidRPr="00727376" w:rsidTr="006C3517">
        <w:trPr>
          <w:trHeight w:val="113"/>
        </w:trPr>
        <w:tc>
          <w:tcPr>
            <w:tcW w:w="4820" w:type="dxa"/>
            <w:tcBorders>
              <w:top w:val="single" w:sz="4" w:space="0" w:color="auto"/>
              <w:bottom w:val="single" w:sz="4" w:space="0" w:color="auto"/>
            </w:tcBorders>
          </w:tcPr>
          <w:p w:rsidR="00D322FB" w:rsidRPr="006C3517" w:rsidRDefault="00D322FB" w:rsidP="00DE18BD">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D322FB" w:rsidRPr="006C3517" w:rsidRDefault="00D322FB" w:rsidP="00DE18BD">
            <w:pPr>
              <w:spacing w:line="230" w:lineRule="auto"/>
              <w:jc w:val="center"/>
              <w:rPr>
                <w:rFonts w:ascii="Arial" w:hAnsi="Arial" w:cs="Arial"/>
                <w:lang w:val="tr-TR"/>
              </w:rPr>
            </w:pPr>
            <w:r w:rsidRPr="006C3517">
              <w:rPr>
                <w:rFonts w:ascii="Arial" w:hAnsi="Arial" w:cs="Arial"/>
                <w:lang w:val="tr-TR"/>
              </w:rPr>
              <w:t>31 Aralık 2014</w:t>
            </w:r>
          </w:p>
        </w:tc>
      </w:tr>
      <w:tr w:rsidR="00D322FB" w:rsidRPr="00727376" w:rsidTr="00DE18BD">
        <w:trPr>
          <w:trHeight w:val="113"/>
        </w:trPr>
        <w:tc>
          <w:tcPr>
            <w:tcW w:w="4820" w:type="dxa"/>
            <w:tcBorders>
              <w:top w:val="single" w:sz="4" w:space="0" w:color="auto"/>
            </w:tcBorders>
          </w:tcPr>
          <w:p w:rsidR="00D322FB" w:rsidRPr="006C3517" w:rsidRDefault="00D322FB" w:rsidP="00DE18BD">
            <w:pPr>
              <w:spacing w:line="230" w:lineRule="auto"/>
              <w:ind w:left="318" w:hanging="426"/>
              <w:rPr>
                <w:rFonts w:ascii="Arial" w:hAnsi="Arial" w:cs="Arial"/>
                <w:lang w:val="tr-TR"/>
              </w:rPr>
            </w:pPr>
          </w:p>
        </w:tc>
        <w:tc>
          <w:tcPr>
            <w:tcW w:w="1301" w:type="dxa"/>
            <w:tcBorders>
              <w:top w:val="single" w:sz="4" w:space="0" w:color="auto"/>
            </w:tcBorders>
            <w:vAlign w:val="bottom"/>
          </w:tcPr>
          <w:p w:rsidR="00D322FB" w:rsidRPr="006C3517" w:rsidRDefault="00D322FB" w:rsidP="00DE18BD">
            <w:pPr>
              <w:spacing w:line="230" w:lineRule="auto"/>
              <w:jc w:val="right"/>
              <w:rPr>
                <w:rFonts w:ascii="Arial" w:hAnsi="Arial" w:cs="Arial"/>
                <w:lang w:val="tr-TR"/>
              </w:rPr>
            </w:pPr>
            <w:r w:rsidRPr="006C3517">
              <w:rPr>
                <w:rFonts w:ascii="Arial" w:hAnsi="Arial" w:cs="Arial"/>
                <w:lang w:val="tr-TR"/>
              </w:rPr>
              <w:t>Maliyet</w:t>
            </w:r>
          </w:p>
        </w:tc>
        <w:tc>
          <w:tcPr>
            <w:tcW w:w="1487" w:type="dxa"/>
            <w:tcBorders>
              <w:top w:val="single" w:sz="4" w:space="0" w:color="auto"/>
            </w:tcBorders>
            <w:vAlign w:val="bottom"/>
          </w:tcPr>
          <w:p w:rsidR="00D322FB" w:rsidRPr="006C3517" w:rsidRDefault="00D322FB" w:rsidP="00DE18BD">
            <w:pPr>
              <w:spacing w:line="230" w:lineRule="auto"/>
              <w:jc w:val="right"/>
              <w:rPr>
                <w:rFonts w:ascii="Arial" w:hAnsi="Arial" w:cs="Arial"/>
                <w:lang w:val="tr-TR"/>
              </w:rPr>
            </w:pPr>
            <w:r w:rsidRPr="006C3517">
              <w:rPr>
                <w:rFonts w:ascii="Arial" w:hAnsi="Arial" w:cs="Arial"/>
                <w:lang w:val="tr-TR"/>
              </w:rPr>
              <w:t>Makul değeri</w:t>
            </w:r>
          </w:p>
        </w:tc>
        <w:tc>
          <w:tcPr>
            <w:tcW w:w="1464" w:type="dxa"/>
            <w:tcBorders>
              <w:top w:val="single" w:sz="4" w:space="0" w:color="auto"/>
            </w:tcBorders>
            <w:vAlign w:val="bottom"/>
          </w:tcPr>
          <w:p w:rsidR="00D322FB" w:rsidRPr="006C3517" w:rsidRDefault="00D322FB" w:rsidP="00DE18BD">
            <w:pPr>
              <w:spacing w:line="230" w:lineRule="auto"/>
              <w:ind w:left="-61"/>
              <w:jc w:val="right"/>
              <w:rPr>
                <w:rFonts w:ascii="Arial" w:hAnsi="Arial" w:cs="Arial"/>
                <w:lang w:val="tr-TR"/>
              </w:rPr>
            </w:pPr>
            <w:r w:rsidRPr="006C3517">
              <w:rPr>
                <w:rFonts w:ascii="Arial" w:hAnsi="Arial" w:cs="Arial"/>
                <w:lang w:val="tr-TR"/>
              </w:rPr>
              <w:t>Kayıtlı değeri</w:t>
            </w:r>
          </w:p>
        </w:tc>
      </w:tr>
      <w:tr w:rsidR="00D322FB" w:rsidRPr="00727376" w:rsidTr="00DE18BD">
        <w:trPr>
          <w:trHeight w:val="113"/>
        </w:trPr>
        <w:tc>
          <w:tcPr>
            <w:tcW w:w="4820" w:type="dxa"/>
            <w:tcBorders>
              <w:top w:val="single" w:sz="4" w:space="0" w:color="auto"/>
            </w:tcBorders>
          </w:tcPr>
          <w:p w:rsidR="00D322FB" w:rsidRPr="006C3517" w:rsidRDefault="00D322FB" w:rsidP="00DE18BD">
            <w:pPr>
              <w:spacing w:line="230" w:lineRule="auto"/>
              <w:ind w:left="318" w:hanging="426"/>
              <w:rPr>
                <w:rFonts w:ascii="Arial" w:hAnsi="Arial" w:cs="Arial"/>
                <w:lang w:val="tr-TR"/>
              </w:rPr>
            </w:pPr>
          </w:p>
        </w:tc>
        <w:tc>
          <w:tcPr>
            <w:tcW w:w="1301" w:type="dxa"/>
            <w:tcBorders>
              <w:top w:val="single" w:sz="4" w:space="0" w:color="auto"/>
            </w:tcBorders>
            <w:vAlign w:val="bottom"/>
          </w:tcPr>
          <w:p w:rsidR="00D322FB" w:rsidRPr="006C3517" w:rsidRDefault="00D322FB" w:rsidP="00DE18BD">
            <w:pPr>
              <w:spacing w:line="230" w:lineRule="auto"/>
              <w:jc w:val="right"/>
              <w:rPr>
                <w:rFonts w:ascii="Arial" w:hAnsi="Arial" w:cs="Arial"/>
                <w:lang w:val="tr-TR"/>
              </w:rPr>
            </w:pPr>
          </w:p>
        </w:tc>
        <w:tc>
          <w:tcPr>
            <w:tcW w:w="1487" w:type="dxa"/>
            <w:tcBorders>
              <w:top w:val="single" w:sz="4" w:space="0" w:color="auto"/>
            </w:tcBorders>
            <w:vAlign w:val="bottom"/>
          </w:tcPr>
          <w:p w:rsidR="00D322FB" w:rsidRPr="006C3517" w:rsidRDefault="00D322FB" w:rsidP="00DE18BD">
            <w:pPr>
              <w:spacing w:line="230" w:lineRule="auto"/>
              <w:jc w:val="right"/>
              <w:rPr>
                <w:rFonts w:ascii="Arial" w:hAnsi="Arial" w:cs="Arial"/>
                <w:lang w:val="tr-TR"/>
              </w:rPr>
            </w:pPr>
          </w:p>
        </w:tc>
        <w:tc>
          <w:tcPr>
            <w:tcW w:w="1464" w:type="dxa"/>
            <w:tcBorders>
              <w:top w:val="single" w:sz="4" w:space="0" w:color="auto"/>
            </w:tcBorders>
            <w:vAlign w:val="bottom"/>
          </w:tcPr>
          <w:p w:rsidR="00D322FB" w:rsidRPr="006C3517" w:rsidRDefault="00D322FB" w:rsidP="00DE18BD">
            <w:pPr>
              <w:spacing w:line="230" w:lineRule="auto"/>
              <w:jc w:val="right"/>
              <w:rPr>
                <w:rFonts w:ascii="Arial" w:hAnsi="Arial" w:cs="Arial"/>
                <w:lang w:val="tr-TR"/>
              </w:rPr>
            </w:pPr>
          </w:p>
        </w:tc>
      </w:tr>
      <w:tr w:rsidR="00D322FB" w:rsidRPr="00727376" w:rsidTr="00DE18BD">
        <w:trPr>
          <w:trHeight w:val="113"/>
        </w:trPr>
        <w:tc>
          <w:tcPr>
            <w:tcW w:w="4820" w:type="dxa"/>
          </w:tcPr>
          <w:p w:rsidR="00D322FB" w:rsidRPr="006C3517" w:rsidRDefault="00D322FB" w:rsidP="00DE18BD">
            <w:pPr>
              <w:spacing w:line="230" w:lineRule="auto"/>
              <w:ind w:left="-108"/>
              <w:rPr>
                <w:rFonts w:ascii="Arial" w:hAnsi="Arial" w:cs="Arial"/>
                <w:lang w:val="tr-TR"/>
              </w:rPr>
            </w:pPr>
            <w:r w:rsidRPr="006C3517">
              <w:rPr>
                <w:rFonts w:ascii="Arial" w:hAnsi="Arial" w:cs="Arial"/>
                <w:lang w:val="tr-TR"/>
              </w:rPr>
              <w:t>Alım-satım amaçlı finansal varlıklar:</w:t>
            </w:r>
          </w:p>
        </w:tc>
        <w:tc>
          <w:tcPr>
            <w:tcW w:w="1301" w:type="dxa"/>
            <w:vAlign w:val="bottom"/>
          </w:tcPr>
          <w:p w:rsidR="00D322FB" w:rsidRPr="006C3517" w:rsidRDefault="00D322FB" w:rsidP="00DE18BD">
            <w:pPr>
              <w:spacing w:line="230" w:lineRule="auto"/>
              <w:jc w:val="right"/>
              <w:rPr>
                <w:rFonts w:ascii="Arial" w:hAnsi="Arial" w:cs="Arial"/>
                <w:lang w:val="tr-TR"/>
              </w:rPr>
            </w:pPr>
          </w:p>
        </w:tc>
        <w:tc>
          <w:tcPr>
            <w:tcW w:w="1487" w:type="dxa"/>
            <w:vAlign w:val="bottom"/>
          </w:tcPr>
          <w:p w:rsidR="00D322FB" w:rsidRPr="006C3517" w:rsidRDefault="00D322FB" w:rsidP="00DE18BD">
            <w:pPr>
              <w:spacing w:line="230" w:lineRule="auto"/>
              <w:jc w:val="right"/>
              <w:rPr>
                <w:rFonts w:ascii="Arial" w:hAnsi="Arial" w:cs="Arial"/>
                <w:lang w:val="tr-TR"/>
              </w:rPr>
            </w:pPr>
          </w:p>
        </w:tc>
        <w:tc>
          <w:tcPr>
            <w:tcW w:w="1464" w:type="dxa"/>
            <w:vAlign w:val="bottom"/>
          </w:tcPr>
          <w:p w:rsidR="00D322FB" w:rsidRPr="006C3517" w:rsidRDefault="00D322FB" w:rsidP="00DE18BD">
            <w:pPr>
              <w:spacing w:line="230" w:lineRule="auto"/>
              <w:jc w:val="right"/>
              <w:rPr>
                <w:rFonts w:ascii="Arial" w:hAnsi="Arial" w:cs="Arial"/>
                <w:lang w:val="tr-TR"/>
              </w:rPr>
            </w:pPr>
          </w:p>
        </w:tc>
      </w:tr>
      <w:tr w:rsidR="00D322FB" w:rsidRPr="00727376" w:rsidTr="00DE18BD">
        <w:trPr>
          <w:trHeight w:val="113"/>
        </w:trPr>
        <w:tc>
          <w:tcPr>
            <w:tcW w:w="4820" w:type="dxa"/>
          </w:tcPr>
          <w:p w:rsidR="00D322FB" w:rsidRPr="006C3517" w:rsidRDefault="00D322FB" w:rsidP="00DE18BD">
            <w:pPr>
              <w:spacing w:line="230" w:lineRule="auto"/>
              <w:ind w:left="-108"/>
              <w:rPr>
                <w:rFonts w:ascii="Arial" w:hAnsi="Arial" w:cs="Arial"/>
                <w:lang w:val="tr-TR"/>
              </w:rPr>
            </w:pPr>
            <w:r w:rsidRPr="006C3517">
              <w:rPr>
                <w:rFonts w:ascii="Arial" w:hAnsi="Arial" w:cs="Arial"/>
                <w:lang w:val="tr-TR"/>
              </w:rPr>
              <w:t>Devlet tahvili</w:t>
            </w:r>
          </w:p>
        </w:tc>
        <w:tc>
          <w:tcPr>
            <w:tcW w:w="1301" w:type="dxa"/>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100.000</w:t>
            </w:r>
          </w:p>
        </w:tc>
        <w:tc>
          <w:tcPr>
            <w:tcW w:w="1487" w:type="dxa"/>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99.348</w:t>
            </w:r>
          </w:p>
        </w:tc>
        <w:tc>
          <w:tcPr>
            <w:tcW w:w="1464" w:type="dxa"/>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99.348</w:t>
            </w:r>
          </w:p>
        </w:tc>
      </w:tr>
      <w:tr w:rsidR="00D322FB" w:rsidRPr="00727376" w:rsidTr="00DE18BD">
        <w:trPr>
          <w:trHeight w:val="113"/>
        </w:trPr>
        <w:tc>
          <w:tcPr>
            <w:tcW w:w="4820" w:type="dxa"/>
            <w:tcBorders>
              <w:bottom w:val="single" w:sz="8" w:space="0" w:color="auto"/>
            </w:tcBorders>
          </w:tcPr>
          <w:p w:rsidR="00D322FB" w:rsidRPr="006C3517" w:rsidRDefault="00D322FB" w:rsidP="00DE18BD">
            <w:pPr>
              <w:spacing w:line="230" w:lineRule="auto"/>
              <w:ind w:left="-108"/>
              <w:rPr>
                <w:rFonts w:ascii="Arial" w:hAnsi="Arial" w:cs="Arial"/>
                <w:lang w:val="tr-TR"/>
              </w:rPr>
            </w:pPr>
          </w:p>
        </w:tc>
        <w:tc>
          <w:tcPr>
            <w:tcW w:w="1301" w:type="dxa"/>
            <w:tcBorders>
              <w:bottom w:val="single" w:sz="8" w:space="0" w:color="auto"/>
            </w:tcBorders>
            <w:vAlign w:val="bottom"/>
          </w:tcPr>
          <w:p w:rsidR="00D322FB" w:rsidRPr="006C3517" w:rsidRDefault="00D322FB" w:rsidP="00DE18BD">
            <w:pPr>
              <w:spacing w:line="230" w:lineRule="auto"/>
              <w:jc w:val="right"/>
              <w:rPr>
                <w:rFonts w:ascii="Arial" w:hAnsi="Arial" w:cs="Arial"/>
                <w:lang w:val="sv-SE"/>
              </w:rPr>
            </w:pPr>
          </w:p>
        </w:tc>
        <w:tc>
          <w:tcPr>
            <w:tcW w:w="1487" w:type="dxa"/>
            <w:tcBorders>
              <w:bottom w:val="single" w:sz="8" w:space="0" w:color="auto"/>
            </w:tcBorders>
            <w:vAlign w:val="bottom"/>
          </w:tcPr>
          <w:p w:rsidR="00D322FB" w:rsidRPr="006C3517" w:rsidRDefault="00D322FB" w:rsidP="00DE18BD">
            <w:pPr>
              <w:spacing w:line="230" w:lineRule="auto"/>
              <w:jc w:val="right"/>
              <w:rPr>
                <w:rFonts w:ascii="Arial" w:hAnsi="Arial" w:cs="Arial"/>
                <w:lang w:val="sv-SE"/>
              </w:rPr>
            </w:pPr>
          </w:p>
        </w:tc>
        <w:tc>
          <w:tcPr>
            <w:tcW w:w="1464" w:type="dxa"/>
            <w:tcBorders>
              <w:bottom w:val="single" w:sz="8" w:space="0" w:color="auto"/>
            </w:tcBorders>
            <w:vAlign w:val="bottom"/>
          </w:tcPr>
          <w:p w:rsidR="00D322FB" w:rsidRPr="006C3517" w:rsidRDefault="00D322FB" w:rsidP="00DE18BD">
            <w:pPr>
              <w:spacing w:line="230" w:lineRule="auto"/>
              <w:jc w:val="right"/>
              <w:rPr>
                <w:rFonts w:ascii="Arial" w:hAnsi="Arial" w:cs="Arial"/>
                <w:lang w:val="sv-SE"/>
              </w:rPr>
            </w:pPr>
          </w:p>
        </w:tc>
      </w:tr>
      <w:tr w:rsidR="00D322FB" w:rsidRPr="00727376" w:rsidTr="00DE18BD">
        <w:trPr>
          <w:trHeight w:val="113"/>
        </w:trPr>
        <w:tc>
          <w:tcPr>
            <w:tcW w:w="4820" w:type="dxa"/>
            <w:tcBorders>
              <w:top w:val="single" w:sz="8" w:space="0" w:color="auto"/>
              <w:bottom w:val="double" w:sz="4" w:space="0" w:color="auto"/>
            </w:tcBorders>
          </w:tcPr>
          <w:p w:rsidR="00D322FB" w:rsidRPr="006C3517" w:rsidRDefault="00D322FB" w:rsidP="00DE18BD">
            <w:pPr>
              <w:spacing w:line="230" w:lineRule="auto"/>
              <w:rPr>
                <w:rFonts w:ascii="Arial" w:hAnsi="Arial" w:cs="Arial"/>
                <w:lang w:val="tr-TR"/>
              </w:rPr>
            </w:pPr>
            <w:r w:rsidRPr="006C3517">
              <w:rPr>
                <w:rFonts w:ascii="Arial" w:hAnsi="Arial" w:cs="Arial"/>
                <w:lang w:val="tr-TR"/>
              </w:rPr>
              <w:t>Toplam</w:t>
            </w:r>
          </w:p>
        </w:tc>
        <w:tc>
          <w:tcPr>
            <w:tcW w:w="1301" w:type="dxa"/>
            <w:tcBorders>
              <w:top w:val="single" w:sz="8" w:space="0" w:color="auto"/>
              <w:bottom w:val="double" w:sz="4" w:space="0" w:color="auto"/>
            </w:tcBorders>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100.000</w:t>
            </w:r>
          </w:p>
        </w:tc>
        <w:tc>
          <w:tcPr>
            <w:tcW w:w="1487" w:type="dxa"/>
            <w:tcBorders>
              <w:top w:val="single" w:sz="8" w:space="0" w:color="auto"/>
              <w:bottom w:val="double" w:sz="4" w:space="0" w:color="auto"/>
            </w:tcBorders>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99.348</w:t>
            </w:r>
          </w:p>
        </w:tc>
        <w:tc>
          <w:tcPr>
            <w:tcW w:w="1464" w:type="dxa"/>
            <w:tcBorders>
              <w:top w:val="single" w:sz="8" w:space="0" w:color="auto"/>
              <w:bottom w:val="double" w:sz="4" w:space="0" w:color="auto"/>
            </w:tcBorders>
            <w:vAlign w:val="bottom"/>
          </w:tcPr>
          <w:p w:rsidR="00D322FB" w:rsidRPr="006C3517" w:rsidRDefault="00D322FB" w:rsidP="00DE18BD">
            <w:pPr>
              <w:jc w:val="right"/>
              <w:rPr>
                <w:rFonts w:ascii="Arial" w:hAnsi="Arial" w:cs="Arial"/>
                <w:bCs/>
                <w:color w:val="000000"/>
              </w:rPr>
            </w:pPr>
            <w:r w:rsidRPr="006C3517">
              <w:rPr>
                <w:rFonts w:ascii="Arial" w:hAnsi="Arial" w:cs="Arial"/>
                <w:bCs/>
                <w:color w:val="000000"/>
              </w:rPr>
              <w:t>99.348</w:t>
            </w:r>
          </w:p>
        </w:tc>
      </w:tr>
    </w:tbl>
    <w:p w:rsidR="00D322FB" w:rsidRDefault="00D322FB" w:rsidP="00E66B26">
      <w:pPr>
        <w:spacing w:line="230" w:lineRule="auto"/>
        <w:rPr>
          <w:rFonts w:ascii="Arial" w:hAnsi="Arial" w:cs="Arial"/>
          <w:lang w:val="tr-TR"/>
        </w:rPr>
      </w:pPr>
    </w:p>
    <w:p w:rsidR="00D322FB" w:rsidRDefault="00D322FB" w:rsidP="00E66B26">
      <w:pPr>
        <w:spacing w:line="230" w:lineRule="auto"/>
        <w:rPr>
          <w:rFonts w:ascii="Arial" w:hAnsi="Arial" w:cs="Arial"/>
          <w:lang w:val="tr-TR"/>
        </w:rPr>
      </w:pPr>
    </w:p>
    <w:p w:rsidR="00D322FB" w:rsidRPr="004B4130" w:rsidRDefault="00D322FB" w:rsidP="00E66B26">
      <w:pPr>
        <w:spacing w:line="230" w:lineRule="auto"/>
        <w:rPr>
          <w:rFonts w:ascii="Arial" w:hAnsi="Arial" w:cs="Arial"/>
          <w:lang w:val="tr-TR"/>
        </w:rPr>
      </w:pPr>
      <w:r w:rsidRPr="004B4130">
        <w:rPr>
          <w:rFonts w:ascii="Arial" w:hAnsi="Arial" w:cs="Arial"/>
          <w:lang w:val="tr-TR"/>
        </w:rPr>
        <w:t xml:space="preserve">Şirket’in faaliyeti gereği finansal yatırımlar hesabında bulunan kıymetler, alım satım amaçlı menkul kıymetler olup, gerçeğe uygun değerleri ile değerlenmişlerdir. Gerçeğe uygun değer 31 </w:t>
      </w:r>
      <w:r w:rsidR="00F53471">
        <w:rPr>
          <w:rFonts w:ascii="Arial" w:hAnsi="Arial" w:cs="Arial"/>
          <w:lang w:val="tr-TR"/>
        </w:rPr>
        <w:t>Mart</w:t>
      </w:r>
      <w:r w:rsidRPr="004B4130">
        <w:rPr>
          <w:rFonts w:ascii="Arial" w:hAnsi="Arial" w:cs="Arial"/>
          <w:lang w:val="tr-TR"/>
        </w:rPr>
        <w:t xml:space="preserve"> 201</w:t>
      </w:r>
      <w:r w:rsidR="00F53471">
        <w:rPr>
          <w:rFonts w:ascii="Arial" w:hAnsi="Arial" w:cs="Arial"/>
          <w:lang w:val="tr-TR"/>
        </w:rPr>
        <w:t>5</w:t>
      </w:r>
      <w:r w:rsidRPr="004B4130">
        <w:rPr>
          <w:rFonts w:ascii="Arial" w:hAnsi="Arial" w:cs="Arial"/>
          <w:lang w:val="tr-TR"/>
        </w:rPr>
        <w:t xml:space="preserve"> ve 2013 tarihleri itibariyle BİST’de bekleyen güncel emirler arasındaki en iyi alış emirlerini, bunların bulunmaması durumunda gerçekleşen en yakın zamanlı işlemin fiyatını, bunun da olmaması durumunda ise ağırlıklı ortalama fiyatını ifade etmektedir.</w:t>
      </w:r>
    </w:p>
    <w:p w:rsidR="00D322FB" w:rsidRPr="00E66B26" w:rsidRDefault="00D322FB" w:rsidP="00E66B26">
      <w:pPr>
        <w:spacing w:line="230" w:lineRule="auto"/>
        <w:rPr>
          <w:rFonts w:ascii="Arial" w:hAnsi="Arial" w:cs="Arial"/>
          <w:b/>
          <w:lang w:val="tr-TR"/>
        </w:rPr>
      </w:pPr>
    </w:p>
    <w:p w:rsidR="00D322FB" w:rsidRPr="00E66B26" w:rsidRDefault="00D322FB" w:rsidP="00C63DAB">
      <w:pPr>
        <w:widowControl w:val="0"/>
        <w:spacing w:line="230" w:lineRule="auto"/>
        <w:rPr>
          <w:rFonts w:ascii="Arial" w:hAnsi="Arial" w:cs="Arial"/>
          <w:lang w:val="tr-TR"/>
        </w:rPr>
      </w:pPr>
      <w:r w:rsidRPr="00E66B26">
        <w:rPr>
          <w:rFonts w:ascii="Arial" w:hAnsi="Arial" w:cs="Arial"/>
          <w:lang w:val="tr-TR"/>
        </w:rPr>
        <w:t xml:space="preserve">Şirket’in 31 </w:t>
      </w:r>
      <w:r w:rsidR="00F53471">
        <w:rPr>
          <w:rFonts w:ascii="Arial" w:hAnsi="Arial" w:cs="Arial"/>
          <w:lang w:val="tr-TR"/>
        </w:rPr>
        <w:t>Mart</w:t>
      </w:r>
      <w:r w:rsidRPr="00E66B26">
        <w:rPr>
          <w:rFonts w:ascii="Arial" w:hAnsi="Arial" w:cs="Arial"/>
          <w:lang w:val="tr-TR"/>
        </w:rPr>
        <w:t xml:space="preserve"> 201</w:t>
      </w:r>
      <w:r w:rsidR="00F53471">
        <w:rPr>
          <w:rFonts w:ascii="Arial" w:hAnsi="Arial" w:cs="Arial"/>
          <w:lang w:val="tr-TR"/>
        </w:rPr>
        <w:t>5</w:t>
      </w:r>
      <w:r w:rsidRPr="00E66B26">
        <w:rPr>
          <w:rFonts w:ascii="Arial" w:hAnsi="Arial" w:cs="Arial"/>
          <w:lang w:val="tr-TR"/>
        </w:rPr>
        <w:t xml:space="preserve"> tarihi itibariyle kayıtlı değeri </w:t>
      </w:r>
      <w:r w:rsidR="00F53471">
        <w:rPr>
          <w:rFonts w:ascii="Arial" w:hAnsi="Arial" w:cs="Arial"/>
          <w:lang w:val="tr-TR"/>
        </w:rPr>
        <w:t>101.409</w:t>
      </w:r>
      <w:r w:rsidRPr="00E66B26">
        <w:rPr>
          <w:rFonts w:ascii="Arial" w:hAnsi="Arial" w:cs="Arial"/>
          <w:lang w:val="tr-TR"/>
        </w:rPr>
        <w:t xml:space="preserve"> TL (31 Aralık 201</w:t>
      </w:r>
      <w:r w:rsidR="00F53471">
        <w:rPr>
          <w:rFonts w:ascii="Arial" w:hAnsi="Arial" w:cs="Arial"/>
          <w:lang w:val="tr-TR"/>
        </w:rPr>
        <w:t>4</w:t>
      </w:r>
      <w:r w:rsidRPr="00E66B26">
        <w:rPr>
          <w:rFonts w:ascii="Arial" w:hAnsi="Arial" w:cs="Arial"/>
          <w:lang w:val="tr-TR"/>
        </w:rPr>
        <w:t xml:space="preserve">: </w:t>
      </w:r>
      <w:r w:rsidR="00F53471">
        <w:rPr>
          <w:rFonts w:ascii="Arial" w:hAnsi="Arial" w:cs="Arial"/>
          <w:lang w:val="tr-TR"/>
        </w:rPr>
        <w:t>99</w:t>
      </w:r>
      <w:r w:rsidRPr="00E66B26">
        <w:rPr>
          <w:rFonts w:ascii="Arial" w:hAnsi="Arial" w:cs="Arial"/>
          <w:lang w:val="tr-TR"/>
        </w:rPr>
        <w:t>.</w:t>
      </w:r>
      <w:r w:rsidR="00F53471">
        <w:rPr>
          <w:rFonts w:ascii="Arial" w:hAnsi="Arial" w:cs="Arial"/>
          <w:lang w:val="tr-TR"/>
        </w:rPr>
        <w:t>348</w:t>
      </w:r>
      <w:r w:rsidRPr="00E66B26">
        <w:rPr>
          <w:rFonts w:ascii="Arial" w:hAnsi="Arial" w:cs="Arial"/>
          <w:lang w:val="tr-TR"/>
        </w:rPr>
        <w:t xml:space="preserve"> TL) ve nominal değeri </w:t>
      </w:r>
      <w:r>
        <w:rPr>
          <w:rFonts w:ascii="Arial" w:hAnsi="Arial" w:cs="Arial"/>
          <w:lang w:val="tr-TR"/>
        </w:rPr>
        <w:t xml:space="preserve">100.000 </w:t>
      </w:r>
      <w:r w:rsidRPr="00E66B26">
        <w:rPr>
          <w:rFonts w:ascii="Arial" w:hAnsi="Arial" w:cs="Arial"/>
          <w:lang w:val="tr-TR"/>
        </w:rPr>
        <w:t>TL (31 Aralık 201</w:t>
      </w:r>
      <w:r w:rsidR="00F53471">
        <w:rPr>
          <w:rFonts w:ascii="Arial" w:hAnsi="Arial" w:cs="Arial"/>
          <w:lang w:val="tr-TR"/>
        </w:rPr>
        <w:t>4</w:t>
      </w:r>
      <w:r w:rsidRPr="00E66B26">
        <w:rPr>
          <w:rFonts w:ascii="Arial" w:hAnsi="Arial" w:cs="Arial"/>
          <w:lang w:val="tr-TR"/>
        </w:rPr>
        <w:t>: 100.000 TL) olan devlet tahvili ve hazine bonoları İstanbul Takas ve Saklama Bankası A.Ş.’ye Sermaye Piyasası Kurulu sermaye taahhüdüne karşılık teminat olarak verilmiştir.</w:t>
      </w:r>
    </w:p>
    <w:p w:rsidR="00D322FB" w:rsidRPr="00727376" w:rsidRDefault="00D322FB">
      <w:pPr>
        <w:rPr>
          <w:rFonts w:ascii="Arial" w:hAnsi="Arial" w:cs="Arial"/>
          <w:b/>
          <w:bCs/>
          <w:noProof/>
          <w:highlight w:val="yellow"/>
          <w:lang w:val="tr-TR"/>
        </w:rPr>
      </w:pPr>
      <w:r w:rsidRPr="00727376">
        <w:rPr>
          <w:rFonts w:ascii="Arial" w:hAnsi="Arial" w:cs="Arial"/>
          <w:b/>
          <w:bCs/>
          <w:noProof/>
          <w:highlight w:val="yellow"/>
          <w:lang w:val="tr-TR"/>
        </w:rPr>
        <w:br w:type="page"/>
      </w:r>
    </w:p>
    <w:p w:rsidR="00D322FB" w:rsidRPr="000122C7" w:rsidRDefault="00D322FB" w:rsidP="005C3EEB">
      <w:pPr>
        <w:pStyle w:val="body0"/>
        <w:spacing w:after="0" w:line="230" w:lineRule="auto"/>
        <w:outlineLvl w:val="0"/>
        <w:rPr>
          <w:rFonts w:ascii="Arial" w:hAnsi="Arial" w:cs="Arial"/>
          <w:b/>
          <w:bCs/>
          <w:noProof/>
          <w:sz w:val="20"/>
          <w:szCs w:val="20"/>
          <w:lang w:val="tr-TR"/>
        </w:rPr>
      </w:pPr>
      <w:r w:rsidRPr="000122C7">
        <w:rPr>
          <w:rFonts w:ascii="Arial" w:hAnsi="Arial" w:cs="Arial"/>
          <w:b/>
          <w:bCs/>
          <w:noProof/>
          <w:sz w:val="20"/>
          <w:szCs w:val="20"/>
          <w:lang w:val="tr-TR"/>
        </w:rPr>
        <w:lastRenderedPageBreak/>
        <w:t>6.</w:t>
      </w:r>
      <w:r w:rsidRPr="000122C7">
        <w:rPr>
          <w:rFonts w:ascii="Arial" w:hAnsi="Arial" w:cs="Arial"/>
          <w:b/>
          <w:bCs/>
          <w:noProof/>
          <w:sz w:val="20"/>
          <w:szCs w:val="20"/>
          <w:lang w:val="tr-TR"/>
        </w:rPr>
        <w:tab/>
        <w:t>Ticari alacak</w:t>
      </w:r>
      <w:r>
        <w:rPr>
          <w:rFonts w:ascii="Arial" w:hAnsi="Arial" w:cs="Arial"/>
          <w:b/>
          <w:bCs/>
          <w:noProof/>
          <w:sz w:val="20"/>
          <w:szCs w:val="20"/>
          <w:lang w:val="tr-TR"/>
        </w:rPr>
        <w:t>lar</w:t>
      </w:r>
      <w:r w:rsidRPr="000122C7">
        <w:rPr>
          <w:rFonts w:ascii="Arial" w:hAnsi="Arial" w:cs="Arial"/>
          <w:b/>
          <w:bCs/>
          <w:noProof/>
          <w:sz w:val="20"/>
          <w:szCs w:val="20"/>
          <w:lang w:val="tr-TR"/>
        </w:rPr>
        <w:t xml:space="preserve"> ve borçlar</w:t>
      </w:r>
    </w:p>
    <w:p w:rsidR="00D322FB" w:rsidRPr="00727376" w:rsidRDefault="00D322FB" w:rsidP="00B37F4A">
      <w:pPr>
        <w:pStyle w:val="body0"/>
        <w:spacing w:after="0" w:line="230" w:lineRule="auto"/>
        <w:rPr>
          <w:rFonts w:ascii="Arial" w:hAnsi="Arial" w:cs="Arial"/>
          <w:sz w:val="16"/>
          <w:szCs w:val="16"/>
          <w:highlight w:val="yellow"/>
          <w:lang w:val="tr-TR"/>
        </w:rPr>
      </w:pPr>
    </w:p>
    <w:p w:rsidR="00D322FB" w:rsidRPr="00A041C4" w:rsidRDefault="006F2183" w:rsidP="000122C7">
      <w:pPr>
        <w:spacing w:line="230" w:lineRule="auto"/>
        <w:ind w:right="-1"/>
        <w:rPr>
          <w:rFonts w:ascii="Arial" w:hAnsi="Arial" w:cs="Arial"/>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sidR="00D322FB" w:rsidRPr="00A041C4">
        <w:rPr>
          <w:rFonts w:ascii="Arial" w:hAnsi="Arial" w:cs="Arial"/>
          <w:lang w:val="tr-TR"/>
        </w:rPr>
        <w:t xml:space="preserve"> tarihleri </w:t>
      </w:r>
      <w:r w:rsidR="00D322FB">
        <w:rPr>
          <w:rFonts w:ascii="Arial" w:hAnsi="Arial" w:cs="Arial"/>
          <w:lang w:val="tr-TR"/>
        </w:rPr>
        <w:t>itibariyle</w:t>
      </w:r>
      <w:r w:rsidR="00D322FB" w:rsidRPr="00A041C4">
        <w:rPr>
          <w:rFonts w:ascii="Arial" w:hAnsi="Arial" w:cs="Arial"/>
          <w:lang w:val="tr-TR"/>
        </w:rPr>
        <w:t xml:space="preserve"> </w:t>
      </w:r>
      <w:r w:rsidR="00D322FB">
        <w:rPr>
          <w:rFonts w:ascii="Arial" w:hAnsi="Arial" w:cs="Arial"/>
          <w:lang w:val="tr-TR"/>
        </w:rPr>
        <w:t>Ş</w:t>
      </w:r>
      <w:r w:rsidR="00D322FB" w:rsidRPr="00A041C4">
        <w:rPr>
          <w:rFonts w:ascii="Arial" w:hAnsi="Arial" w:cs="Arial"/>
          <w:lang w:val="tr-TR"/>
        </w:rPr>
        <w:t>irket</w:t>
      </w:r>
      <w:r w:rsidR="00D322FB">
        <w:rPr>
          <w:rFonts w:ascii="Arial" w:hAnsi="Arial" w:cs="Arial"/>
          <w:lang w:val="tr-TR"/>
        </w:rPr>
        <w:t>’</w:t>
      </w:r>
      <w:r w:rsidR="00D322FB" w:rsidRPr="00A041C4">
        <w:rPr>
          <w:rFonts w:ascii="Arial" w:hAnsi="Arial" w:cs="Arial"/>
          <w:lang w:val="tr-TR"/>
        </w:rPr>
        <w:t xml:space="preserve">in kısa vadeli ticari </w:t>
      </w:r>
      <w:r w:rsidR="00D322FB">
        <w:rPr>
          <w:rFonts w:ascii="Arial" w:hAnsi="Arial" w:cs="Arial"/>
          <w:lang w:val="tr-TR"/>
        </w:rPr>
        <w:t xml:space="preserve">alacaklarının detayı </w:t>
      </w:r>
      <w:r w:rsidR="00D322FB" w:rsidRPr="00A041C4">
        <w:rPr>
          <w:rFonts w:ascii="Arial" w:hAnsi="Arial" w:cs="Arial"/>
          <w:lang w:val="tr-TR"/>
        </w:rPr>
        <w:t>aşağıdaki gibidir:</w:t>
      </w:r>
    </w:p>
    <w:p w:rsidR="00D322FB" w:rsidRPr="00E95815" w:rsidRDefault="00D322FB" w:rsidP="000122C7">
      <w:pPr>
        <w:spacing w:line="230" w:lineRule="auto"/>
        <w:rPr>
          <w:rFonts w:ascii="Arial" w:hAnsi="Arial" w:cs="Arial"/>
          <w:b/>
          <w:spacing w:val="-2"/>
          <w:highlight w:val="yellow"/>
          <w:lang w:val="tr-TR"/>
        </w:rPr>
      </w:pPr>
    </w:p>
    <w:tbl>
      <w:tblPr>
        <w:tblW w:w="9450" w:type="dxa"/>
        <w:tblInd w:w="108" w:type="dxa"/>
        <w:tblLayout w:type="fixed"/>
        <w:tblLook w:val="01E0" w:firstRow="1" w:lastRow="1" w:firstColumn="1" w:lastColumn="1" w:noHBand="0" w:noVBand="0"/>
      </w:tblPr>
      <w:tblGrid>
        <w:gridCol w:w="5670"/>
        <w:gridCol w:w="1890"/>
        <w:gridCol w:w="1890"/>
      </w:tblGrid>
      <w:tr w:rsidR="00D322FB" w:rsidRPr="00727376" w:rsidTr="00FF43D4">
        <w:tc>
          <w:tcPr>
            <w:tcW w:w="5670" w:type="dxa"/>
            <w:tcBorders>
              <w:top w:val="single" w:sz="4" w:space="0" w:color="auto"/>
              <w:bottom w:val="single" w:sz="4" w:space="0" w:color="auto"/>
            </w:tcBorders>
          </w:tcPr>
          <w:p w:rsidR="00D322FB" w:rsidRPr="00EE3634" w:rsidRDefault="00D322FB" w:rsidP="00B37F4A">
            <w:pPr>
              <w:autoSpaceDE w:val="0"/>
              <w:autoSpaceDN w:val="0"/>
              <w:adjustRightInd w:val="0"/>
              <w:spacing w:line="230" w:lineRule="auto"/>
              <w:ind w:left="-108"/>
              <w:jc w:val="both"/>
              <w:rPr>
                <w:rFonts w:ascii="Arial" w:hAnsi="Arial" w:cs="Arial"/>
                <w:lang w:val="tr-TR"/>
              </w:rPr>
            </w:pPr>
          </w:p>
        </w:tc>
        <w:tc>
          <w:tcPr>
            <w:tcW w:w="1890" w:type="dxa"/>
            <w:tcBorders>
              <w:top w:val="single" w:sz="4" w:space="0" w:color="auto"/>
              <w:bottom w:val="single" w:sz="4" w:space="0" w:color="auto"/>
            </w:tcBorders>
            <w:vAlign w:val="bottom"/>
          </w:tcPr>
          <w:p w:rsidR="00D322FB" w:rsidRPr="00EE3634" w:rsidRDefault="00D322FB" w:rsidP="001A0C62">
            <w:pPr>
              <w:autoSpaceDE w:val="0"/>
              <w:autoSpaceDN w:val="0"/>
              <w:adjustRightInd w:val="0"/>
              <w:spacing w:line="230" w:lineRule="auto"/>
              <w:jc w:val="right"/>
              <w:rPr>
                <w:rFonts w:ascii="Arial" w:hAnsi="Arial" w:cs="Arial"/>
                <w:b/>
                <w:lang w:val="tr-TR"/>
              </w:rPr>
            </w:pPr>
            <w:r w:rsidRPr="00EE3634">
              <w:rPr>
                <w:rFonts w:ascii="Arial" w:hAnsi="Arial" w:cs="Arial"/>
                <w:b/>
                <w:lang w:val="tr-TR"/>
              </w:rPr>
              <w:t xml:space="preserve">31 </w:t>
            </w:r>
            <w:r>
              <w:rPr>
                <w:rFonts w:ascii="Arial" w:hAnsi="Arial" w:cs="Arial"/>
                <w:b/>
                <w:lang w:val="tr-TR"/>
              </w:rPr>
              <w:t>Mart 2015</w:t>
            </w:r>
          </w:p>
        </w:tc>
        <w:tc>
          <w:tcPr>
            <w:tcW w:w="1890" w:type="dxa"/>
            <w:tcBorders>
              <w:top w:val="single" w:sz="4" w:space="0" w:color="auto"/>
              <w:bottom w:val="single" w:sz="4" w:space="0" w:color="auto"/>
            </w:tcBorders>
            <w:vAlign w:val="bottom"/>
          </w:tcPr>
          <w:p w:rsidR="00D322FB" w:rsidRPr="0009383C" w:rsidRDefault="00D322FB" w:rsidP="00DE18BD">
            <w:pPr>
              <w:autoSpaceDE w:val="0"/>
              <w:autoSpaceDN w:val="0"/>
              <w:adjustRightInd w:val="0"/>
              <w:spacing w:line="230" w:lineRule="auto"/>
              <w:jc w:val="right"/>
              <w:rPr>
                <w:rFonts w:ascii="Arial" w:hAnsi="Arial" w:cs="Arial"/>
                <w:lang w:val="tr-TR"/>
              </w:rPr>
            </w:pPr>
            <w:r w:rsidRPr="0009383C">
              <w:rPr>
                <w:rFonts w:ascii="Arial" w:hAnsi="Arial" w:cs="Arial"/>
                <w:lang w:val="tr-TR"/>
              </w:rPr>
              <w:t>31 Aralık 2014</w:t>
            </w:r>
          </w:p>
        </w:tc>
      </w:tr>
      <w:tr w:rsidR="00D322FB" w:rsidRPr="00727376" w:rsidTr="00FF43D4">
        <w:tc>
          <w:tcPr>
            <w:tcW w:w="5670" w:type="dxa"/>
            <w:tcBorders>
              <w:top w:val="single" w:sz="4" w:space="0" w:color="auto"/>
            </w:tcBorders>
          </w:tcPr>
          <w:p w:rsidR="00D322FB" w:rsidRPr="00EE3634" w:rsidRDefault="00D322FB" w:rsidP="00B37F4A">
            <w:pPr>
              <w:autoSpaceDE w:val="0"/>
              <w:autoSpaceDN w:val="0"/>
              <w:adjustRightInd w:val="0"/>
              <w:spacing w:line="230" w:lineRule="auto"/>
              <w:ind w:left="-108"/>
              <w:jc w:val="both"/>
              <w:rPr>
                <w:rFonts w:ascii="Arial" w:hAnsi="Arial" w:cs="Arial"/>
                <w:lang w:val="tr-TR"/>
              </w:rPr>
            </w:pPr>
          </w:p>
        </w:tc>
        <w:tc>
          <w:tcPr>
            <w:tcW w:w="1890" w:type="dxa"/>
            <w:tcBorders>
              <w:top w:val="single" w:sz="4" w:space="0" w:color="auto"/>
            </w:tcBorders>
            <w:vAlign w:val="center"/>
          </w:tcPr>
          <w:p w:rsidR="00D322FB" w:rsidRPr="00EE3634" w:rsidRDefault="00D322FB" w:rsidP="001A0C62">
            <w:pPr>
              <w:autoSpaceDE w:val="0"/>
              <w:autoSpaceDN w:val="0"/>
              <w:adjustRightInd w:val="0"/>
              <w:spacing w:line="230" w:lineRule="auto"/>
              <w:jc w:val="right"/>
              <w:rPr>
                <w:rFonts w:ascii="Arial" w:hAnsi="Arial" w:cs="Arial"/>
                <w:lang w:val="tr-TR"/>
              </w:rPr>
            </w:pPr>
          </w:p>
        </w:tc>
        <w:tc>
          <w:tcPr>
            <w:tcW w:w="1890" w:type="dxa"/>
            <w:tcBorders>
              <w:top w:val="single" w:sz="4" w:space="0" w:color="auto"/>
            </w:tcBorders>
            <w:vAlign w:val="center"/>
          </w:tcPr>
          <w:p w:rsidR="00D322FB" w:rsidRPr="0009383C" w:rsidRDefault="00D322FB" w:rsidP="00DE18BD">
            <w:pPr>
              <w:autoSpaceDE w:val="0"/>
              <w:autoSpaceDN w:val="0"/>
              <w:adjustRightInd w:val="0"/>
              <w:spacing w:line="230" w:lineRule="auto"/>
              <w:jc w:val="right"/>
              <w:rPr>
                <w:rFonts w:ascii="Arial" w:hAnsi="Arial" w:cs="Arial"/>
                <w:lang w:val="tr-TR"/>
              </w:rPr>
            </w:pPr>
          </w:p>
        </w:tc>
      </w:tr>
      <w:tr w:rsidR="00D322FB" w:rsidRPr="00727376" w:rsidTr="00FF43D4">
        <w:tc>
          <w:tcPr>
            <w:tcW w:w="5670" w:type="dxa"/>
          </w:tcPr>
          <w:p w:rsidR="00D322FB" w:rsidRPr="00EE3634" w:rsidRDefault="00D322FB" w:rsidP="00D41195">
            <w:pPr>
              <w:autoSpaceDE w:val="0"/>
              <w:autoSpaceDN w:val="0"/>
              <w:adjustRightInd w:val="0"/>
              <w:spacing w:line="230" w:lineRule="auto"/>
              <w:ind w:left="-108"/>
              <w:jc w:val="both"/>
              <w:rPr>
                <w:rFonts w:ascii="Arial" w:hAnsi="Arial" w:cs="Arial"/>
                <w:lang w:val="tr-TR"/>
              </w:rPr>
            </w:pPr>
            <w:r w:rsidRPr="00EE3634">
              <w:rPr>
                <w:rFonts w:ascii="Arial" w:hAnsi="Arial" w:cs="Arial"/>
                <w:lang w:val="tr-TR"/>
              </w:rPr>
              <w:t>Diğer ticari alacaklar</w:t>
            </w:r>
          </w:p>
        </w:tc>
        <w:tc>
          <w:tcPr>
            <w:tcW w:w="1890" w:type="dxa"/>
            <w:vAlign w:val="bottom"/>
          </w:tcPr>
          <w:p w:rsidR="00D322FB" w:rsidRDefault="004910CF">
            <w:pPr>
              <w:jc w:val="right"/>
              <w:rPr>
                <w:rFonts w:ascii="Arial" w:hAnsi="Arial" w:cs="Arial"/>
                <w:b/>
                <w:bCs/>
                <w:color w:val="000000"/>
              </w:rPr>
            </w:pPr>
            <w:r>
              <w:rPr>
                <w:rFonts w:ascii="Arial" w:hAnsi="Arial" w:cs="Arial"/>
                <w:b/>
                <w:bCs/>
                <w:color w:val="000000"/>
              </w:rPr>
              <w:t xml:space="preserve">             7.748</w:t>
            </w:r>
            <w:r w:rsidR="00D322FB">
              <w:rPr>
                <w:rFonts w:ascii="Arial" w:hAnsi="Arial" w:cs="Arial"/>
                <w:b/>
                <w:bCs/>
                <w:color w:val="000000"/>
              </w:rPr>
              <w:t xml:space="preserve"> </w:t>
            </w:r>
          </w:p>
        </w:tc>
        <w:tc>
          <w:tcPr>
            <w:tcW w:w="1890" w:type="dxa"/>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 xml:space="preserve">             12.097 </w:t>
            </w:r>
          </w:p>
        </w:tc>
      </w:tr>
      <w:tr w:rsidR="004910CF" w:rsidRPr="00727376" w:rsidTr="00FF43D4">
        <w:tc>
          <w:tcPr>
            <w:tcW w:w="5670" w:type="dxa"/>
          </w:tcPr>
          <w:p w:rsidR="004910CF" w:rsidRPr="00EE3634" w:rsidRDefault="004910CF" w:rsidP="00D41195">
            <w:pPr>
              <w:autoSpaceDE w:val="0"/>
              <w:autoSpaceDN w:val="0"/>
              <w:adjustRightInd w:val="0"/>
              <w:spacing w:line="230" w:lineRule="auto"/>
              <w:ind w:left="-108"/>
              <w:jc w:val="both"/>
              <w:rPr>
                <w:rFonts w:ascii="Arial" w:hAnsi="Arial" w:cs="Arial"/>
                <w:lang w:val="tr-TR"/>
              </w:rPr>
            </w:pPr>
            <w:r>
              <w:rPr>
                <w:rFonts w:ascii="Arial" w:hAnsi="Arial" w:cs="Arial"/>
                <w:lang w:val="tr-TR"/>
              </w:rPr>
              <w:t>İlişkili taraflardan alacaklar</w:t>
            </w:r>
          </w:p>
        </w:tc>
        <w:tc>
          <w:tcPr>
            <w:tcW w:w="1890" w:type="dxa"/>
            <w:vAlign w:val="bottom"/>
          </w:tcPr>
          <w:p w:rsidR="004910CF" w:rsidRDefault="004910CF">
            <w:pPr>
              <w:jc w:val="right"/>
              <w:rPr>
                <w:rFonts w:ascii="Arial" w:hAnsi="Arial" w:cs="Arial"/>
                <w:b/>
                <w:bCs/>
                <w:color w:val="000000"/>
              </w:rPr>
            </w:pPr>
            <w:r>
              <w:rPr>
                <w:rFonts w:ascii="Arial" w:hAnsi="Arial" w:cs="Arial"/>
                <w:b/>
                <w:bCs/>
                <w:color w:val="000000"/>
              </w:rPr>
              <w:t>3.724</w:t>
            </w:r>
          </w:p>
        </w:tc>
        <w:tc>
          <w:tcPr>
            <w:tcW w:w="1890" w:type="dxa"/>
            <w:vAlign w:val="bottom"/>
          </w:tcPr>
          <w:p w:rsidR="004910CF" w:rsidRPr="0009383C" w:rsidRDefault="004910CF" w:rsidP="00DE18BD">
            <w:pPr>
              <w:jc w:val="right"/>
              <w:rPr>
                <w:rFonts w:ascii="Arial" w:hAnsi="Arial" w:cs="Arial"/>
                <w:bCs/>
                <w:color w:val="000000"/>
              </w:rPr>
            </w:pPr>
          </w:p>
        </w:tc>
      </w:tr>
      <w:tr w:rsidR="00D322FB" w:rsidRPr="00727376" w:rsidTr="00FF43D4">
        <w:tc>
          <w:tcPr>
            <w:tcW w:w="5670" w:type="dxa"/>
            <w:tcBorders>
              <w:bottom w:val="single" w:sz="8" w:space="0" w:color="auto"/>
            </w:tcBorders>
          </w:tcPr>
          <w:p w:rsidR="00D322FB" w:rsidRPr="00EE3634" w:rsidRDefault="00D322FB" w:rsidP="00B37F4A">
            <w:pPr>
              <w:autoSpaceDE w:val="0"/>
              <w:autoSpaceDN w:val="0"/>
              <w:adjustRightInd w:val="0"/>
              <w:spacing w:line="230" w:lineRule="auto"/>
              <w:ind w:left="-108"/>
              <w:jc w:val="both"/>
              <w:rPr>
                <w:rFonts w:ascii="Arial" w:hAnsi="Arial" w:cs="Arial"/>
                <w:lang w:val="tr-TR"/>
              </w:rPr>
            </w:pPr>
          </w:p>
        </w:tc>
        <w:tc>
          <w:tcPr>
            <w:tcW w:w="1890" w:type="dxa"/>
            <w:tcBorders>
              <w:bottom w:val="single" w:sz="8" w:space="0" w:color="auto"/>
            </w:tcBorders>
            <w:vAlign w:val="bottom"/>
          </w:tcPr>
          <w:p w:rsidR="00D322FB" w:rsidRDefault="00D322FB">
            <w:pPr>
              <w:jc w:val="right"/>
              <w:rPr>
                <w:rFonts w:ascii="Arial" w:hAnsi="Arial" w:cs="Arial"/>
                <w:b/>
                <w:bCs/>
                <w:color w:val="000000"/>
              </w:rPr>
            </w:pPr>
            <w:r>
              <w:rPr>
                <w:rFonts w:ascii="Arial" w:hAnsi="Arial" w:cs="Arial"/>
                <w:b/>
                <w:bCs/>
                <w:color w:val="000000"/>
              </w:rPr>
              <w:t> </w:t>
            </w:r>
          </w:p>
        </w:tc>
        <w:tc>
          <w:tcPr>
            <w:tcW w:w="1890" w:type="dxa"/>
            <w:tcBorders>
              <w:bottom w:val="single" w:sz="8" w:space="0" w:color="auto"/>
            </w:tcBorders>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 </w:t>
            </w:r>
          </w:p>
        </w:tc>
      </w:tr>
      <w:tr w:rsidR="00D322FB" w:rsidRPr="00727376" w:rsidTr="00FF43D4">
        <w:tc>
          <w:tcPr>
            <w:tcW w:w="5670" w:type="dxa"/>
            <w:tcBorders>
              <w:top w:val="single" w:sz="8" w:space="0" w:color="auto"/>
              <w:bottom w:val="double" w:sz="4" w:space="0" w:color="auto"/>
            </w:tcBorders>
          </w:tcPr>
          <w:p w:rsidR="00D322FB" w:rsidRPr="00EE3634" w:rsidRDefault="00D322FB" w:rsidP="00B37F4A">
            <w:pPr>
              <w:autoSpaceDE w:val="0"/>
              <w:autoSpaceDN w:val="0"/>
              <w:adjustRightInd w:val="0"/>
              <w:spacing w:line="230" w:lineRule="auto"/>
              <w:jc w:val="both"/>
              <w:rPr>
                <w:rFonts w:ascii="Arial" w:hAnsi="Arial" w:cs="Arial"/>
                <w:lang w:val="tr-TR"/>
              </w:rPr>
            </w:pPr>
            <w:r w:rsidRPr="00EE3634">
              <w:rPr>
                <w:rFonts w:ascii="Arial" w:hAnsi="Arial" w:cs="Arial"/>
                <w:b/>
                <w:lang w:val="tr-TR"/>
              </w:rPr>
              <w:t>Toplam</w:t>
            </w:r>
          </w:p>
        </w:tc>
        <w:tc>
          <w:tcPr>
            <w:tcW w:w="1890" w:type="dxa"/>
            <w:tcBorders>
              <w:top w:val="single" w:sz="8" w:space="0" w:color="auto"/>
              <w:bottom w:val="double" w:sz="4" w:space="0" w:color="auto"/>
            </w:tcBorders>
            <w:vAlign w:val="bottom"/>
          </w:tcPr>
          <w:p w:rsidR="00D322FB" w:rsidRDefault="00D322FB" w:rsidP="004910CF">
            <w:pPr>
              <w:jc w:val="right"/>
              <w:rPr>
                <w:rFonts w:ascii="Arial" w:hAnsi="Arial" w:cs="Arial"/>
                <w:b/>
                <w:bCs/>
                <w:color w:val="000000"/>
              </w:rPr>
            </w:pPr>
            <w:r>
              <w:rPr>
                <w:rFonts w:ascii="Arial" w:hAnsi="Arial" w:cs="Arial"/>
                <w:b/>
                <w:bCs/>
                <w:color w:val="000000"/>
              </w:rPr>
              <w:t xml:space="preserve">             1</w:t>
            </w:r>
            <w:r w:rsidR="004910CF">
              <w:rPr>
                <w:rFonts w:ascii="Arial" w:hAnsi="Arial" w:cs="Arial"/>
                <w:b/>
                <w:bCs/>
                <w:color w:val="000000"/>
              </w:rPr>
              <w:t>1</w:t>
            </w:r>
            <w:r>
              <w:rPr>
                <w:rFonts w:ascii="Arial" w:hAnsi="Arial" w:cs="Arial"/>
                <w:b/>
                <w:bCs/>
                <w:color w:val="000000"/>
              </w:rPr>
              <w:t>.</w:t>
            </w:r>
            <w:r w:rsidR="004910CF">
              <w:rPr>
                <w:rFonts w:ascii="Arial" w:hAnsi="Arial" w:cs="Arial"/>
                <w:b/>
                <w:bCs/>
                <w:color w:val="000000"/>
              </w:rPr>
              <w:t>472</w:t>
            </w:r>
            <w:r>
              <w:rPr>
                <w:rFonts w:ascii="Arial" w:hAnsi="Arial" w:cs="Arial"/>
                <w:b/>
                <w:bCs/>
                <w:color w:val="000000"/>
              </w:rPr>
              <w:t xml:space="preserve"> </w:t>
            </w:r>
          </w:p>
        </w:tc>
        <w:tc>
          <w:tcPr>
            <w:tcW w:w="1890" w:type="dxa"/>
            <w:tcBorders>
              <w:top w:val="single" w:sz="8" w:space="0" w:color="auto"/>
              <w:bottom w:val="double" w:sz="4" w:space="0" w:color="auto"/>
            </w:tcBorders>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 xml:space="preserve">             12.097 </w:t>
            </w:r>
          </w:p>
        </w:tc>
      </w:tr>
    </w:tbl>
    <w:p w:rsidR="00D322FB" w:rsidRPr="00727376" w:rsidRDefault="00D322FB" w:rsidP="00B37F4A">
      <w:pPr>
        <w:spacing w:line="230" w:lineRule="auto"/>
        <w:jc w:val="both"/>
        <w:rPr>
          <w:rFonts w:ascii="Arial" w:hAnsi="Arial" w:cs="Arial"/>
          <w:sz w:val="16"/>
          <w:szCs w:val="16"/>
          <w:highlight w:val="yellow"/>
          <w:lang w:val="tr-TR"/>
        </w:rPr>
      </w:pPr>
    </w:p>
    <w:p w:rsidR="00D322FB" w:rsidRPr="002921F8" w:rsidRDefault="006F2183" w:rsidP="00B37F4A">
      <w:pPr>
        <w:spacing w:line="230" w:lineRule="auto"/>
        <w:jc w:val="both"/>
        <w:rPr>
          <w:rFonts w:ascii="Arial" w:hAnsi="Arial" w:cs="Arial"/>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sidR="00D322FB">
        <w:rPr>
          <w:rFonts w:ascii="Arial" w:hAnsi="Arial" w:cs="Arial"/>
          <w:lang w:val="tr-TR"/>
        </w:rPr>
        <w:t xml:space="preserve"> tarihleri itibariyle şirketin şüpheli ticari alacağı bulunmamaktadır.</w:t>
      </w:r>
      <w:r w:rsidR="00D322FB" w:rsidRPr="002921F8">
        <w:rPr>
          <w:rFonts w:ascii="Arial" w:hAnsi="Arial" w:cs="Arial"/>
          <w:lang w:val="tr-TR"/>
        </w:rPr>
        <w:t xml:space="preserve">Ticari alacaklardaki risklerin niteliği ve düzeyine ilişkin </w:t>
      </w:r>
      <w:r w:rsidR="00D322FB" w:rsidRPr="00EE3634">
        <w:rPr>
          <w:rFonts w:ascii="Arial" w:hAnsi="Arial" w:cs="Arial"/>
          <w:lang w:val="tr-TR"/>
        </w:rPr>
        <w:t>açıklamalar Not 24’de</w:t>
      </w:r>
      <w:r w:rsidR="00D322FB" w:rsidRPr="002921F8">
        <w:rPr>
          <w:rFonts w:ascii="Arial" w:hAnsi="Arial" w:cs="Arial"/>
          <w:lang w:val="tr-TR"/>
        </w:rPr>
        <w:t xml:space="preserve"> sunulmuştur.</w:t>
      </w:r>
    </w:p>
    <w:p w:rsidR="00D322FB" w:rsidRPr="00727376" w:rsidRDefault="00D322FB" w:rsidP="00B37F4A">
      <w:pPr>
        <w:spacing w:line="230" w:lineRule="auto"/>
        <w:jc w:val="both"/>
        <w:rPr>
          <w:rFonts w:ascii="Arial" w:hAnsi="Arial" w:cs="Arial"/>
          <w:b/>
          <w:sz w:val="16"/>
          <w:szCs w:val="16"/>
          <w:highlight w:val="yellow"/>
          <w:lang w:val="tr-TR"/>
        </w:rPr>
      </w:pPr>
    </w:p>
    <w:p w:rsidR="00D322FB" w:rsidRPr="00A041C4" w:rsidRDefault="006F2183" w:rsidP="00F51AA7">
      <w:pPr>
        <w:spacing w:line="230" w:lineRule="auto"/>
        <w:ind w:right="-1"/>
        <w:rPr>
          <w:rFonts w:ascii="Arial" w:hAnsi="Arial" w:cs="Arial"/>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sidR="00D322FB" w:rsidRPr="00A041C4">
        <w:rPr>
          <w:rFonts w:ascii="Arial" w:hAnsi="Arial" w:cs="Arial"/>
          <w:lang w:val="tr-TR"/>
        </w:rPr>
        <w:t xml:space="preserve">tarihleri </w:t>
      </w:r>
      <w:r w:rsidR="00D322FB">
        <w:rPr>
          <w:rFonts w:ascii="Arial" w:hAnsi="Arial" w:cs="Arial"/>
          <w:lang w:val="tr-TR"/>
        </w:rPr>
        <w:t>itibariyle</w:t>
      </w:r>
      <w:r w:rsidR="00D322FB" w:rsidRPr="00A041C4">
        <w:rPr>
          <w:rFonts w:ascii="Arial" w:hAnsi="Arial" w:cs="Arial"/>
          <w:lang w:val="tr-TR"/>
        </w:rPr>
        <w:t xml:space="preserve"> </w:t>
      </w:r>
      <w:r w:rsidR="00D322FB">
        <w:rPr>
          <w:rFonts w:ascii="Arial" w:hAnsi="Arial" w:cs="Arial"/>
          <w:lang w:val="tr-TR"/>
        </w:rPr>
        <w:t>Ş</w:t>
      </w:r>
      <w:r w:rsidR="00D322FB" w:rsidRPr="00A041C4">
        <w:rPr>
          <w:rFonts w:ascii="Arial" w:hAnsi="Arial" w:cs="Arial"/>
          <w:lang w:val="tr-TR"/>
        </w:rPr>
        <w:t>irket</w:t>
      </w:r>
      <w:r w:rsidR="00D322FB">
        <w:rPr>
          <w:rFonts w:ascii="Arial" w:hAnsi="Arial" w:cs="Arial"/>
          <w:lang w:val="tr-TR"/>
        </w:rPr>
        <w:t>’</w:t>
      </w:r>
      <w:r w:rsidR="00D322FB" w:rsidRPr="00A041C4">
        <w:rPr>
          <w:rFonts w:ascii="Arial" w:hAnsi="Arial" w:cs="Arial"/>
          <w:lang w:val="tr-TR"/>
        </w:rPr>
        <w:t xml:space="preserve">in kısa vadeli ticari </w:t>
      </w:r>
      <w:r w:rsidR="00D322FB">
        <w:rPr>
          <w:rFonts w:ascii="Arial" w:hAnsi="Arial" w:cs="Arial"/>
          <w:lang w:val="tr-TR"/>
        </w:rPr>
        <w:t>borçlarının</w:t>
      </w:r>
      <w:r w:rsidR="00D322FB" w:rsidRPr="00A041C4">
        <w:rPr>
          <w:rFonts w:ascii="Arial" w:hAnsi="Arial" w:cs="Arial"/>
          <w:lang w:val="tr-TR"/>
        </w:rPr>
        <w:t xml:space="preserve"> </w:t>
      </w:r>
      <w:r w:rsidR="00D322FB">
        <w:rPr>
          <w:rFonts w:ascii="Arial" w:hAnsi="Arial" w:cs="Arial"/>
          <w:lang w:val="tr-TR"/>
        </w:rPr>
        <w:t xml:space="preserve">detayı </w:t>
      </w:r>
      <w:r w:rsidR="00D322FB" w:rsidRPr="00A041C4">
        <w:rPr>
          <w:rFonts w:ascii="Arial" w:hAnsi="Arial" w:cs="Arial"/>
          <w:lang w:val="tr-TR"/>
        </w:rPr>
        <w:t>aşağıdaki gibidir:</w:t>
      </w:r>
    </w:p>
    <w:p w:rsidR="00D322FB" w:rsidRPr="00727376" w:rsidRDefault="00D322FB" w:rsidP="00B37F4A">
      <w:pPr>
        <w:spacing w:line="230" w:lineRule="auto"/>
        <w:jc w:val="both"/>
        <w:rPr>
          <w:rFonts w:ascii="Arial" w:hAnsi="Arial" w:cs="Arial"/>
          <w:highlight w:val="yellow"/>
          <w:lang w:val="tr-TR"/>
        </w:rPr>
      </w:pPr>
    </w:p>
    <w:tbl>
      <w:tblPr>
        <w:tblW w:w="9450" w:type="dxa"/>
        <w:tblInd w:w="108" w:type="dxa"/>
        <w:tblLayout w:type="fixed"/>
        <w:tblLook w:val="01E0" w:firstRow="1" w:lastRow="1" w:firstColumn="1" w:lastColumn="1" w:noHBand="0" w:noVBand="0"/>
      </w:tblPr>
      <w:tblGrid>
        <w:gridCol w:w="5670"/>
        <w:gridCol w:w="1890"/>
        <w:gridCol w:w="1890"/>
      </w:tblGrid>
      <w:tr w:rsidR="00D322FB" w:rsidRPr="00727376" w:rsidTr="00E840A1">
        <w:tc>
          <w:tcPr>
            <w:tcW w:w="5670" w:type="dxa"/>
            <w:tcBorders>
              <w:top w:val="single" w:sz="4" w:space="0" w:color="auto"/>
              <w:bottom w:val="single" w:sz="4" w:space="0" w:color="auto"/>
            </w:tcBorders>
          </w:tcPr>
          <w:p w:rsidR="00D322FB" w:rsidRPr="00EE3634" w:rsidRDefault="00D322FB" w:rsidP="00B37F4A">
            <w:pPr>
              <w:autoSpaceDE w:val="0"/>
              <w:autoSpaceDN w:val="0"/>
              <w:adjustRightInd w:val="0"/>
              <w:spacing w:line="230" w:lineRule="auto"/>
              <w:ind w:left="-108"/>
              <w:jc w:val="both"/>
              <w:rPr>
                <w:rFonts w:ascii="Arial" w:hAnsi="Arial" w:cs="Arial"/>
                <w:lang w:val="tr-TR"/>
              </w:rPr>
            </w:pPr>
          </w:p>
        </w:tc>
        <w:tc>
          <w:tcPr>
            <w:tcW w:w="1890" w:type="dxa"/>
            <w:tcBorders>
              <w:top w:val="single" w:sz="4" w:space="0" w:color="auto"/>
              <w:bottom w:val="single" w:sz="4" w:space="0" w:color="auto"/>
            </w:tcBorders>
            <w:vAlign w:val="bottom"/>
          </w:tcPr>
          <w:p w:rsidR="00D322FB" w:rsidRPr="00EE3634" w:rsidRDefault="00D322FB" w:rsidP="001A0C62">
            <w:pPr>
              <w:autoSpaceDE w:val="0"/>
              <w:autoSpaceDN w:val="0"/>
              <w:adjustRightInd w:val="0"/>
              <w:spacing w:line="230" w:lineRule="auto"/>
              <w:jc w:val="right"/>
              <w:rPr>
                <w:rFonts w:ascii="Arial" w:hAnsi="Arial" w:cs="Arial"/>
                <w:b/>
                <w:lang w:val="tr-TR"/>
              </w:rPr>
            </w:pPr>
            <w:r w:rsidRPr="00EE3634">
              <w:rPr>
                <w:rFonts w:ascii="Arial" w:hAnsi="Arial" w:cs="Arial"/>
                <w:b/>
                <w:lang w:val="tr-TR"/>
              </w:rPr>
              <w:t xml:space="preserve">31 </w:t>
            </w:r>
            <w:r>
              <w:rPr>
                <w:rFonts w:ascii="Arial" w:hAnsi="Arial" w:cs="Arial"/>
                <w:b/>
                <w:lang w:val="tr-TR"/>
              </w:rPr>
              <w:t>Mart 2015</w:t>
            </w:r>
          </w:p>
        </w:tc>
        <w:tc>
          <w:tcPr>
            <w:tcW w:w="1890" w:type="dxa"/>
            <w:tcBorders>
              <w:top w:val="single" w:sz="4" w:space="0" w:color="auto"/>
              <w:bottom w:val="single" w:sz="4" w:space="0" w:color="auto"/>
            </w:tcBorders>
            <w:vAlign w:val="bottom"/>
          </w:tcPr>
          <w:p w:rsidR="00D322FB" w:rsidRPr="0009383C" w:rsidRDefault="00D322FB" w:rsidP="00DE18BD">
            <w:pPr>
              <w:autoSpaceDE w:val="0"/>
              <w:autoSpaceDN w:val="0"/>
              <w:adjustRightInd w:val="0"/>
              <w:spacing w:line="230" w:lineRule="auto"/>
              <w:jc w:val="right"/>
              <w:rPr>
                <w:rFonts w:ascii="Arial" w:hAnsi="Arial" w:cs="Arial"/>
                <w:lang w:val="tr-TR"/>
              </w:rPr>
            </w:pPr>
            <w:r w:rsidRPr="0009383C">
              <w:rPr>
                <w:rFonts w:ascii="Arial" w:hAnsi="Arial" w:cs="Arial"/>
                <w:lang w:val="tr-TR"/>
              </w:rPr>
              <w:t>31 Aralık 2014</w:t>
            </w:r>
          </w:p>
        </w:tc>
      </w:tr>
      <w:tr w:rsidR="00D322FB" w:rsidRPr="00727376" w:rsidTr="00E840A1">
        <w:tc>
          <w:tcPr>
            <w:tcW w:w="5670" w:type="dxa"/>
            <w:tcBorders>
              <w:top w:val="single" w:sz="4" w:space="0" w:color="auto"/>
            </w:tcBorders>
          </w:tcPr>
          <w:p w:rsidR="00D322FB" w:rsidRPr="00EE3634" w:rsidRDefault="00D322FB" w:rsidP="00B37F4A">
            <w:pPr>
              <w:autoSpaceDE w:val="0"/>
              <w:autoSpaceDN w:val="0"/>
              <w:adjustRightInd w:val="0"/>
              <w:spacing w:line="230" w:lineRule="auto"/>
              <w:ind w:left="-108"/>
              <w:jc w:val="both"/>
              <w:rPr>
                <w:rFonts w:ascii="Arial" w:hAnsi="Arial" w:cs="Arial"/>
                <w:lang w:val="tr-TR"/>
              </w:rPr>
            </w:pPr>
          </w:p>
        </w:tc>
        <w:tc>
          <w:tcPr>
            <w:tcW w:w="1890" w:type="dxa"/>
            <w:tcBorders>
              <w:top w:val="single" w:sz="4" w:space="0" w:color="auto"/>
            </w:tcBorders>
            <w:vAlign w:val="center"/>
          </w:tcPr>
          <w:p w:rsidR="00D322FB" w:rsidRPr="00EE3634" w:rsidRDefault="00D322FB" w:rsidP="00B37F4A">
            <w:pPr>
              <w:autoSpaceDE w:val="0"/>
              <w:autoSpaceDN w:val="0"/>
              <w:adjustRightInd w:val="0"/>
              <w:spacing w:line="230" w:lineRule="auto"/>
              <w:jc w:val="right"/>
              <w:rPr>
                <w:rFonts w:ascii="Arial" w:hAnsi="Arial" w:cs="Arial"/>
                <w:b/>
                <w:lang w:val="tr-TR"/>
              </w:rPr>
            </w:pPr>
          </w:p>
        </w:tc>
        <w:tc>
          <w:tcPr>
            <w:tcW w:w="1890" w:type="dxa"/>
            <w:tcBorders>
              <w:top w:val="single" w:sz="4" w:space="0" w:color="auto"/>
            </w:tcBorders>
            <w:vAlign w:val="center"/>
          </w:tcPr>
          <w:p w:rsidR="00D322FB" w:rsidRPr="0009383C" w:rsidRDefault="00D322FB" w:rsidP="00DE18BD">
            <w:pPr>
              <w:autoSpaceDE w:val="0"/>
              <w:autoSpaceDN w:val="0"/>
              <w:adjustRightInd w:val="0"/>
              <w:spacing w:line="230" w:lineRule="auto"/>
              <w:jc w:val="right"/>
              <w:rPr>
                <w:rFonts w:ascii="Arial" w:hAnsi="Arial" w:cs="Arial"/>
                <w:lang w:val="tr-TR"/>
              </w:rPr>
            </w:pPr>
          </w:p>
        </w:tc>
      </w:tr>
      <w:tr w:rsidR="00D322FB" w:rsidRPr="00727376" w:rsidTr="00E840A1">
        <w:tc>
          <w:tcPr>
            <w:tcW w:w="5670" w:type="dxa"/>
          </w:tcPr>
          <w:p w:rsidR="00D322FB" w:rsidRPr="00EE3634" w:rsidRDefault="00D322FB" w:rsidP="008F3B48">
            <w:pPr>
              <w:autoSpaceDE w:val="0"/>
              <w:autoSpaceDN w:val="0"/>
              <w:adjustRightInd w:val="0"/>
              <w:spacing w:line="230" w:lineRule="auto"/>
              <w:ind w:left="-108"/>
              <w:jc w:val="both"/>
              <w:rPr>
                <w:rFonts w:ascii="Arial" w:hAnsi="Arial" w:cs="Arial"/>
                <w:lang w:val="tr-TR"/>
              </w:rPr>
            </w:pPr>
            <w:r w:rsidRPr="00EE3634">
              <w:rPr>
                <w:rFonts w:ascii="Arial" w:hAnsi="Arial" w:cs="Arial"/>
                <w:color w:val="000000"/>
              </w:rPr>
              <w:t xml:space="preserve">İlişkili taraflara ticari borçlar </w:t>
            </w:r>
            <w:r w:rsidRPr="00EE3634">
              <w:rPr>
                <w:rFonts w:ascii="Arial" w:hAnsi="Arial" w:cs="Arial"/>
                <w:lang w:val="tr-TR"/>
              </w:rPr>
              <w:t>(Not 23)</w:t>
            </w:r>
          </w:p>
        </w:tc>
        <w:tc>
          <w:tcPr>
            <w:tcW w:w="1890" w:type="dxa"/>
            <w:vAlign w:val="bottom"/>
          </w:tcPr>
          <w:p w:rsidR="00D322FB" w:rsidRPr="00EE3634" w:rsidRDefault="00D322FB" w:rsidP="000535C4">
            <w:pPr>
              <w:jc w:val="right"/>
              <w:rPr>
                <w:rFonts w:ascii="Arial" w:hAnsi="Arial" w:cs="Arial"/>
                <w:b/>
                <w:bCs/>
                <w:color w:val="000000"/>
              </w:rPr>
            </w:pPr>
            <w:r w:rsidRPr="00EE3634">
              <w:rPr>
                <w:rFonts w:ascii="Arial" w:hAnsi="Arial" w:cs="Arial"/>
                <w:b/>
                <w:bCs/>
                <w:color w:val="000000"/>
              </w:rPr>
              <w:t xml:space="preserve">             </w:t>
            </w:r>
            <w:r w:rsidR="004910CF">
              <w:rPr>
                <w:rFonts w:ascii="Arial" w:hAnsi="Arial" w:cs="Arial"/>
                <w:b/>
                <w:bCs/>
                <w:color w:val="000000"/>
              </w:rPr>
              <w:t>15</w:t>
            </w:r>
            <w:r w:rsidRPr="00EE3634">
              <w:rPr>
                <w:rFonts w:ascii="Arial" w:hAnsi="Arial" w:cs="Arial"/>
                <w:b/>
                <w:bCs/>
                <w:color w:val="000000"/>
              </w:rPr>
              <w:t>.</w:t>
            </w:r>
            <w:r w:rsidR="004910CF">
              <w:rPr>
                <w:rFonts w:ascii="Arial" w:hAnsi="Arial" w:cs="Arial"/>
                <w:b/>
                <w:bCs/>
                <w:color w:val="000000"/>
              </w:rPr>
              <w:t>2</w:t>
            </w:r>
            <w:r w:rsidR="000535C4">
              <w:rPr>
                <w:rFonts w:ascii="Arial" w:hAnsi="Arial" w:cs="Arial"/>
                <w:b/>
                <w:bCs/>
                <w:color w:val="000000"/>
              </w:rPr>
              <w:t>90</w:t>
            </w:r>
            <w:r w:rsidRPr="00EE3634">
              <w:rPr>
                <w:rFonts w:ascii="Arial" w:hAnsi="Arial" w:cs="Arial"/>
                <w:b/>
                <w:bCs/>
                <w:color w:val="000000"/>
              </w:rPr>
              <w:t xml:space="preserve"> </w:t>
            </w:r>
          </w:p>
        </w:tc>
        <w:tc>
          <w:tcPr>
            <w:tcW w:w="1890" w:type="dxa"/>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 xml:space="preserve">             10.816 </w:t>
            </w:r>
          </w:p>
        </w:tc>
      </w:tr>
      <w:tr w:rsidR="00D322FB" w:rsidRPr="00727376" w:rsidTr="00E840A1">
        <w:tc>
          <w:tcPr>
            <w:tcW w:w="5670" w:type="dxa"/>
          </w:tcPr>
          <w:p w:rsidR="00D322FB" w:rsidRPr="00EE3634" w:rsidRDefault="00D322FB" w:rsidP="00B37F4A">
            <w:pPr>
              <w:autoSpaceDE w:val="0"/>
              <w:autoSpaceDN w:val="0"/>
              <w:adjustRightInd w:val="0"/>
              <w:spacing w:line="230" w:lineRule="auto"/>
              <w:ind w:left="-108"/>
              <w:jc w:val="both"/>
              <w:rPr>
                <w:rFonts w:ascii="Arial" w:hAnsi="Arial" w:cs="Arial"/>
                <w:lang w:val="tr-TR"/>
              </w:rPr>
            </w:pPr>
            <w:r w:rsidRPr="00EE3634">
              <w:rPr>
                <w:rFonts w:ascii="Arial" w:hAnsi="Arial" w:cs="Arial"/>
                <w:color w:val="000000"/>
              </w:rPr>
              <w:t>Diğer taraflara ticari borçlar</w:t>
            </w:r>
          </w:p>
        </w:tc>
        <w:tc>
          <w:tcPr>
            <w:tcW w:w="1890" w:type="dxa"/>
            <w:vAlign w:val="bottom"/>
          </w:tcPr>
          <w:p w:rsidR="00D322FB" w:rsidRPr="00EE3634" w:rsidRDefault="004910CF" w:rsidP="000535C4">
            <w:pPr>
              <w:jc w:val="right"/>
              <w:rPr>
                <w:rFonts w:ascii="Arial" w:hAnsi="Arial" w:cs="Arial"/>
                <w:b/>
                <w:bCs/>
                <w:color w:val="000000"/>
              </w:rPr>
            </w:pPr>
            <w:r>
              <w:rPr>
                <w:rFonts w:ascii="Arial" w:hAnsi="Arial" w:cs="Arial"/>
                <w:b/>
                <w:bCs/>
                <w:color w:val="000000"/>
              </w:rPr>
              <w:t>39.80</w:t>
            </w:r>
            <w:r w:rsidR="000535C4">
              <w:rPr>
                <w:rFonts w:ascii="Arial" w:hAnsi="Arial" w:cs="Arial"/>
                <w:b/>
                <w:bCs/>
                <w:color w:val="000000"/>
              </w:rPr>
              <w:t>2</w:t>
            </w:r>
          </w:p>
        </w:tc>
        <w:tc>
          <w:tcPr>
            <w:tcW w:w="1890" w:type="dxa"/>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 xml:space="preserve">             22.677 </w:t>
            </w:r>
          </w:p>
        </w:tc>
      </w:tr>
      <w:tr w:rsidR="00D322FB" w:rsidRPr="00727376" w:rsidTr="00E840A1">
        <w:trPr>
          <w:trHeight w:val="211"/>
        </w:trPr>
        <w:tc>
          <w:tcPr>
            <w:tcW w:w="5670" w:type="dxa"/>
            <w:tcBorders>
              <w:bottom w:val="single" w:sz="8" w:space="0" w:color="auto"/>
            </w:tcBorders>
          </w:tcPr>
          <w:p w:rsidR="00D322FB" w:rsidRPr="00EE3634" w:rsidRDefault="00D322FB" w:rsidP="00B37F4A">
            <w:pPr>
              <w:autoSpaceDE w:val="0"/>
              <w:autoSpaceDN w:val="0"/>
              <w:adjustRightInd w:val="0"/>
              <w:spacing w:line="230" w:lineRule="auto"/>
              <w:ind w:left="-108"/>
              <w:jc w:val="both"/>
              <w:rPr>
                <w:rFonts w:ascii="Arial" w:hAnsi="Arial" w:cs="Arial"/>
                <w:lang w:val="tr-TR"/>
              </w:rPr>
            </w:pPr>
          </w:p>
        </w:tc>
        <w:tc>
          <w:tcPr>
            <w:tcW w:w="1890" w:type="dxa"/>
            <w:tcBorders>
              <w:bottom w:val="single" w:sz="8" w:space="0" w:color="auto"/>
            </w:tcBorders>
            <w:vAlign w:val="bottom"/>
          </w:tcPr>
          <w:p w:rsidR="00D322FB" w:rsidRPr="00EE3634" w:rsidRDefault="00D322FB" w:rsidP="00EE3634">
            <w:pPr>
              <w:jc w:val="right"/>
              <w:rPr>
                <w:rFonts w:ascii="Arial" w:hAnsi="Arial" w:cs="Arial"/>
                <w:b/>
                <w:bCs/>
                <w:color w:val="000000"/>
              </w:rPr>
            </w:pPr>
            <w:r w:rsidRPr="00EE3634">
              <w:rPr>
                <w:rFonts w:ascii="Arial" w:hAnsi="Arial" w:cs="Arial"/>
                <w:b/>
                <w:bCs/>
                <w:color w:val="000000"/>
              </w:rPr>
              <w:t> </w:t>
            </w:r>
          </w:p>
        </w:tc>
        <w:tc>
          <w:tcPr>
            <w:tcW w:w="1890" w:type="dxa"/>
            <w:tcBorders>
              <w:bottom w:val="single" w:sz="8" w:space="0" w:color="auto"/>
            </w:tcBorders>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 </w:t>
            </w:r>
          </w:p>
        </w:tc>
      </w:tr>
      <w:tr w:rsidR="00D322FB" w:rsidRPr="00727376" w:rsidTr="00E840A1">
        <w:tc>
          <w:tcPr>
            <w:tcW w:w="5670" w:type="dxa"/>
            <w:tcBorders>
              <w:top w:val="single" w:sz="8" w:space="0" w:color="auto"/>
              <w:bottom w:val="double" w:sz="4" w:space="0" w:color="auto"/>
            </w:tcBorders>
          </w:tcPr>
          <w:p w:rsidR="00D322FB" w:rsidRPr="00EE3634" w:rsidRDefault="00D322FB" w:rsidP="00B37F4A">
            <w:pPr>
              <w:autoSpaceDE w:val="0"/>
              <w:autoSpaceDN w:val="0"/>
              <w:adjustRightInd w:val="0"/>
              <w:spacing w:line="230" w:lineRule="auto"/>
              <w:jc w:val="both"/>
              <w:rPr>
                <w:rFonts w:ascii="Arial" w:hAnsi="Arial" w:cs="Arial"/>
                <w:lang w:val="tr-TR"/>
              </w:rPr>
            </w:pPr>
            <w:r w:rsidRPr="00EE3634">
              <w:rPr>
                <w:rFonts w:ascii="Arial" w:hAnsi="Arial" w:cs="Arial"/>
              </w:rPr>
              <w:br w:type="page"/>
            </w:r>
            <w:r w:rsidRPr="00EE3634">
              <w:rPr>
                <w:rFonts w:ascii="Arial" w:hAnsi="Arial" w:cs="Arial"/>
                <w:b/>
                <w:lang w:val="tr-TR"/>
              </w:rPr>
              <w:t>Toplam</w:t>
            </w:r>
          </w:p>
        </w:tc>
        <w:tc>
          <w:tcPr>
            <w:tcW w:w="1890" w:type="dxa"/>
            <w:tcBorders>
              <w:top w:val="single" w:sz="8" w:space="0" w:color="auto"/>
              <w:bottom w:val="double" w:sz="4" w:space="0" w:color="auto"/>
            </w:tcBorders>
            <w:vAlign w:val="bottom"/>
          </w:tcPr>
          <w:p w:rsidR="00D322FB" w:rsidRPr="00EE3634" w:rsidRDefault="004910CF" w:rsidP="00EE3634">
            <w:pPr>
              <w:jc w:val="right"/>
              <w:rPr>
                <w:rFonts w:ascii="Arial" w:hAnsi="Arial" w:cs="Arial"/>
                <w:b/>
                <w:bCs/>
                <w:color w:val="000000"/>
              </w:rPr>
            </w:pPr>
            <w:r>
              <w:rPr>
                <w:rFonts w:ascii="Arial" w:hAnsi="Arial" w:cs="Arial"/>
                <w:b/>
                <w:bCs/>
                <w:color w:val="000000"/>
              </w:rPr>
              <w:t>55.092</w:t>
            </w:r>
          </w:p>
        </w:tc>
        <w:tc>
          <w:tcPr>
            <w:tcW w:w="1890" w:type="dxa"/>
            <w:tcBorders>
              <w:top w:val="single" w:sz="8" w:space="0" w:color="auto"/>
              <w:bottom w:val="double" w:sz="4" w:space="0" w:color="auto"/>
            </w:tcBorders>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 xml:space="preserve">             33.493 </w:t>
            </w:r>
          </w:p>
        </w:tc>
      </w:tr>
    </w:tbl>
    <w:p w:rsidR="00D322FB" w:rsidRPr="00727376" w:rsidRDefault="00D322FB">
      <w:pPr>
        <w:rPr>
          <w:rFonts w:ascii="Arial" w:hAnsi="Arial" w:cs="Arial"/>
          <w:b/>
          <w:bCs/>
          <w:noProof/>
          <w:highlight w:val="yellow"/>
          <w:lang w:val="tr-TR"/>
        </w:rPr>
      </w:pPr>
    </w:p>
    <w:p w:rsidR="00D322FB" w:rsidRPr="004B64DD" w:rsidRDefault="00D322FB" w:rsidP="005C3EEB">
      <w:pPr>
        <w:pStyle w:val="body0"/>
        <w:tabs>
          <w:tab w:val="left" w:pos="567"/>
        </w:tabs>
        <w:spacing w:after="0" w:line="240" w:lineRule="auto"/>
        <w:outlineLvl w:val="0"/>
        <w:rPr>
          <w:rFonts w:ascii="Arial" w:hAnsi="Arial" w:cs="Arial"/>
          <w:b/>
          <w:bCs/>
          <w:noProof/>
          <w:sz w:val="20"/>
          <w:szCs w:val="20"/>
          <w:lang w:val="tr-TR"/>
        </w:rPr>
      </w:pPr>
      <w:r w:rsidRPr="004B64DD">
        <w:rPr>
          <w:rFonts w:ascii="Arial" w:hAnsi="Arial" w:cs="Arial"/>
          <w:b/>
          <w:bCs/>
          <w:noProof/>
          <w:sz w:val="20"/>
          <w:szCs w:val="20"/>
          <w:lang w:val="tr-TR"/>
        </w:rPr>
        <w:t>7.</w:t>
      </w:r>
      <w:r w:rsidRPr="004B64DD">
        <w:rPr>
          <w:rFonts w:ascii="Arial" w:hAnsi="Arial" w:cs="Arial"/>
          <w:b/>
          <w:bCs/>
          <w:noProof/>
          <w:sz w:val="20"/>
          <w:szCs w:val="20"/>
          <w:lang w:val="tr-TR"/>
        </w:rPr>
        <w:tab/>
        <w:t>Peşin ödenmiş giderler</w:t>
      </w:r>
    </w:p>
    <w:p w:rsidR="00D322FB" w:rsidRDefault="00D322FB" w:rsidP="00AB1D41">
      <w:pPr>
        <w:pStyle w:val="body0"/>
        <w:spacing w:after="0" w:line="240" w:lineRule="auto"/>
        <w:rPr>
          <w:rFonts w:ascii="Arial" w:hAnsi="Arial" w:cs="Arial"/>
          <w:b/>
          <w:bCs/>
          <w:noProof/>
          <w:sz w:val="20"/>
          <w:szCs w:val="20"/>
          <w:highlight w:val="yellow"/>
          <w:lang w:val="tr-TR"/>
        </w:rPr>
      </w:pPr>
    </w:p>
    <w:p w:rsidR="00D322FB" w:rsidRDefault="00D322FB" w:rsidP="00365ADF">
      <w:pPr>
        <w:autoSpaceDE w:val="0"/>
        <w:autoSpaceDN w:val="0"/>
        <w:adjustRightInd w:val="0"/>
        <w:spacing w:line="230" w:lineRule="auto"/>
        <w:rPr>
          <w:rFonts w:ascii="Arial" w:hAnsi="Arial" w:cs="Arial"/>
          <w:b/>
          <w:spacing w:val="-2"/>
          <w:highlight w:val="yellow"/>
          <w:lang w:val="tr-TR"/>
        </w:rPr>
      </w:pPr>
      <w:r w:rsidRPr="00DD4BD5">
        <w:rPr>
          <w:rFonts w:ascii="Arial" w:hAnsi="Arial" w:cs="Arial"/>
          <w:lang w:val="tr-TR"/>
        </w:rPr>
        <w:t xml:space="preserve">Şirket’in </w:t>
      </w:r>
      <w:r>
        <w:rPr>
          <w:rFonts w:ascii="Arial" w:hAnsi="Arial" w:cs="Arial"/>
          <w:lang w:val="tr-TR"/>
        </w:rPr>
        <w:t>peşin ödenmiş giderlerinin</w:t>
      </w:r>
      <w:r w:rsidRPr="00DD4BD5">
        <w:rPr>
          <w:rFonts w:ascii="Arial" w:hAnsi="Arial" w:cs="Arial"/>
          <w:lang w:val="tr-TR"/>
        </w:rPr>
        <w:t xml:space="preserve"> detayları </w:t>
      </w:r>
      <w:r w:rsidR="006F2183">
        <w:rPr>
          <w:rFonts w:ascii="Arial" w:hAnsi="Arial" w:cs="Arial"/>
          <w:lang w:val="tr-TR"/>
        </w:rPr>
        <w:t>31 Mart</w:t>
      </w:r>
      <w:r w:rsidR="006F2183" w:rsidRPr="00776A7A">
        <w:rPr>
          <w:rFonts w:ascii="Arial" w:hAnsi="Arial" w:cs="Arial"/>
          <w:lang w:val="tr-TR"/>
        </w:rPr>
        <w:t xml:space="preserve"> 201</w:t>
      </w:r>
      <w:r w:rsidR="006F2183">
        <w:rPr>
          <w:rFonts w:ascii="Arial" w:hAnsi="Arial" w:cs="Arial"/>
          <w:lang w:val="tr-TR"/>
        </w:rPr>
        <w:t>5 ve 31 Aralık 2014</w:t>
      </w:r>
      <w:r w:rsidR="006F2183" w:rsidRPr="00776A7A">
        <w:rPr>
          <w:rFonts w:ascii="Arial" w:hAnsi="Arial" w:cs="Arial"/>
          <w:lang w:val="tr-TR"/>
        </w:rPr>
        <w:t xml:space="preserve">  </w:t>
      </w:r>
      <w:r>
        <w:rPr>
          <w:rFonts w:ascii="Arial" w:hAnsi="Arial" w:cs="Arial"/>
          <w:lang w:val="tr-TR"/>
        </w:rPr>
        <w:t xml:space="preserve"> tarihleri itibariyle </w:t>
      </w:r>
      <w:r w:rsidRPr="00DD4BD5">
        <w:rPr>
          <w:rFonts w:ascii="Arial" w:hAnsi="Arial" w:cs="Arial"/>
          <w:lang w:val="tr-TR"/>
        </w:rPr>
        <w:t>itibari ile aşağıdaki tablodaki gibidir:</w:t>
      </w:r>
    </w:p>
    <w:p w:rsidR="00D322FB" w:rsidRPr="00727376" w:rsidRDefault="00D322FB" w:rsidP="00AB1D41">
      <w:pPr>
        <w:pStyle w:val="body0"/>
        <w:spacing w:after="0" w:line="240" w:lineRule="auto"/>
        <w:rPr>
          <w:rFonts w:ascii="Arial" w:hAnsi="Arial" w:cs="Arial"/>
          <w:b/>
          <w:bCs/>
          <w:noProof/>
          <w:sz w:val="20"/>
          <w:szCs w:val="20"/>
          <w:highlight w:val="yellow"/>
          <w:lang w:val="tr-TR"/>
        </w:rPr>
      </w:pPr>
    </w:p>
    <w:tbl>
      <w:tblPr>
        <w:tblW w:w="9450" w:type="dxa"/>
        <w:tblInd w:w="108" w:type="dxa"/>
        <w:tblLayout w:type="fixed"/>
        <w:tblLook w:val="01E0" w:firstRow="1" w:lastRow="1" w:firstColumn="1" w:lastColumn="1" w:noHBand="0" w:noVBand="0"/>
      </w:tblPr>
      <w:tblGrid>
        <w:gridCol w:w="5670"/>
        <w:gridCol w:w="1890"/>
        <w:gridCol w:w="1890"/>
      </w:tblGrid>
      <w:tr w:rsidR="00D322FB" w:rsidRPr="00727376" w:rsidTr="00A92AA8">
        <w:tc>
          <w:tcPr>
            <w:tcW w:w="5670" w:type="dxa"/>
            <w:tcBorders>
              <w:top w:val="single" w:sz="4" w:space="0" w:color="auto"/>
              <w:bottom w:val="single" w:sz="4" w:space="0" w:color="auto"/>
            </w:tcBorders>
          </w:tcPr>
          <w:p w:rsidR="00D322FB" w:rsidRPr="00727376" w:rsidRDefault="00D322FB" w:rsidP="00987ED0">
            <w:pPr>
              <w:autoSpaceDE w:val="0"/>
              <w:autoSpaceDN w:val="0"/>
              <w:adjustRightInd w:val="0"/>
              <w:ind w:left="-108"/>
              <w:jc w:val="both"/>
              <w:rPr>
                <w:rFonts w:ascii="Arial" w:hAnsi="Arial" w:cs="Arial"/>
                <w:highlight w:val="yellow"/>
                <w:lang w:val="tr-TR"/>
              </w:rPr>
            </w:pPr>
          </w:p>
        </w:tc>
        <w:tc>
          <w:tcPr>
            <w:tcW w:w="1890" w:type="dxa"/>
            <w:tcBorders>
              <w:top w:val="single" w:sz="4" w:space="0" w:color="auto"/>
              <w:bottom w:val="single" w:sz="4" w:space="0" w:color="auto"/>
            </w:tcBorders>
            <w:vAlign w:val="bottom"/>
          </w:tcPr>
          <w:p w:rsidR="00D322FB" w:rsidRPr="00134CE3" w:rsidRDefault="00D322FB" w:rsidP="00DD5697">
            <w:pPr>
              <w:autoSpaceDE w:val="0"/>
              <w:autoSpaceDN w:val="0"/>
              <w:adjustRightInd w:val="0"/>
              <w:jc w:val="right"/>
              <w:rPr>
                <w:rFonts w:ascii="Arial" w:hAnsi="Arial" w:cs="Arial"/>
                <w:b/>
                <w:lang w:val="tr-TR"/>
              </w:rPr>
            </w:pPr>
            <w:r w:rsidRPr="00134CE3">
              <w:rPr>
                <w:rFonts w:ascii="Arial" w:hAnsi="Arial" w:cs="Arial"/>
                <w:b/>
                <w:lang w:val="tr-TR"/>
              </w:rPr>
              <w:t xml:space="preserve">31 </w:t>
            </w:r>
            <w:r>
              <w:rPr>
                <w:rFonts w:ascii="Arial" w:hAnsi="Arial" w:cs="Arial"/>
                <w:b/>
                <w:lang w:val="tr-TR"/>
              </w:rPr>
              <w:t>Mart</w:t>
            </w:r>
            <w:r w:rsidRPr="00134CE3">
              <w:rPr>
                <w:rFonts w:ascii="Arial" w:hAnsi="Arial" w:cs="Arial"/>
                <w:b/>
                <w:lang w:val="tr-TR"/>
              </w:rPr>
              <w:t xml:space="preserve"> 201</w:t>
            </w:r>
            <w:r>
              <w:rPr>
                <w:rFonts w:ascii="Arial" w:hAnsi="Arial" w:cs="Arial"/>
                <w:b/>
                <w:lang w:val="tr-TR"/>
              </w:rPr>
              <w:t>5</w:t>
            </w:r>
          </w:p>
        </w:tc>
        <w:tc>
          <w:tcPr>
            <w:tcW w:w="1890" w:type="dxa"/>
            <w:tcBorders>
              <w:top w:val="single" w:sz="4" w:space="0" w:color="auto"/>
              <w:bottom w:val="single" w:sz="4" w:space="0" w:color="auto"/>
            </w:tcBorders>
            <w:vAlign w:val="bottom"/>
          </w:tcPr>
          <w:p w:rsidR="00D322FB" w:rsidRPr="0009383C" w:rsidRDefault="00D322FB" w:rsidP="00DE18BD">
            <w:pPr>
              <w:autoSpaceDE w:val="0"/>
              <w:autoSpaceDN w:val="0"/>
              <w:adjustRightInd w:val="0"/>
              <w:jc w:val="right"/>
              <w:rPr>
                <w:rFonts w:ascii="Arial" w:hAnsi="Arial" w:cs="Arial"/>
                <w:lang w:val="tr-TR"/>
              </w:rPr>
            </w:pPr>
            <w:r w:rsidRPr="0009383C">
              <w:rPr>
                <w:rFonts w:ascii="Arial" w:hAnsi="Arial" w:cs="Arial"/>
                <w:lang w:val="tr-TR"/>
              </w:rPr>
              <w:t>31 Aralık 2014</w:t>
            </w:r>
          </w:p>
        </w:tc>
      </w:tr>
      <w:tr w:rsidR="00D322FB" w:rsidRPr="00727376" w:rsidTr="00A92AA8">
        <w:tc>
          <w:tcPr>
            <w:tcW w:w="5670" w:type="dxa"/>
            <w:tcBorders>
              <w:top w:val="single" w:sz="4" w:space="0" w:color="auto"/>
            </w:tcBorders>
          </w:tcPr>
          <w:p w:rsidR="00D322FB" w:rsidRPr="001F2099" w:rsidRDefault="00D322FB" w:rsidP="00AE0484">
            <w:pPr>
              <w:autoSpaceDE w:val="0"/>
              <w:autoSpaceDN w:val="0"/>
              <w:adjustRightInd w:val="0"/>
              <w:ind w:left="-108"/>
              <w:jc w:val="both"/>
              <w:rPr>
                <w:rFonts w:ascii="Arial" w:hAnsi="Arial" w:cs="Arial"/>
                <w:lang w:val="tr-TR"/>
              </w:rPr>
            </w:pPr>
          </w:p>
        </w:tc>
        <w:tc>
          <w:tcPr>
            <w:tcW w:w="1890" w:type="dxa"/>
            <w:tcBorders>
              <w:top w:val="single" w:sz="4" w:space="0" w:color="auto"/>
            </w:tcBorders>
            <w:vAlign w:val="center"/>
          </w:tcPr>
          <w:p w:rsidR="00D322FB" w:rsidRPr="00134CE3" w:rsidRDefault="00D322FB" w:rsidP="001A2951">
            <w:pPr>
              <w:autoSpaceDE w:val="0"/>
              <w:autoSpaceDN w:val="0"/>
              <w:adjustRightInd w:val="0"/>
              <w:jc w:val="right"/>
              <w:rPr>
                <w:rFonts w:ascii="Arial" w:hAnsi="Arial" w:cs="Arial"/>
                <w:b/>
                <w:lang w:val="tr-TR"/>
              </w:rPr>
            </w:pPr>
          </w:p>
        </w:tc>
        <w:tc>
          <w:tcPr>
            <w:tcW w:w="1890" w:type="dxa"/>
            <w:tcBorders>
              <w:top w:val="single" w:sz="4" w:space="0" w:color="auto"/>
            </w:tcBorders>
            <w:vAlign w:val="center"/>
          </w:tcPr>
          <w:p w:rsidR="00D322FB" w:rsidRPr="0009383C" w:rsidRDefault="00D322FB" w:rsidP="00DE18BD">
            <w:pPr>
              <w:autoSpaceDE w:val="0"/>
              <w:autoSpaceDN w:val="0"/>
              <w:adjustRightInd w:val="0"/>
              <w:jc w:val="right"/>
              <w:rPr>
                <w:rFonts w:ascii="Arial" w:hAnsi="Arial" w:cs="Arial"/>
                <w:lang w:val="tr-TR"/>
              </w:rPr>
            </w:pPr>
          </w:p>
        </w:tc>
      </w:tr>
      <w:tr w:rsidR="00D322FB" w:rsidRPr="00727376" w:rsidTr="00A92AA8">
        <w:tc>
          <w:tcPr>
            <w:tcW w:w="5670" w:type="dxa"/>
          </w:tcPr>
          <w:p w:rsidR="00D322FB" w:rsidRPr="001F2099" w:rsidRDefault="00D322FB" w:rsidP="00AE0484">
            <w:pPr>
              <w:autoSpaceDE w:val="0"/>
              <w:autoSpaceDN w:val="0"/>
              <w:adjustRightInd w:val="0"/>
              <w:ind w:left="-108"/>
              <w:jc w:val="both"/>
              <w:rPr>
                <w:rFonts w:ascii="Arial" w:hAnsi="Arial" w:cs="Arial"/>
                <w:lang w:val="tr-TR"/>
              </w:rPr>
            </w:pPr>
            <w:r w:rsidRPr="001F2099">
              <w:rPr>
                <w:rFonts w:ascii="Arial" w:hAnsi="Arial" w:cs="Arial"/>
                <w:lang w:val="tr-TR"/>
              </w:rPr>
              <w:t>Gelecek aylara ait giderler(*)</w:t>
            </w:r>
          </w:p>
        </w:tc>
        <w:tc>
          <w:tcPr>
            <w:tcW w:w="1890" w:type="dxa"/>
            <w:vAlign w:val="bottom"/>
          </w:tcPr>
          <w:p w:rsidR="00D322FB" w:rsidRPr="00134CE3" w:rsidRDefault="004B7752">
            <w:pPr>
              <w:jc w:val="right"/>
              <w:rPr>
                <w:rFonts w:ascii="Arial" w:hAnsi="Arial" w:cs="Arial"/>
                <w:b/>
                <w:bCs/>
                <w:color w:val="000000"/>
              </w:rPr>
            </w:pPr>
            <w:r>
              <w:rPr>
                <w:rFonts w:ascii="Arial" w:hAnsi="Arial" w:cs="Arial"/>
                <w:b/>
                <w:bCs/>
                <w:color w:val="000000"/>
              </w:rPr>
              <w:t>60.969</w:t>
            </w:r>
          </w:p>
        </w:tc>
        <w:tc>
          <w:tcPr>
            <w:tcW w:w="1890" w:type="dxa"/>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27.162</w:t>
            </w:r>
          </w:p>
        </w:tc>
      </w:tr>
      <w:tr w:rsidR="00D322FB" w:rsidRPr="00727376" w:rsidTr="00A92AA8">
        <w:tc>
          <w:tcPr>
            <w:tcW w:w="5670" w:type="dxa"/>
            <w:tcBorders>
              <w:bottom w:val="single" w:sz="8" w:space="0" w:color="auto"/>
            </w:tcBorders>
          </w:tcPr>
          <w:p w:rsidR="00D322FB" w:rsidRPr="001F2099" w:rsidRDefault="00D322FB" w:rsidP="00AE0484">
            <w:pPr>
              <w:autoSpaceDE w:val="0"/>
              <w:autoSpaceDN w:val="0"/>
              <w:adjustRightInd w:val="0"/>
              <w:ind w:left="-108"/>
              <w:jc w:val="both"/>
              <w:rPr>
                <w:rFonts w:ascii="Arial" w:hAnsi="Arial" w:cs="Arial"/>
                <w:lang w:val="tr-TR"/>
              </w:rPr>
            </w:pPr>
          </w:p>
        </w:tc>
        <w:tc>
          <w:tcPr>
            <w:tcW w:w="1890" w:type="dxa"/>
            <w:tcBorders>
              <w:bottom w:val="single" w:sz="8" w:space="0" w:color="auto"/>
            </w:tcBorders>
            <w:vAlign w:val="bottom"/>
          </w:tcPr>
          <w:p w:rsidR="00D322FB" w:rsidRPr="00134CE3" w:rsidRDefault="00D322FB">
            <w:pPr>
              <w:jc w:val="right"/>
              <w:rPr>
                <w:rFonts w:ascii="Arial" w:hAnsi="Arial" w:cs="Arial"/>
                <w:b/>
                <w:bCs/>
                <w:color w:val="000000"/>
              </w:rPr>
            </w:pPr>
            <w:r w:rsidRPr="00134CE3">
              <w:rPr>
                <w:rFonts w:ascii="Arial" w:hAnsi="Arial" w:cs="Arial"/>
                <w:b/>
                <w:bCs/>
                <w:color w:val="000000"/>
              </w:rPr>
              <w:t> </w:t>
            </w:r>
          </w:p>
        </w:tc>
        <w:tc>
          <w:tcPr>
            <w:tcW w:w="1890" w:type="dxa"/>
            <w:tcBorders>
              <w:bottom w:val="single" w:sz="8" w:space="0" w:color="auto"/>
            </w:tcBorders>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 </w:t>
            </w:r>
          </w:p>
        </w:tc>
      </w:tr>
      <w:tr w:rsidR="00D322FB" w:rsidRPr="00727376" w:rsidTr="00A92AA8">
        <w:tc>
          <w:tcPr>
            <w:tcW w:w="5670" w:type="dxa"/>
            <w:tcBorders>
              <w:top w:val="single" w:sz="8" w:space="0" w:color="auto"/>
              <w:bottom w:val="double" w:sz="4" w:space="0" w:color="auto"/>
            </w:tcBorders>
          </w:tcPr>
          <w:p w:rsidR="00D322FB" w:rsidRPr="001F2099" w:rsidRDefault="00D322FB" w:rsidP="00AE0484">
            <w:pPr>
              <w:autoSpaceDE w:val="0"/>
              <w:autoSpaceDN w:val="0"/>
              <w:adjustRightInd w:val="0"/>
              <w:jc w:val="both"/>
              <w:rPr>
                <w:rFonts w:ascii="Arial" w:hAnsi="Arial" w:cs="Arial"/>
                <w:lang w:val="tr-TR"/>
              </w:rPr>
            </w:pPr>
            <w:r w:rsidRPr="001F2099">
              <w:rPr>
                <w:rFonts w:ascii="Arial" w:hAnsi="Arial" w:cs="Arial"/>
                <w:b/>
                <w:lang w:val="tr-TR"/>
              </w:rPr>
              <w:t>Toplam</w:t>
            </w:r>
          </w:p>
        </w:tc>
        <w:tc>
          <w:tcPr>
            <w:tcW w:w="1890" w:type="dxa"/>
            <w:tcBorders>
              <w:top w:val="single" w:sz="8" w:space="0" w:color="auto"/>
              <w:bottom w:val="double" w:sz="4" w:space="0" w:color="auto"/>
            </w:tcBorders>
            <w:vAlign w:val="bottom"/>
          </w:tcPr>
          <w:p w:rsidR="00D322FB" w:rsidRPr="00134CE3" w:rsidRDefault="004B7752">
            <w:pPr>
              <w:jc w:val="right"/>
              <w:rPr>
                <w:rFonts w:ascii="Arial" w:hAnsi="Arial" w:cs="Arial"/>
                <w:b/>
                <w:bCs/>
                <w:color w:val="000000"/>
              </w:rPr>
            </w:pPr>
            <w:r>
              <w:rPr>
                <w:rFonts w:ascii="Arial" w:hAnsi="Arial" w:cs="Arial"/>
                <w:b/>
                <w:bCs/>
                <w:color w:val="000000"/>
              </w:rPr>
              <w:t>60.969</w:t>
            </w:r>
          </w:p>
        </w:tc>
        <w:tc>
          <w:tcPr>
            <w:tcW w:w="1890" w:type="dxa"/>
            <w:tcBorders>
              <w:top w:val="single" w:sz="8" w:space="0" w:color="auto"/>
              <w:bottom w:val="double" w:sz="4" w:space="0" w:color="auto"/>
            </w:tcBorders>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27.162</w:t>
            </w:r>
          </w:p>
        </w:tc>
      </w:tr>
    </w:tbl>
    <w:p w:rsidR="00D322FB" w:rsidRPr="00EE522A" w:rsidRDefault="00D322FB" w:rsidP="00AE0484">
      <w:pPr>
        <w:pStyle w:val="body0"/>
        <w:spacing w:after="0" w:line="240" w:lineRule="auto"/>
        <w:rPr>
          <w:rFonts w:ascii="Arial" w:hAnsi="Arial" w:cs="Arial"/>
          <w:b/>
          <w:bCs/>
          <w:noProof/>
          <w:sz w:val="20"/>
          <w:szCs w:val="20"/>
          <w:lang w:val="tr-TR"/>
        </w:rPr>
      </w:pPr>
    </w:p>
    <w:p w:rsidR="00D322FB" w:rsidRPr="00EE522A" w:rsidRDefault="00D322FB" w:rsidP="003C359E">
      <w:pPr>
        <w:pStyle w:val="body0"/>
        <w:tabs>
          <w:tab w:val="left" w:pos="567"/>
        </w:tabs>
        <w:spacing w:after="0" w:line="240" w:lineRule="auto"/>
        <w:ind w:left="567" w:hanging="567"/>
        <w:jc w:val="left"/>
        <w:rPr>
          <w:rFonts w:ascii="Arial" w:hAnsi="Arial" w:cs="Arial"/>
          <w:bCs/>
          <w:noProof/>
          <w:sz w:val="20"/>
          <w:szCs w:val="20"/>
          <w:lang w:val="tr-TR"/>
        </w:rPr>
      </w:pPr>
      <w:r w:rsidRPr="00EE522A">
        <w:rPr>
          <w:rFonts w:ascii="Arial" w:hAnsi="Arial" w:cs="Arial"/>
          <w:bCs/>
          <w:noProof/>
          <w:sz w:val="20"/>
          <w:szCs w:val="20"/>
          <w:lang w:val="tr-TR"/>
        </w:rPr>
        <w:t xml:space="preserve">(*) </w:t>
      </w:r>
      <w:r w:rsidRPr="00EE522A">
        <w:rPr>
          <w:rFonts w:ascii="Arial" w:hAnsi="Arial" w:cs="Arial"/>
          <w:bCs/>
          <w:noProof/>
          <w:sz w:val="20"/>
          <w:szCs w:val="20"/>
          <w:lang w:val="tr-TR"/>
        </w:rPr>
        <w:tab/>
      </w:r>
      <w:r w:rsidR="006F2183">
        <w:rPr>
          <w:rFonts w:ascii="Arial" w:hAnsi="Arial" w:cs="Arial"/>
          <w:sz w:val="20"/>
          <w:szCs w:val="20"/>
          <w:lang w:val="tr-TR"/>
        </w:rPr>
        <w:t>31 Mart</w:t>
      </w:r>
      <w:r w:rsidR="006F2183" w:rsidRPr="00776A7A">
        <w:rPr>
          <w:rFonts w:ascii="Arial" w:hAnsi="Arial" w:cs="Arial"/>
          <w:sz w:val="20"/>
          <w:szCs w:val="20"/>
          <w:lang w:val="tr-TR"/>
        </w:rPr>
        <w:t xml:space="preserve"> 201</w:t>
      </w:r>
      <w:r w:rsidR="006F2183">
        <w:rPr>
          <w:rFonts w:ascii="Arial" w:hAnsi="Arial" w:cs="Arial"/>
          <w:sz w:val="20"/>
          <w:szCs w:val="20"/>
          <w:lang w:val="tr-TR"/>
        </w:rPr>
        <w:t>5 ve 31 Aralık 2014</w:t>
      </w:r>
      <w:r w:rsidR="006F2183" w:rsidRPr="00776A7A">
        <w:rPr>
          <w:rFonts w:ascii="Arial" w:hAnsi="Arial" w:cs="Arial"/>
          <w:sz w:val="20"/>
          <w:szCs w:val="20"/>
          <w:lang w:val="tr-TR"/>
        </w:rPr>
        <w:t xml:space="preserve"> </w:t>
      </w:r>
      <w:r w:rsidRPr="00EE522A">
        <w:rPr>
          <w:rFonts w:ascii="Arial" w:hAnsi="Arial" w:cs="Arial"/>
          <w:sz w:val="20"/>
          <w:szCs w:val="20"/>
          <w:lang w:val="tr-TR"/>
        </w:rPr>
        <w:t>tarihleri itibariyle gelecek aylara ait giderler tutarı</w:t>
      </w:r>
      <w:r>
        <w:rPr>
          <w:rFonts w:ascii="Arial" w:hAnsi="Arial" w:cs="Arial"/>
          <w:sz w:val="20"/>
          <w:szCs w:val="20"/>
          <w:lang w:val="tr-TR"/>
        </w:rPr>
        <w:t xml:space="preserve"> peşin ödenen sigorta giderleri ve bilgi işlem giderleri tu</w:t>
      </w:r>
      <w:r w:rsidRPr="00EE522A">
        <w:rPr>
          <w:rFonts w:ascii="Arial" w:hAnsi="Arial" w:cs="Arial"/>
          <w:sz w:val="20"/>
          <w:szCs w:val="20"/>
          <w:lang w:val="tr-TR"/>
        </w:rPr>
        <w:t>tarlarından oluşmaktadır.</w:t>
      </w:r>
    </w:p>
    <w:p w:rsidR="00D322FB" w:rsidRPr="000A1E6A" w:rsidRDefault="00D322FB" w:rsidP="00AA0364">
      <w:pPr>
        <w:pStyle w:val="body0"/>
        <w:tabs>
          <w:tab w:val="left" w:pos="567"/>
        </w:tabs>
        <w:spacing w:after="0" w:line="240" w:lineRule="auto"/>
        <w:rPr>
          <w:rFonts w:ascii="Arial" w:hAnsi="Arial" w:cs="Arial"/>
          <w:b/>
          <w:bCs/>
          <w:noProof/>
          <w:sz w:val="20"/>
          <w:szCs w:val="20"/>
          <w:lang w:val="tr-TR"/>
        </w:rPr>
      </w:pPr>
    </w:p>
    <w:p w:rsidR="00D322FB" w:rsidRPr="000A1E6A" w:rsidRDefault="00D322FB" w:rsidP="005C3EEB">
      <w:pPr>
        <w:pStyle w:val="body0"/>
        <w:tabs>
          <w:tab w:val="left" w:pos="567"/>
        </w:tabs>
        <w:spacing w:after="0" w:line="240" w:lineRule="auto"/>
        <w:outlineLvl w:val="0"/>
        <w:rPr>
          <w:rFonts w:ascii="Arial" w:hAnsi="Arial" w:cs="Arial"/>
          <w:b/>
          <w:bCs/>
          <w:noProof/>
          <w:sz w:val="20"/>
          <w:szCs w:val="20"/>
          <w:lang w:val="tr-TR"/>
        </w:rPr>
      </w:pPr>
      <w:r w:rsidRPr="000A1E6A">
        <w:rPr>
          <w:rFonts w:ascii="Arial" w:hAnsi="Arial" w:cs="Arial"/>
          <w:b/>
          <w:bCs/>
          <w:noProof/>
          <w:sz w:val="20"/>
          <w:szCs w:val="20"/>
          <w:lang w:val="tr-TR"/>
        </w:rPr>
        <w:t>8.</w:t>
      </w:r>
      <w:r w:rsidRPr="000A1E6A">
        <w:rPr>
          <w:rFonts w:ascii="Arial" w:hAnsi="Arial" w:cs="Arial"/>
          <w:b/>
          <w:bCs/>
          <w:noProof/>
          <w:sz w:val="20"/>
          <w:szCs w:val="20"/>
          <w:lang w:val="tr-TR"/>
        </w:rPr>
        <w:tab/>
        <w:t>Cari dönem vergisiyle ilgili alacaklar</w:t>
      </w:r>
    </w:p>
    <w:p w:rsidR="00D322FB" w:rsidRDefault="00D322FB" w:rsidP="00AA0364">
      <w:pPr>
        <w:pStyle w:val="body0"/>
        <w:tabs>
          <w:tab w:val="left" w:pos="567"/>
        </w:tabs>
        <w:spacing w:after="0" w:line="240" w:lineRule="auto"/>
        <w:rPr>
          <w:rFonts w:ascii="Arial" w:hAnsi="Arial" w:cs="Arial"/>
          <w:b/>
          <w:bCs/>
          <w:noProof/>
          <w:sz w:val="20"/>
          <w:szCs w:val="20"/>
          <w:lang w:val="tr-TR"/>
        </w:rPr>
      </w:pPr>
    </w:p>
    <w:p w:rsidR="00D322FB" w:rsidRPr="00A041C4" w:rsidRDefault="006F2183" w:rsidP="000A1E6A">
      <w:pPr>
        <w:spacing w:line="230" w:lineRule="auto"/>
        <w:ind w:right="-1"/>
        <w:rPr>
          <w:rFonts w:ascii="Arial" w:hAnsi="Arial" w:cs="Arial"/>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sidR="00D322FB" w:rsidRPr="00A041C4">
        <w:rPr>
          <w:rFonts w:ascii="Arial" w:hAnsi="Arial" w:cs="Arial"/>
          <w:lang w:val="tr-TR"/>
        </w:rPr>
        <w:t xml:space="preserve"> tarihleri </w:t>
      </w:r>
      <w:r w:rsidR="00D322FB">
        <w:rPr>
          <w:rFonts w:ascii="Arial" w:hAnsi="Arial" w:cs="Arial"/>
          <w:lang w:val="tr-TR"/>
        </w:rPr>
        <w:t>itibariyle</w:t>
      </w:r>
      <w:r w:rsidR="00D322FB" w:rsidRPr="00A041C4">
        <w:rPr>
          <w:rFonts w:ascii="Arial" w:hAnsi="Arial" w:cs="Arial"/>
          <w:lang w:val="tr-TR"/>
        </w:rPr>
        <w:t xml:space="preserve"> </w:t>
      </w:r>
      <w:r w:rsidR="00D322FB">
        <w:rPr>
          <w:rFonts w:ascii="Arial" w:hAnsi="Arial" w:cs="Arial"/>
          <w:lang w:val="tr-TR"/>
        </w:rPr>
        <w:t>Ş</w:t>
      </w:r>
      <w:r w:rsidR="00D322FB" w:rsidRPr="00A041C4">
        <w:rPr>
          <w:rFonts w:ascii="Arial" w:hAnsi="Arial" w:cs="Arial"/>
          <w:lang w:val="tr-TR"/>
        </w:rPr>
        <w:t>irket</w:t>
      </w:r>
      <w:r w:rsidR="00D322FB">
        <w:rPr>
          <w:rFonts w:ascii="Arial" w:hAnsi="Arial" w:cs="Arial"/>
          <w:lang w:val="tr-TR"/>
        </w:rPr>
        <w:t>’</w:t>
      </w:r>
      <w:r w:rsidR="00D322FB" w:rsidRPr="00A041C4">
        <w:rPr>
          <w:rFonts w:ascii="Arial" w:hAnsi="Arial" w:cs="Arial"/>
          <w:lang w:val="tr-TR"/>
        </w:rPr>
        <w:t xml:space="preserve">in </w:t>
      </w:r>
      <w:r w:rsidR="00D322FB">
        <w:rPr>
          <w:rFonts w:ascii="Arial" w:hAnsi="Arial" w:cs="Arial"/>
          <w:lang w:val="tr-TR"/>
        </w:rPr>
        <w:t>c</w:t>
      </w:r>
      <w:r w:rsidR="00D322FB" w:rsidRPr="000A1E6A">
        <w:rPr>
          <w:rFonts w:ascii="Arial" w:hAnsi="Arial" w:cs="Arial"/>
          <w:lang w:val="tr-TR"/>
        </w:rPr>
        <w:t xml:space="preserve">ari dönem vergisiyle ilgili </w:t>
      </w:r>
      <w:r w:rsidR="00D322FB">
        <w:rPr>
          <w:rFonts w:ascii="Arial" w:hAnsi="Arial" w:cs="Arial"/>
          <w:lang w:val="tr-TR"/>
        </w:rPr>
        <w:t xml:space="preserve">alacaklarının detayı </w:t>
      </w:r>
      <w:r w:rsidR="00D322FB" w:rsidRPr="00A041C4">
        <w:rPr>
          <w:rFonts w:ascii="Arial" w:hAnsi="Arial" w:cs="Arial"/>
          <w:lang w:val="tr-TR"/>
        </w:rPr>
        <w:t>aşağıdaki gibidir:</w:t>
      </w:r>
    </w:p>
    <w:p w:rsidR="00D322FB" w:rsidRPr="000A1E6A" w:rsidRDefault="00D322FB" w:rsidP="00AA0364">
      <w:pPr>
        <w:pStyle w:val="body0"/>
        <w:tabs>
          <w:tab w:val="left" w:pos="567"/>
        </w:tabs>
        <w:spacing w:after="0" w:line="240" w:lineRule="auto"/>
        <w:rPr>
          <w:rFonts w:ascii="Arial" w:hAnsi="Arial" w:cs="Arial"/>
          <w:b/>
          <w:bCs/>
          <w:noProof/>
          <w:sz w:val="20"/>
          <w:szCs w:val="20"/>
          <w:lang w:val="tr-TR"/>
        </w:rPr>
      </w:pPr>
    </w:p>
    <w:tbl>
      <w:tblPr>
        <w:tblW w:w="9450" w:type="dxa"/>
        <w:tblInd w:w="108" w:type="dxa"/>
        <w:tblLayout w:type="fixed"/>
        <w:tblLook w:val="01E0" w:firstRow="1" w:lastRow="1" w:firstColumn="1" w:lastColumn="1" w:noHBand="0" w:noVBand="0"/>
      </w:tblPr>
      <w:tblGrid>
        <w:gridCol w:w="5670"/>
        <w:gridCol w:w="1890"/>
        <w:gridCol w:w="1890"/>
      </w:tblGrid>
      <w:tr w:rsidR="00D322FB" w:rsidRPr="000A1E6A" w:rsidTr="00BC0F5C">
        <w:tc>
          <w:tcPr>
            <w:tcW w:w="5670" w:type="dxa"/>
            <w:tcBorders>
              <w:top w:val="single" w:sz="4" w:space="0" w:color="auto"/>
              <w:bottom w:val="single" w:sz="4" w:space="0" w:color="auto"/>
            </w:tcBorders>
          </w:tcPr>
          <w:p w:rsidR="00D322FB" w:rsidRPr="000A1E6A" w:rsidRDefault="00D322FB" w:rsidP="00BE1B0F">
            <w:pPr>
              <w:autoSpaceDE w:val="0"/>
              <w:autoSpaceDN w:val="0"/>
              <w:adjustRightInd w:val="0"/>
              <w:ind w:left="-108"/>
              <w:jc w:val="both"/>
              <w:rPr>
                <w:rFonts w:ascii="Arial" w:hAnsi="Arial" w:cs="Arial"/>
                <w:lang w:val="tr-TR"/>
              </w:rPr>
            </w:pPr>
          </w:p>
        </w:tc>
        <w:tc>
          <w:tcPr>
            <w:tcW w:w="1890" w:type="dxa"/>
            <w:tcBorders>
              <w:top w:val="single" w:sz="4" w:space="0" w:color="auto"/>
              <w:bottom w:val="single" w:sz="4" w:space="0" w:color="auto"/>
            </w:tcBorders>
            <w:vAlign w:val="bottom"/>
          </w:tcPr>
          <w:p w:rsidR="00D322FB" w:rsidRPr="004766B1" w:rsidRDefault="00D322FB" w:rsidP="001A0C62">
            <w:pPr>
              <w:autoSpaceDE w:val="0"/>
              <w:autoSpaceDN w:val="0"/>
              <w:adjustRightInd w:val="0"/>
              <w:jc w:val="right"/>
              <w:rPr>
                <w:rFonts w:ascii="Arial" w:hAnsi="Arial" w:cs="Arial"/>
                <w:b/>
                <w:lang w:val="tr-TR"/>
              </w:rPr>
            </w:pPr>
            <w:r w:rsidRPr="004766B1">
              <w:rPr>
                <w:rFonts w:ascii="Arial" w:hAnsi="Arial" w:cs="Arial"/>
                <w:b/>
                <w:lang w:val="tr-TR"/>
              </w:rPr>
              <w:t xml:space="preserve">31 </w:t>
            </w:r>
            <w:r>
              <w:rPr>
                <w:rFonts w:ascii="Arial" w:hAnsi="Arial" w:cs="Arial"/>
                <w:b/>
                <w:lang w:val="tr-TR"/>
              </w:rPr>
              <w:t>Mart 2015</w:t>
            </w:r>
          </w:p>
        </w:tc>
        <w:tc>
          <w:tcPr>
            <w:tcW w:w="1890" w:type="dxa"/>
            <w:tcBorders>
              <w:top w:val="single" w:sz="4" w:space="0" w:color="auto"/>
              <w:bottom w:val="single" w:sz="4" w:space="0" w:color="auto"/>
            </w:tcBorders>
            <w:vAlign w:val="bottom"/>
          </w:tcPr>
          <w:p w:rsidR="00D322FB" w:rsidRPr="0009383C" w:rsidRDefault="00D322FB" w:rsidP="00DE18BD">
            <w:pPr>
              <w:autoSpaceDE w:val="0"/>
              <w:autoSpaceDN w:val="0"/>
              <w:adjustRightInd w:val="0"/>
              <w:jc w:val="right"/>
              <w:rPr>
                <w:rFonts w:ascii="Arial" w:hAnsi="Arial" w:cs="Arial"/>
                <w:lang w:val="tr-TR"/>
              </w:rPr>
            </w:pPr>
            <w:r w:rsidRPr="0009383C">
              <w:rPr>
                <w:rFonts w:ascii="Arial" w:hAnsi="Arial" w:cs="Arial"/>
                <w:lang w:val="tr-TR"/>
              </w:rPr>
              <w:t>31 Aralık 2014</w:t>
            </w:r>
          </w:p>
        </w:tc>
      </w:tr>
      <w:tr w:rsidR="00D322FB" w:rsidRPr="000A1E6A" w:rsidTr="00BC0F5C">
        <w:tc>
          <w:tcPr>
            <w:tcW w:w="5670" w:type="dxa"/>
            <w:tcBorders>
              <w:top w:val="single" w:sz="4" w:space="0" w:color="auto"/>
            </w:tcBorders>
          </w:tcPr>
          <w:p w:rsidR="00D322FB" w:rsidRPr="000A1E6A" w:rsidRDefault="00D322FB" w:rsidP="00BE1B0F">
            <w:pPr>
              <w:autoSpaceDE w:val="0"/>
              <w:autoSpaceDN w:val="0"/>
              <w:adjustRightInd w:val="0"/>
              <w:ind w:left="-108"/>
              <w:jc w:val="both"/>
              <w:rPr>
                <w:rFonts w:ascii="Arial" w:hAnsi="Arial" w:cs="Arial"/>
                <w:lang w:val="tr-TR"/>
              </w:rPr>
            </w:pPr>
          </w:p>
        </w:tc>
        <w:tc>
          <w:tcPr>
            <w:tcW w:w="1890" w:type="dxa"/>
            <w:tcBorders>
              <w:top w:val="single" w:sz="4" w:space="0" w:color="auto"/>
            </w:tcBorders>
            <w:vAlign w:val="center"/>
          </w:tcPr>
          <w:p w:rsidR="00D322FB" w:rsidRPr="004766B1" w:rsidRDefault="00D322FB" w:rsidP="001A0C62">
            <w:pPr>
              <w:autoSpaceDE w:val="0"/>
              <w:autoSpaceDN w:val="0"/>
              <w:adjustRightInd w:val="0"/>
              <w:jc w:val="right"/>
              <w:rPr>
                <w:rFonts w:ascii="Arial" w:hAnsi="Arial" w:cs="Arial"/>
                <w:b/>
                <w:lang w:val="tr-TR"/>
              </w:rPr>
            </w:pPr>
          </w:p>
        </w:tc>
        <w:tc>
          <w:tcPr>
            <w:tcW w:w="1890" w:type="dxa"/>
            <w:tcBorders>
              <w:top w:val="single" w:sz="4" w:space="0" w:color="auto"/>
            </w:tcBorders>
            <w:vAlign w:val="center"/>
          </w:tcPr>
          <w:p w:rsidR="00D322FB" w:rsidRPr="0009383C" w:rsidRDefault="00D322FB" w:rsidP="00DE18BD">
            <w:pPr>
              <w:autoSpaceDE w:val="0"/>
              <w:autoSpaceDN w:val="0"/>
              <w:adjustRightInd w:val="0"/>
              <w:jc w:val="right"/>
              <w:rPr>
                <w:rFonts w:ascii="Arial" w:hAnsi="Arial" w:cs="Arial"/>
                <w:lang w:val="tr-TR"/>
              </w:rPr>
            </w:pPr>
          </w:p>
        </w:tc>
      </w:tr>
      <w:tr w:rsidR="00D322FB" w:rsidRPr="000A1E6A" w:rsidTr="00BC0F5C">
        <w:tc>
          <w:tcPr>
            <w:tcW w:w="5670" w:type="dxa"/>
          </w:tcPr>
          <w:p w:rsidR="00D322FB" w:rsidRPr="000A1E6A" w:rsidRDefault="00D322FB" w:rsidP="006F2183">
            <w:pPr>
              <w:autoSpaceDE w:val="0"/>
              <w:autoSpaceDN w:val="0"/>
              <w:adjustRightInd w:val="0"/>
              <w:ind w:left="-108"/>
              <w:jc w:val="both"/>
              <w:rPr>
                <w:rFonts w:ascii="Arial" w:hAnsi="Arial" w:cs="Arial"/>
                <w:lang w:val="tr-TR"/>
              </w:rPr>
            </w:pPr>
            <w:r w:rsidRPr="000A1E6A">
              <w:rPr>
                <w:rFonts w:ascii="Arial" w:hAnsi="Arial" w:cs="Arial"/>
                <w:lang w:val="tr-TR"/>
              </w:rPr>
              <w:t>Peşin ödenen vergi ve fonlar</w:t>
            </w:r>
            <w:r>
              <w:rPr>
                <w:rFonts w:ascii="Arial" w:hAnsi="Arial" w:cs="Arial"/>
                <w:lang w:val="tr-TR"/>
              </w:rPr>
              <w:t xml:space="preserve"> ()</w:t>
            </w:r>
          </w:p>
        </w:tc>
        <w:tc>
          <w:tcPr>
            <w:tcW w:w="1890" w:type="dxa"/>
            <w:vAlign w:val="bottom"/>
          </w:tcPr>
          <w:p w:rsidR="00D322FB" w:rsidRPr="004766B1" w:rsidRDefault="004B7752" w:rsidP="004B7752">
            <w:pPr>
              <w:jc w:val="right"/>
              <w:rPr>
                <w:rFonts w:ascii="Arial" w:hAnsi="Arial" w:cs="Arial"/>
                <w:b/>
                <w:bCs/>
                <w:color w:val="000000"/>
              </w:rPr>
            </w:pPr>
            <w:r>
              <w:rPr>
                <w:rFonts w:ascii="Arial" w:hAnsi="Arial" w:cs="Arial"/>
                <w:b/>
                <w:bCs/>
                <w:color w:val="000000"/>
              </w:rPr>
              <w:t>18</w:t>
            </w:r>
            <w:r w:rsidR="00D322FB" w:rsidRPr="004766B1">
              <w:rPr>
                <w:rFonts w:ascii="Arial" w:hAnsi="Arial" w:cs="Arial"/>
                <w:b/>
                <w:bCs/>
                <w:color w:val="000000"/>
              </w:rPr>
              <w:t>.</w:t>
            </w:r>
            <w:r>
              <w:rPr>
                <w:rFonts w:ascii="Arial" w:hAnsi="Arial" w:cs="Arial"/>
                <w:b/>
                <w:bCs/>
                <w:color w:val="000000"/>
              </w:rPr>
              <w:t>208</w:t>
            </w:r>
          </w:p>
        </w:tc>
        <w:tc>
          <w:tcPr>
            <w:tcW w:w="1890" w:type="dxa"/>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14.332</w:t>
            </w:r>
          </w:p>
        </w:tc>
      </w:tr>
      <w:tr w:rsidR="00D322FB" w:rsidRPr="000A1E6A" w:rsidTr="00BC0F5C">
        <w:tc>
          <w:tcPr>
            <w:tcW w:w="5670" w:type="dxa"/>
            <w:tcBorders>
              <w:bottom w:val="single" w:sz="8" w:space="0" w:color="auto"/>
            </w:tcBorders>
          </w:tcPr>
          <w:p w:rsidR="00D322FB" w:rsidRPr="000A1E6A" w:rsidRDefault="00D322FB" w:rsidP="00BE1B0F">
            <w:pPr>
              <w:autoSpaceDE w:val="0"/>
              <w:autoSpaceDN w:val="0"/>
              <w:adjustRightInd w:val="0"/>
              <w:ind w:left="-108"/>
              <w:jc w:val="both"/>
              <w:rPr>
                <w:rFonts w:ascii="Arial" w:hAnsi="Arial" w:cs="Arial"/>
                <w:lang w:val="tr-TR"/>
              </w:rPr>
            </w:pPr>
          </w:p>
        </w:tc>
        <w:tc>
          <w:tcPr>
            <w:tcW w:w="1890" w:type="dxa"/>
            <w:tcBorders>
              <w:bottom w:val="single" w:sz="8" w:space="0" w:color="auto"/>
            </w:tcBorders>
            <w:vAlign w:val="bottom"/>
          </w:tcPr>
          <w:p w:rsidR="00D322FB" w:rsidRPr="004766B1" w:rsidRDefault="00D322FB">
            <w:pPr>
              <w:jc w:val="right"/>
              <w:rPr>
                <w:rFonts w:ascii="Arial" w:hAnsi="Arial" w:cs="Arial"/>
                <w:b/>
                <w:bCs/>
                <w:color w:val="000000"/>
              </w:rPr>
            </w:pPr>
            <w:r w:rsidRPr="004766B1">
              <w:rPr>
                <w:rFonts w:ascii="Arial" w:hAnsi="Arial" w:cs="Arial"/>
                <w:b/>
                <w:bCs/>
                <w:color w:val="000000"/>
              </w:rPr>
              <w:t> </w:t>
            </w:r>
          </w:p>
        </w:tc>
        <w:tc>
          <w:tcPr>
            <w:tcW w:w="1890" w:type="dxa"/>
            <w:tcBorders>
              <w:bottom w:val="single" w:sz="8" w:space="0" w:color="auto"/>
            </w:tcBorders>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 </w:t>
            </w:r>
          </w:p>
        </w:tc>
      </w:tr>
      <w:tr w:rsidR="00D322FB" w:rsidRPr="000A1E6A" w:rsidTr="00BC0F5C">
        <w:tc>
          <w:tcPr>
            <w:tcW w:w="5670" w:type="dxa"/>
            <w:tcBorders>
              <w:top w:val="single" w:sz="8" w:space="0" w:color="auto"/>
              <w:bottom w:val="double" w:sz="4" w:space="0" w:color="auto"/>
            </w:tcBorders>
          </w:tcPr>
          <w:p w:rsidR="00D322FB" w:rsidRPr="000A1E6A" w:rsidRDefault="00D322FB" w:rsidP="00BE1B0F">
            <w:pPr>
              <w:autoSpaceDE w:val="0"/>
              <w:autoSpaceDN w:val="0"/>
              <w:adjustRightInd w:val="0"/>
              <w:jc w:val="both"/>
              <w:rPr>
                <w:rFonts w:ascii="Arial" w:hAnsi="Arial" w:cs="Arial"/>
                <w:lang w:val="tr-TR"/>
              </w:rPr>
            </w:pPr>
            <w:r w:rsidRPr="000A1E6A">
              <w:rPr>
                <w:rFonts w:ascii="Arial" w:hAnsi="Arial" w:cs="Arial"/>
                <w:b/>
                <w:lang w:val="tr-TR"/>
              </w:rPr>
              <w:t>Toplam</w:t>
            </w:r>
          </w:p>
        </w:tc>
        <w:tc>
          <w:tcPr>
            <w:tcW w:w="1890" w:type="dxa"/>
            <w:tcBorders>
              <w:top w:val="single" w:sz="8" w:space="0" w:color="auto"/>
              <w:bottom w:val="double" w:sz="4" w:space="0" w:color="auto"/>
            </w:tcBorders>
            <w:vAlign w:val="bottom"/>
          </w:tcPr>
          <w:p w:rsidR="00D322FB" w:rsidRPr="004766B1" w:rsidRDefault="004B7752">
            <w:pPr>
              <w:jc w:val="right"/>
              <w:rPr>
                <w:rFonts w:ascii="Arial" w:hAnsi="Arial" w:cs="Arial"/>
                <w:b/>
                <w:bCs/>
                <w:color w:val="000000"/>
              </w:rPr>
            </w:pPr>
            <w:r>
              <w:rPr>
                <w:rFonts w:ascii="Arial" w:hAnsi="Arial" w:cs="Arial"/>
                <w:b/>
                <w:bCs/>
                <w:color w:val="000000"/>
              </w:rPr>
              <w:t>18.208</w:t>
            </w:r>
          </w:p>
        </w:tc>
        <w:tc>
          <w:tcPr>
            <w:tcW w:w="1890" w:type="dxa"/>
            <w:tcBorders>
              <w:top w:val="single" w:sz="8" w:space="0" w:color="auto"/>
              <w:bottom w:val="double" w:sz="4" w:space="0" w:color="auto"/>
            </w:tcBorders>
            <w:vAlign w:val="bottom"/>
          </w:tcPr>
          <w:p w:rsidR="00D322FB" w:rsidRPr="0009383C" w:rsidRDefault="00D322FB" w:rsidP="00DE18BD">
            <w:pPr>
              <w:jc w:val="right"/>
              <w:rPr>
                <w:rFonts w:ascii="Arial" w:hAnsi="Arial" w:cs="Arial"/>
                <w:bCs/>
                <w:color w:val="000000"/>
              </w:rPr>
            </w:pPr>
            <w:r w:rsidRPr="0009383C">
              <w:rPr>
                <w:rFonts w:ascii="Arial" w:hAnsi="Arial" w:cs="Arial"/>
                <w:bCs/>
                <w:color w:val="000000"/>
              </w:rPr>
              <w:t>14.332</w:t>
            </w:r>
          </w:p>
        </w:tc>
      </w:tr>
    </w:tbl>
    <w:p w:rsidR="00D322FB" w:rsidRPr="000A1E6A" w:rsidRDefault="00D322FB" w:rsidP="00D9040F">
      <w:pPr>
        <w:pStyle w:val="000normal"/>
        <w:autoSpaceDE w:val="0"/>
        <w:autoSpaceDN w:val="0"/>
        <w:adjustRightInd w:val="0"/>
        <w:spacing w:before="0" w:after="0" w:afterAutospacing="0"/>
        <w:ind w:right="-327"/>
        <w:rPr>
          <w:lang w:val="tr-TR"/>
        </w:rPr>
      </w:pPr>
    </w:p>
    <w:p w:rsidR="00D322FB" w:rsidRPr="00727376" w:rsidRDefault="00D322FB" w:rsidP="00D9040F">
      <w:pPr>
        <w:pStyle w:val="000normal"/>
        <w:autoSpaceDE w:val="0"/>
        <w:autoSpaceDN w:val="0"/>
        <w:adjustRightInd w:val="0"/>
        <w:spacing w:before="0" w:after="0" w:afterAutospacing="0"/>
        <w:ind w:right="-327"/>
        <w:rPr>
          <w:highlight w:val="yellow"/>
          <w:lang w:val="tr-TR"/>
        </w:rPr>
      </w:pPr>
    </w:p>
    <w:p w:rsidR="00D322FB" w:rsidRDefault="00D322FB" w:rsidP="00553AFF">
      <w:pPr>
        <w:pStyle w:val="body0"/>
        <w:tabs>
          <w:tab w:val="left" w:pos="567"/>
        </w:tabs>
        <w:spacing w:after="0" w:line="240" w:lineRule="auto"/>
        <w:rPr>
          <w:rFonts w:ascii="Arial" w:hAnsi="Arial" w:cs="Arial"/>
          <w:b/>
          <w:bCs/>
          <w:noProof/>
          <w:sz w:val="20"/>
          <w:szCs w:val="20"/>
          <w:highlight w:val="yellow"/>
          <w:lang w:val="tr-TR"/>
        </w:rPr>
      </w:pPr>
      <w:r>
        <w:rPr>
          <w:rFonts w:ascii="Arial" w:hAnsi="Arial" w:cs="Arial"/>
          <w:b/>
          <w:bCs/>
          <w:noProof/>
          <w:sz w:val="20"/>
          <w:szCs w:val="20"/>
          <w:highlight w:val="yellow"/>
          <w:lang w:val="tr-TR"/>
        </w:rPr>
        <w:br w:type="page"/>
      </w:r>
    </w:p>
    <w:p w:rsidR="00660A69" w:rsidRDefault="00660A69" w:rsidP="00AE202B">
      <w:pPr>
        <w:pStyle w:val="body0"/>
        <w:tabs>
          <w:tab w:val="left" w:pos="567"/>
        </w:tabs>
        <w:spacing w:after="0" w:line="240" w:lineRule="auto"/>
        <w:outlineLvl w:val="0"/>
        <w:rPr>
          <w:rFonts w:ascii="Arial" w:hAnsi="Arial" w:cs="Arial"/>
          <w:b/>
          <w:bCs/>
          <w:noProof/>
          <w:sz w:val="20"/>
          <w:szCs w:val="20"/>
          <w:lang w:val="tr-TR"/>
        </w:rPr>
      </w:pPr>
    </w:p>
    <w:p w:rsidR="00660A69" w:rsidRDefault="00660A69" w:rsidP="00AE202B">
      <w:pPr>
        <w:pStyle w:val="body0"/>
        <w:tabs>
          <w:tab w:val="left" w:pos="567"/>
        </w:tabs>
        <w:spacing w:after="0" w:line="240" w:lineRule="auto"/>
        <w:outlineLvl w:val="0"/>
        <w:rPr>
          <w:rFonts w:ascii="Arial" w:hAnsi="Arial" w:cs="Arial"/>
          <w:b/>
          <w:bCs/>
          <w:noProof/>
          <w:sz w:val="20"/>
          <w:szCs w:val="20"/>
          <w:lang w:val="tr-TR"/>
        </w:rPr>
      </w:pPr>
    </w:p>
    <w:p w:rsidR="00660A69" w:rsidRDefault="00660A69" w:rsidP="00AE202B">
      <w:pPr>
        <w:pStyle w:val="body0"/>
        <w:tabs>
          <w:tab w:val="left" w:pos="567"/>
        </w:tabs>
        <w:spacing w:after="0" w:line="240" w:lineRule="auto"/>
        <w:outlineLvl w:val="0"/>
        <w:rPr>
          <w:rFonts w:ascii="Arial" w:hAnsi="Arial" w:cs="Arial"/>
          <w:b/>
          <w:bCs/>
          <w:noProof/>
          <w:sz w:val="20"/>
          <w:szCs w:val="20"/>
          <w:lang w:val="tr-TR"/>
        </w:rPr>
      </w:pPr>
    </w:p>
    <w:p w:rsidR="00660A69" w:rsidRDefault="00660A69" w:rsidP="00AE202B">
      <w:pPr>
        <w:pStyle w:val="body0"/>
        <w:tabs>
          <w:tab w:val="left" w:pos="567"/>
        </w:tabs>
        <w:spacing w:after="0" w:line="240" w:lineRule="auto"/>
        <w:outlineLvl w:val="0"/>
        <w:rPr>
          <w:rFonts w:ascii="Arial" w:hAnsi="Arial" w:cs="Arial"/>
          <w:b/>
          <w:bCs/>
          <w:noProof/>
          <w:sz w:val="20"/>
          <w:szCs w:val="20"/>
          <w:lang w:val="tr-TR"/>
        </w:rPr>
      </w:pPr>
    </w:p>
    <w:p w:rsidR="00D322FB" w:rsidRPr="00AE202B" w:rsidRDefault="00D322FB" w:rsidP="00AE202B">
      <w:pPr>
        <w:pStyle w:val="body0"/>
        <w:tabs>
          <w:tab w:val="left" w:pos="567"/>
        </w:tabs>
        <w:spacing w:after="0" w:line="240" w:lineRule="auto"/>
        <w:outlineLvl w:val="0"/>
        <w:rPr>
          <w:rFonts w:ascii="Arial" w:hAnsi="Arial" w:cs="Arial"/>
          <w:b/>
          <w:bCs/>
          <w:noProof/>
          <w:sz w:val="20"/>
          <w:szCs w:val="20"/>
          <w:lang w:val="tr-TR"/>
        </w:rPr>
      </w:pPr>
      <w:r w:rsidRPr="003859B1">
        <w:rPr>
          <w:rFonts w:ascii="Arial" w:hAnsi="Arial" w:cs="Arial"/>
          <w:b/>
          <w:bCs/>
          <w:noProof/>
          <w:sz w:val="20"/>
          <w:szCs w:val="20"/>
          <w:lang w:val="tr-TR"/>
        </w:rPr>
        <w:t>9.</w:t>
      </w:r>
      <w:r w:rsidRPr="003859B1">
        <w:rPr>
          <w:rFonts w:ascii="Arial" w:hAnsi="Arial" w:cs="Arial"/>
          <w:b/>
          <w:bCs/>
          <w:noProof/>
          <w:sz w:val="20"/>
          <w:szCs w:val="20"/>
          <w:lang w:val="tr-TR"/>
        </w:rPr>
        <w:tab/>
        <w:t>Diğer alacaklar ve borçlar</w:t>
      </w:r>
    </w:p>
    <w:p w:rsidR="00D322FB" w:rsidRPr="00727376" w:rsidRDefault="00D322FB" w:rsidP="00AA0364">
      <w:pPr>
        <w:pStyle w:val="body0"/>
        <w:tabs>
          <w:tab w:val="left" w:pos="567"/>
        </w:tabs>
        <w:spacing w:after="0" w:line="240" w:lineRule="auto"/>
        <w:rPr>
          <w:rFonts w:ascii="Arial" w:hAnsi="Arial" w:cs="Arial"/>
          <w:b/>
          <w:bCs/>
          <w:noProof/>
          <w:sz w:val="20"/>
          <w:szCs w:val="20"/>
          <w:highlight w:val="yellow"/>
          <w:lang w:val="tr-TR"/>
        </w:rPr>
      </w:pPr>
    </w:p>
    <w:p w:rsidR="00D322FB" w:rsidRPr="00A041C4" w:rsidRDefault="006F2183" w:rsidP="007C3D45">
      <w:pPr>
        <w:spacing w:line="230" w:lineRule="auto"/>
        <w:ind w:right="-1"/>
        <w:rPr>
          <w:rFonts w:ascii="Arial" w:hAnsi="Arial" w:cs="Arial"/>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Pr>
          <w:rFonts w:ascii="Arial" w:hAnsi="Arial" w:cs="Arial"/>
          <w:lang w:val="tr-TR"/>
        </w:rPr>
        <w:t>tarihle</w:t>
      </w:r>
      <w:r w:rsidR="00D322FB">
        <w:rPr>
          <w:rFonts w:ascii="Arial" w:hAnsi="Arial" w:cs="Arial"/>
          <w:lang w:val="tr-TR"/>
        </w:rPr>
        <w:t>ri itibariyle</w:t>
      </w:r>
      <w:r w:rsidR="00D322FB" w:rsidRPr="00A041C4">
        <w:rPr>
          <w:rFonts w:ascii="Arial" w:hAnsi="Arial" w:cs="Arial"/>
          <w:lang w:val="tr-TR"/>
        </w:rPr>
        <w:t xml:space="preserve"> </w:t>
      </w:r>
      <w:r w:rsidR="00D322FB">
        <w:rPr>
          <w:rFonts w:ascii="Arial" w:hAnsi="Arial" w:cs="Arial"/>
          <w:lang w:val="tr-TR"/>
        </w:rPr>
        <w:t>Ş</w:t>
      </w:r>
      <w:r w:rsidR="00D322FB" w:rsidRPr="00A041C4">
        <w:rPr>
          <w:rFonts w:ascii="Arial" w:hAnsi="Arial" w:cs="Arial"/>
          <w:lang w:val="tr-TR"/>
        </w:rPr>
        <w:t>irket</w:t>
      </w:r>
      <w:r w:rsidR="00D322FB">
        <w:rPr>
          <w:rFonts w:ascii="Arial" w:hAnsi="Arial" w:cs="Arial"/>
          <w:lang w:val="tr-TR"/>
        </w:rPr>
        <w:t>’</w:t>
      </w:r>
      <w:r w:rsidR="00D322FB" w:rsidRPr="00A041C4">
        <w:rPr>
          <w:rFonts w:ascii="Arial" w:hAnsi="Arial" w:cs="Arial"/>
          <w:lang w:val="tr-TR"/>
        </w:rPr>
        <w:t xml:space="preserve">in </w:t>
      </w:r>
      <w:r w:rsidR="00D322FB">
        <w:rPr>
          <w:rFonts w:ascii="Arial" w:hAnsi="Arial" w:cs="Arial"/>
          <w:lang w:val="tr-TR"/>
        </w:rPr>
        <w:t xml:space="preserve">diğer uzun vadeli alacaklarının detayı </w:t>
      </w:r>
      <w:r w:rsidR="00D322FB" w:rsidRPr="00A041C4">
        <w:rPr>
          <w:rFonts w:ascii="Arial" w:hAnsi="Arial" w:cs="Arial"/>
          <w:lang w:val="tr-TR"/>
        </w:rPr>
        <w:t>aşağıdaki gibidir:</w:t>
      </w:r>
    </w:p>
    <w:p w:rsidR="00D322FB" w:rsidRPr="00727376" w:rsidRDefault="00D322FB" w:rsidP="00D9040F">
      <w:pPr>
        <w:pStyle w:val="000normal"/>
        <w:autoSpaceDE w:val="0"/>
        <w:autoSpaceDN w:val="0"/>
        <w:adjustRightInd w:val="0"/>
        <w:spacing w:before="0" w:after="0" w:afterAutospacing="0"/>
        <w:ind w:right="-327"/>
        <w:rPr>
          <w:highlight w:val="yellow"/>
          <w:lang w:val="tr-TR"/>
        </w:rPr>
      </w:pPr>
    </w:p>
    <w:tbl>
      <w:tblPr>
        <w:tblW w:w="9540" w:type="dxa"/>
        <w:tblInd w:w="108" w:type="dxa"/>
        <w:tblLayout w:type="fixed"/>
        <w:tblLook w:val="01E0" w:firstRow="1" w:lastRow="1" w:firstColumn="1" w:lastColumn="1" w:noHBand="0" w:noVBand="0"/>
      </w:tblPr>
      <w:tblGrid>
        <w:gridCol w:w="5670"/>
        <w:gridCol w:w="1890"/>
        <w:gridCol w:w="1980"/>
      </w:tblGrid>
      <w:tr w:rsidR="00D322FB" w:rsidRPr="00727376" w:rsidTr="00006947">
        <w:tc>
          <w:tcPr>
            <w:tcW w:w="5670" w:type="dxa"/>
            <w:tcBorders>
              <w:top w:val="single" w:sz="4" w:space="0" w:color="auto"/>
              <w:bottom w:val="single" w:sz="4" w:space="0" w:color="auto"/>
            </w:tcBorders>
          </w:tcPr>
          <w:p w:rsidR="00D322FB" w:rsidRPr="007C3D45" w:rsidRDefault="00D322FB" w:rsidP="00BE1B0F">
            <w:pPr>
              <w:autoSpaceDE w:val="0"/>
              <w:autoSpaceDN w:val="0"/>
              <w:adjustRightInd w:val="0"/>
              <w:ind w:left="-108"/>
              <w:jc w:val="both"/>
              <w:rPr>
                <w:rFonts w:ascii="Arial" w:hAnsi="Arial" w:cs="Arial"/>
                <w:lang w:val="tr-TR"/>
              </w:rPr>
            </w:pPr>
          </w:p>
        </w:tc>
        <w:tc>
          <w:tcPr>
            <w:tcW w:w="1890" w:type="dxa"/>
            <w:tcBorders>
              <w:top w:val="single" w:sz="4" w:space="0" w:color="auto"/>
              <w:bottom w:val="single" w:sz="4" w:space="0" w:color="auto"/>
            </w:tcBorders>
            <w:vAlign w:val="bottom"/>
          </w:tcPr>
          <w:p w:rsidR="00D322FB" w:rsidRPr="00AE202B" w:rsidRDefault="00D322FB" w:rsidP="00BE1B0F">
            <w:pPr>
              <w:autoSpaceDE w:val="0"/>
              <w:autoSpaceDN w:val="0"/>
              <w:adjustRightInd w:val="0"/>
              <w:jc w:val="right"/>
              <w:rPr>
                <w:rFonts w:ascii="Arial" w:hAnsi="Arial" w:cs="Arial"/>
                <w:b/>
                <w:lang w:val="tr-TR"/>
              </w:rPr>
            </w:pPr>
            <w:r w:rsidRPr="00AE202B">
              <w:rPr>
                <w:rFonts w:ascii="Arial" w:hAnsi="Arial" w:cs="Arial"/>
                <w:b/>
                <w:lang w:val="tr-TR"/>
              </w:rPr>
              <w:t xml:space="preserve">31 </w:t>
            </w:r>
            <w:r>
              <w:rPr>
                <w:rFonts w:ascii="Arial" w:hAnsi="Arial" w:cs="Arial"/>
                <w:b/>
                <w:lang w:val="tr-TR"/>
              </w:rPr>
              <w:t>Mart 2015</w:t>
            </w:r>
          </w:p>
        </w:tc>
        <w:tc>
          <w:tcPr>
            <w:tcW w:w="1980" w:type="dxa"/>
            <w:tcBorders>
              <w:top w:val="single" w:sz="4" w:space="0" w:color="auto"/>
              <w:bottom w:val="single" w:sz="4" w:space="0" w:color="auto"/>
            </w:tcBorders>
            <w:vAlign w:val="bottom"/>
          </w:tcPr>
          <w:p w:rsidR="00D322FB" w:rsidRPr="00AE202B" w:rsidRDefault="00D322FB" w:rsidP="00BE1B0F">
            <w:pPr>
              <w:autoSpaceDE w:val="0"/>
              <w:autoSpaceDN w:val="0"/>
              <w:adjustRightInd w:val="0"/>
              <w:jc w:val="right"/>
              <w:rPr>
                <w:rFonts w:ascii="Arial" w:hAnsi="Arial" w:cs="Arial"/>
                <w:lang w:val="tr-TR"/>
              </w:rPr>
            </w:pPr>
            <w:r>
              <w:rPr>
                <w:rFonts w:ascii="Arial" w:hAnsi="Arial" w:cs="Arial"/>
                <w:lang w:val="tr-TR"/>
              </w:rPr>
              <w:t>31 Aralık 2014</w:t>
            </w:r>
          </w:p>
        </w:tc>
      </w:tr>
      <w:tr w:rsidR="00D322FB" w:rsidRPr="00727376" w:rsidTr="00006947">
        <w:tc>
          <w:tcPr>
            <w:tcW w:w="5670" w:type="dxa"/>
            <w:tcBorders>
              <w:top w:val="single" w:sz="4" w:space="0" w:color="auto"/>
            </w:tcBorders>
          </w:tcPr>
          <w:p w:rsidR="00D322FB" w:rsidRPr="007C3D45" w:rsidRDefault="00D322FB" w:rsidP="00BE1B0F">
            <w:pPr>
              <w:autoSpaceDE w:val="0"/>
              <w:autoSpaceDN w:val="0"/>
              <w:adjustRightInd w:val="0"/>
              <w:ind w:left="-108"/>
              <w:jc w:val="both"/>
              <w:rPr>
                <w:rFonts w:ascii="Arial" w:hAnsi="Arial" w:cs="Arial"/>
                <w:lang w:val="tr-TR"/>
              </w:rPr>
            </w:pPr>
          </w:p>
        </w:tc>
        <w:tc>
          <w:tcPr>
            <w:tcW w:w="1890" w:type="dxa"/>
            <w:tcBorders>
              <w:top w:val="single" w:sz="4" w:space="0" w:color="auto"/>
            </w:tcBorders>
            <w:vAlign w:val="center"/>
          </w:tcPr>
          <w:p w:rsidR="00D322FB" w:rsidRPr="00AE202B" w:rsidRDefault="00D322FB" w:rsidP="00BE1B0F">
            <w:pPr>
              <w:autoSpaceDE w:val="0"/>
              <w:autoSpaceDN w:val="0"/>
              <w:adjustRightInd w:val="0"/>
              <w:jc w:val="right"/>
              <w:rPr>
                <w:rFonts w:ascii="Arial" w:hAnsi="Arial" w:cs="Arial"/>
                <w:b/>
                <w:lang w:val="tr-TR"/>
              </w:rPr>
            </w:pPr>
          </w:p>
        </w:tc>
        <w:tc>
          <w:tcPr>
            <w:tcW w:w="1980" w:type="dxa"/>
            <w:tcBorders>
              <w:top w:val="single" w:sz="4" w:space="0" w:color="auto"/>
            </w:tcBorders>
            <w:vAlign w:val="center"/>
          </w:tcPr>
          <w:p w:rsidR="00D322FB" w:rsidRPr="00AE202B" w:rsidRDefault="00D322FB" w:rsidP="00BE1B0F">
            <w:pPr>
              <w:autoSpaceDE w:val="0"/>
              <w:autoSpaceDN w:val="0"/>
              <w:adjustRightInd w:val="0"/>
              <w:jc w:val="right"/>
              <w:rPr>
                <w:rFonts w:ascii="Arial" w:hAnsi="Arial" w:cs="Arial"/>
                <w:lang w:val="tr-TR"/>
              </w:rPr>
            </w:pPr>
          </w:p>
        </w:tc>
      </w:tr>
      <w:tr w:rsidR="00D322FB" w:rsidRPr="00727376" w:rsidTr="00006947">
        <w:tc>
          <w:tcPr>
            <w:tcW w:w="5670" w:type="dxa"/>
          </w:tcPr>
          <w:p w:rsidR="00D322FB" w:rsidRPr="007C3D45" w:rsidRDefault="00D322FB" w:rsidP="00BE1B0F">
            <w:pPr>
              <w:autoSpaceDE w:val="0"/>
              <w:autoSpaceDN w:val="0"/>
              <w:adjustRightInd w:val="0"/>
              <w:ind w:left="-108"/>
              <w:jc w:val="both"/>
              <w:rPr>
                <w:rFonts w:ascii="Arial" w:hAnsi="Arial" w:cs="Arial"/>
                <w:lang w:val="tr-TR"/>
              </w:rPr>
            </w:pPr>
            <w:r w:rsidRPr="007C3D45">
              <w:rPr>
                <w:rFonts w:ascii="Arial" w:hAnsi="Arial" w:cs="Arial"/>
                <w:lang w:val="tr-TR"/>
              </w:rPr>
              <w:t>Verilen depozito ve teminatlar</w:t>
            </w:r>
          </w:p>
        </w:tc>
        <w:tc>
          <w:tcPr>
            <w:tcW w:w="1890" w:type="dxa"/>
            <w:vAlign w:val="bottom"/>
          </w:tcPr>
          <w:p w:rsidR="00D322FB" w:rsidRPr="00AE202B" w:rsidRDefault="00D322FB">
            <w:pPr>
              <w:jc w:val="right"/>
              <w:rPr>
                <w:rFonts w:ascii="Arial" w:hAnsi="Arial" w:cs="Arial"/>
                <w:b/>
                <w:bCs/>
                <w:color w:val="000000"/>
              </w:rPr>
            </w:pPr>
            <w:r w:rsidRPr="00AE202B">
              <w:rPr>
                <w:rFonts w:ascii="Arial" w:hAnsi="Arial" w:cs="Arial"/>
                <w:b/>
                <w:bCs/>
                <w:color w:val="000000"/>
              </w:rPr>
              <w:t xml:space="preserve">                1.000 </w:t>
            </w:r>
          </w:p>
        </w:tc>
        <w:tc>
          <w:tcPr>
            <w:tcW w:w="1980" w:type="dxa"/>
            <w:vAlign w:val="bottom"/>
          </w:tcPr>
          <w:p w:rsidR="00D322FB" w:rsidRPr="00AE202B" w:rsidRDefault="00D322FB" w:rsidP="00BE1B0F">
            <w:pPr>
              <w:jc w:val="right"/>
              <w:rPr>
                <w:rFonts w:ascii="Arial" w:hAnsi="Arial" w:cs="Arial"/>
              </w:rPr>
            </w:pPr>
            <w:r w:rsidRPr="00AE202B">
              <w:rPr>
                <w:rFonts w:ascii="Arial" w:hAnsi="Arial" w:cs="Arial"/>
                <w:bCs/>
                <w:color w:val="000000"/>
              </w:rPr>
              <w:t>1.000</w:t>
            </w:r>
          </w:p>
        </w:tc>
      </w:tr>
      <w:tr w:rsidR="00D322FB" w:rsidRPr="00727376" w:rsidTr="00006947">
        <w:tc>
          <w:tcPr>
            <w:tcW w:w="5670" w:type="dxa"/>
            <w:tcBorders>
              <w:bottom w:val="single" w:sz="8" w:space="0" w:color="auto"/>
            </w:tcBorders>
          </w:tcPr>
          <w:p w:rsidR="00D322FB" w:rsidRPr="007C3D45" w:rsidRDefault="00D322FB" w:rsidP="00BE1B0F">
            <w:pPr>
              <w:autoSpaceDE w:val="0"/>
              <w:autoSpaceDN w:val="0"/>
              <w:adjustRightInd w:val="0"/>
              <w:ind w:left="-108"/>
              <w:jc w:val="both"/>
              <w:rPr>
                <w:rFonts w:ascii="Arial" w:hAnsi="Arial" w:cs="Arial"/>
                <w:lang w:val="tr-TR"/>
              </w:rPr>
            </w:pPr>
          </w:p>
        </w:tc>
        <w:tc>
          <w:tcPr>
            <w:tcW w:w="1890" w:type="dxa"/>
            <w:tcBorders>
              <w:bottom w:val="single" w:sz="8" w:space="0" w:color="auto"/>
            </w:tcBorders>
            <w:vAlign w:val="bottom"/>
          </w:tcPr>
          <w:p w:rsidR="00D322FB" w:rsidRDefault="00D322FB">
            <w:pPr>
              <w:jc w:val="right"/>
              <w:rPr>
                <w:rFonts w:ascii="Arial" w:hAnsi="Arial" w:cs="Arial"/>
                <w:b/>
                <w:bCs/>
                <w:color w:val="000000"/>
              </w:rPr>
            </w:pPr>
            <w:r>
              <w:rPr>
                <w:rFonts w:ascii="Arial" w:hAnsi="Arial" w:cs="Arial"/>
                <w:b/>
                <w:bCs/>
                <w:color w:val="000000"/>
              </w:rPr>
              <w:t> </w:t>
            </w:r>
          </w:p>
        </w:tc>
        <w:tc>
          <w:tcPr>
            <w:tcW w:w="1980" w:type="dxa"/>
            <w:tcBorders>
              <w:bottom w:val="single" w:sz="8" w:space="0" w:color="auto"/>
            </w:tcBorders>
            <w:vAlign w:val="bottom"/>
          </w:tcPr>
          <w:p w:rsidR="00D322FB" w:rsidRPr="007C3D45" w:rsidRDefault="00D322FB" w:rsidP="00BE1B0F">
            <w:pPr>
              <w:jc w:val="right"/>
              <w:rPr>
                <w:rFonts w:ascii="Arial" w:hAnsi="Arial" w:cs="Arial"/>
              </w:rPr>
            </w:pPr>
          </w:p>
        </w:tc>
      </w:tr>
      <w:tr w:rsidR="00D322FB" w:rsidRPr="00727376" w:rsidTr="00006947">
        <w:tc>
          <w:tcPr>
            <w:tcW w:w="5670" w:type="dxa"/>
            <w:tcBorders>
              <w:top w:val="single" w:sz="8" w:space="0" w:color="auto"/>
              <w:bottom w:val="double" w:sz="4" w:space="0" w:color="auto"/>
            </w:tcBorders>
          </w:tcPr>
          <w:p w:rsidR="00D322FB" w:rsidRPr="007C3D45" w:rsidRDefault="00D322FB" w:rsidP="00BE1B0F">
            <w:pPr>
              <w:autoSpaceDE w:val="0"/>
              <w:autoSpaceDN w:val="0"/>
              <w:adjustRightInd w:val="0"/>
              <w:jc w:val="both"/>
              <w:rPr>
                <w:rFonts w:ascii="Arial" w:hAnsi="Arial" w:cs="Arial"/>
                <w:lang w:val="tr-TR"/>
              </w:rPr>
            </w:pPr>
            <w:r w:rsidRPr="007C3D45">
              <w:rPr>
                <w:rFonts w:ascii="Arial" w:hAnsi="Arial" w:cs="Arial"/>
                <w:b/>
                <w:lang w:val="tr-TR"/>
              </w:rPr>
              <w:t>Toplam</w:t>
            </w:r>
          </w:p>
        </w:tc>
        <w:tc>
          <w:tcPr>
            <w:tcW w:w="1890" w:type="dxa"/>
            <w:tcBorders>
              <w:top w:val="single" w:sz="8" w:space="0" w:color="auto"/>
              <w:bottom w:val="double" w:sz="4" w:space="0" w:color="auto"/>
            </w:tcBorders>
            <w:vAlign w:val="bottom"/>
          </w:tcPr>
          <w:p w:rsidR="00D322FB" w:rsidRDefault="00D322FB">
            <w:pPr>
              <w:jc w:val="right"/>
              <w:rPr>
                <w:rFonts w:ascii="Arial" w:hAnsi="Arial" w:cs="Arial"/>
                <w:b/>
                <w:bCs/>
                <w:color w:val="000000"/>
              </w:rPr>
            </w:pPr>
            <w:r>
              <w:rPr>
                <w:rFonts w:ascii="Arial" w:hAnsi="Arial" w:cs="Arial"/>
                <w:b/>
                <w:bCs/>
                <w:color w:val="000000"/>
              </w:rPr>
              <w:t xml:space="preserve">                1.000 </w:t>
            </w:r>
          </w:p>
        </w:tc>
        <w:tc>
          <w:tcPr>
            <w:tcW w:w="1980" w:type="dxa"/>
            <w:tcBorders>
              <w:top w:val="single" w:sz="8" w:space="0" w:color="auto"/>
              <w:bottom w:val="double" w:sz="4" w:space="0" w:color="auto"/>
            </w:tcBorders>
            <w:vAlign w:val="bottom"/>
          </w:tcPr>
          <w:p w:rsidR="00D322FB" w:rsidRPr="007C3D45" w:rsidRDefault="00D322FB" w:rsidP="00BE1B0F">
            <w:pPr>
              <w:jc w:val="right"/>
              <w:rPr>
                <w:rFonts w:ascii="Arial" w:hAnsi="Arial" w:cs="Arial"/>
                <w:lang w:val="tr-TR"/>
              </w:rPr>
            </w:pPr>
            <w:r w:rsidRPr="007C3D45">
              <w:rPr>
                <w:rFonts w:ascii="Arial" w:hAnsi="Arial" w:cs="Arial"/>
                <w:bCs/>
                <w:color w:val="000000"/>
              </w:rPr>
              <w:t>1.000</w:t>
            </w:r>
          </w:p>
        </w:tc>
      </w:tr>
    </w:tbl>
    <w:p w:rsidR="00D322FB" w:rsidRPr="00727376" w:rsidRDefault="00D322FB" w:rsidP="002D74CC">
      <w:pPr>
        <w:pStyle w:val="body0"/>
        <w:tabs>
          <w:tab w:val="left" w:pos="567"/>
        </w:tabs>
        <w:spacing w:after="0" w:line="240" w:lineRule="auto"/>
        <w:rPr>
          <w:rFonts w:ascii="Arial" w:hAnsi="Arial" w:cs="Arial"/>
          <w:b/>
          <w:bCs/>
          <w:noProof/>
          <w:sz w:val="20"/>
          <w:szCs w:val="20"/>
          <w:highlight w:val="yellow"/>
          <w:lang w:val="tr-TR"/>
        </w:rPr>
      </w:pPr>
    </w:p>
    <w:p w:rsidR="00D322FB" w:rsidRPr="00A041C4" w:rsidRDefault="006F2183" w:rsidP="00006947">
      <w:pPr>
        <w:spacing w:line="230" w:lineRule="auto"/>
        <w:ind w:right="-1"/>
        <w:rPr>
          <w:rFonts w:ascii="Arial" w:hAnsi="Arial" w:cs="Arial"/>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Pr>
          <w:rFonts w:ascii="Arial" w:hAnsi="Arial" w:cs="Arial"/>
          <w:lang w:val="tr-TR"/>
        </w:rPr>
        <w:t>t</w:t>
      </w:r>
      <w:r w:rsidR="00D322FB">
        <w:rPr>
          <w:rFonts w:ascii="Arial" w:hAnsi="Arial" w:cs="Arial"/>
          <w:lang w:val="tr-TR"/>
        </w:rPr>
        <w:t>arihleri itibariyle</w:t>
      </w:r>
      <w:r w:rsidR="00D322FB" w:rsidRPr="00A041C4">
        <w:rPr>
          <w:rFonts w:ascii="Arial" w:hAnsi="Arial" w:cs="Arial"/>
          <w:lang w:val="tr-TR"/>
        </w:rPr>
        <w:t xml:space="preserve"> </w:t>
      </w:r>
      <w:r w:rsidR="00D322FB">
        <w:rPr>
          <w:rFonts w:ascii="Arial" w:hAnsi="Arial" w:cs="Arial"/>
          <w:lang w:val="tr-TR"/>
        </w:rPr>
        <w:t>Ş</w:t>
      </w:r>
      <w:r w:rsidR="00D322FB" w:rsidRPr="00A041C4">
        <w:rPr>
          <w:rFonts w:ascii="Arial" w:hAnsi="Arial" w:cs="Arial"/>
          <w:lang w:val="tr-TR"/>
        </w:rPr>
        <w:t>irket</w:t>
      </w:r>
      <w:r w:rsidR="00D322FB">
        <w:rPr>
          <w:rFonts w:ascii="Arial" w:hAnsi="Arial" w:cs="Arial"/>
          <w:lang w:val="tr-TR"/>
        </w:rPr>
        <w:t>’</w:t>
      </w:r>
      <w:r w:rsidR="00D322FB" w:rsidRPr="00A041C4">
        <w:rPr>
          <w:rFonts w:ascii="Arial" w:hAnsi="Arial" w:cs="Arial"/>
          <w:lang w:val="tr-TR"/>
        </w:rPr>
        <w:t xml:space="preserve">in </w:t>
      </w:r>
      <w:r w:rsidR="00D322FB">
        <w:rPr>
          <w:rFonts w:ascii="Arial" w:hAnsi="Arial" w:cs="Arial"/>
          <w:lang w:val="tr-TR"/>
        </w:rPr>
        <w:t xml:space="preserve">kısa vadeli diğer borçlarının detayı </w:t>
      </w:r>
      <w:r w:rsidR="00D322FB" w:rsidRPr="00A041C4">
        <w:rPr>
          <w:rFonts w:ascii="Arial" w:hAnsi="Arial" w:cs="Arial"/>
          <w:lang w:val="tr-TR"/>
        </w:rPr>
        <w:t>aşağıdaki gibidir:</w:t>
      </w:r>
    </w:p>
    <w:p w:rsidR="00D322FB" w:rsidRPr="00727376" w:rsidRDefault="00D322FB" w:rsidP="002D74CC">
      <w:pPr>
        <w:pStyle w:val="body0"/>
        <w:tabs>
          <w:tab w:val="left" w:pos="567"/>
        </w:tabs>
        <w:spacing w:after="0" w:line="240" w:lineRule="auto"/>
        <w:rPr>
          <w:rFonts w:ascii="Arial" w:hAnsi="Arial" w:cs="Arial"/>
          <w:b/>
          <w:bCs/>
          <w:noProof/>
          <w:sz w:val="20"/>
          <w:szCs w:val="20"/>
          <w:highlight w:val="yellow"/>
          <w:lang w:val="tr-TR"/>
        </w:rPr>
      </w:pPr>
    </w:p>
    <w:tbl>
      <w:tblPr>
        <w:tblW w:w="9540" w:type="dxa"/>
        <w:tblInd w:w="108" w:type="dxa"/>
        <w:tblLayout w:type="fixed"/>
        <w:tblLook w:val="01E0" w:firstRow="1" w:lastRow="1" w:firstColumn="1" w:lastColumn="1" w:noHBand="0" w:noVBand="0"/>
      </w:tblPr>
      <w:tblGrid>
        <w:gridCol w:w="5670"/>
        <w:gridCol w:w="1890"/>
        <w:gridCol w:w="1980"/>
      </w:tblGrid>
      <w:tr w:rsidR="00D322FB" w:rsidRPr="00727376" w:rsidTr="003859B1">
        <w:tc>
          <w:tcPr>
            <w:tcW w:w="5670" w:type="dxa"/>
            <w:tcBorders>
              <w:top w:val="single" w:sz="4" w:space="0" w:color="auto"/>
              <w:bottom w:val="single" w:sz="4" w:space="0" w:color="auto"/>
            </w:tcBorders>
          </w:tcPr>
          <w:p w:rsidR="00D322FB" w:rsidRPr="00727376" w:rsidRDefault="00D322FB" w:rsidP="00BE1B0F">
            <w:pPr>
              <w:autoSpaceDE w:val="0"/>
              <w:autoSpaceDN w:val="0"/>
              <w:adjustRightInd w:val="0"/>
              <w:ind w:left="-108"/>
              <w:jc w:val="both"/>
              <w:rPr>
                <w:rFonts w:ascii="Arial" w:hAnsi="Arial" w:cs="Arial"/>
                <w:highlight w:val="yellow"/>
                <w:lang w:val="tr-TR"/>
              </w:rPr>
            </w:pPr>
          </w:p>
        </w:tc>
        <w:tc>
          <w:tcPr>
            <w:tcW w:w="1890" w:type="dxa"/>
            <w:tcBorders>
              <w:top w:val="single" w:sz="4" w:space="0" w:color="auto"/>
              <w:bottom w:val="single" w:sz="4" w:space="0" w:color="auto"/>
            </w:tcBorders>
            <w:vAlign w:val="bottom"/>
          </w:tcPr>
          <w:p w:rsidR="00D322FB" w:rsidRPr="00AE202B" w:rsidRDefault="00D322FB" w:rsidP="00BE1B0F">
            <w:pPr>
              <w:autoSpaceDE w:val="0"/>
              <w:autoSpaceDN w:val="0"/>
              <w:adjustRightInd w:val="0"/>
              <w:jc w:val="right"/>
              <w:rPr>
                <w:rFonts w:ascii="Arial" w:hAnsi="Arial" w:cs="Arial"/>
                <w:b/>
                <w:lang w:val="tr-TR"/>
              </w:rPr>
            </w:pPr>
            <w:r w:rsidRPr="00AE202B">
              <w:rPr>
                <w:rFonts w:ascii="Arial" w:hAnsi="Arial" w:cs="Arial"/>
                <w:b/>
                <w:lang w:val="tr-TR"/>
              </w:rPr>
              <w:t xml:space="preserve">31 </w:t>
            </w:r>
            <w:r>
              <w:rPr>
                <w:rFonts w:ascii="Arial" w:hAnsi="Arial" w:cs="Arial"/>
                <w:b/>
                <w:lang w:val="tr-TR"/>
              </w:rPr>
              <w:t>Mart 2015</w:t>
            </w:r>
          </w:p>
        </w:tc>
        <w:tc>
          <w:tcPr>
            <w:tcW w:w="1980" w:type="dxa"/>
            <w:tcBorders>
              <w:top w:val="single" w:sz="4" w:space="0" w:color="auto"/>
              <w:bottom w:val="single" w:sz="4" w:space="0" w:color="auto"/>
            </w:tcBorders>
            <w:vAlign w:val="bottom"/>
          </w:tcPr>
          <w:p w:rsidR="00D322FB" w:rsidRPr="003859B1" w:rsidRDefault="00D322FB" w:rsidP="00BE1B0F">
            <w:pPr>
              <w:autoSpaceDE w:val="0"/>
              <w:autoSpaceDN w:val="0"/>
              <w:adjustRightInd w:val="0"/>
              <w:jc w:val="right"/>
              <w:rPr>
                <w:rFonts w:ascii="Arial" w:hAnsi="Arial" w:cs="Arial"/>
                <w:lang w:val="tr-TR"/>
              </w:rPr>
            </w:pPr>
            <w:r>
              <w:rPr>
                <w:rFonts w:ascii="Arial" w:hAnsi="Arial" w:cs="Arial"/>
                <w:lang w:val="tr-TR"/>
              </w:rPr>
              <w:t>31 Aralık 2014</w:t>
            </w:r>
          </w:p>
        </w:tc>
      </w:tr>
      <w:tr w:rsidR="00D322FB" w:rsidRPr="00727376" w:rsidTr="003859B1">
        <w:tc>
          <w:tcPr>
            <w:tcW w:w="5670" w:type="dxa"/>
            <w:tcBorders>
              <w:top w:val="single" w:sz="4" w:space="0" w:color="auto"/>
            </w:tcBorders>
          </w:tcPr>
          <w:p w:rsidR="00D322FB" w:rsidRPr="00727376" w:rsidRDefault="00D322FB" w:rsidP="00BE1B0F">
            <w:pPr>
              <w:autoSpaceDE w:val="0"/>
              <w:autoSpaceDN w:val="0"/>
              <w:adjustRightInd w:val="0"/>
              <w:ind w:left="-108"/>
              <w:jc w:val="both"/>
              <w:rPr>
                <w:rFonts w:ascii="Arial" w:hAnsi="Arial" w:cs="Arial"/>
                <w:highlight w:val="yellow"/>
                <w:lang w:val="tr-TR"/>
              </w:rPr>
            </w:pPr>
          </w:p>
        </w:tc>
        <w:tc>
          <w:tcPr>
            <w:tcW w:w="1890" w:type="dxa"/>
            <w:tcBorders>
              <w:top w:val="single" w:sz="4" w:space="0" w:color="auto"/>
            </w:tcBorders>
            <w:vAlign w:val="center"/>
          </w:tcPr>
          <w:p w:rsidR="00D322FB" w:rsidRPr="00AE202B" w:rsidRDefault="00D322FB" w:rsidP="00BE1B0F">
            <w:pPr>
              <w:autoSpaceDE w:val="0"/>
              <w:autoSpaceDN w:val="0"/>
              <w:adjustRightInd w:val="0"/>
              <w:jc w:val="right"/>
              <w:rPr>
                <w:rFonts w:ascii="Arial" w:hAnsi="Arial" w:cs="Arial"/>
                <w:b/>
                <w:lang w:val="tr-TR"/>
              </w:rPr>
            </w:pPr>
          </w:p>
        </w:tc>
        <w:tc>
          <w:tcPr>
            <w:tcW w:w="1980" w:type="dxa"/>
            <w:tcBorders>
              <w:top w:val="single" w:sz="4" w:space="0" w:color="auto"/>
            </w:tcBorders>
            <w:vAlign w:val="center"/>
          </w:tcPr>
          <w:p w:rsidR="00D322FB" w:rsidRPr="003859B1" w:rsidRDefault="00D322FB" w:rsidP="00BE1B0F">
            <w:pPr>
              <w:autoSpaceDE w:val="0"/>
              <w:autoSpaceDN w:val="0"/>
              <w:adjustRightInd w:val="0"/>
              <w:jc w:val="right"/>
              <w:rPr>
                <w:rFonts w:ascii="Arial" w:hAnsi="Arial" w:cs="Arial"/>
                <w:lang w:val="tr-TR"/>
              </w:rPr>
            </w:pPr>
          </w:p>
        </w:tc>
      </w:tr>
      <w:tr w:rsidR="00D322FB" w:rsidRPr="00727376" w:rsidTr="003859B1">
        <w:tc>
          <w:tcPr>
            <w:tcW w:w="5670" w:type="dxa"/>
          </w:tcPr>
          <w:p w:rsidR="00D322FB" w:rsidRPr="003859B1" w:rsidRDefault="00D322FB" w:rsidP="006F2183">
            <w:pPr>
              <w:autoSpaceDE w:val="0"/>
              <w:autoSpaceDN w:val="0"/>
              <w:adjustRightInd w:val="0"/>
              <w:ind w:left="-108"/>
              <w:jc w:val="both"/>
              <w:rPr>
                <w:rFonts w:ascii="Arial" w:hAnsi="Arial" w:cs="Arial"/>
                <w:lang w:val="tr-TR"/>
              </w:rPr>
            </w:pPr>
            <w:r>
              <w:rPr>
                <w:rFonts w:ascii="Arial" w:hAnsi="Arial" w:cs="Arial"/>
                <w:lang w:val="tr-TR"/>
              </w:rPr>
              <w:t xml:space="preserve">Diğer borçlar </w:t>
            </w:r>
          </w:p>
        </w:tc>
        <w:tc>
          <w:tcPr>
            <w:tcW w:w="1890" w:type="dxa"/>
            <w:vAlign w:val="bottom"/>
          </w:tcPr>
          <w:p w:rsidR="00D322FB" w:rsidRPr="00AE202B" w:rsidRDefault="00D322FB" w:rsidP="004B7752">
            <w:pPr>
              <w:jc w:val="right"/>
              <w:rPr>
                <w:rFonts w:ascii="Arial" w:hAnsi="Arial" w:cs="Arial"/>
                <w:b/>
                <w:bCs/>
                <w:color w:val="000000"/>
              </w:rPr>
            </w:pPr>
            <w:r w:rsidRPr="00AE202B">
              <w:rPr>
                <w:rFonts w:ascii="Arial" w:hAnsi="Arial" w:cs="Arial"/>
                <w:b/>
                <w:bCs/>
                <w:color w:val="000000"/>
              </w:rPr>
              <w:t xml:space="preserve">              1</w:t>
            </w:r>
            <w:r w:rsidR="004B7752">
              <w:rPr>
                <w:rFonts w:ascii="Arial" w:hAnsi="Arial" w:cs="Arial"/>
                <w:b/>
                <w:bCs/>
                <w:color w:val="000000"/>
              </w:rPr>
              <w:t>8.491</w:t>
            </w:r>
            <w:r w:rsidRPr="00AE202B">
              <w:rPr>
                <w:rFonts w:ascii="Arial" w:hAnsi="Arial" w:cs="Arial"/>
                <w:b/>
                <w:bCs/>
                <w:color w:val="000000"/>
              </w:rPr>
              <w:t xml:space="preserve"> </w:t>
            </w:r>
          </w:p>
        </w:tc>
        <w:tc>
          <w:tcPr>
            <w:tcW w:w="1980" w:type="dxa"/>
            <w:vAlign w:val="bottom"/>
          </w:tcPr>
          <w:p w:rsidR="00D322FB" w:rsidRPr="003859B1" w:rsidRDefault="00D322FB" w:rsidP="001A0C62">
            <w:pPr>
              <w:jc w:val="right"/>
              <w:rPr>
                <w:rFonts w:ascii="Arial" w:hAnsi="Arial" w:cs="Arial"/>
              </w:rPr>
            </w:pPr>
            <w:r>
              <w:rPr>
                <w:rFonts w:ascii="Arial" w:hAnsi="Arial" w:cs="Arial"/>
              </w:rPr>
              <w:t>16</w:t>
            </w:r>
            <w:r w:rsidRPr="003859B1">
              <w:rPr>
                <w:rFonts w:ascii="Arial" w:hAnsi="Arial" w:cs="Arial"/>
              </w:rPr>
              <w:t>.</w:t>
            </w:r>
            <w:r>
              <w:rPr>
                <w:rFonts w:ascii="Arial" w:hAnsi="Arial" w:cs="Arial"/>
              </w:rPr>
              <w:t>105</w:t>
            </w:r>
          </w:p>
        </w:tc>
      </w:tr>
      <w:tr w:rsidR="00D322FB" w:rsidRPr="00727376" w:rsidTr="003859B1">
        <w:tc>
          <w:tcPr>
            <w:tcW w:w="5670" w:type="dxa"/>
            <w:tcBorders>
              <w:bottom w:val="single" w:sz="8" w:space="0" w:color="auto"/>
            </w:tcBorders>
          </w:tcPr>
          <w:p w:rsidR="00D322FB" w:rsidRPr="003859B1" w:rsidRDefault="00D322FB" w:rsidP="00BE1B0F">
            <w:pPr>
              <w:autoSpaceDE w:val="0"/>
              <w:autoSpaceDN w:val="0"/>
              <w:adjustRightInd w:val="0"/>
              <w:ind w:left="-108"/>
              <w:jc w:val="both"/>
              <w:rPr>
                <w:rFonts w:ascii="Arial" w:hAnsi="Arial" w:cs="Arial"/>
                <w:lang w:val="tr-TR"/>
              </w:rPr>
            </w:pPr>
          </w:p>
        </w:tc>
        <w:tc>
          <w:tcPr>
            <w:tcW w:w="1890" w:type="dxa"/>
            <w:tcBorders>
              <w:bottom w:val="single" w:sz="8" w:space="0" w:color="auto"/>
            </w:tcBorders>
            <w:vAlign w:val="bottom"/>
          </w:tcPr>
          <w:p w:rsidR="00D322FB" w:rsidRPr="00AE202B" w:rsidRDefault="00D322FB">
            <w:pPr>
              <w:jc w:val="right"/>
              <w:rPr>
                <w:rFonts w:ascii="Arial" w:hAnsi="Arial" w:cs="Arial"/>
                <w:b/>
                <w:bCs/>
                <w:color w:val="000000"/>
              </w:rPr>
            </w:pPr>
            <w:r w:rsidRPr="00AE202B">
              <w:rPr>
                <w:rFonts w:ascii="Arial" w:hAnsi="Arial" w:cs="Arial"/>
                <w:b/>
                <w:bCs/>
                <w:color w:val="000000"/>
              </w:rPr>
              <w:t> </w:t>
            </w:r>
          </w:p>
        </w:tc>
        <w:tc>
          <w:tcPr>
            <w:tcW w:w="1980" w:type="dxa"/>
            <w:tcBorders>
              <w:bottom w:val="single" w:sz="8" w:space="0" w:color="auto"/>
            </w:tcBorders>
            <w:vAlign w:val="bottom"/>
          </w:tcPr>
          <w:p w:rsidR="00D322FB" w:rsidRPr="003859B1" w:rsidRDefault="00D322FB" w:rsidP="001A0C62">
            <w:pPr>
              <w:jc w:val="right"/>
              <w:rPr>
                <w:rFonts w:ascii="Arial" w:hAnsi="Arial" w:cs="Arial"/>
              </w:rPr>
            </w:pPr>
          </w:p>
        </w:tc>
      </w:tr>
      <w:tr w:rsidR="00D322FB" w:rsidRPr="00727376" w:rsidTr="003859B1">
        <w:tc>
          <w:tcPr>
            <w:tcW w:w="5670" w:type="dxa"/>
            <w:tcBorders>
              <w:top w:val="single" w:sz="8" w:space="0" w:color="auto"/>
              <w:bottom w:val="double" w:sz="4" w:space="0" w:color="auto"/>
            </w:tcBorders>
          </w:tcPr>
          <w:p w:rsidR="00D322FB" w:rsidRPr="003859B1" w:rsidRDefault="00D322FB" w:rsidP="00BE1B0F">
            <w:pPr>
              <w:autoSpaceDE w:val="0"/>
              <w:autoSpaceDN w:val="0"/>
              <w:adjustRightInd w:val="0"/>
              <w:jc w:val="both"/>
              <w:rPr>
                <w:rFonts w:ascii="Arial" w:hAnsi="Arial" w:cs="Arial"/>
                <w:lang w:val="tr-TR"/>
              </w:rPr>
            </w:pPr>
            <w:r w:rsidRPr="003859B1">
              <w:rPr>
                <w:rFonts w:ascii="Arial" w:hAnsi="Arial" w:cs="Arial"/>
                <w:b/>
                <w:lang w:val="tr-TR"/>
              </w:rPr>
              <w:t>Toplam</w:t>
            </w:r>
          </w:p>
        </w:tc>
        <w:tc>
          <w:tcPr>
            <w:tcW w:w="1890" w:type="dxa"/>
            <w:tcBorders>
              <w:top w:val="single" w:sz="8" w:space="0" w:color="auto"/>
              <w:bottom w:val="double" w:sz="4" w:space="0" w:color="auto"/>
            </w:tcBorders>
            <w:vAlign w:val="bottom"/>
          </w:tcPr>
          <w:p w:rsidR="00D322FB" w:rsidRPr="00AE202B" w:rsidRDefault="004B7752">
            <w:pPr>
              <w:jc w:val="right"/>
              <w:rPr>
                <w:rFonts w:ascii="Arial" w:hAnsi="Arial" w:cs="Arial"/>
                <w:b/>
                <w:bCs/>
                <w:color w:val="000000"/>
              </w:rPr>
            </w:pPr>
            <w:r>
              <w:rPr>
                <w:rFonts w:ascii="Arial" w:hAnsi="Arial" w:cs="Arial"/>
                <w:b/>
                <w:bCs/>
                <w:color w:val="000000"/>
              </w:rPr>
              <w:t>18.491</w:t>
            </w:r>
          </w:p>
        </w:tc>
        <w:tc>
          <w:tcPr>
            <w:tcW w:w="1980" w:type="dxa"/>
            <w:tcBorders>
              <w:top w:val="single" w:sz="8" w:space="0" w:color="auto"/>
              <w:bottom w:val="double" w:sz="4" w:space="0" w:color="auto"/>
            </w:tcBorders>
            <w:vAlign w:val="bottom"/>
          </w:tcPr>
          <w:p w:rsidR="00D322FB" w:rsidRPr="003859B1" w:rsidRDefault="00D322FB" w:rsidP="001A0C62">
            <w:pPr>
              <w:jc w:val="right"/>
              <w:rPr>
                <w:rFonts w:ascii="Arial" w:hAnsi="Arial" w:cs="Arial"/>
                <w:lang w:val="tr-TR"/>
              </w:rPr>
            </w:pPr>
            <w:r>
              <w:rPr>
                <w:rFonts w:ascii="Arial" w:hAnsi="Arial" w:cs="Arial"/>
                <w:lang w:val="tr-TR"/>
              </w:rPr>
              <w:t>16.105</w:t>
            </w:r>
          </w:p>
        </w:tc>
      </w:tr>
    </w:tbl>
    <w:p w:rsidR="00D322FB" w:rsidRPr="00727376" w:rsidRDefault="00D322FB" w:rsidP="002D74CC">
      <w:pPr>
        <w:pStyle w:val="body0"/>
        <w:tabs>
          <w:tab w:val="left" w:pos="567"/>
        </w:tabs>
        <w:spacing w:after="0" w:line="240" w:lineRule="auto"/>
        <w:rPr>
          <w:rFonts w:ascii="Arial" w:hAnsi="Arial" w:cs="Arial"/>
          <w:b/>
          <w:bCs/>
          <w:noProof/>
          <w:sz w:val="20"/>
          <w:szCs w:val="20"/>
          <w:highlight w:val="yellow"/>
          <w:lang w:val="tr-TR"/>
        </w:rPr>
      </w:pPr>
    </w:p>
    <w:p w:rsidR="00D322FB" w:rsidRPr="00AE202B" w:rsidRDefault="00D322FB" w:rsidP="005C3EEB">
      <w:pPr>
        <w:pStyle w:val="BodyText"/>
        <w:outlineLvl w:val="0"/>
        <w:rPr>
          <w:rFonts w:ascii="Arial" w:hAnsi="Arial" w:cs="Arial"/>
          <w:b/>
          <w:sz w:val="20"/>
        </w:rPr>
      </w:pPr>
      <w:r w:rsidRPr="00AE202B">
        <w:rPr>
          <w:rFonts w:ascii="Arial" w:hAnsi="Arial" w:cs="Arial"/>
          <w:b/>
          <w:sz w:val="20"/>
        </w:rPr>
        <w:t>10</w:t>
      </w:r>
      <w:r w:rsidRPr="00AE202B">
        <w:rPr>
          <w:rFonts w:ascii="Arial" w:hAnsi="Arial" w:cs="Arial"/>
          <w:sz w:val="20"/>
        </w:rPr>
        <w:t>.</w:t>
      </w:r>
      <w:r w:rsidRPr="00AE202B">
        <w:rPr>
          <w:rFonts w:ascii="Arial" w:hAnsi="Arial" w:cs="Arial"/>
          <w:sz w:val="20"/>
        </w:rPr>
        <w:tab/>
      </w:r>
      <w:r w:rsidRPr="00AE202B">
        <w:rPr>
          <w:rFonts w:ascii="Arial" w:hAnsi="Arial" w:cs="Arial"/>
          <w:b/>
          <w:sz w:val="20"/>
        </w:rPr>
        <w:t xml:space="preserve">Maddi duran varlıklar </w:t>
      </w:r>
    </w:p>
    <w:p w:rsidR="00D322FB" w:rsidRPr="00AE202B" w:rsidRDefault="00D322FB" w:rsidP="00D9040F">
      <w:pPr>
        <w:pStyle w:val="000normal"/>
        <w:autoSpaceDE w:val="0"/>
        <w:autoSpaceDN w:val="0"/>
        <w:adjustRightInd w:val="0"/>
        <w:spacing w:before="0" w:after="0" w:afterAutospacing="0"/>
        <w:ind w:right="-327"/>
        <w:rPr>
          <w:lang w:val="tr-TR"/>
        </w:rPr>
      </w:pPr>
    </w:p>
    <w:p w:rsidR="00D322FB" w:rsidRPr="00AE202B" w:rsidRDefault="006F2183" w:rsidP="00FF7F24">
      <w:pPr>
        <w:pStyle w:val="body0"/>
        <w:spacing w:after="0" w:line="230" w:lineRule="auto"/>
        <w:jc w:val="left"/>
        <w:rPr>
          <w:rFonts w:ascii="Arial" w:hAnsi="Arial" w:cs="Arial"/>
          <w:sz w:val="20"/>
          <w:szCs w:val="20"/>
          <w:lang w:val="tr-TR"/>
        </w:rPr>
      </w:pPr>
      <w:r>
        <w:rPr>
          <w:rFonts w:ascii="Arial" w:hAnsi="Arial" w:cs="Arial"/>
          <w:sz w:val="20"/>
          <w:szCs w:val="20"/>
          <w:lang w:val="tr-TR"/>
        </w:rPr>
        <w:t>31 Mart</w:t>
      </w:r>
      <w:r w:rsidRPr="00776A7A">
        <w:rPr>
          <w:rFonts w:ascii="Arial" w:hAnsi="Arial" w:cs="Arial"/>
          <w:sz w:val="20"/>
          <w:szCs w:val="20"/>
          <w:lang w:val="tr-TR"/>
        </w:rPr>
        <w:t xml:space="preserve"> 201</w:t>
      </w:r>
      <w:r>
        <w:rPr>
          <w:rFonts w:ascii="Arial" w:hAnsi="Arial" w:cs="Arial"/>
          <w:sz w:val="20"/>
          <w:szCs w:val="20"/>
          <w:lang w:val="tr-TR"/>
        </w:rPr>
        <w:t>5 ve 31 Aralık 2014</w:t>
      </w:r>
      <w:r w:rsidRPr="00776A7A">
        <w:rPr>
          <w:rFonts w:ascii="Arial" w:hAnsi="Arial" w:cs="Arial"/>
          <w:sz w:val="20"/>
          <w:szCs w:val="20"/>
          <w:lang w:val="tr-TR"/>
        </w:rPr>
        <w:t xml:space="preserve">  </w:t>
      </w:r>
      <w:r w:rsidR="00D322FB" w:rsidRPr="00AE202B">
        <w:rPr>
          <w:rFonts w:ascii="Arial" w:hAnsi="Arial" w:cs="Arial"/>
          <w:sz w:val="20"/>
          <w:szCs w:val="20"/>
          <w:lang w:val="tr-TR"/>
        </w:rPr>
        <w:t xml:space="preserve">tarihi </w:t>
      </w:r>
      <w:r w:rsidR="00D322FB">
        <w:rPr>
          <w:rFonts w:ascii="Arial" w:hAnsi="Arial" w:cs="Arial"/>
          <w:sz w:val="20"/>
          <w:szCs w:val="20"/>
          <w:lang w:val="tr-TR"/>
        </w:rPr>
        <w:t>itibariyle</w:t>
      </w:r>
      <w:r w:rsidR="00D322FB" w:rsidRPr="00AE202B">
        <w:rPr>
          <w:rFonts w:ascii="Arial" w:hAnsi="Arial" w:cs="Arial"/>
          <w:sz w:val="20"/>
          <w:szCs w:val="20"/>
          <w:lang w:val="tr-TR"/>
        </w:rPr>
        <w:t xml:space="preserve"> maddi duran varlıklarda gerçekleşen hareketler aşağıdaki gibidir:</w:t>
      </w:r>
    </w:p>
    <w:p w:rsidR="00C12EB4" w:rsidRDefault="00C12EB4" w:rsidP="00D9040F">
      <w:pPr>
        <w:pStyle w:val="000normal"/>
        <w:autoSpaceDE w:val="0"/>
        <w:autoSpaceDN w:val="0"/>
        <w:adjustRightInd w:val="0"/>
        <w:spacing w:before="0" w:after="0" w:afterAutospacing="0"/>
        <w:ind w:right="-327"/>
        <w:rPr>
          <w:b/>
          <w:lang w:val="tr-TR"/>
        </w:rPr>
      </w:pPr>
    </w:p>
    <w:p w:rsidR="00C12EB4" w:rsidRDefault="00C12EB4" w:rsidP="00D9040F">
      <w:pPr>
        <w:pStyle w:val="000normal"/>
        <w:autoSpaceDE w:val="0"/>
        <w:autoSpaceDN w:val="0"/>
        <w:adjustRightInd w:val="0"/>
        <w:spacing w:before="0" w:after="0" w:afterAutospacing="0"/>
        <w:ind w:right="-327"/>
        <w:rPr>
          <w:b/>
          <w:lang w:val="tr-TR"/>
        </w:rPr>
      </w:pPr>
    </w:p>
    <w:p w:rsidR="00C12EB4" w:rsidRDefault="00C12EB4" w:rsidP="00D9040F">
      <w:pPr>
        <w:pStyle w:val="000normal"/>
        <w:autoSpaceDE w:val="0"/>
        <w:autoSpaceDN w:val="0"/>
        <w:adjustRightInd w:val="0"/>
        <w:spacing w:before="0" w:after="0" w:afterAutospacing="0"/>
        <w:ind w:right="-327"/>
        <w:rPr>
          <w:b/>
          <w:lang w:val="tr-TR"/>
        </w:rPr>
      </w:pPr>
    </w:p>
    <w:p w:rsidR="00D322FB" w:rsidRDefault="00660A69" w:rsidP="00D9040F">
      <w:pPr>
        <w:pStyle w:val="000normal"/>
        <w:autoSpaceDE w:val="0"/>
        <w:autoSpaceDN w:val="0"/>
        <w:adjustRightInd w:val="0"/>
        <w:spacing w:before="0" w:after="0" w:afterAutospacing="0"/>
        <w:ind w:right="-327"/>
        <w:rPr>
          <w:b/>
          <w:lang w:val="tr-TR"/>
        </w:rPr>
      </w:pPr>
      <w:r w:rsidRPr="00AE202B">
        <w:rPr>
          <w:b/>
          <w:lang w:val="tr-TR"/>
        </w:rPr>
        <w:t xml:space="preserve">31 </w:t>
      </w:r>
      <w:r>
        <w:rPr>
          <w:b/>
          <w:lang w:val="tr-TR"/>
        </w:rPr>
        <w:t>Mart 2015</w:t>
      </w:r>
    </w:p>
    <w:p w:rsidR="00660A69" w:rsidRDefault="00660A69" w:rsidP="00D9040F">
      <w:pPr>
        <w:pStyle w:val="000normal"/>
        <w:autoSpaceDE w:val="0"/>
        <w:autoSpaceDN w:val="0"/>
        <w:adjustRightInd w:val="0"/>
        <w:spacing w:before="0" w:after="0" w:afterAutospacing="0"/>
        <w:ind w:right="-327"/>
        <w:rPr>
          <w:b/>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4253"/>
        <w:gridCol w:w="1276"/>
        <w:gridCol w:w="1417"/>
        <w:gridCol w:w="1134"/>
        <w:gridCol w:w="992"/>
      </w:tblGrid>
      <w:tr w:rsidR="00D322FB" w:rsidRPr="00AE202B" w:rsidTr="001A0C62">
        <w:trPr>
          <w:trHeight w:val="113"/>
        </w:trPr>
        <w:tc>
          <w:tcPr>
            <w:tcW w:w="4253" w:type="dxa"/>
            <w:tcBorders>
              <w:top w:val="single" w:sz="4" w:space="0" w:color="auto"/>
              <w:bottom w:val="single" w:sz="4" w:space="0" w:color="auto"/>
            </w:tcBorders>
            <w:vAlign w:val="bottom"/>
          </w:tcPr>
          <w:p w:rsidR="00D322FB" w:rsidRPr="00AE202B" w:rsidRDefault="00D322FB" w:rsidP="001A0C62">
            <w:pPr>
              <w:rPr>
                <w:rFonts w:ascii="Arial" w:hAnsi="Arial" w:cs="Arial"/>
                <w:sz w:val="18"/>
                <w:lang w:val="tr-TR"/>
              </w:rPr>
            </w:pPr>
          </w:p>
          <w:p w:rsidR="00D322FB" w:rsidRPr="00AE202B" w:rsidRDefault="00D322FB" w:rsidP="001A0C62">
            <w:pPr>
              <w:rPr>
                <w:rFonts w:ascii="Arial" w:hAnsi="Arial" w:cs="Arial"/>
                <w:sz w:val="18"/>
                <w:lang w:val="tr-TR"/>
              </w:rPr>
            </w:pPr>
          </w:p>
        </w:tc>
        <w:tc>
          <w:tcPr>
            <w:tcW w:w="1276" w:type="dxa"/>
            <w:tcBorders>
              <w:top w:val="single" w:sz="4" w:space="0" w:color="auto"/>
              <w:bottom w:val="single" w:sz="4" w:space="0" w:color="auto"/>
            </w:tcBorders>
            <w:vAlign w:val="bottom"/>
          </w:tcPr>
          <w:p w:rsidR="00D322FB" w:rsidRPr="00AE202B" w:rsidRDefault="00D322FB" w:rsidP="001A0C62">
            <w:pPr>
              <w:ind w:right="47"/>
              <w:jc w:val="right"/>
              <w:rPr>
                <w:rFonts w:ascii="Arial" w:hAnsi="Arial" w:cs="Arial"/>
                <w:b/>
                <w:sz w:val="18"/>
                <w:lang w:val="tr-TR"/>
              </w:rPr>
            </w:pPr>
            <w:r w:rsidRPr="00AE202B">
              <w:rPr>
                <w:rFonts w:ascii="Arial" w:hAnsi="Arial" w:cs="Arial"/>
                <w:b/>
                <w:sz w:val="18"/>
                <w:lang w:val="tr-TR"/>
              </w:rPr>
              <w:t>Makine ve cihazlar</w:t>
            </w:r>
          </w:p>
        </w:tc>
        <w:tc>
          <w:tcPr>
            <w:tcW w:w="1417" w:type="dxa"/>
            <w:tcBorders>
              <w:top w:val="single" w:sz="4" w:space="0" w:color="auto"/>
              <w:bottom w:val="single" w:sz="4" w:space="0" w:color="auto"/>
            </w:tcBorders>
            <w:vAlign w:val="bottom"/>
          </w:tcPr>
          <w:p w:rsidR="00D322FB" w:rsidRPr="00AE202B" w:rsidRDefault="00D322FB" w:rsidP="001A0C62">
            <w:pPr>
              <w:jc w:val="right"/>
              <w:rPr>
                <w:rFonts w:ascii="Arial" w:hAnsi="Arial" w:cs="Arial"/>
                <w:b/>
                <w:sz w:val="18"/>
                <w:lang w:val="tr-TR"/>
              </w:rPr>
            </w:pPr>
            <w:r w:rsidRPr="00AE202B">
              <w:rPr>
                <w:rFonts w:ascii="Arial" w:hAnsi="Arial" w:cs="Arial"/>
                <w:b/>
                <w:sz w:val="18"/>
                <w:lang w:val="tr-TR"/>
              </w:rPr>
              <w:t>Döşeme ve demirbaşlar</w:t>
            </w:r>
          </w:p>
        </w:tc>
        <w:tc>
          <w:tcPr>
            <w:tcW w:w="1134" w:type="dxa"/>
            <w:tcBorders>
              <w:top w:val="single" w:sz="4" w:space="0" w:color="auto"/>
              <w:bottom w:val="single" w:sz="4" w:space="0" w:color="auto"/>
            </w:tcBorders>
            <w:vAlign w:val="bottom"/>
          </w:tcPr>
          <w:p w:rsidR="00D322FB" w:rsidRPr="00AE202B" w:rsidRDefault="00D322FB" w:rsidP="001A0C62">
            <w:pPr>
              <w:jc w:val="right"/>
              <w:rPr>
                <w:rFonts w:ascii="Arial" w:hAnsi="Arial" w:cs="Arial"/>
                <w:b/>
                <w:sz w:val="18"/>
                <w:lang w:val="tr-TR"/>
              </w:rPr>
            </w:pPr>
            <w:r w:rsidRPr="00AE202B">
              <w:rPr>
                <w:rFonts w:ascii="Arial" w:hAnsi="Arial" w:cs="Arial"/>
                <w:b/>
                <w:sz w:val="18"/>
                <w:lang w:val="tr-TR"/>
              </w:rPr>
              <w:t>Özel maliyetler</w:t>
            </w:r>
          </w:p>
        </w:tc>
        <w:tc>
          <w:tcPr>
            <w:tcW w:w="992" w:type="dxa"/>
            <w:tcBorders>
              <w:top w:val="single" w:sz="4" w:space="0" w:color="auto"/>
              <w:bottom w:val="single" w:sz="4" w:space="0" w:color="auto"/>
            </w:tcBorders>
            <w:vAlign w:val="bottom"/>
          </w:tcPr>
          <w:p w:rsidR="00D322FB" w:rsidRPr="00AE202B" w:rsidRDefault="00D322FB" w:rsidP="001A0C62">
            <w:pPr>
              <w:jc w:val="right"/>
              <w:rPr>
                <w:rFonts w:ascii="Arial" w:hAnsi="Arial" w:cs="Arial"/>
                <w:b/>
                <w:sz w:val="18"/>
                <w:lang w:val="tr-TR"/>
              </w:rPr>
            </w:pPr>
          </w:p>
          <w:p w:rsidR="00D322FB" w:rsidRPr="00AE202B" w:rsidRDefault="00D322FB" w:rsidP="001A0C62">
            <w:pPr>
              <w:jc w:val="right"/>
              <w:rPr>
                <w:rFonts w:ascii="Arial" w:hAnsi="Arial" w:cs="Arial"/>
                <w:b/>
                <w:sz w:val="18"/>
                <w:lang w:val="tr-TR"/>
              </w:rPr>
            </w:pPr>
            <w:r w:rsidRPr="00AE202B">
              <w:rPr>
                <w:rFonts w:ascii="Arial" w:hAnsi="Arial" w:cs="Arial"/>
                <w:b/>
                <w:sz w:val="18"/>
                <w:lang w:val="tr-TR"/>
              </w:rPr>
              <w:t>Toplam</w:t>
            </w:r>
          </w:p>
        </w:tc>
      </w:tr>
      <w:tr w:rsidR="00D322FB" w:rsidRPr="00AE202B" w:rsidTr="001A0C62">
        <w:trPr>
          <w:trHeight w:val="113"/>
        </w:trPr>
        <w:tc>
          <w:tcPr>
            <w:tcW w:w="4253" w:type="dxa"/>
            <w:tcBorders>
              <w:top w:val="single" w:sz="4" w:space="0" w:color="auto"/>
            </w:tcBorders>
            <w:vAlign w:val="bottom"/>
          </w:tcPr>
          <w:p w:rsidR="00D322FB" w:rsidRPr="00AE202B" w:rsidRDefault="00D322FB" w:rsidP="001A0C62">
            <w:pPr>
              <w:rPr>
                <w:rFonts w:ascii="Arial" w:hAnsi="Arial" w:cs="Arial"/>
                <w:sz w:val="18"/>
                <w:lang w:val="tr-TR"/>
              </w:rPr>
            </w:pPr>
          </w:p>
        </w:tc>
        <w:tc>
          <w:tcPr>
            <w:tcW w:w="1276" w:type="dxa"/>
            <w:tcBorders>
              <w:top w:val="single" w:sz="4" w:space="0" w:color="auto"/>
            </w:tcBorders>
            <w:vAlign w:val="bottom"/>
          </w:tcPr>
          <w:p w:rsidR="00D322FB" w:rsidRPr="00AE202B" w:rsidRDefault="00D322FB" w:rsidP="001A0C62">
            <w:pPr>
              <w:ind w:right="47"/>
              <w:jc w:val="right"/>
              <w:rPr>
                <w:rFonts w:ascii="Arial" w:hAnsi="Arial" w:cs="Arial"/>
                <w:b/>
                <w:sz w:val="18"/>
                <w:lang w:val="tr-TR"/>
              </w:rPr>
            </w:pPr>
          </w:p>
        </w:tc>
        <w:tc>
          <w:tcPr>
            <w:tcW w:w="1417" w:type="dxa"/>
            <w:tcBorders>
              <w:top w:val="single" w:sz="4" w:space="0" w:color="auto"/>
            </w:tcBorders>
            <w:vAlign w:val="bottom"/>
          </w:tcPr>
          <w:p w:rsidR="00D322FB" w:rsidRPr="00AE202B" w:rsidRDefault="00D322FB" w:rsidP="001A0C62">
            <w:pPr>
              <w:ind w:right="47"/>
              <w:jc w:val="right"/>
              <w:rPr>
                <w:rFonts w:ascii="Arial" w:hAnsi="Arial" w:cs="Arial"/>
                <w:b/>
                <w:sz w:val="18"/>
                <w:lang w:val="tr-TR"/>
              </w:rPr>
            </w:pPr>
          </w:p>
        </w:tc>
        <w:tc>
          <w:tcPr>
            <w:tcW w:w="1134" w:type="dxa"/>
            <w:tcBorders>
              <w:top w:val="single" w:sz="4" w:space="0" w:color="auto"/>
            </w:tcBorders>
            <w:vAlign w:val="bottom"/>
          </w:tcPr>
          <w:p w:rsidR="00D322FB" w:rsidRPr="00AE202B" w:rsidRDefault="00D322FB" w:rsidP="001A0C62">
            <w:pPr>
              <w:ind w:right="47"/>
              <w:jc w:val="right"/>
              <w:rPr>
                <w:rFonts w:ascii="Arial" w:hAnsi="Arial" w:cs="Arial"/>
                <w:b/>
                <w:sz w:val="18"/>
                <w:lang w:val="tr-TR"/>
              </w:rPr>
            </w:pPr>
          </w:p>
        </w:tc>
        <w:tc>
          <w:tcPr>
            <w:tcW w:w="992" w:type="dxa"/>
            <w:tcBorders>
              <w:top w:val="single" w:sz="4" w:space="0" w:color="auto"/>
            </w:tcBorders>
            <w:vAlign w:val="bottom"/>
          </w:tcPr>
          <w:p w:rsidR="00D322FB" w:rsidRPr="00AE202B" w:rsidRDefault="00D322FB" w:rsidP="001A0C62">
            <w:pPr>
              <w:ind w:right="47"/>
              <w:jc w:val="right"/>
              <w:rPr>
                <w:rFonts w:ascii="Arial" w:hAnsi="Arial" w:cs="Arial"/>
                <w:b/>
                <w:sz w:val="18"/>
                <w:lang w:val="tr-TR"/>
              </w:rPr>
            </w:pPr>
          </w:p>
        </w:tc>
      </w:tr>
      <w:tr w:rsidR="00D322FB" w:rsidRPr="00AE202B" w:rsidTr="001A0C62">
        <w:trPr>
          <w:trHeight w:val="113"/>
        </w:trPr>
        <w:tc>
          <w:tcPr>
            <w:tcW w:w="4253" w:type="dxa"/>
            <w:vAlign w:val="bottom"/>
          </w:tcPr>
          <w:p w:rsidR="00D322FB" w:rsidRPr="00AE202B" w:rsidRDefault="00D322FB" w:rsidP="001A0C62">
            <w:pPr>
              <w:rPr>
                <w:rFonts w:ascii="Arial" w:hAnsi="Arial" w:cs="Arial"/>
                <w:b/>
                <w:sz w:val="18"/>
                <w:szCs w:val="22"/>
                <w:lang w:val="tr-TR"/>
              </w:rPr>
            </w:pPr>
            <w:r w:rsidRPr="00AE202B">
              <w:rPr>
                <w:rFonts w:ascii="Arial" w:hAnsi="Arial" w:cs="Arial"/>
                <w:b/>
                <w:sz w:val="18"/>
                <w:lang w:val="tr-TR"/>
              </w:rPr>
              <w:t>Maliyet değeri</w:t>
            </w:r>
          </w:p>
        </w:tc>
        <w:tc>
          <w:tcPr>
            <w:tcW w:w="1276" w:type="dxa"/>
            <w:vAlign w:val="bottom"/>
          </w:tcPr>
          <w:p w:rsidR="00D322FB" w:rsidRPr="00AE202B" w:rsidRDefault="00D322FB" w:rsidP="001A0C62">
            <w:pPr>
              <w:ind w:right="47"/>
              <w:jc w:val="right"/>
              <w:rPr>
                <w:rFonts w:ascii="Arial" w:hAnsi="Arial" w:cs="Arial"/>
                <w:b/>
                <w:sz w:val="18"/>
                <w:lang w:val="tr-TR"/>
              </w:rPr>
            </w:pPr>
          </w:p>
        </w:tc>
        <w:tc>
          <w:tcPr>
            <w:tcW w:w="1417" w:type="dxa"/>
            <w:vAlign w:val="bottom"/>
          </w:tcPr>
          <w:p w:rsidR="00D322FB" w:rsidRPr="00AE202B" w:rsidRDefault="00D322FB" w:rsidP="001A0C62">
            <w:pPr>
              <w:ind w:right="47"/>
              <w:jc w:val="right"/>
              <w:rPr>
                <w:rFonts w:ascii="Arial" w:hAnsi="Arial" w:cs="Arial"/>
                <w:b/>
                <w:sz w:val="18"/>
                <w:lang w:val="tr-TR"/>
              </w:rPr>
            </w:pPr>
          </w:p>
        </w:tc>
        <w:tc>
          <w:tcPr>
            <w:tcW w:w="1134" w:type="dxa"/>
            <w:vAlign w:val="bottom"/>
          </w:tcPr>
          <w:p w:rsidR="00D322FB" w:rsidRPr="00AE202B" w:rsidRDefault="00D322FB" w:rsidP="001A0C62">
            <w:pPr>
              <w:ind w:right="47"/>
              <w:jc w:val="right"/>
              <w:rPr>
                <w:rFonts w:ascii="Arial" w:hAnsi="Arial" w:cs="Arial"/>
                <w:b/>
                <w:sz w:val="18"/>
                <w:lang w:val="tr-TR"/>
              </w:rPr>
            </w:pPr>
          </w:p>
        </w:tc>
        <w:tc>
          <w:tcPr>
            <w:tcW w:w="992" w:type="dxa"/>
            <w:vAlign w:val="bottom"/>
          </w:tcPr>
          <w:p w:rsidR="00D322FB" w:rsidRPr="00AE202B" w:rsidRDefault="00D322FB" w:rsidP="001A0C62">
            <w:pPr>
              <w:ind w:right="47"/>
              <w:jc w:val="right"/>
              <w:rPr>
                <w:rFonts w:ascii="Arial" w:hAnsi="Arial" w:cs="Arial"/>
                <w:b/>
                <w:sz w:val="18"/>
                <w:lang w:val="tr-TR"/>
              </w:rPr>
            </w:pPr>
          </w:p>
        </w:tc>
      </w:tr>
      <w:tr w:rsidR="00D322FB" w:rsidRPr="00AE202B" w:rsidTr="00155F70">
        <w:trPr>
          <w:trHeight w:val="113"/>
        </w:trPr>
        <w:tc>
          <w:tcPr>
            <w:tcW w:w="4253" w:type="dxa"/>
            <w:vAlign w:val="bottom"/>
          </w:tcPr>
          <w:p w:rsidR="00D322FB" w:rsidRPr="00AE202B" w:rsidRDefault="00D322FB" w:rsidP="001A0C62">
            <w:pPr>
              <w:rPr>
                <w:rFonts w:ascii="Arial" w:hAnsi="Arial" w:cs="Arial"/>
                <w:b/>
                <w:sz w:val="18"/>
                <w:szCs w:val="22"/>
                <w:lang w:val="tr-TR"/>
              </w:rPr>
            </w:pPr>
            <w:r w:rsidRPr="00AE202B">
              <w:rPr>
                <w:rFonts w:ascii="Arial" w:hAnsi="Arial" w:cs="Arial"/>
                <w:b/>
                <w:sz w:val="18"/>
                <w:lang w:val="tr-TR"/>
              </w:rPr>
              <w:t>1 Ocak 201</w:t>
            </w:r>
            <w:r>
              <w:rPr>
                <w:rFonts w:ascii="Arial" w:hAnsi="Arial" w:cs="Arial"/>
                <w:b/>
                <w:sz w:val="18"/>
                <w:lang w:val="tr-TR"/>
              </w:rPr>
              <w:t>5</w:t>
            </w:r>
            <w:r w:rsidRPr="00AE202B">
              <w:rPr>
                <w:rFonts w:ascii="Arial" w:hAnsi="Arial" w:cs="Arial"/>
                <w:b/>
                <w:sz w:val="18"/>
                <w:lang w:val="tr-TR"/>
              </w:rPr>
              <w:t xml:space="preserve"> açılış bakiyesi</w:t>
            </w:r>
          </w:p>
        </w:tc>
        <w:tc>
          <w:tcPr>
            <w:tcW w:w="1276" w:type="dxa"/>
            <w:vAlign w:val="bottom"/>
          </w:tcPr>
          <w:p w:rsidR="00D322FB" w:rsidRDefault="00D322FB" w:rsidP="004B7752">
            <w:pPr>
              <w:jc w:val="right"/>
              <w:rPr>
                <w:rFonts w:ascii="Arial" w:hAnsi="Arial" w:cs="Arial"/>
                <w:b/>
                <w:bCs/>
                <w:color w:val="000000"/>
                <w:sz w:val="18"/>
                <w:szCs w:val="18"/>
              </w:rPr>
            </w:pPr>
            <w:r>
              <w:rPr>
                <w:rFonts w:ascii="Arial" w:hAnsi="Arial" w:cs="Arial"/>
                <w:b/>
                <w:bCs/>
                <w:color w:val="000000"/>
                <w:sz w:val="18"/>
                <w:szCs w:val="18"/>
              </w:rPr>
              <w:t>1</w:t>
            </w:r>
            <w:r w:rsidR="004B7752">
              <w:rPr>
                <w:rFonts w:ascii="Arial" w:hAnsi="Arial" w:cs="Arial"/>
                <w:b/>
                <w:bCs/>
                <w:color w:val="000000"/>
                <w:sz w:val="18"/>
                <w:szCs w:val="18"/>
              </w:rPr>
              <w:t>2</w:t>
            </w:r>
            <w:r>
              <w:rPr>
                <w:rFonts w:ascii="Arial" w:hAnsi="Arial" w:cs="Arial"/>
                <w:b/>
                <w:bCs/>
                <w:color w:val="000000"/>
                <w:sz w:val="18"/>
                <w:szCs w:val="18"/>
              </w:rPr>
              <w:t>.</w:t>
            </w:r>
            <w:r w:rsidR="004B7752">
              <w:rPr>
                <w:rFonts w:ascii="Arial" w:hAnsi="Arial" w:cs="Arial"/>
                <w:b/>
                <w:bCs/>
                <w:color w:val="000000"/>
                <w:sz w:val="18"/>
                <w:szCs w:val="18"/>
              </w:rPr>
              <w:t>586</w:t>
            </w:r>
            <w:r>
              <w:rPr>
                <w:rFonts w:ascii="Arial" w:hAnsi="Arial" w:cs="Arial"/>
                <w:b/>
                <w:bCs/>
                <w:color w:val="000000"/>
                <w:sz w:val="18"/>
                <w:szCs w:val="18"/>
              </w:rPr>
              <w:t xml:space="preserve"> </w:t>
            </w:r>
          </w:p>
        </w:tc>
        <w:tc>
          <w:tcPr>
            <w:tcW w:w="1417" w:type="dxa"/>
            <w:vAlign w:val="bottom"/>
          </w:tcPr>
          <w:p w:rsidR="00D322FB" w:rsidRDefault="00D322FB">
            <w:pPr>
              <w:jc w:val="right"/>
              <w:rPr>
                <w:rFonts w:ascii="Arial" w:hAnsi="Arial" w:cs="Arial"/>
                <w:b/>
                <w:bCs/>
                <w:color w:val="000000"/>
                <w:sz w:val="18"/>
                <w:szCs w:val="18"/>
              </w:rPr>
            </w:pPr>
            <w:r>
              <w:rPr>
                <w:rFonts w:ascii="Arial" w:hAnsi="Arial" w:cs="Arial"/>
                <w:b/>
                <w:bCs/>
                <w:color w:val="000000"/>
                <w:sz w:val="18"/>
                <w:szCs w:val="18"/>
              </w:rPr>
              <w:t xml:space="preserve">18.672 </w:t>
            </w:r>
          </w:p>
        </w:tc>
        <w:tc>
          <w:tcPr>
            <w:tcW w:w="1134" w:type="dxa"/>
            <w:vAlign w:val="bottom"/>
          </w:tcPr>
          <w:p w:rsidR="00D322FB" w:rsidRDefault="00D322FB">
            <w:pPr>
              <w:jc w:val="right"/>
              <w:rPr>
                <w:rFonts w:ascii="Arial" w:hAnsi="Arial" w:cs="Arial"/>
                <w:b/>
                <w:bCs/>
                <w:color w:val="000000"/>
                <w:sz w:val="18"/>
                <w:szCs w:val="18"/>
              </w:rPr>
            </w:pPr>
            <w:r>
              <w:rPr>
                <w:rFonts w:ascii="Arial" w:hAnsi="Arial" w:cs="Arial"/>
                <w:b/>
                <w:bCs/>
                <w:color w:val="000000"/>
                <w:sz w:val="18"/>
                <w:szCs w:val="18"/>
              </w:rPr>
              <w:t xml:space="preserve">52.909 </w:t>
            </w:r>
          </w:p>
        </w:tc>
        <w:tc>
          <w:tcPr>
            <w:tcW w:w="992" w:type="dxa"/>
            <w:vAlign w:val="bottom"/>
          </w:tcPr>
          <w:p w:rsidR="00D322FB" w:rsidRDefault="004B7752">
            <w:pPr>
              <w:jc w:val="right"/>
              <w:rPr>
                <w:rFonts w:ascii="Arial" w:hAnsi="Arial" w:cs="Arial"/>
                <w:b/>
                <w:bCs/>
                <w:color w:val="000000"/>
                <w:sz w:val="18"/>
                <w:szCs w:val="18"/>
              </w:rPr>
            </w:pPr>
            <w:r>
              <w:rPr>
                <w:rFonts w:ascii="Arial" w:hAnsi="Arial" w:cs="Arial"/>
                <w:b/>
                <w:bCs/>
                <w:color w:val="000000"/>
                <w:sz w:val="18"/>
                <w:szCs w:val="18"/>
              </w:rPr>
              <w:t>84.167</w:t>
            </w:r>
          </w:p>
        </w:tc>
      </w:tr>
      <w:tr w:rsidR="00D322FB" w:rsidRPr="00AE202B" w:rsidTr="00155F70">
        <w:trPr>
          <w:trHeight w:val="113"/>
        </w:trPr>
        <w:tc>
          <w:tcPr>
            <w:tcW w:w="4253" w:type="dxa"/>
            <w:vAlign w:val="bottom"/>
          </w:tcPr>
          <w:p w:rsidR="00D322FB" w:rsidRPr="00AE202B" w:rsidRDefault="00D322FB" w:rsidP="001A0C62">
            <w:pPr>
              <w:rPr>
                <w:rFonts w:ascii="Arial" w:hAnsi="Arial" w:cs="Arial"/>
                <w:b/>
                <w:sz w:val="18"/>
                <w:szCs w:val="22"/>
                <w:lang w:val="tr-TR"/>
              </w:rPr>
            </w:pPr>
            <w:r w:rsidRPr="00AE202B">
              <w:rPr>
                <w:rFonts w:ascii="Arial" w:hAnsi="Arial" w:cs="Arial"/>
                <w:b/>
                <w:sz w:val="18"/>
                <w:lang w:val="tr-TR"/>
              </w:rPr>
              <w:t>Alımlar</w:t>
            </w:r>
          </w:p>
        </w:tc>
        <w:tc>
          <w:tcPr>
            <w:tcW w:w="1276" w:type="dxa"/>
            <w:vAlign w:val="bottom"/>
          </w:tcPr>
          <w:p w:rsidR="00D322FB" w:rsidRDefault="004B7752" w:rsidP="00E5025F">
            <w:pPr>
              <w:jc w:val="right"/>
              <w:rPr>
                <w:rFonts w:ascii="Arial" w:hAnsi="Arial" w:cs="Arial"/>
                <w:b/>
                <w:bCs/>
                <w:color w:val="000000"/>
                <w:sz w:val="18"/>
                <w:szCs w:val="18"/>
              </w:rPr>
            </w:pPr>
            <w:r>
              <w:rPr>
                <w:rFonts w:ascii="Arial" w:hAnsi="Arial" w:cs="Arial"/>
                <w:b/>
                <w:bCs/>
                <w:color w:val="000000"/>
                <w:sz w:val="18"/>
                <w:szCs w:val="18"/>
              </w:rPr>
              <w:t>1.654</w:t>
            </w:r>
          </w:p>
        </w:tc>
        <w:tc>
          <w:tcPr>
            <w:tcW w:w="1417" w:type="dxa"/>
            <w:vAlign w:val="bottom"/>
          </w:tcPr>
          <w:p w:rsidR="00D322FB" w:rsidRDefault="00D322FB">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1134" w:type="dxa"/>
            <w:vAlign w:val="bottom"/>
          </w:tcPr>
          <w:p w:rsidR="00D322FB" w:rsidRDefault="00D322FB">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992" w:type="dxa"/>
            <w:vAlign w:val="bottom"/>
          </w:tcPr>
          <w:p w:rsidR="00D322FB" w:rsidRDefault="004B7752">
            <w:pPr>
              <w:jc w:val="right"/>
              <w:rPr>
                <w:rFonts w:ascii="Arial" w:hAnsi="Arial" w:cs="Arial"/>
                <w:b/>
                <w:bCs/>
                <w:color w:val="000000"/>
                <w:sz w:val="18"/>
                <w:szCs w:val="18"/>
              </w:rPr>
            </w:pPr>
            <w:r>
              <w:rPr>
                <w:rFonts w:ascii="Arial" w:hAnsi="Arial" w:cs="Arial"/>
                <w:b/>
                <w:bCs/>
                <w:color w:val="000000"/>
                <w:sz w:val="18"/>
                <w:szCs w:val="18"/>
              </w:rPr>
              <w:t>1.654</w:t>
            </w:r>
          </w:p>
        </w:tc>
      </w:tr>
      <w:tr w:rsidR="00D322FB" w:rsidRPr="00AE202B" w:rsidTr="00155F70">
        <w:trPr>
          <w:trHeight w:val="113"/>
        </w:trPr>
        <w:tc>
          <w:tcPr>
            <w:tcW w:w="4253" w:type="dxa"/>
            <w:tcBorders>
              <w:bottom w:val="single" w:sz="4" w:space="0" w:color="auto"/>
            </w:tcBorders>
            <w:vAlign w:val="bottom"/>
          </w:tcPr>
          <w:p w:rsidR="00D322FB" w:rsidRPr="00AE202B" w:rsidRDefault="00D322FB" w:rsidP="001A0C62">
            <w:pPr>
              <w:rPr>
                <w:rFonts w:ascii="Arial" w:hAnsi="Arial" w:cs="Arial"/>
                <w:b/>
                <w:sz w:val="18"/>
                <w:lang w:val="tr-TR"/>
              </w:rPr>
            </w:pPr>
          </w:p>
        </w:tc>
        <w:tc>
          <w:tcPr>
            <w:tcW w:w="1276" w:type="dxa"/>
            <w:tcBorders>
              <w:bottom w:val="single" w:sz="4" w:space="0" w:color="auto"/>
            </w:tcBorders>
            <w:vAlign w:val="bottom"/>
          </w:tcPr>
          <w:p w:rsidR="00D322FB" w:rsidRDefault="00D322FB" w:rsidP="00E5025F">
            <w:pPr>
              <w:jc w:val="right"/>
              <w:rPr>
                <w:rFonts w:ascii="Arial" w:hAnsi="Arial" w:cs="Arial"/>
                <w:b/>
                <w:bCs/>
                <w:color w:val="000000"/>
                <w:sz w:val="18"/>
                <w:szCs w:val="18"/>
              </w:rPr>
            </w:pPr>
          </w:p>
        </w:tc>
        <w:tc>
          <w:tcPr>
            <w:tcW w:w="1417" w:type="dxa"/>
            <w:tcBorders>
              <w:bottom w:val="single" w:sz="4" w:space="0" w:color="auto"/>
            </w:tcBorders>
            <w:vAlign w:val="bottom"/>
          </w:tcPr>
          <w:p w:rsidR="00D322FB" w:rsidRDefault="00D322FB">
            <w:pPr>
              <w:jc w:val="right"/>
              <w:rPr>
                <w:rFonts w:ascii="Arial" w:hAnsi="Arial" w:cs="Arial"/>
                <w:b/>
                <w:bCs/>
                <w:color w:val="000000"/>
                <w:sz w:val="18"/>
                <w:szCs w:val="18"/>
              </w:rPr>
            </w:pPr>
          </w:p>
        </w:tc>
        <w:tc>
          <w:tcPr>
            <w:tcW w:w="1134" w:type="dxa"/>
            <w:tcBorders>
              <w:bottom w:val="single" w:sz="4" w:space="0" w:color="auto"/>
            </w:tcBorders>
            <w:vAlign w:val="bottom"/>
          </w:tcPr>
          <w:p w:rsidR="00D322FB" w:rsidRDefault="00D322FB">
            <w:pPr>
              <w:jc w:val="right"/>
              <w:rPr>
                <w:rFonts w:ascii="Arial" w:hAnsi="Arial" w:cs="Arial"/>
                <w:b/>
                <w:bCs/>
                <w:color w:val="000000"/>
                <w:sz w:val="18"/>
                <w:szCs w:val="18"/>
              </w:rPr>
            </w:pPr>
          </w:p>
        </w:tc>
        <w:tc>
          <w:tcPr>
            <w:tcW w:w="992" w:type="dxa"/>
            <w:tcBorders>
              <w:bottom w:val="single" w:sz="4" w:space="0" w:color="auto"/>
            </w:tcBorders>
            <w:vAlign w:val="bottom"/>
          </w:tcPr>
          <w:p w:rsidR="00D322FB" w:rsidRDefault="00D322FB">
            <w:pPr>
              <w:jc w:val="right"/>
              <w:rPr>
                <w:rFonts w:ascii="Arial" w:hAnsi="Arial" w:cs="Arial"/>
                <w:b/>
                <w:bCs/>
                <w:color w:val="000000"/>
                <w:sz w:val="18"/>
                <w:szCs w:val="18"/>
              </w:rPr>
            </w:pPr>
          </w:p>
        </w:tc>
      </w:tr>
      <w:tr w:rsidR="00D322FB" w:rsidRPr="00AE202B" w:rsidTr="00155F70">
        <w:trPr>
          <w:trHeight w:val="113"/>
        </w:trPr>
        <w:tc>
          <w:tcPr>
            <w:tcW w:w="4253" w:type="dxa"/>
            <w:tcBorders>
              <w:top w:val="single" w:sz="4" w:space="0" w:color="auto"/>
              <w:bottom w:val="single" w:sz="4" w:space="0" w:color="auto"/>
            </w:tcBorders>
            <w:vAlign w:val="bottom"/>
          </w:tcPr>
          <w:p w:rsidR="00D322FB" w:rsidRPr="00AE202B" w:rsidRDefault="00D322FB" w:rsidP="007B153F">
            <w:pPr>
              <w:rPr>
                <w:rFonts w:ascii="Arial" w:hAnsi="Arial" w:cs="Arial"/>
                <w:b/>
                <w:sz w:val="18"/>
                <w:szCs w:val="22"/>
                <w:lang w:val="tr-TR"/>
              </w:rPr>
            </w:pPr>
            <w:r w:rsidRPr="00AE202B">
              <w:rPr>
                <w:rFonts w:ascii="Arial" w:hAnsi="Arial" w:cs="Arial"/>
                <w:b/>
                <w:sz w:val="18"/>
                <w:lang w:val="tr-TR"/>
              </w:rPr>
              <w:t xml:space="preserve">31 </w:t>
            </w:r>
            <w:r>
              <w:rPr>
                <w:rFonts w:ascii="Arial" w:hAnsi="Arial" w:cs="Arial"/>
                <w:b/>
                <w:sz w:val="18"/>
                <w:lang w:val="tr-TR"/>
              </w:rPr>
              <w:t>Mart 2015</w:t>
            </w:r>
            <w:r w:rsidRPr="00AE202B">
              <w:rPr>
                <w:rFonts w:ascii="Arial" w:hAnsi="Arial" w:cs="Arial"/>
                <w:b/>
                <w:sz w:val="18"/>
                <w:lang w:val="tr-TR"/>
              </w:rPr>
              <w:t xml:space="preserve"> kapanış bakiyesi</w:t>
            </w:r>
          </w:p>
        </w:tc>
        <w:tc>
          <w:tcPr>
            <w:tcW w:w="1276" w:type="dxa"/>
            <w:tcBorders>
              <w:top w:val="single" w:sz="4" w:space="0" w:color="auto"/>
              <w:bottom w:val="single" w:sz="4" w:space="0" w:color="auto"/>
            </w:tcBorders>
            <w:vAlign w:val="bottom"/>
          </w:tcPr>
          <w:p w:rsidR="00D322FB" w:rsidRDefault="004B7752" w:rsidP="00E5025F">
            <w:pPr>
              <w:jc w:val="right"/>
              <w:rPr>
                <w:rFonts w:ascii="Arial" w:hAnsi="Arial" w:cs="Arial"/>
                <w:b/>
                <w:bCs/>
                <w:color w:val="000000"/>
                <w:sz w:val="18"/>
                <w:szCs w:val="18"/>
              </w:rPr>
            </w:pPr>
            <w:r>
              <w:rPr>
                <w:rFonts w:ascii="Arial" w:hAnsi="Arial" w:cs="Arial"/>
                <w:b/>
                <w:bCs/>
                <w:color w:val="000000"/>
                <w:sz w:val="18"/>
                <w:szCs w:val="18"/>
              </w:rPr>
              <w:t>14.240</w:t>
            </w:r>
          </w:p>
        </w:tc>
        <w:tc>
          <w:tcPr>
            <w:tcW w:w="1417" w:type="dxa"/>
            <w:tcBorders>
              <w:top w:val="single" w:sz="4" w:space="0" w:color="auto"/>
              <w:bottom w:val="single" w:sz="4" w:space="0" w:color="auto"/>
            </w:tcBorders>
            <w:vAlign w:val="bottom"/>
          </w:tcPr>
          <w:p w:rsidR="00D322FB" w:rsidRDefault="00D322FB">
            <w:pPr>
              <w:jc w:val="right"/>
              <w:rPr>
                <w:rFonts w:ascii="Arial" w:hAnsi="Arial" w:cs="Arial"/>
                <w:b/>
                <w:bCs/>
                <w:color w:val="000000"/>
                <w:sz w:val="18"/>
                <w:szCs w:val="18"/>
              </w:rPr>
            </w:pPr>
            <w:r>
              <w:rPr>
                <w:rFonts w:ascii="Arial" w:hAnsi="Arial" w:cs="Arial"/>
                <w:b/>
                <w:bCs/>
                <w:color w:val="000000"/>
                <w:sz w:val="18"/>
                <w:szCs w:val="18"/>
              </w:rPr>
              <w:t xml:space="preserve">18.672 </w:t>
            </w:r>
          </w:p>
        </w:tc>
        <w:tc>
          <w:tcPr>
            <w:tcW w:w="1134" w:type="dxa"/>
            <w:tcBorders>
              <w:top w:val="single" w:sz="4" w:space="0" w:color="auto"/>
              <w:bottom w:val="single" w:sz="4" w:space="0" w:color="auto"/>
            </w:tcBorders>
            <w:vAlign w:val="bottom"/>
          </w:tcPr>
          <w:p w:rsidR="00D322FB" w:rsidRDefault="00D322FB">
            <w:pPr>
              <w:jc w:val="right"/>
              <w:rPr>
                <w:rFonts w:ascii="Arial" w:hAnsi="Arial" w:cs="Arial"/>
                <w:b/>
                <w:bCs/>
                <w:color w:val="000000"/>
                <w:sz w:val="18"/>
                <w:szCs w:val="18"/>
              </w:rPr>
            </w:pPr>
            <w:r>
              <w:rPr>
                <w:rFonts w:ascii="Arial" w:hAnsi="Arial" w:cs="Arial"/>
                <w:b/>
                <w:bCs/>
                <w:color w:val="000000"/>
                <w:sz w:val="18"/>
                <w:szCs w:val="18"/>
              </w:rPr>
              <w:t xml:space="preserve">52.909 </w:t>
            </w:r>
          </w:p>
        </w:tc>
        <w:tc>
          <w:tcPr>
            <w:tcW w:w="992" w:type="dxa"/>
            <w:tcBorders>
              <w:top w:val="single" w:sz="4" w:space="0" w:color="auto"/>
              <w:bottom w:val="single" w:sz="4" w:space="0" w:color="auto"/>
            </w:tcBorders>
            <w:vAlign w:val="bottom"/>
          </w:tcPr>
          <w:p w:rsidR="00D322FB" w:rsidRDefault="004B7752">
            <w:pPr>
              <w:jc w:val="right"/>
              <w:rPr>
                <w:rFonts w:ascii="Arial" w:hAnsi="Arial" w:cs="Arial"/>
                <w:b/>
                <w:bCs/>
                <w:color w:val="000000"/>
                <w:sz w:val="18"/>
                <w:szCs w:val="18"/>
              </w:rPr>
            </w:pPr>
            <w:r>
              <w:rPr>
                <w:rFonts w:ascii="Arial" w:hAnsi="Arial" w:cs="Arial"/>
                <w:b/>
                <w:bCs/>
                <w:color w:val="000000"/>
                <w:sz w:val="18"/>
                <w:szCs w:val="18"/>
              </w:rPr>
              <w:t>85.822</w:t>
            </w:r>
          </w:p>
        </w:tc>
      </w:tr>
      <w:tr w:rsidR="00D322FB" w:rsidRPr="00AE202B" w:rsidTr="00155F70">
        <w:trPr>
          <w:trHeight w:val="113"/>
        </w:trPr>
        <w:tc>
          <w:tcPr>
            <w:tcW w:w="4253" w:type="dxa"/>
            <w:tcBorders>
              <w:top w:val="single" w:sz="4" w:space="0" w:color="auto"/>
            </w:tcBorders>
            <w:vAlign w:val="bottom"/>
          </w:tcPr>
          <w:p w:rsidR="00D322FB" w:rsidRPr="00AE202B" w:rsidRDefault="00D322FB" w:rsidP="001A0C62">
            <w:pPr>
              <w:rPr>
                <w:rFonts w:ascii="Arial" w:hAnsi="Arial" w:cs="Arial"/>
                <w:b/>
                <w:sz w:val="18"/>
                <w:lang w:val="tr-TR"/>
              </w:rPr>
            </w:pPr>
          </w:p>
        </w:tc>
        <w:tc>
          <w:tcPr>
            <w:tcW w:w="1276" w:type="dxa"/>
            <w:tcBorders>
              <w:top w:val="single" w:sz="4" w:space="0" w:color="auto"/>
            </w:tcBorders>
            <w:vAlign w:val="bottom"/>
          </w:tcPr>
          <w:p w:rsidR="00D322FB" w:rsidRDefault="00D322FB" w:rsidP="00E5025F">
            <w:pPr>
              <w:jc w:val="right"/>
              <w:rPr>
                <w:rFonts w:ascii="Arial" w:hAnsi="Arial" w:cs="Arial"/>
                <w:b/>
                <w:bCs/>
                <w:color w:val="000000"/>
                <w:sz w:val="18"/>
                <w:szCs w:val="18"/>
              </w:rPr>
            </w:pPr>
          </w:p>
        </w:tc>
        <w:tc>
          <w:tcPr>
            <w:tcW w:w="1417" w:type="dxa"/>
            <w:tcBorders>
              <w:top w:val="single" w:sz="4" w:space="0" w:color="auto"/>
            </w:tcBorders>
            <w:vAlign w:val="bottom"/>
          </w:tcPr>
          <w:p w:rsidR="00D322FB" w:rsidRDefault="00D322FB">
            <w:pPr>
              <w:jc w:val="right"/>
              <w:rPr>
                <w:rFonts w:ascii="Arial" w:hAnsi="Arial" w:cs="Arial"/>
                <w:b/>
                <w:bCs/>
                <w:color w:val="000000"/>
                <w:sz w:val="18"/>
                <w:szCs w:val="18"/>
              </w:rPr>
            </w:pPr>
          </w:p>
        </w:tc>
        <w:tc>
          <w:tcPr>
            <w:tcW w:w="1134" w:type="dxa"/>
            <w:tcBorders>
              <w:top w:val="single" w:sz="4" w:space="0" w:color="auto"/>
            </w:tcBorders>
            <w:vAlign w:val="bottom"/>
          </w:tcPr>
          <w:p w:rsidR="00D322FB" w:rsidRDefault="00D322FB">
            <w:pPr>
              <w:jc w:val="right"/>
              <w:rPr>
                <w:rFonts w:ascii="Arial" w:hAnsi="Arial" w:cs="Arial"/>
                <w:b/>
                <w:bCs/>
                <w:color w:val="000000"/>
                <w:sz w:val="18"/>
                <w:szCs w:val="18"/>
              </w:rPr>
            </w:pPr>
          </w:p>
        </w:tc>
        <w:tc>
          <w:tcPr>
            <w:tcW w:w="992" w:type="dxa"/>
            <w:tcBorders>
              <w:top w:val="single" w:sz="4" w:space="0" w:color="auto"/>
            </w:tcBorders>
            <w:vAlign w:val="bottom"/>
          </w:tcPr>
          <w:p w:rsidR="00D322FB" w:rsidRDefault="00D322FB">
            <w:pPr>
              <w:jc w:val="right"/>
              <w:rPr>
                <w:rFonts w:ascii="Arial" w:hAnsi="Arial" w:cs="Arial"/>
                <w:b/>
                <w:bCs/>
                <w:color w:val="000000"/>
                <w:sz w:val="18"/>
                <w:szCs w:val="18"/>
              </w:rPr>
            </w:pPr>
          </w:p>
        </w:tc>
      </w:tr>
      <w:tr w:rsidR="00D322FB" w:rsidRPr="00AE202B" w:rsidTr="00155F70">
        <w:trPr>
          <w:trHeight w:val="113"/>
        </w:trPr>
        <w:tc>
          <w:tcPr>
            <w:tcW w:w="4253" w:type="dxa"/>
            <w:vAlign w:val="bottom"/>
          </w:tcPr>
          <w:p w:rsidR="00D322FB" w:rsidRPr="00AE202B" w:rsidRDefault="00D322FB" w:rsidP="001A0C62">
            <w:pPr>
              <w:rPr>
                <w:rFonts w:ascii="Arial" w:hAnsi="Arial" w:cs="Arial"/>
                <w:b/>
                <w:sz w:val="18"/>
                <w:szCs w:val="22"/>
                <w:lang w:val="tr-TR"/>
              </w:rPr>
            </w:pPr>
            <w:r w:rsidRPr="00AE202B">
              <w:rPr>
                <w:rFonts w:ascii="Arial" w:hAnsi="Arial" w:cs="Arial"/>
                <w:b/>
                <w:sz w:val="18"/>
                <w:lang w:val="tr-TR"/>
              </w:rPr>
              <w:t>Birikmiş amortismanlar</w:t>
            </w:r>
          </w:p>
        </w:tc>
        <w:tc>
          <w:tcPr>
            <w:tcW w:w="1276" w:type="dxa"/>
            <w:vAlign w:val="bottom"/>
          </w:tcPr>
          <w:p w:rsidR="00D322FB" w:rsidRDefault="00D322FB" w:rsidP="00E5025F">
            <w:pPr>
              <w:jc w:val="right"/>
              <w:rPr>
                <w:rFonts w:ascii="Arial" w:hAnsi="Arial" w:cs="Arial"/>
                <w:b/>
                <w:bCs/>
                <w:color w:val="000000"/>
                <w:sz w:val="18"/>
                <w:szCs w:val="18"/>
              </w:rPr>
            </w:pPr>
          </w:p>
        </w:tc>
        <w:tc>
          <w:tcPr>
            <w:tcW w:w="1417" w:type="dxa"/>
            <w:vAlign w:val="bottom"/>
          </w:tcPr>
          <w:p w:rsidR="00D322FB" w:rsidRDefault="00D322FB">
            <w:pPr>
              <w:jc w:val="right"/>
              <w:rPr>
                <w:rFonts w:ascii="Arial" w:hAnsi="Arial" w:cs="Arial"/>
                <w:b/>
                <w:bCs/>
                <w:color w:val="000000"/>
                <w:sz w:val="18"/>
                <w:szCs w:val="18"/>
              </w:rPr>
            </w:pPr>
          </w:p>
        </w:tc>
        <w:tc>
          <w:tcPr>
            <w:tcW w:w="1134" w:type="dxa"/>
            <w:vAlign w:val="bottom"/>
          </w:tcPr>
          <w:p w:rsidR="00D322FB" w:rsidRDefault="00D322FB">
            <w:pPr>
              <w:jc w:val="right"/>
              <w:rPr>
                <w:rFonts w:ascii="Arial" w:hAnsi="Arial" w:cs="Arial"/>
                <w:b/>
                <w:bCs/>
                <w:color w:val="000000"/>
                <w:sz w:val="18"/>
                <w:szCs w:val="18"/>
              </w:rPr>
            </w:pPr>
          </w:p>
        </w:tc>
        <w:tc>
          <w:tcPr>
            <w:tcW w:w="992" w:type="dxa"/>
            <w:vAlign w:val="bottom"/>
          </w:tcPr>
          <w:p w:rsidR="00D322FB" w:rsidRDefault="00D322FB">
            <w:pPr>
              <w:jc w:val="right"/>
              <w:rPr>
                <w:rFonts w:ascii="Arial" w:hAnsi="Arial" w:cs="Arial"/>
                <w:b/>
                <w:bCs/>
                <w:color w:val="000000"/>
                <w:sz w:val="18"/>
                <w:szCs w:val="18"/>
              </w:rPr>
            </w:pPr>
          </w:p>
        </w:tc>
      </w:tr>
      <w:tr w:rsidR="00D322FB" w:rsidRPr="00AE202B" w:rsidTr="000D0209">
        <w:trPr>
          <w:trHeight w:val="113"/>
        </w:trPr>
        <w:tc>
          <w:tcPr>
            <w:tcW w:w="4253" w:type="dxa"/>
            <w:vAlign w:val="bottom"/>
          </w:tcPr>
          <w:p w:rsidR="00D322FB" w:rsidRPr="00AE202B" w:rsidRDefault="00D322FB" w:rsidP="001A0C62">
            <w:pPr>
              <w:rPr>
                <w:rFonts w:ascii="Arial" w:hAnsi="Arial" w:cs="Arial"/>
                <w:b/>
                <w:sz w:val="18"/>
                <w:szCs w:val="22"/>
                <w:lang w:val="tr-TR"/>
              </w:rPr>
            </w:pPr>
            <w:r>
              <w:rPr>
                <w:rFonts w:ascii="Arial" w:hAnsi="Arial" w:cs="Arial"/>
                <w:b/>
                <w:sz w:val="18"/>
                <w:lang w:val="tr-TR"/>
              </w:rPr>
              <w:t>1 Ocak 2015</w:t>
            </w:r>
            <w:r w:rsidRPr="00AE202B">
              <w:rPr>
                <w:rFonts w:ascii="Arial" w:hAnsi="Arial" w:cs="Arial"/>
                <w:b/>
                <w:sz w:val="18"/>
                <w:lang w:val="tr-TR"/>
              </w:rPr>
              <w:t xml:space="preserve"> açılış bakiyesi</w:t>
            </w:r>
          </w:p>
        </w:tc>
        <w:tc>
          <w:tcPr>
            <w:tcW w:w="1276" w:type="dxa"/>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(9.104)</w:t>
            </w:r>
          </w:p>
        </w:tc>
        <w:tc>
          <w:tcPr>
            <w:tcW w:w="1417" w:type="dxa"/>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(16.152)</w:t>
            </w:r>
          </w:p>
        </w:tc>
        <w:tc>
          <w:tcPr>
            <w:tcW w:w="1134" w:type="dxa"/>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(40.336)</w:t>
            </w:r>
          </w:p>
        </w:tc>
        <w:tc>
          <w:tcPr>
            <w:tcW w:w="992" w:type="dxa"/>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(65.591)</w:t>
            </w:r>
          </w:p>
        </w:tc>
      </w:tr>
      <w:tr w:rsidR="00D322FB" w:rsidRPr="00AE202B" w:rsidTr="000D0209">
        <w:trPr>
          <w:trHeight w:val="113"/>
        </w:trPr>
        <w:tc>
          <w:tcPr>
            <w:tcW w:w="4253" w:type="dxa"/>
            <w:vAlign w:val="bottom"/>
          </w:tcPr>
          <w:p w:rsidR="00D322FB" w:rsidRPr="00AE202B" w:rsidRDefault="00D322FB" w:rsidP="001A0C62">
            <w:pPr>
              <w:rPr>
                <w:rFonts w:ascii="Arial" w:hAnsi="Arial" w:cs="Arial"/>
                <w:b/>
                <w:sz w:val="18"/>
                <w:szCs w:val="22"/>
                <w:lang w:val="tr-TR"/>
              </w:rPr>
            </w:pPr>
            <w:r w:rsidRPr="00AE202B">
              <w:rPr>
                <w:rFonts w:ascii="Arial" w:hAnsi="Arial" w:cs="Arial"/>
                <w:b/>
                <w:sz w:val="18"/>
                <w:lang w:val="tr-TR"/>
              </w:rPr>
              <w:t>Dönem gideri</w:t>
            </w:r>
          </w:p>
        </w:tc>
        <w:tc>
          <w:tcPr>
            <w:tcW w:w="1276" w:type="dxa"/>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(473)</w:t>
            </w:r>
          </w:p>
        </w:tc>
        <w:tc>
          <w:tcPr>
            <w:tcW w:w="1417" w:type="dxa"/>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(487)</w:t>
            </w:r>
          </w:p>
        </w:tc>
        <w:tc>
          <w:tcPr>
            <w:tcW w:w="1134" w:type="dxa"/>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(1.372)</w:t>
            </w:r>
          </w:p>
        </w:tc>
        <w:tc>
          <w:tcPr>
            <w:tcW w:w="992" w:type="dxa"/>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(2.332)</w:t>
            </w:r>
          </w:p>
        </w:tc>
      </w:tr>
      <w:tr w:rsidR="00D322FB" w:rsidRPr="00AE202B" w:rsidTr="000D0209">
        <w:trPr>
          <w:trHeight w:val="113"/>
        </w:trPr>
        <w:tc>
          <w:tcPr>
            <w:tcW w:w="4253" w:type="dxa"/>
            <w:tcBorders>
              <w:bottom w:val="single" w:sz="4" w:space="0" w:color="auto"/>
            </w:tcBorders>
            <w:vAlign w:val="bottom"/>
          </w:tcPr>
          <w:p w:rsidR="00D322FB" w:rsidRPr="00AE202B" w:rsidRDefault="00D322FB" w:rsidP="001A0C62">
            <w:pPr>
              <w:rPr>
                <w:rFonts w:ascii="Arial" w:hAnsi="Arial" w:cs="Arial"/>
                <w:b/>
                <w:sz w:val="18"/>
                <w:lang w:val="tr-TR"/>
              </w:rPr>
            </w:pPr>
          </w:p>
        </w:tc>
        <w:tc>
          <w:tcPr>
            <w:tcW w:w="1276" w:type="dxa"/>
            <w:tcBorders>
              <w:bottom w:val="single" w:sz="4" w:space="0" w:color="auto"/>
            </w:tcBorders>
            <w:vAlign w:val="bottom"/>
          </w:tcPr>
          <w:p w:rsidR="00D322FB" w:rsidRDefault="00D322FB" w:rsidP="000D0209">
            <w:pPr>
              <w:jc w:val="right"/>
              <w:rPr>
                <w:rFonts w:ascii="Arial" w:hAnsi="Arial" w:cs="Arial"/>
                <w:b/>
                <w:bCs/>
                <w:color w:val="000000"/>
                <w:sz w:val="18"/>
                <w:szCs w:val="18"/>
              </w:rPr>
            </w:pPr>
          </w:p>
        </w:tc>
        <w:tc>
          <w:tcPr>
            <w:tcW w:w="1417" w:type="dxa"/>
            <w:tcBorders>
              <w:bottom w:val="single" w:sz="4" w:space="0" w:color="auto"/>
            </w:tcBorders>
            <w:vAlign w:val="bottom"/>
          </w:tcPr>
          <w:p w:rsidR="00D322FB" w:rsidRDefault="00D322FB" w:rsidP="000D0209">
            <w:pPr>
              <w:jc w:val="right"/>
              <w:rPr>
                <w:rFonts w:ascii="Arial" w:hAnsi="Arial" w:cs="Arial"/>
                <w:b/>
                <w:bCs/>
                <w:color w:val="000000"/>
                <w:sz w:val="18"/>
                <w:szCs w:val="18"/>
              </w:rPr>
            </w:pPr>
          </w:p>
        </w:tc>
        <w:tc>
          <w:tcPr>
            <w:tcW w:w="1134" w:type="dxa"/>
            <w:tcBorders>
              <w:bottom w:val="single" w:sz="4" w:space="0" w:color="auto"/>
            </w:tcBorders>
            <w:vAlign w:val="bottom"/>
          </w:tcPr>
          <w:p w:rsidR="00D322FB" w:rsidRDefault="00D322FB" w:rsidP="000D0209">
            <w:pPr>
              <w:jc w:val="right"/>
              <w:rPr>
                <w:rFonts w:ascii="Arial" w:hAnsi="Arial" w:cs="Arial"/>
                <w:b/>
                <w:bCs/>
                <w:color w:val="000000"/>
                <w:sz w:val="18"/>
                <w:szCs w:val="18"/>
              </w:rPr>
            </w:pPr>
          </w:p>
        </w:tc>
        <w:tc>
          <w:tcPr>
            <w:tcW w:w="992" w:type="dxa"/>
            <w:tcBorders>
              <w:bottom w:val="single" w:sz="4" w:space="0" w:color="auto"/>
            </w:tcBorders>
            <w:vAlign w:val="bottom"/>
          </w:tcPr>
          <w:p w:rsidR="00D322FB" w:rsidRDefault="00D322FB" w:rsidP="000D0209">
            <w:pPr>
              <w:jc w:val="right"/>
              <w:rPr>
                <w:rFonts w:ascii="Arial" w:hAnsi="Arial" w:cs="Arial"/>
                <w:b/>
                <w:bCs/>
                <w:color w:val="000000"/>
                <w:sz w:val="18"/>
                <w:szCs w:val="18"/>
              </w:rPr>
            </w:pPr>
          </w:p>
        </w:tc>
      </w:tr>
      <w:tr w:rsidR="00D322FB" w:rsidRPr="00AE202B" w:rsidTr="000D0209">
        <w:trPr>
          <w:trHeight w:val="113"/>
        </w:trPr>
        <w:tc>
          <w:tcPr>
            <w:tcW w:w="4253" w:type="dxa"/>
            <w:tcBorders>
              <w:top w:val="single" w:sz="4" w:space="0" w:color="auto"/>
              <w:bottom w:val="single" w:sz="4" w:space="0" w:color="auto"/>
            </w:tcBorders>
            <w:vAlign w:val="bottom"/>
          </w:tcPr>
          <w:p w:rsidR="00D322FB" w:rsidRPr="00AE202B" w:rsidRDefault="00D322FB" w:rsidP="007B153F">
            <w:pPr>
              <w:rPr>
                <w:rFonts w:ascii="Arial" w:hAnsi="Arial" w:cs="Arial"/>
                <w:b/>
                <w:sz w:val="18"/>
                <w:szCs w:val="22"/>
                <w:lang w:val="tr-TR"/>
              </w:rPr>
            </w:pPr>
            <w:r w:rsidRPr="00AE202B">
              <w:rPr>
                <w:rFonts w:ascii="Arial" w:hAnsi="Arial" w:cs="Arial"/>
                <w:b/>
                <w:sz w:val="18"/>
                <w:lang w:val="tr-TR"/>
              </w:rPr>
              <w:t xml:space="preserve">31 </w:t>
            </w:r>
            <w:r>
              <w:rPr>
                <w:rFonts w:ascii="Arial" w:hAnsi="Arial" w:cs="Arial"/>
                <w:b/>
                <w:sz w:val="18"/>
                <w:lang w:val="tr-TR"/>
              </w:rPr>
              <w:t>Mart 2015</w:t>
            </w:r>
            <w:r w:rsidRPr="00AE202B">
              <w:rPr>
                <w:rFonts w:ascii="Arial" w:hAnsi="Arial" w:cs="Arial"/>
                <w:b/>
                <w:sz w:val="18"/>
                <w:lang w:val="tr-TR"/>
              </w:rPr>
              <w:t xml:space="preserve"> kapanış bakiyesi</w:t>
            </w:r>
          </w:p>
        </w:tc>
        <w:tc>
          <w:tcPr>
            <w:tcW w:w="1276" w:type="dxa"/>
            <w:tcBorders>
              <w:top w:val="single" w:sz="4" w:space="0" w:color="auto"/>
              <w:bottom w:val="single" w:sz="4" w:space="0" w:color="auto"/>
            </w:tcBorders>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(9.577)</w:t>
            </w:r>
          </w:p>
        </w:tc>
        <w:tc>
          <w:tcPr>
            <w:tcW w:w="1417" w:type="dxa"/>
            <w:tcBorders>
              <w:top w:val="single" w:sz="4" w:space="0" w:color="auto"/>
              <w:bottom w:val="single" w:sz="4" w:space="0" w:color="auto"/>
            </w:tcBorders>
            <w:vAlign w:val="bottom"/>
          </w:tcPr>
          <w:p w:rsidR="00D322FB" w:rsidRDefault="004B7752" w:rsidP="004B7752">
            <w:pPr>
              <w:jc w:val="right"/>
              <w:rPr>
                <w:rFonts w:ascii="Arial" w:hAnsi="Arial" w:cs="Arial"/>
                <w:b/>
                <w:bCs/>
                <w:color w:val="000000"/>
                <w:sz w:val="18"/>
                <w:szCs w:val="18"/>
              </w:rPr>
            </w:pPr>
            <w:r>
              <w:rPr>
                <w:rFonts w:ascii="Arial" w:hAnsi="Arial" w:cs="Arial"/>
                <w:b/>
                <w:bCs/>
                <w:color w:val="000000"/>
                <w:sz w:val="18"/>
                <w:szCs w:val="18"/>
              </w:rPr>
              <w:t>(16.638)</w:t>
            </w:r>
          </w:p>
        </w:tc>
        <w:tc>
          <w:tcPr>
            <w:tcW w:w="1134" w:type="dxa"/>
            <w:tcBorders>
              <w:top w:val="single" w:sz="4" w:space="0" w:color="auto"/>
              <w:bottom w:val="single" w:sz="4" w:space="0" w:color="auto"/>
            </w:tcBorders>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(41.708)</w:t>
            </w:r>
          </w:p>
        </w:tc>
        <w:tc>
          <w:tcPr>
            <w:tcW w:w="992" w:type="dxa"/>
            <w:tcBorders>
              <w:top w:val="single" w:sz="4" w:space="0" w:color="auto"/>
              <w:bottom w:val="single" w:sz="4" w:space="0" w:color="auto"/>
            </w:tcBorders>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(67.923)</w:t>
            </w:r>
          </w:p>
        </w:tc>
      </w:tr>
      <w:tr w:rsidR="00D322FB" w:rsidRPr="00AE202B" w:rsidTr="000D0209">
        <w:trPr>
          <w:trHeight w:val="113"/>
        </w:trPr>
        <w:tc>
          <w:tcPr>
            <w:tcW w:w="4253" w:type="dxa"/>
            <w:tcBorders>
              <w:top w:val="single" w:sz="4" w:space="0" w:color="auto"/>
              <w:bottom w:val="single" w:sz="4" w:space="0" w:color="auto"/>
            </w:tcBorders>
            <w:vAlign w:val="bottom"/>
          </w:tcPr>
          <w:p w:rsidR="00D322FB" w:rsidRPr="00AE202B" w:rsidRDefault="00D322FB" w:rsidP="001A0C62">
            <w:pPr>
              <w:rPr>
                <w:rFonts w:ascii="Arial" w:hAnsi="Arial" w:cs="Arial"/>
                <w:b/>
                <w:sz w:val="18"/>
                <w:lang w:val="tr-TR"/>
              </w:rPr>
            </w:pPr>
          </w:p>
        </w:tc>
        <w:tc>
          <w:tcPr>
            <w:tcW w:w="1276" w:type="dxa"/>
            <w:tcBorders>
              <w:top w:val="single" w:sz="4" w:space="0" w:color="auto"/>
              <w:bottom w:val="single" w:sz="4" w:space="0" w:color="auto"/>
            </w:tcBorders>
            <w:vAlign w:val="bottom"/>
          </w:tcPr>
          <w:p w:rsidR="00D322FB" w:rsidRDefault="00D322FB" w:rsidP="000D0209">
            <w:pPr>
              <w:jc w:val="right"/>
              <w:rPr>
                <w:rFonts w:ascii="Arial" w:hAnsi="Arial" w:cs="Arial"/>
                <w:b/>
                <w:bCs/>
                <w:color w:val="000000"/>
                <w:sz w:val="18"/>
                <w:szCs w:val="18"/>
              </w:rPr>
            </w:pPr>
          </w:p>
        </w:tc>
        <w:tc>
          <w:tcPr>
            <w:tcW w:w="1417" w:type="dxa"/>
            <w:tcBorders>
              <w:top w:val="single" w:sz="4" w:space="0" w:color="auto"/>
              <w:bottom w:val="single" w:sz="4" w:space="0" w:color="auto"/>
            </w:tcBorders>
            <w:vAlign w:val="bottom"/>
          </w:tcPr>
          <w:p w:rsidR="00D322FB" w:rsidRDefault="00D322FB" w:rsidP="000D0209">
            <w:pPr>
              <w:jc w:val="right"/>
              <w:rPr>
                <w:rFonts w:ascii="Arial" w:hAnsi="Arial" w:cs="Arial"/>
                <w:b/>
                <w:bCs/>
                <w:color w:val="000000"/>
                <w:sz w:val="18"/>
                <w:szCs w:val="18"/>
              </w:rPr>
            </w:pPr>
          </w:p>
        </w:tc>
        <w:tc>
          <w:tcPr>
            <w:tcW w:w="1134" w:type="dxa"/>
            <w:tcBorders>
              <w:top w:val="single" w:sz="4" w:space="0" w:color="auto"/>
              <w:bottom w:val="single" w:sz="4" w:space="0" w:color="auto"/>
            </w:tcBorders>
            <w:vAlign w:val="bottom"/>
          </w:tcPr>
          <w:p w:rsidR="00D322FB" w:rsidRDefault="00D322FB" w:rsidP="000D0209">
            <w:pPr>
              <w:jc w:val="right"/>
              <w:rPr>
                <w:rFonts w:ascii="Arial" w:hAnsi="Arial" w:cs="Arial"/>
                <w:b/>
                <w:bCs/>
                <w:color w:val="000000"/>
                <w:sz w:val="18"/>
                <w:szCs w:val="18"/>
              </w:rPr>
            </w:pPr>
          </w:p>
        </w:tc>
        <w:tc>
          <w:tcPr>
            <w:tcW w:w="992" w:type="dxa"/>
            <w:tcBorders>
              <w:top w:val="single" w:sz="4" w:space="0" w:color="auto"/>
              <w:bottom w:val="single" w:sz="4" w:space="0" w:color="auto"/>
            </w:tcBorders>
            <w:vAlign w:val="bottom"/>
          </w:tcPr>
          <w:p w:rsidR="00D322FB" w:rsidRDefault="00D322FB" w:rsidP="000D0209">
            <w:pPr>
              <w:jc w:val="right"/>
              <w:rPr>
                <w:rFonts w:ascii="Arial" w:hAnsi="Arial" w:cs="Arial"/>
                <w:b/>
                <w:bCs/>
                <w:color w:val="000000"/>
                <w:sz w:val="18"/>
                <w:szCs w:val="18"/>
              </w:rPr>
            </w:pPr>
          </w:p>
        </w:tc>
      </w:tr>
      <w:tr w:rsidR="00D322FB" w:rsidRPr="00AE202B" w:rsidTr="000D0209">
        <w:trPr>
          <w:trHeight w:val="113"/>
        </w:trPr>
        <w:tc>
          <w:tcPr>
            <w:tcW w:w="4253" w:type="dxa"/>
            <w:tcBorders>
              <w:top w:val="single" w:sz="4" w:space="0" w:color="auto"/>
              <w:bottom w:val="single" w:sz="4" w:space="0" w:color="auto"/>
            </w:tcBorders>
            <w:vAlign w:val="bottom"/>
          </w:tcPr>
          <w:p w:rsidR="00D322FB" w:rsidRPr="00AE202B" w:rsidRDefault="00D322FB" w:rsidP="001A0C62">
            <w:pPr>
              <w:rPr>
                <w:rFonts w:ascii="Arial" w:hAnsi="Arial" w:cs="Arial"/>
                <w:b/>
                <w:sz w:val="18"/>
                <w:szCs w:val="22"/>
                <w:lang w:val="tr-TR"/>
              </w:rPr>
            </w:pPr>
            <w:r>
              <w:rPr>
                <w:rFonts w:ascii="Arial" w:hAnsi="Arial" w:cs="Arial"/>
                <w:b/>
                <w:sz w:val="18"/>
                <w:lang w:val="tr-TR"/>
              </w:rPr>
              <w:t>31 Aralık 2014</w:t>
            </w:r>
            <w:r w:rsidRPr="00AE202B">
              <w:rPr>
                <w:rFonts w:ascii="Arial" w:hAnsi="Arial" w:cs="Arial"/>
                <w:b/>
                <w:sz w:val="18"/>
                <w:lang w:val="tr-TR"/>
              </w:rPr>
              <w:t xml:space="preserve"> itibariyle net defter değeri</w:t>
            </w:r>
          </w:p>
        </w:tc>
        <w:tc>
          <w:tcPr>
            <w:tcW w:w="1276" w:type="dxa"/>
            <w:tcBorders>
              <w:top w:val="single" w:sz="4" w:space="0" w:color="auto"/>
              <w:bottom w:val="single" w:sz="4" w:space="0" w:color="auto"/>
            </w:tcBorders>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3.482</w:t>
            </w:r>
          </w:p>
        </w:tc>
        <w:tc>
          <w:tcPr>
            <w:tcW w:w="1417" w:type="dxa"/>
            <w:tcBorders>
              <w:top w:val="single" w:sz="4" w:space="0" w:color="auto"/>
              <w:bottom w:val="single" w:sz="4" w:space="0" w:color="auto"/>
            </w:tcBorders>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2.520</w:t>
            </w:r>
          </w:p>
        </w:tc>
        <w:tc>
          <w:tcPr>
            <w:tcW w:w="1134" w:type="dxa"/>
            <w:tcBorders>
              <w:top w:val="single" w:sz="4" w:space="0" w:color="auto"/>
              <w:bottom w:val="single" w:sz="4" w:space="0" w:color="auto"/>
            </w:tcBorders>
            <w:vAlign w:val="bottom"/>
          </w:tcPr>
          <w:p w:rsidR="00D322FB" w:rsidRDefault="004B7752" w:rsidP="004B7752">
            <w:pPr>
              <w:jc w:val="right"/>
              <w:rPr>
                <w:rFonts w:ascii="Arial" w:hAnsi="Arial" w:cs="Arial"/>
                <w:b/>
                <w:bCs/>
                <w:color w:val="000000"/>
                <w:sz w:val="18"/>
                <w:szCs w:val="18"/>
              </w:rPr>
            </w:pPr>
            <w:r>
              <w:rPr>
                <w:rFonts w:ascii="Arial" w:hAnsi="Arial" w:cs="Arial"/>
                <w:b/>
                <w:bCs/>
                <w:color w:val="000000"/>
                <w:sz w:val="18"/>
                <w:szCs w:val="18"/>
              </w:rPr>
              <w:t>12.574</w:t>
            </w:r>
          </w:p>
        </w:tc>
        <w:tc>
          <w:tcPr>
            <w:tcW w:w="992" w:type="dxa"/>
            <w:tcBorders>
              <w:top w:val="single" w:sz="4" w:space="0" w:color="auto"/>
              <w:bottom w:val="single" w:sz="4" w:space="0" w:color="auto"/>
            </w:tcBorders>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18.576</w:t>
            </w:r>
          </w:p>
        </w:tc>
      </w:tr>
      <w:tr w:rsidR="00D322FB" w:rsidRPr="00AE202B" w:rsidTr="000D0209">
        <w:trPr>
          <w:trHeight w:val="113"/>
        </w:trPr>
        <w:tc>
          <w:tcPr>
            <w:tcW w:w="4253" w:type="dxa"/>
            <w:tcBorders>
              <w:top w:val="single" w:sz="4" w:space="0" w:color="auto"/>
              <w:bottom w:val="single" w:sz="4" w:space="0" w:color="auto"/>
            </w:tcBorders>
            <w:vAlign w:val="bottom"/>
          </w:tcPr>
          <w:p w:rsidR="00D322FB" w:rsidRPr="00AE202B" w:rsidRDefault="00D322FB" w:rsidP="001A0C62">
            <w:pPr>
              <w:rPr>
                <w:rFonts w:ascii="Arial" w:hAnsi="Arial" w:cs="Arial"/>
                <w:b/>
                <w:sz w:val="18"/>
                <w:lang w:val="tr-TR"/>
              </w:rPr>
            </w:pPr>
          </w:p>
        </w:tc>
        <w:tc>
          <w:tcPr>
            <w:tcW w:w="1276" w:type="dxa"/>
            <w:tcBorders>
              <w:top w:val="single" w:sz="4" w:space="0" w:color="auto"/>
              <w:bottom w:val="single" w:sz="4" w:space="0" w:color="auto"/>
            </w:tcBorders>
            <w:vAlign w:val="bottom"/>
          </w:tcPr>
          <w:p w:rsidR="00D322FB" w:rsidRDefault="00D322FB" w:rsidP="000D0209">
            <w:pPr>
              <w:jc w:val="right"/>
              <w:rPr>
                <w:rFonts w:ascii="Arial" w:hAnsi="Arial" w:cs="Arial"/>
                <w:b/>
                <w:bCs/>
                <w:color w:val="000000"/>
                <w:sz w:val="18"/>
                <w:szCs w:val="18"/>
              </w:rPr>
            </w:pPr>
          </w:p>
        </w:tc>
        <w:tc>
          <w:tcPr>
            <w:tcW w:w="1417" w:type="dxa"/>
            <w:tcBorders>
              <w:top w:val="single" w:sz="4" w:space="0" w:color="auto"/>
              <w:bottom w:val="single" w:sz="4" w:space="0" w:color="auto"/>
            </w:tcBorders>
            <w:vAlign w:val="bottom"/>
          </w:tcPr>
          <w:p w:rsidR="00D322FB" w:rsidRDefault="00D322FB" w:rsidP="000D0209">
            <w:pPr>
              <w:jc w:val="right"/>
              <w:rPr>
                <w:rFonts w:ascii="Arial" w:hAnsi="Arial" w:cs="Arial"/>
                <w:b/>
                <w:bCs/>
                <w:color w:val="000000"/>
                <w:sz w:val="18"/>
                <w:szCs w:val="18"/>
              </w:rPr>
            </w:pPr>
          </w:p>
        </w:tc>
        <w:tc>
          <w:tcPr>
            <w:tcW w:w="1134" w:type="dxa"/>
            <w:tcBorders>
              <w:top w:val="single" w:sz="4" w:space="0" w:color="auto"/>
              <w:bottom w:val="single" w:sz="4" w:space="0" w:color="auto"/>
            </w:tcBorders>
            <w:vAlign w:val="bottom"/>
          </w:tcPr>
          <w:p w:rsidR="00D322FB" w:rsidRDefault="00D322FB" w:rsidP="000D0209">
            <w:pPr>
              <w:jc w:val="right"/>
              <w:rPr>
                <w:rFonts w:ascii="Arial" w:hAnsi="Arial" w:cs="Arial"/>
                <w:b/>
                <w:bCs/>
                <w:color w:val="000000"/>
                <w:sz w:val="18"/>
                <w:szCs w:val="18"/>
              </w:rPr>
            </w:pPr>
          </w:p>
        </w:tc>
        <w:tc>
          <w:tcPr>
            <w:tcW w:w="992" w:type="dxa"/>
            <w:tcBorders>
              <w:top w:val="single" w:sz="4" w:space="0" w:color="auto"/>
              <w:bottom w:val="single" w:sz="4" w:space="0" w:color="auto"/>
            </w:tcBorders>
            <w:vAlign w:val="bottom"/>
          </w:tcPr>
          <w:p w:rsidR="00D322FB" w:rsidRDefault="00D322FB" w:rsidP="000D0209">
            <w:pPr>
              <w:jc w:val="right"/>
              <w:rPr>
                <w:rFonts w:ascii="Arial" w:hAnsi="Arial" w:cs="Arial"/>
                <w:b/>
                <w:bCs/>
                <w:color w:val="000000"/>
                <w:sz w:val="18"/>
                <w:szCs w:val="18"/>
              </w:rPr>
            </w:pPr>
          </w:p>
        </w:tc>
      </w:tr>
      <w:tr w:rsidR="00D322FB" w:rsidRPr="00727376" w:rsidTr="000D0209">
        <w:trPr>
          <w:trHeight w:val="113"/>
        </w:trPr>
        <w:tc>
          <w:tcPr>
            <w:tcW w:w="4253" w:type="dxa"/>
            <w:tcBorders>
              <w:top w:val="single" w:sz="4" w:space="0" w:color="auto"/>
              <w:bottom w:val="double" w:sz="4" w:space="0" w:color="auto"/>
            </w:tcBorders>
            <w:vAlign w:val="bottom"/>
          </w:tcPr>
          <w:p w:rsidR="00D322FB" w:rsidRPr="00AE202B" w:rsidRDefault="00D322FB" w:rsidP="001A0C62">
            <w:pPr>
              <w:rPr>
                <w:rFonts w:ascii="Arial" w:hAnsi="Arial" w:cs="Arial"/>
                <w:b/>
                <w:sz w:val="18"/>
                <w:szCs w:val="22"/>
                <w:lang w:val="tr-TR"/>
              </w:rPr>
            </w:pPr>
            <w:r>
              <w:rPr>
                <w:rFonts w:ascii="Arial" w:hAnsi="Arial" w:cs="Arial"/>
                <w:b/>
                <w:sz w:val="18"/>
                <w:lang w:val="tr-TR"/>
              </w:rPr>
              <w:t>31 Mart 2015</w:t>
            </w:r>
            <w:r w:rsidRPr="00AE202B">
              <w:rPr>
                <w:rFonts w:ascii="Arial" w:hAnsi="Arial" w:cs="Arial"/>
                <w:b/>
                <w:sz w:val="18"/>
                <w:lang w:val="tr-TR"/>
              </w:rPr>
              <w:t xml:space="preserve"> itibariyle net defter değeri</w:t>
            </w:r>
          </w:p>
        </w:tc>
        <w:tc>
          <w:tcPr>
            <w:tcW w:w="1276" w:type="dxa"/>
            <w:tcBorders>
              <w:top w:val="single" w:sz="4" w:space="0" w:color="auto"/>
              <w:bottom w:val="double" w:sz="4" w:space="0" w:color="auto"/>
            </w:tcBorders>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4.663</w:t>
            </w:r>
          </w:p>
        </w:tc>
        <w:tc>
          <w:tcPr>
            <w:tcW w:w="1417" w:type="dxa"/>
            <w:tcBorders>
              <w:top w:val="single" w:sz="4" w:space="0" w:color="auto"/>
              <w:bottom w:val="double" w:sz="4" w:space="0" w:color="auto"/>
            </w:tcBorders>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2.033</w:t>
            </w:r>
          </w:p>
        </w:tc>
        <w:tc>
          <w:tcPr>
            <w:tcW w:w="1134" w:type="dxa"/>
            <w:tcBorders>
              <w:top w:val="single" w:sz="4" w:space="0" w:color="auto"/>
              <w:bottom w:val="double" w:sz="4" w:space="0" w:color="auto"/>
            </w:tcBorders>
            <w:vAlign w:val="bottom"/>
          </w:tcPr>
          <w:p w:rsidR="00D322FB" w:rsidRDefault="004B7752" w:rsidP="000D0209">
            <w:pPr>
              <w:jc w:val="right"/>
              <w:rPr>
                <w:rFonts w:ascii="Arial" w:hAnsi="Arial" w:cs="Arial"/>
                <w:b/>
                <w:bCs/>
                <w:color w:val="000000"/>
                <w:sz w:val="18"/>
                <w:szCs w:val="18"/>
              </w:rPr>
            </w:pPr>
            <w:r>
              <w:rPr>
                <w:rFonts w:ascii="Arial" w:hAnsi="Arial" w:cs="Arial"/>
                <w:b/>
                <w:bCs/>
                <w:color w:val="000000"/>
                <w:sz w:val="18"/>
                <w:szCs w:val="18"/>
              </w:rPr>
              <w:t>11.201</w:t>
            </w:r>
          </w:p>
        </w:tc>
        <w:tc>
          <w:tcPr>
            <w:tcW w:w="992" w:type="dxa"/>
            <w:tcBorders>
              <w:top w:val="single" w:sz="4" w:space="0" w:color="auto"/>
              <w:bottom w:val="double" w:sz="4" w:space="0" w:color="auto"/>
            </w:tcBorders>
            <w:vAlign w:val="bottom"/>
          </w:tcPr>
          <w:p w:rsidR="00D322FB" w:rsidRDefault="004B7752" w:rsidP="00C12EB4">
            <w:pPr>
              <w:jc w:val="right"/>
              <w:rPr>
                <w:rFonts w:ascii="Arial" w:hAnsi="Arial" w:cs="Arial"/>
                <w:b/>
                <w:bCs/>
                <w:color w:val="000000"/>
                <w:sz w:val="18"/>
                <w:szCs w:val="18"/>
              </w:rPr>
            </w:pPr>
            <w:r>
              <w:rPr>
                <w:rFonts w:ascii="Arial" w:hAnsi="Arial" w:cs="Arial"/>
                <w:b/>
                <w:bCs/>
                <w:color w:val="000000"/>
                <w:sz w:val="18"/>
                <w:szCs w:val="18"/>
              </w:rPr>
              <w:t>17</w:t>
            </w:r>
            <w:r w:rsidR="00C12EB4">
              <w:rPr>
                <w:rFonts w:ascii="Arial" w:hAnsi="Arial" w:cs="Arial"/>
                <w:b/>
                <w:bCs/>
                <w:color w:val="000000"/>
                <w:sz w:val="18"/>
                <w:szCs w:val="18"/>
              </w:rPr>
              <w:t>.897</w:t>
            </w:r>
          </w:p>
        </w:tc>
      </w:tr>
    </w:tbl>
    <w:p w:rsidR="00D322FB" w:rsidRDefault="00D322FB"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F53471" w:rsidRDefault="00F53471" w:rsidP="00D9040F">
      <w:pPr>
        <w:pStyle w:val="000normal"/>
        <w:autoSpaceDE w:val="0"/>
        <w:autoSpaceDN w:val="0"/>
        <w:adjustRightInd w:val="0"/>
        <w:spacing w:before="0" w:after="0" w:afterAutospacing="0"/>
        <w:ind w:right="-327"/>
        <w:rPr>
          <w:highlight w:val="yellow"/>
          <w:lang w:val="tr-TR"/>
        </w:rPr>
      </w:pPr>
    </w:p>
    <w:p w:rsidR="00660A69" w:rsidRPr="00AE202B" w:rsidRDefault="00660A69" w:rsidP="00660A69">
      <w:pPr>
        <w:pStyle w:val="BodyText"/>
        <w:outlineLvl w:val="0"/>
        <w:rPr>
          <w:rFonts w:ascii="Arial" w:hAnsi="Arial" w:cs="Arial"/>
          <w:b/>
          <w:sz w:val="20"/>
        </w:rPr>
      </w:pPr>
      <w:r w:rsidRPr="00AE202B">
        <w:rPr>
          <w:rFonts w:ascii="Arial" w:hAnsi="Arial" w:cs="Arial"/>
          <w:b/>
          <w:sz w:val="20"/>
        </w:rPr>
        <w:t>10</w:t>
      </w:r>
      <w:r w:rsidRPr="00AE202B">
        <w:rPr>
          <w:rFonts w:ascii="Arial" w:hAnsi="Arial" w:cs="Arial"/>
          <w:sz w:val="20"/>
        </w:rPr>
        <w:t>.</w:t>
      </w:r>
      <w:r w:rsidRPr="00AE202B">
        <w:rPr>
          <w:rFonts w:ascii="Arial" w:hAnsi="Arial" w:cs="Arial"/>
          <w:sz w:val="20"/>
        </w:rPr>
        <w:tab/>
      </w:r>
      <w:r w:rsidRPr="00AE202B">
        <w:rPr>
          <w:rFonts w:ascii="Arial" w:hAnsi="Arial" w:cs="Arial"/>
          <w:b/>
          <w:sz w:val="20"/>
        </w:rPr>
        <w:t xml:space="preserve">Maddi duran varlıklar </w:t>
      </w:r>
    </w:p>
    <w:p w:rsidR="00660A69" w:rsidRPr="00AE202B" w:rsidRDefault="00660A69" w:rsidP="00660A69">
      <w:pPr>
        <w:pStyle w:val="000normal"/>
        <w:autoSpaceDE w:val="0"/>
        <w:autoSpaceDN w:val="0"/>
        <w:adjustRightInd w:val="0"/>
        <w:spacing w:before="0" w:after="0" w:afterAutospacing="0"/>
        <w:ind w:right="-327"/>
        <w:rPr>
          <w:lang w:val="tr-TR"/>
        </w:rPr>
      </w:pPr>
    </w:p>
    <w:p w:rsidR="00F53471" w:rsidRPr="00660A69" w:rsidRDefault="00660A69" w:rsidP="00D9040F">
      <w:pPr>
        <w:pStyle w:val="000normal"/>
        <w:autoSpaceDE w:val="0"/>
        <w:autoSpaceDN w:val="0"/>
        <w:adjustRightInd w:val="0"/>
        <w:spacing w:before="0" w:after="0" w:afterAutospacing="0"/>
        <w:ind w:right="-327"/>
        <w:rPr>
          <w:lang w:val="tr-TR"/>
        </w:rPr>
      </w:pPr>
      <w:r w:rsidRPr="00660A69">
        <w:rPr>
          <w:lang w:val="tr-TR"/>
        </w:rPr>
        <w:t>31 Aralık2014</w:t>
      </w:r>
    </w:p>
    <w:tbl>
      <w:tblPr>
        <w:tblW w:w="9072" w:type="dxa"/>
        <w:tblInd w:w="54" w:type="dxa"/>
        <w:tblLayout w:type="fixed"/>
        <w:tblCellMar>
          <w:left w:w="54" w:type="dxa"/>
          <w:right w:w="54" w:type="dxa"/>
        </w:tblCellMar>
        <w:tblLook w:val="0000" w:firstRow="0" w:lastRow="0" w:firstColumn="0" w:lastColumn="0" w:noHBand="0" w:noVBand="0"/>
      </w:tblPr>
      <w:tblGrid>
        <w:gridCol w:w="4253"/>
        <w:gridCol w:w="1276"/>
        <w:gridCol w:w="1417"/>
        <w:gridCol w:w="1134"/>
        <w:gridCol w:w="992"/>
      </w:tblGrid>
      <w:tr w:rsidR="00D322FB" w:rsidRPr="00AE202B" w:rsidTr="00DE18BD">
        <w:trPr>
          <w:trHeight w:val="113"/>
        </w:trPr>
        <w:tc>
          <w:tcPr>
            <w:tcW w:w="4253" w:type="dxa"/>
            <w:tcBorders>
              <w:top w:val="single" w:sz="4" w:space="0" w:color="auto"/>
              <w:bottom w:val="single" w:sz="4" w:space="0" w:color="auto"/>
            </w:tcBorders>
            <w:vAlign w:val="bottom"/>
          </w:tcPr>
          <w:p w:rsidR="00D322FB" w:rsidRPr="0009383C" w:rsidRDefault="00D322FB" w:rsidP="00DE18BD">
            <w:pPr>
              <w:rPr>
                <w:rFonts w:ascii="Arial" w:hAnsi="Arial" w:cs="Arial"/>
                <w:sz w:val="18"/>
                <w:lang w:val="tr-TR"/>
              </w:rPr>
            </w:pPr>
          </w:p>
          <w:p w:rsidR="00D322FB" w:rsidRPr="0009383C" w:rsidRDefault="00D322FB" w:rsidP="00DE18BD">
            <w:pPr>
              <w:rPr>
                <w:rFonts w:ascii="Arial" w:hAnsi="Arial" w:cs="Arial"/>
                <w:sz w:val="18"/>
                <w:lang w:val="tr-TR"/>
              </w:rPr>
            </w:pPr>
          </w:p>
        </w:tc>
        <w:tc>
          <w:tcPr>
            <w:tcW w:w="1276" w:type="dxa"/>
            <w:tcBorders>
              <w:top w:val="single" w:sz="4" w:space="0" w:color="auto"/>
              <w:bottom w:val="single" w:sz="4" w:space="0" w:color="auto"/>
            </w:tcBorders>
            <w:vAlign w:val="bottom"/>
          </w:tcPr>
          <w:p w:rsidR="00D322FB" w:rsidRPr="0009383C" w:rsidRDefault="00D322FB" w:rsidP="00DE18BD">
            <w:pPr>
              <w:ind w:right="47"/>
              <w:jc w:val="right"/>
              <w:rPr>
                <w:rFonts w:ascii="Arial" w:hAnsi="Arial" w:cs="Arial"/>
                <w:sz w:val="18"/>
                <w:lang w:val="tr-TR"/>
              </w:rPr>
            </w:pPr>
            <w:r w:rsidRPr="0009383C">
              <w:rPr>
                <w:rFonts w:ascii="Arial" w:hAnsi="Arial" w:cs="Arial"/>
                <w:sz w:val="18"/>
                <w:lang w:val="tr-TR"/>
              </w:rPr>
              <w:t>Makine ve cihazlar</w:t>
            </w:r>
          </w:p>
        </w:tc>
        <w:tc>
          <w:tcPr>
            <w:tcW w:w="1417" w:type="dxa"/>
            <w:tcBorders>
              <w:top w:val="single" w:sz="4" w:space="0" w:color="auto"/>
              <w:bottom w:val="single" w:sz="4" w:space="0" w:color="auto"/>
            </w:tcBorders>
            <w:vAlign w:val="bottom"/>
          </w:tcPr>
          <w:p w:rsidR="00D322FB" w:rsidRPr="0009383C" w:rsidRDefault="00D322FB" w:rsidP="00DE18BD">
            <w:pPr>
              <w:jc w:val="right"/>
              <w:rPr>
                <w:rFonts w:ascii="Arial" w:hAnsi="Arial" w:cs="Arial"/>
                <w:sz w:val="18"/>
                <w:lang w:val="tr-TR"/>
              </w:rPr>
            </w:pPr>
            <w:r w:rsidRPr="0009383C">
              <w:rPr>
                <w:rFonts w:ascii="Arial" w:hAnsi="Arial" w:cs="Arial"/>
                <w:sz w:val="18"/>
                <w:lang w:val="tr-TR"/>
              </w:rPr>
              <w:t>Döşeme ve demirbaşlar</w:t>
            </w:r>
          </w:p>
        </w:tc>
        <w:tc>
          <w:tcPr>
            <w:tcW w:w="1134" w:type="dxa"/>
            <w:tcBorders>
              <w:top w:val="single" w:sz="4" w:space="0" w:color="auto"/>
              <w:bottom w:val="single" w:sz="4" w:space="0" w:color="auto"/>
            </w:tcBorders>
            <w:vAlign w:val="bottom"/>
          </w:tcPr>
          <w:p w:rsidR="00D322FB" w:rsidRPr="0009383C" w:rsidRDefault="00D322FB" w:rsidP="00DE18BD">
            <w:pPr>
              <w:jc w:val="right"/>
              <w:rPr>
                <w:rFonts w:ascii="Arial" w:hAnsi="Arial" w:cs="Arial"/>
                <w:sz w:val="18"/>
                <w:lang w:val="tr-TR"/>
              </w:rPr>
            </w:pPr>
            <w:r w:rsidRPr="0009383C">
              <w:rPr>
                <w:rFonts w:ascii="Arial" w:hAnsi="Arial" w:cs="Arial"/>
                <w:sz w:val="18"/>
                <w:lang w:val="tr-TR"/>
              </w:rPr>
              <w:t>Özel maliyetler</w:t>
            </w:r>
          </w:p>
        </w:tc>
        <w:tc>
          <w:tcPr>
            <w:tcW w:w="992" w:type="dxa"/>
            <w:tcBorders>
              <w:top w:val="single" w:sz="4" w:space="0" w:color="auto"/>
              <w:bottom w:val="single" w:sz="4" w:space="0" w:color="auto"/>
            </w:tcBorders>
            <w:vAlign w:val="bottom"/>
          </w:tcPr>
          <w:p w:rsidR="00D322FB" w:rsidRPr="0009383C" w:rsidRDefault="00D322FB" w:rsidP="00DE18BD">
            <w:pPr>
              <w:jc w:val="right"/>
              <w:rPr>
                <w:rFonts w:ascii="Arial" w:hAnsi="Arial" w:cs="Arial"/>
                <w:sz w:val="18"/>
                <w:lang w:val="tr-TR"/>
              </w:rPr>
            </w:pPr>
          </w:p>
          <w:p w:rsidR="00D322FB" w:rsidRPr="0009383C" w:rsidRDefault="00D322FB" w:rsidP="00DE18BD">
            <w:pPr>
              <w:jc w:val="right"/>
              <w:rPr>
                <w:rFonts w:ascii="Arial" w:hAnsi="Arial" w:cs="Arial"/>
                <w:sz w:val="18"/>
                <w:lang w:val="tr-TR"/>
              </w:rPr>
            </w:pPr>
            <w:r w:rsidRPr="0009383C">
              <w:rPr>
                <w:rFonts w:ascii="Arial" w:hAnsi="Arial" w:cs="Arial"/>
                <w:sz w:val="18"/>
                <w:lang w:val="tr-TR"/>
              </w:rPr>
              <w:t>Toplam</w:t>
            </w:r>
          </w:p>
        </w:tc>
      </w:tr>
      <w:tr w:rsidR="00D322FB" w:rsidRPr="00AE202B" w:rsidTr="00DE18BD">
        <w:trPr>
          <w:trHeight w:val="113"/>
        </w:trPr>
        <w:tc>
          <w:tcPr>
            <w:tcW w:w="4253" w:type="dxa"/>
            <w:tcBorders>
              <w:top w:val="single" w:sz="4" w:space="0" w:color="auto"/>
            </w:tcBorders>
            <w:vAlign w:val="bottom"/>
          </w:tcPr>
          <w:p w:rsidR="00D322FB" w:rsidRPr="0009383C" w:rsidRDefault="00D322FB" w:rsidP="00DE18BD">
            <w:pPr>
              <w:rPr>
                <w:rFonts w:ascii="Arial" w:hAnsi="Arial" w:cs="Arial"/>
                <w:sz w:val="18"/>
                <w:lang w:val="tr-TR"/>
              </w:rPr>
            </w:pPr>
          </w:p>
        </w:tc>
        <w:tc>
          <w:tcPr>
            <w:tcW w:w="1276" w:type="dxa"/>
            <w:tcBorders>
              <w:top w:val="single" w:sz="4" w:space="0" w:color="auto"/>
            </w:tcBorders>
            <w:vAlign w:val="bottom"/>
          </w:tcPr>
          <w:p w:rsidR="00D322FB" w:rsidRPr="0009383C" w:rsidRDefault="00D322FB" w:rsidP="00DE18BD">
            <w:pPr>
              <w:ind w:right="47"/>
              <w:jc w:val="right"/>
              <w:rPr>
                <w:rFonts w:ascii="Arial" w:hAnsi="Arial" w:cs="Arial"/>
                <w:sz w:val="18"/>
                <w:lang w:val="tr-TR"/>
              </w:rPr>
            </w:pPr>
          </w:p>
        </w:tc>
        <w:tc>
          <w:tcPr>
            <w:tcW w:w="1417" w:type="dxa"/>
            <w:tcBorders>
              <w:top w:val="single" w:sz="4" w:space="0" w:color="auto"/>
            </w:tcBorders>
            <w:vAlign w:val="bottom"/>
          </w:tcPr>
          <w:p w:rsidR="00D322FB" w:rsidRPr="0009383C" w:rsidRDefault="00D322FB" w:rsidP="00DE18BD">
            <w:pPr>
              <w:ind w:right="47"/>
              <w:jc w:val="right"/>
              <w:rPr>
                <w:rFonts w:ascii="Arial" w:hAnsi="Arial" w:cs="Arial"/>
                <w:sz w:val="18"/>
                <w:lang w:val="tr-TR"/>
              </w:rPr>
            </w:pPr>
          </w:p>
        </w:tc>
        <w:tc>
          <w:tcPr>
            <w:tcW w:w="1134" w:type="dxa"/>
            <w:tcBorders>
              <w:top w:val="single" w:sz="4" w:space="0" w:color="auto"/>
            </w:tcBorders>
            <w:vAlign w:val="bottom"/>
          </w:tcPr>
          <w:p w:rsidR="00D322FB" w:rsidRPr="0009383C" w:rsidRDefault="00D322FB" w:rsidP="00DE18BD">
            <w:pPr>
              <w:ind w:right="47"/>
              <w:jc w:val="right"/>
              <w:rPr>
                <w:rFonts w:ascii="Arial" w:hAnsi="Arial" w:cs="Arial"/>
                <w:sz w:val="18"/>
                <w:lang w:val="tr-TR"/>
              </w:rPr>
            </w:pPr>
          </w:p>
        </w:tc>
        <w:tc>
          <w:tcPr>
            <w:tcW w:w="992" w:type="dxa"/>
            <w:tcBorders>
              <w:top w:val="single" w:sz="4" w:space="0" w:color="auto"/>
            </w:tcBorders>
            <w:vAlign w:val="bottom"/>
          </w:tcPr>
          <w:p w:rsidR="00D322FB" w:rsidRPr="0009383C" w:rsidRDefault="00D322FB" w:rsidP="00DE18BD">
            <w:pPr>
              <w:ind w:right="47"/>
              <w:jc w:val="right"/>
              <w:rPr>
                <w:rFonts w:ascii="Arial" w:hAnsi="Arial" w:cs="Arial"/>
                <w:sz w:val="18"/>
                <w:lang w:val="tr-TR"/>
              </w:rPr>
            </w:pPr>
          </w:p>
        </w:tc>
      </w:tr>
      <w:tr w:rsidR="00D322FB" w:rsidRPr="00AE202B" w:rsidTr="00DE18BD">
        <w:trPr>
          <w:trHeight w:val="113"/>
        </w:trPr>
        <w:tc>
          <w:tcPr>
            <w:tcW w:w="4253" w:type="dxa"/>
            <w:vAlign w:val="bottom"/>
          </w:tcPr>
          <w:p w:rsidR="00D322FB" w:rsidRPr="0009383C" w:rsidRDefault="00D322FB" w:rsidP="00DE18BD">
            <w:pPr>
              <w:rPr>
                <w:rFonts w:ascii="Arial" w:hAnsi="Arial" w:cs="Arial"/>
                <w:sz w:val="18"/>
                <w:szCs w:val="22"/>
                <w:lang w:val="tr-TR"/>
              </w:rPr>
            </w:pPr>
            <w:r w:rsidRPr="0009383C">
              <w:rPr>
                <w:rFonts w:ascii="Arial" w:hAnsi="Arial" w:cs="Arial"/>
                <w:sz w:val="18"/>
                <w:lang w:val="tr-TR"/>
              </w:rPr>
              <w:t>Maliyet değeri</w:t>
            </w:r>
          </w:p>
        </w:tc>
        <w:tc>
          <w:tcPr>
            <w:tcW w:w="1276" w:type="dxa"/>
            <w:vAlign w:val="bottom"/>
          </w:tcPr>
          <w:p w:rsidR="00D322FB" w:rsidRPr="0009383C" w:rsidRDefault="00D322FB" w:rsidP="00DE18BD">
            <w:pPr>
              <w:ind w:right="47"/>
              <w:jc w:val="right"/>
              <w:rPr>
                <w:rFonts w:ascii="Arial" w:hAnsi="Arial" w:cs="Arial"/>
                <w:sz w:val="18"/>
                <w:lang w:val="tr-TR"/>
              </w:rPr>
            </w:pPr>
          </w:p>
        </w:tc>
        <w:tc>
          <w:tcPr>
            <w:tcW w:w="1417" w:type="dxa"/>
            <w:vAlign w:val="bottom"/>
          </w:tcPr>
          <w:p w:rsidR="00D322FB" w:rsidRPr="0009383C" w:rsidRDefault="00D322FB" w:rsidP="00DE18BD">
            <w:pPr>
              <w:ind w:right="47"/>
              <w:jc w:val="right"/>
              <w:rPr>
                <w:rFonts w:ascii="Arial" w:hAnsi="Arial" w:cs="Arial"/>
                <w:sz w:val="18"/>
                <w:lang w:val="tr-TR"/>
              </w:rPr>
            </w:pPr>
          </w:p>
        </w:tc>
        <w:tc>
          <w:tcPr>
            <w:tcW w:w="1134" w:type="dxa"/>
            <w:vAlign w:val="bottom"/>
          </w:tcPr>
          <w:p w:rsidR="00D322FB" w:rsidRPr="0009383C" w:rsidRDefault="00D322FB" w:rsidP="00DE18BD">
            <w:pPr>
              <w:ind w:right="47"/>
              <w:jc w:val="right"/>
              <w:rPr>
                <w:rFonts w:ascii="Arial" w:hAnsi="Arial" w:cs="Arial"/>
                <w:sz w:val="18"/>
                <w:lang w:val="tr-TR"/>
              </w:rPr>
            </w:pPr>
          </w:p>
        </w:tc>
        <w:tc>
          <w:tcPr>
            <w:tcW w:w="992" w:type="dxa"/>
            <w:vAlign w:val="bottom"/>
          </w:tcPr>
          <w:p w:rsidR="00D322FB" w:rsidRPr="0009383C" w:rsidRDefault="00D322FB" w:rsidP="00DE18BD">
            <w:pPr>
              <w:ind w:right="47"/>
              <w:jc w:val="right"/>
              <w:rPr>
                <w:rFonts w:ascii="Arial" w:hAnsi="Arial" w:cs="Arial"/>
                <w:sz w:val="18"/>
                <w:lang w:val="tr-TR"/>
              </w:rPr>
            </w:pPr>
          </w:p>
        </w:tc>
      </w:tr>
      <w:tr w:rsidR="00D322FB" w:rsidRPr="00AE202B" w:rsidTr="00DE18BD">
        <w:trPr>
          <w:trHeight w:val="113"/>
        </w:trPr>
        <w:tc>
          <w:tcPr>
            <w:tcW w:w="4253" w:type="dxa"/>
            <w:vAlign w:val="bottom"/>
          </w:tcPr>
          <w:p w:rsidR="00D322FB" w:rsidRPr="0009383C" w:rsidRDefault="00D322FB" w:rsidP="00DE18BD">
            <w:pPr>
              <w:rPr>
                <w:rFonts w:ascii="Arial" w:hAnsi="Arial" w:cs="Arial"/>
                <w:sz w:val="18"/>
                <w:szCs w:val="22"/>
                <w:lang w:val="tr-TR"/>
              </w:rPr>
            </w:pPr>
            <w:r w:rsidRPr="0009383C">
              <w:rPr>
                <w:rFonts w:ascii="Arial" w:hAnsi="Arial" w:cs="Arial"/>
                <w:sz w:val="18"/>
                <w:lang w:val="tr-TR"/>
              </w:rPr>
              <w:t>1 Ocak 2014 açılış bakiyesi</w:t>
            </w:r>
          </w:p>
        </w:tc>
        <w:tc>
          <w:tcPr>
            <w:tcW w:w="1276"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11.635 </w:t>
            </w:r>
          </w:p>
        </w:tc>
        <w:tc>
          <w:tcPr>
            <w:tcW w:w="1417"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18.672 </w:t>
            </w:r>
          </w:p>
        </w:tc>
        <w:tc>
          <w:tcPr>
            <w:tcW w:w="1134"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52.909 </w:t>
            </w:r>
          </w:p>
        </w:tc>
        <w:tc>
          <w:tcPr>
            <w:tcW w:w="992"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83.216 </w:t>
            </w:r>
          </w:p>
        </w:tc>
      </w:tr>
      <w:tr w:rsidR="00D322FB" w:rsidRPr="00AE202B" w:rsidTr="00DE18BD">
        <w:trPr>
          <w:trHeight w:val="113"/>
        </w:trPr>
        <w:tc>
          <w:tcPr>
            <w:tcW w:w="4253" w:type="dxa"/>
            <w:vAlign w:val="bottom"/>
          </w:tcPr>
          <w:p w:rsidR="00D322FB" w:rsidRPr="0009383C" w:rsidRDefault="00D322FB" w:rsidP="00DE18BD">
            <w:pPr>
              <w:rPr>
                <w:rFonts w:ascii="Arial" w:hAnsi="Arial" w:cs="Arial"/>
                <w:sz w:val="18"/>
                <w:szCs w:val="22"/>
                <w:lang w:val="tr-TR"/>
              </w:rPr>
            </w:pPr>
            <w:r w:rsidRPr="0009383C">
              <w:rPr>
                <w:rFonts w:ascii="Arial" w:hAnsi="Arial" w:cs="Arial"/>
                <w:sz w:val="18"/>
                <w:lang w:val="tr-TR"/>
              </w:rPr>
              <w:t>Alımlar</w:t>
            </w:r>
          </w:p>
        </w:tc>
        <w:tc>
          <w:tcPr>
            <w:tcW w:w="1276"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951 </w:t>
            </w:r>
          </w:p>
        </w:tc>
        <w:tc>
          <w:tcPr>
            <w:tcW w:w="1417"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 </w:t>
            </w:r>
          </w:p>
        </w:tc>
        <w:tc>
          <w:tcPr>
            <w:tcW w:w="1134"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 </w:t>
            </w:r>
          </w:p>
        </w:tc>
        <w:tc>
          <w:tcPr>
            <w:tcW w:w="992"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951 </w:t>
            </w:r>
          </w:p>
        </w:tc>
      </w:tr>
      <w:tr w:rsidR="00D322FB" w:rsidRPr="00AE202B" w:rsidTr="00DE18BD">
        <w:trPr>
          <w:trHeight w:val="113"/>
        </w:trPr>
        <w:tc>
          <w:tcPr>
            <w:tcW w:w="4253" w:type="dxa"/>
            <w:tcBorders>
              <w:bottom w:val="single" w:sz="4" w:space="0" w:color="auto"/>
            </w:tcBorders>
            <w:vAlign w:val="bottom"/>
          </w:tcPr>
          <w:p w:rsidR="00D322FB" w:rsidRPr="0009383C" w:rsidRDefault="00D322FB" w:rsidP="00DE18BD">
            <w:pPr>
              <w:rPr>
                <w:rFonts w:ascii="Arial" w:hAnsi="Arial" w:cs="Arial"/>
                <w:sz w:val="18"/>
                <w:lang w:val="tr-TR"/>
              </w:rPr>
            </w:pPr>
          </w:p>
        </w:tc>
        <w:tc>
          <w:tcPr>
            <w:tcW w:w="1276" w:type="dxa"/>
            <w:tcBorders>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417" w:type="dxa"/>
            <w:tcBorders>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134" w:type="dxa"/>
            <w:tcBorders>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992" w:type="dxa"/>
            <w:tcBorders>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r>
      <w:tr w:rsidR="00D322FB" w:rsidRPr="00AE202B" w:rsidTr="00DE18BD">
        <w:trPr>
          <w:trHeight w:val="113"/>
        </w:trPr>
        <w:tc>
          <w:tcPr>
            <w:tcW w:w="4253" w:type="dxa"/>
            <w:tcBorders>
              <w:top w:val="single" w:sz="4" w:space="0" w:color="auto"/>
              <w:bottom w:val="single" w:sz="4" w:space="0" w:color="auto"/>
            </w:tcBorders>
            <w:vAlign w:val="bottom"/>
          </w:tcPr>
          <w:p w:rsidR="00D322FB" w:rsidRPr="0009383C" w:rsidRDefault="00D322FB" w:rsidP="00DE18BD">
            <w:pPr>
              <w:rPr>
                <w:rFonts w:ascii="Arial" w:hAnsi="Arial" w:cs="Arial"/>
                <w:sz w:val="18"/>
                <w:szCs w:val="22"/>
                <w:lang w:val="tr-TR"/>
              </w:rPr>
            </w:pPr>
            <w:r w:rsidRPr="0009383C">
              <w:rPr>
                <w:rFonts w:ascii="Arial" w:hAnsi="Arial" w:cs="Arial"/>
                <w:sz w:val="18"/>
                <w:lang w:val="tr-TR"/>
              </w:rPr>
              <w:t>31 Aralık 2014 kapanış bakiyesi</w:t>
            </w:r>
          </w:p>
        </w:tc>
        <w:tc>
          <w:tcPr>
            <w:tcW w:w="1276"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12.586 </w:t>
            </w:r>
          </w:p>
        </w:tc>
        <w:tc>
          <w:tcPr>
            <w:tcW w:w="1417"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18.672 </w:t>
            </w:r>
          </w:p>
        </w:tc>
        <w:tc>
          <w:tcPr>
            <w:tcW w:w="1134"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52.909 </w:t>
            </w:r>
          </w:p>
        </w:tc>
        <w:tc>
          <w:tcPr>
            <w:tcW w:w="992"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 xml:space="preserve">84.167 </w:t>
            </w:r>
          </w:p>
        </w:tc>
      </w:tr>
      <w:tr w:rsidR="00D322FB" w:rsidRPr="00AE202B" w:rsidTr="00DE18BD">
        <w:trPr>
          <w:trHeight w:val="113"/>
        </w:trPr>
        <w:tc>
          <w:tcPr>
            <w:tcW w:w="4253" w:type="dxa"/>
            <w:tcBorders>
              <w:top w:val="single" w:sz="4" w:space="0" w:color="auto"/>
            </w:tcBorders>
            <w:vAlign w:val="bottom"/>
          </w:tcPr>
          <w:p w:rsidR="00D322FB" w:rsidRPr="0009383C" w:rsidRDefault="00D322FB" w:rsidP="00DE18BD">
            <w:pPr>
              <w:rPr>
                <w:rFonts w:ascii="Arial" w:hAnsi="Arial" w:cs="Arial"/>
                <w:sz w:val="18"/>
                <w:lang w:val="tr-TR"/>
              </w:rPr>
            </w:pPr>
          </w:p>
        </w:tc>
        <w:tc>
          <w:tcPr>
            <w:tcW w:w="1276" w:type="dxa"/>
            <w:tcBorders>
              <w:top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417" w:type="dxa"/>
            <w:tcBorders>
              <w:top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134" w:type="dxa"/>
            <w:tcBorders>
              <w:top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992" w:type="dxa"/>
            <w:tcBorders>
              <w:top w:val="single" w:sz="4" w:space="0" w:color="auto"/>
            </w:tcBorders>
            <w:vAlign w:val="bottom"/>
          </w:tcPr>
          <w:p w:rsidR="00D322FB" w:rsidRPr="0009383C" w:rsidRDefault="00D322FB" w:rsidP="00DE18BD">
            <w:pPr>
              <w:jc w:val="right"/>
              <w:rPr>
                <w:rFonts w:ascii="Arial" w:hAnsi="Arial" w:cs="Arial"/>
                <w:bCs/>
                <w:color w:val="000000"/>
                <w:sz w:val="18"/>
                <w:szCs w:val="18"/>
              </w:rPr>
            </w:pPr>
          </w:p>
        </w:tc>
      </w:tr>
      <w:tr w:rsidR="00D322FB" w:rsidRPr="00AE202B" w:rsidTr="00DE18BD">
        <w:trPr>
          <w:trHeight w:val="113"/>
        </w:trPr>
        <w:tc>
          <w:tcPr>
            <w:tcW w:w="4253" w:type="dxa"/>
            <w:vAlign w:val="bottom"/>
          </w:tcPr>
          <w:p w:rsidR="00D322FB" w:rsidRDefault="00D322FB" w:rsidP="00DE18BD">
            <w:pPr>
              <w:rPr>
                <w:rFonts w:ascii="Arial" w:hAnsi="Arial" w:cs="Arial"/>
                <w:sz w:val="18"/>
                <w:lang w:val="tr-TR"/>
              </w:rPr>
            </w:pPr>
          </w:p>
          <w:p w:rsidR="00D322FB" w:rsidRPr="0009383C" w:rsidRDefault="00D322FB" w:rsidP="00DE18BD">
            <w:pPr>
              <w:rPr>
                <w:rFonts w:ascii="Arial" w:hAnsi="Arial" w:cs="Arial"/>
                <w:sz w:val="18"/>
                <w:szCs w:val="22"/>
                <w:lang w:val="tr-TR"/>
              </w:rPr>
            </w:pPr>
            <w:r w:rsidRPr="0009383C">
              <w:rPr>
                <w:rFonts w:ascii="Arial" w:hAnsi="Arial" w:cs="Arial"/>
                <w:sz w:val="18"/>
                <w:lang w:val="tr-TR"/>
              </w:rPr>
              <w:t>Birikmiş amortismanlar</w:t>
            </w:r>
          </w:p>
        </w:tc>
        <w:tc>
          <w:tcPr>
            <w:tcW w:w="1276" w:type="dxa"/>
            <w:vAlign w:val="bottom"/>
          </w:tcPr>
          <w:p w:rsidR="00D322FB" w:rsidRPr="0009383C" w:rsidRDefault="00D322FB" w:rsidP="00DE18BD">
            <w:pPr>
              <w:jc w:val="right"/>
              <w:rPr>
                <w:rFonts w:ascii="Arial" w:hAnsi="Arial" w:cs="Arial"/>
                <w:bCs/>
                <w:color w:val="000000"/>
                <w:sz w:val="18"/>
                <w:szCs w:val="18"/>
              </w:rPr>
            </w:pPr>
          </w:p>
        </w:tc>
        <w:tc>
          <w:tcPr>
            <w:tcW w:w="1417" w:type="dxa"/>
            <w:vAlign w:val="bottom"/>
          </w:tcPr>
          <w:p w:rsidR="00D322FB" w:rsidRPr="0009383C" w:rsidRDefault="00D322FB" w:rsidP="00DE18BD">
            <w:pPr>
              <w:jc w:val="right"/>
              <w:rPr>
                <w:rFonts w:ascii="Arial" w:hAnsi="Arial" w:cs="Arial"/>
                <w:bCs/>
                <w:color w:val="000000"/>
                <w:sz w:val="18"/>
                <w:szCs w:val="18"/>
              </w:rPr>
            </w:pPr>
          </w:p>
        </w:tc>
        <w:tc>
          <w:tcPr>
            <w:tcW w:w="1134" w:type="dxa"/>
            <w:vAlign w:val="bottom"/>
          </w:tcPr>
          <w:p w:rsidR="00D322FB" w:rsidRPr="0009383C" w:rsidRDefault="00D322FB" w:rsidP="00DE18BD">
            <w:pPr>
              <w:jc w:val="right"/>
              <w:rPr>
                <w:rFonts w:ascii="Arial" w:hAnsi="Arial" w:cs="Arial"/>
                <w:bCs/>
                <w:color w:val="000000"/>
                <w:sz w:val="18"/>
                <w:szCs w:val="18"/>
              </w:rPr>
            </w:pPr>
          </w:p>
        </w:tc>
        <w:tc>
          <w:tcPr>
            <w:tcW w:w="992" w:type="dxa"/>
            <w:vAlign w:val="bottom"/>
          </w:tcPr>
          <w:p w:rsidR="00D322FB" w:rsidRPr="0009383C" w:rsidRDefault="00D322FB" w:rsidP="00DE18BD">
            <w:pPr>
              <w:jc w:val="right"/>
              <w:rPr>
                <w:rFonts w:ascii="Arial" w:hAnsi="Arial" w:cs="Arial"/>
                <w:bCs/>
                <w:color w:val="000000"/>
                <w:sz w:val="18"/>
                <w:szCs w:val="18"/>
              </w:rPr>
            </w:pPr>
          </w:p>
        </w:tc>
      </w:tr>
      <w:tr w:rsidR="00D322FB" w:rsidRPr="00AE202B" w:rsidTr="00DE18BD">
        <w:trPr>
          <w:trHeight w:val="113"/>
        </w:trPr>
        <w:tc>
          <w:tcPr>
            <w:tcW w:w="4253" w:type="dxa"/>
            <w:vAlign w:val="bottom"/>
          </w:tcPr>
          <w:p w:rsidR="00D322FB" w:rsidRPr="0009383C" w:rsidRDefault="00D322FB" w:rsidP="00DE18BD">
            <w:pPr>
              <w:rPr>
                <w:rFonts w:ascii="Arial" w:hAnsi="Arial" w:cs="Arial"/>
                <w:sz w:val="18"/>
                <w:szCs w:val="22"/>
                <w:lang w:val="tr-TR"/>
              </w:rPr>
            </w:pPr>
            <w:r w:rsidRPr="0009383C">
              <w:rPr>
                <w:rFonts w:ascii="Arial" w:hAnsi="Arial" w:cs="Arial"/>
                <w:sz w:val="18"/>
                <w:lang w:val="tr-TR"/>
              </w:rPr>
              <w:t>1 Ocak 2014 açılış bakiyesi</w:t>
            </w:r>
          </w:p>
        </w:tc>
        <w:tc>
          <w:tcPr>
            <w:tcW w:w="1276"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(7.477)</w:t>
            </w:r>
          </w:p>
        </w:tc>
        <w:tc>
          <w:tcPr>
            <w:tcW w:w="1417"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(12.818)</w:t>
            </w:r>
          </w:p>
        </w:tc>
        <w:tc>
          <w:tcPr>
            <w:tcW w:w="1134"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(29.753)</w:t>
            </w:r>
          </w:p>
        </w:tc>
        <w:tc>
          <w:tcPr>
            <w:tcW w:w="992"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(50.048)</w:t>
            </w:r>
          </w:p>
        </w:tc>
      </w:tr>
      <w:tr w:rsidR="00D322FB" w:rsidRPr="00AE202B" w:rsidTr="00DE18BD">
        <w:trPr>
          <w:trHeight w:val="113"/>
        </w:trPr>
        <w:tc>
          <w:tcPr>
            <w:tcW w:w="4253" w:type="dxa"/>
            <w:vAlign w:val="bottom"/>
          </w:tcPr>
          <w:p w:rsidR="00D322FB" w:rsidRPr="0009383C" w:rsidRDefault="00D322FB" w:rsidP="00DE18BD">
            <w:pPr>
              <w:rPr>
                <w:rFonts w:ascii="Arial" w:hAnsi="Arial" w:cs="Arial"/>
                <w:sz w:val="18"/>
                <w:szCs w:val="22"/>
                <w:lang w:val="tr-TR"/>
              </w:rPr>
            </w:pPr>
            <w:r w:rsidRPr="0009383C">
              <w:rPr>
                <w:rFonts w:ascii="Arial" w:hAnsi="Arial" w:cs="Arial"/>
                <w:sz w:val="18"/>
                <w:lang w:val="tr-TR"/>
              </w:rPr>
              <w:t>Dönem gideri</w:t>
            </w:r>
          </w:p>
        </w:tc>
        <w:tc>
          <w:tcPr>
            <w:tcW w:w="1276"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(1.627)</w:t>
            </w:r>
          </w:p>
        </w:tc>
        <w:tc>
          <w:tcPr>
            <w:tcW w:w="1417"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(3.333)</w:t>
            </w:r>
          </w:p>
        </w:tc>
        <w:tc>
          <w:tcPr>
            <w:tcW w:w="1134"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(10.583)</w:t>
            </w:r>
          </w:p>
        </w:tc>
        <w:tc>
          <w:tcPr>
            <w:tcW w:w="992" w:type="dxa"/>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(15.543)</w:t>
            </w:r>
          </w:p>
        </w:tc>
      </w:tr>
      <w:tr w:rsidR="00D322FB" w:rsidRPr="00AE202B" w:rsidTr="00DE18BD">
        <w:trPr>
          <w:trHeight w:val="113"/>
        </w:trPr>
        <w:tc>
          <w:tcPr>
            <w:tcW w:w="4253" w:type="dxa"/>
            <w:tcBorders>
              <w:bottom w:val="single" w:sz="4" w:space="0" w:color="auto"/>
            </w:tcBorders>
            <w:vAlign w:val="bottom"/>
          </w:tcPr>
          <w:p w:rsidR="00D322FB" w:rsidRPr="0009383C" w:rsidRDefault="00D322FB" w:rsidP="00DE18BD">
            <w:pPr>
              <w:rPr>
                <w:rFonts w:ascii="Arial" w:hAnsi="Arial" w:cs="Arial"/>
                <w:sz w:val="18"/>
                <w:lang w:val="tr-TR"/>
              </w:rPr>
            </w:pPr>
          </w:p>
        </w:tc>
        <w:tc>
          <w:tcPr>
            <w:tcW w:w="1276" w:type="dxa"/>
            <w:tcBorders>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417" w:type="dxa"/>
            <w:tcBorders>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134" w:type="dxa"/>
            <w:tcBorders>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992" w:type="dxa"/>
            <w:tcBorders>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r>
      <w:tr w:rsidR="00D322FB" w:rsidRPr="00AE202B" w:rsidTr="00DE18BD">
        <w:trPr>
          <w:trHeight w:val="113"/>
        </w:trPr>
        <w:tc>
          <w:tcPr>
            <w:tcW w:w="4253" w:type="dxa"/>
            <w:tcBorders>
              <w:top w:val="single" w:sz="4" w:space="0" w:color="auto"/>
              <w:bottom w:val="single" w:sz="4" w:space="0" w:color="auto"/>
            </w:tcBorders>
            <w:vAlign w:val="bottom"/>
          </w:tcPr>
          <w:p w:rsidR="00D322FB" w:rsidRPr="0009383C" w:rsidRDefault="00D322FB" w:rsidP="00DE18BD">
            <w:pPr>
              <w:rPr>
                <w:rFonts w:ascii="Arial" w:hAnsi="Arial" w:cs="Arial"/>
                <w:sz w:val="18"/>
                <w:szCs w:val="22"/>
                <w:lang w:val="tr-TR"/>
              </w:rPr>
            </w:pPr>
            <w:r w:rsidRPr="0009383C">
              <w:rPr>
                <w:rFonts w:ascii="Arial" w:hAnsi="Arial" w:cs="Arial"/>
                <w:sz w:val="18"/>
                <w:lang w:val="tr-TR"/>
              </w:rPr>
              <w:t>31 Aralık 2014 kapanış bakiyesi</w:t>
            </w:r>
          </w:p>
        </w:tc>
        <w:tc>
          <w:tcPr>
            <w:tcW w:w="1276"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(9.104)</w:t>
            </w:r>
          </w:p>
        </w:tc>
        <w:tc>
          <w:tcPr>
            <w:tcW w:w="1417"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(16.151)</w:t>
            </w:r>
          </w:p>
        </w:tc>
        <w:tc>
          <w:tcPr>
            <w:tcW w:w="1134"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(40.336)</w:t>
            </w:r>
          </w:p>
        </w:tc>
        <w:tc>
          <w:tcPr>
            <w:tcW w:w="992"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(65.591)</w:t>
            </w:r>
          </w:p>
        </w:tc>
      </w:tr>
      <w:tr w:rsidR="00D322FB" w:rsidRPr="00AE202B" w:rsidTr="00DE18BD">
        <w:trPr>
          <w:trHeight w:val="113"/>
        </w:trPr>
        <w:tc>
          <w:tcPr>
            <w:tcW w:w="4253" w:type="dxa"/>
            <w:tcBorders>
              <w:top w:val="single" w:sz="4" w:space="0" w:color="auto"/>
              <w:bottom w:val="single" w:sz="4" w:space="0" w:color="auto"/>
            </w:tcBorders>
            <w:vAlign w:val="bottom"/>
          </w:tcPr>
          <w:p w:rsidR="00D322FB" w:rsidRPr="0009383C" w:rsidRDefault="00D322FB" w:rsidP="00DE18BD">
            <w:pPr>
              <w:rPr>
                <w:rFonts w:ascii="Arial" w:hAnsi="Arial" w:cs="Arial"/>
                <w:sz w:val="18"/>
                <w:lang w:val="tr-TR"/>
              </w:rPr>
            </w:pPr>
          </w:p>
        </w:tc>
        <w:tc>
          <w:tcPr>
            <w:tcW w:w="1276"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417"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134"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992"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r>
      <w:tr w:rsidR="00D322FB" w:rsidRPr="00AE202B" w:rsidTr="00DE18BD">
        <w:trPr>
          <w:trHeight w:val="113"/>
        </w:trPr>
        <w:tc>
          <w:tcPr>
            <w:tcW w:w="4253" w:type="dxa"/>
            <w:tcBorders>
              <w:top w:val="single" w:sz="4" w:space="0" w:color="auto"/>
              <w:bottom w:val="single" w:sz="4" w:space="0" w:color="auto"/>
            </w:tcBorders>
            <w:vAlign w:val="bottom"/>
          </w:tcPr>
          <w:p w:rsidR="00D322FB" w:rsidRPr="0009383C" w:rsidRDefault="00D322FB" w:rsidP="00DE18BD">
            <w:pPr>
              <w:rPr>
                <w:rFonts w:ascii="Arial" w:hAnsi="Arial" w:cs="Arial"/>
                <w:sz w:val="18"/>
                <w:szCs w:val="22"/>
                <w:lang w:val="tr-TR"/>
              </w:rPr>
            </w:pPr>
            <w:r w:rsidRPr="0009383C">
              <w:rPr>
                <w:rFonts w:ascii="Arial" w:hAnsi="Arial" w:cs="Arial"/>
                <w:sz w:val="18"/>
                <w:lang w:val="tr-TR"/>
              </w:rPr>
              <w:t>31 Aralık 2013 itibariyle net defter değeri</w:t>
            </w:r>
          </w:p>
        </w:tc>
        <w:tc>
          <w:tcPr>
            <w:tcW w:w="1276"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4.158</w:t>
            </w:r>
          </w:p>
        </w:tc>
        <w:tc>
          <w:tcPr>
            <w:tcW w:w="1417"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5.853</w:t>
            </w:r>
          </w:p>
        </w:tc>
        <w:tc>
          <w:tcPr>
            <w:tcW w:w="1134"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23.156</w:t>
            </w:r>
          </w:p>
        </w:tc>
        <w:tc>
          <w:tcPr>
            <w:tcW w:w="992"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33.168</w:t>
            </w:r>
          </w:p>
        </w:tc>
      </w:tr>
      <w:tr w:rsidR="00D322FB" w:rsidRPr="00AE202B" w:rsidTr="00DE18BD">
        <w:trPr>
          <w:trHeight w:val="113"/>
        </w:trPr>
        <w:tc>
          <w:tcPr>
            <w:tcW w:w="4253" w:type="dxa"/>
            <w:tcBorders>
              <w:top w:val="single" w:sz="4" w:space="0" w:color="auto"/>
              <w:bottom w:val="single" w:sz="4" w:space="0" w:color="auto"/>
            </w:tcBorders>
            <w:vAlign w:val="bottom"/>
          </w:tcPr>
          <w:p w:rsidR="00D322FB" w:rsidRPr="0009383C" w:rsidRDefault="00D322FB" w:rsidP="00DE18BD">
            <w:pPr>
              <w:rPr>
                <w:rFonts w:ascii="Arial" w:hAnsi="Arial" w:cs="Arial"/>
                <w:sz w:val="18"/>
                <w:lang w:val="tr-TR"/>
              </w:rPr>
            </w:pPr>
          </w:p>
        </w:tc>
        <w:tc>
          <w:tcPr>
            <w:tcW w:w="1276"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417"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1134"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c>
          <w:tcPr>
            <w:tcW w:w="992" w:type="dxa"/>
            <w:tcBorders>
              <w:top w:val="single" w:sz="4" w:space="0" w:color="auto"/>
              <w:bottom w:val="single" w:sz="4" w:space="0" w:color="auto"/>
            </w:tcBorders>
            <w:vAlign w:val="bottom"/>
          </w:tcPr>
          <w:p w:rsidR="00D322FB" w:rsidRPr="0009383C" w:rsidRDefault="00D322FB" w:rsidP="00DE18BD">
            <w:pPr>
              <w:jc w:val="right"/>
              <w:rPr>
                <w:rFonts w:ascii="Arial" w:hAnsi="Arial" w:cs="Arial"/>
                <w:bCs/>
                <w:color w:val="000000"/>
                <w:sz w:val="18"/>
                <w:szCs w:val="18"/>
              </w:rPr>
            </w:pPr>
          </w:p>
        </w:tc>
      </w:tr>
      <w:tr w:rsidR="00D322FB" w:rsidRPr="00727376" w:rsidTr="00DE18BD">
        <w:trPr>
          <w:trHeight w:val="113"/>
        </w:trPr>
        <w:tc>
          <w:tcPr>
            <w:tcW w:w="4253" w:type="dxa"/>
            <w:tcBorders>
              <w:top w:val="single" w:sz="4" w:space="0" w:color="auto"/>
              <w:bottom w:val="double" w:sz="4" w:space="0" w:color="auto"/>
            </w:tcBorders>
            <w:vAlign w:val="bottom"/>
          </w:tcPr>
          <w:p w:rsidR="00D322FB" w:rsidRPr="0009383C" w:rsidRDefault="00D322FB" w:rsidP="00DE18BD">
            <w:pPr>
              <w:rPr>
                <w:rFonts w:ascii="Arial" w:hAnsi="Arial" w:cs="Arial"/>
                <w:sz w:val="18"/>
                <w:szCs w:val="22"/>
                <w:lang w:val="tr-TR"/>
              </w:rPr>
            </w:pPr>
            <w:r w:rsidRPr="0009383C">
              <w:rPr>
                <w:rFonts w:ascii="Arial" w:hAnsi="Arial" w:cs="Arial"/>
                <w:sz w:val="18"/>
                <w:lang w:val="tr-TR"/>
              </w:rPr>
              <w:t>31 Aralık 2014 itibariyle net defter değeri</w:t>
            </w:r>
          </w:p>
        </w:tc>
        <w:tc>
          <w:tcPr>
            <w:tcW w:w="1276" w:type="dxa"/>
            <w:tcBorders>
              <w:top w:val="single" w:sz="4" w:space="0" w:color="auto"/>
              <w:bottom w:val="doub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3.482</w:t>
            </w:r>
          </w:p>
        </w:tc>
        <w:tc>
          <w:tcPr>
            <w:tcW w:w="1417" w:type="dxa"/>
            <w:tcBorders>
              <w:top w:val="single" w:sz="4" w:space="0" w:color="auto"/>
              <w:bottom w:val="doub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2.521</w:t>
            </w:r>
          </w:p>
        </w:tc>
        <w:tc>
          <w:tcPr>
            <w:tcW w:w="1134" w:type="dxa"/>
            <w:tcBorders>
              <w:top w:val="single" w:sz="4" w:space="0" w:color="auto"/>
              <w:bottom w:val="doub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12.573</w:t>
            </w:r>
          </w:p>
        </w:tc>
        <w:tc>
          <w:tcPr>
            <w:tcW w:w="992" w:type="dxa"/>
            <w:tcBorders>
              <w:top w:val="single" w:sz="4" w:space="0" w:color="auto"/>
              <w:bottom w:val="double" w:sz="4" w:space="0" w:color="auto"/>
            </w:tcBorders>
            <w:vAlign w:val="bottom"/>
          </w:tcPr>
          <w:p w:rsidR="00D322FB" w:rsidRPr="0009383C" w:rsidRDefault="00D322FB" w:rsidP="00DE18BD">
            <w:pPr>
              <w:jc w:val="right"/>
              <w:rPr>
                <w:rFonts w:ascii="Arial" w:hAnsi="Arial" w:cs="Arial"/>
                <w:bCs/>
                <w:color w:val="000000"/>
                <w:sz w:val="18"/>
                <w:szCs w:val="18"/>
              </w:rPr>
            </w:pPr>
            <w:r w:rsidRPr="0009383C">
              <w:rPr>
                <w:rFonts w:ascii="Arial" w:hAnsi="Arial" w:cs="Arial"/>
                <w:bCs/>
                <w:color w:val="000000"/>
                <w:sz w:val="18"/>
                <w:szCs w:val="18"/>
              </w:rPr>
              <w:t>18.576</w:t>
            </w:r>
          </w:p>
        </w:tc>
      </w:tr>
    </w:tbl>
    <w:p w:rsidR="00D322FB" w:rsidRDefault="00D322FB" w:rsidP="00D9040F">
      <w:pPr>
        <w:pStyle w:val="000normal"/>
        <w:autoSpaceDE w:val="0"/>
        <w:autoSpaceDN w:val="0"/>
        <w:adjustRightInd w:val="0"/>
        <w:spacing w:before="0" w:after="0" w:afterAutospacing="0"/>
        <w:ind w:right="-327"/>
        <w:rPr>
          <w:highlight w:val="yellow"/>
          <w:lang w:val="tr-TR"/>
        </w:rPr>
      </w:pPr>
    </w:p>
    <w:p w:rsidR="00D322FB" w:rsidRPr="00727376" w:rsidRDefault="00D322FB" w:rsidP="00D9040F">
      <w:pPr>
        <w:pStyle w:val="000normal"/>
        <w:autoSpaceDE w:val="0"/>
        <w:autoSpaceDN w:val="0"/>
        <w:adjustRightInd w:val="0"/>
        <w:spacing w:before="0" w:after="0" w:afterAutospacing="0"/>
        <w:ind w:right="-327"/>
        <w:rPr>
          <w:highlight w:val="yellow"/>
          <w:lang w:val="tr-TR"/>
        </w:rPr>
      </w:pPr>
    </w:p>
    <w:p w:rsidR="00D322FB" w:rsidRPr="00727376" w:rsidRDefault="00D322FB" w:rsidP="007F71BF">
      <w:pPr>
        <w:pStyle w:val="000normal"/>
        <w:autoSpaceDE w:val="0"/>
        <w:autoSpaceDN w:val="0"/>
        <w:adjustRightInd w:val="0"/>
        <w:spacing w:before="0" w:after="0" w:afterAutospacing="0"/>
        <w:jc w:val="left"/>
        <w:rPr>
          <w:rFonts w:eastAsia="Times New Roman"/>
          <w:b/>
          <w:highlight w:val="yellow"/>
          <w:lang w:val="tr-TR"/>
        </w:rPr>
      </w:pPr>
    </w:p>
    <w:p w:rsidR="00D322FB" w:rsidRPr="007B153F" w:rsidRDefault="00D322FB" w:rsidP="007F71BF">
      <w:pPr>
        <w:rPr>
          <w:rFonts w:ascii="Arial" w:hAnsi="Arial" w:cs="Arial"/>
          <w:lang w:val="tr-TR"/>
        </w:rPr>
      </w:pPr>
      <w:r w:rsidRPr="007B153F">
        <w:rPr>
          <w:rFonts w:ascii="Arial" w:hAnsi="Arial" w:cs="Arial"/>
          <w:lang w:val="tr-TR"/>
        </w:rPr>
        <w:t>Dönem içinde muhasebeleştirilen maddi duran varlıklara ilişkin değer düşüklüğü kaybı bulunmamaktadır.</w:t>
      </w:r>
    </w:p>
    <w:p w:rsidR="00D322FB" w:rsidRPr="00727376" w:rsidRDefault="00D322FB" w:rsidP="007F71BF">
      <w:pPr>
        <w:rPr>
          <w:rFonts w:ascii="Arial" w:hAnsi="Arial" w:cs="Arial"/>
          <w:highlight w:val="yellow"/>
          <w:lang w:val="tr-TR"/>
        </w:rPr>
      </w:pPr>
    </w:p>
    <w:p w:rsidR="00D322FB" w:rsidRPr="00AE202B" w:rsidRDefault="00D322FB">
      <w:pPr>
        <w:rPr>
          <w:rFonts w:ascii="Arial" w:hAnsi="Arial" w:cs="Arial"/>
          <w:lang w:val="tr-TR"/>
        </w:rPr>
      </w:pPr>
      <w:r w:rsidRPr="00E66CBE">
        <w:rPr>
          <w:rFonts w:ascii="Arial" w:hAnsi="Arial" w:cs="Arial"/>
          <w:lang w:val="tr-TR"/>
        </w:rPr>
        <w:t>1 Oca</w:t>
      </w:r>
      <w:r>
        <w:rPr>
          <w:rFonts w:ascii="Arial" w:hAnsi="Arial" w:cs="Arial"/>
          <w:lang w:val="tr-TR"/>
        </w:rPr>
        <w:t xml:space="preserve">k – 31 </w:t>
      </w:r>
      <w:r w:rsidR="00F53471">
        <w:rPr>
          <w:rFonts w:ascii="Arial" w:hAnsi="Arial" w:cs="Arial"/>
          <w:lang w:val="tr-TR"/>
        </w:rPr>
        <w:t>Mart</w:t>
      </w:r>
      <w:r>
        <w:rPr>
          <w:rFonts w:ascii="Arial" w:hAnsi="Arial" w:cs="Arial"/>
          <w:lang w:val="tr-TR"/>
        </w:rPr>
        <w:t xml:space="preserve"> 201</w:t>
      </w:r>
      <w:r w:rsidR="00F53471">
        <w:rPr>
          <w:rFonts w:ascii="Arial" w:hAnsi="Arial" w:cs="Arial"/>
          <w:lang w:val="tr-TR"/>
        </w:rPr>
        <w:t>5</w:t>
      </w:r>
      <w:r>
        <w:rPr>
          <w:rFonts w:ascii="Arial" w:hAnsi="Arial" w:cs="Arial"/>
          <w:lang w:val="tr-TR"/>
        </w:rPr>
        <w:t xml:space="preserve"> dönemine ait </w:t>
      </w:r>
      <w:r w:rsidR="00C651A3">
        <w:rPr>
          <w:rFonts w:ascii="Arial" w:hAnsi="Arial" w:cs="Arial"/>
          <w:lang w:val="tr-TR"/>
        </w:rPr>
        <w:t xml:space="preserve">2.332 </w:t>
      </w:r>
      <w:r w:rsidRPr="00AE202B">
        <w:rPr>
          <w:rFonts w:ascii="Arial" w:hAnsi="Arial" w:cs="Arial"/>
          <w:lang w:val="tr-TR"/>
        </w:rPr>
        <w:t xml:space="preserve">TL </w:t>
      </w:r>
      <w:r w:rsidRPr="00E66CBE">
        <w:rPr>
          <w:rFonts w:ascii="Arial" w:hAnsi="Arial" w:cs="Arial"/>
          <w:lang w:val="tr-TR"/>
        </w:rPr>
        <w:t xml:space="preserve">tutarındaki dönem amortisman gideri genel yönetim giderlerine dahil </w:t>
      </w:r>
      <w:r w:rsidRPr="00AE202B">
        <w:rPr>
          <w:rFonts w:ascii="Arial" w:hAnsi="Arial" w:cs="Arial"/>
          <w:lang w:val="tr-TR"/>
        </w:rPr>
        <w:t>edilmiştir</w:t>
      </w:r>
      <w:r>
        <w:rPr>
          <w:rFonts w:ascii="Arial" w:hAnsi="Arial" w:cs="Arial"/>
          <w:lang w:val="tr-TR"/>
        </w:rPr>
        <w:t>.</w:t>
      </w:r>
      <w:r w:rsidRPr="00AE202B">
        <w:rPr>
          <w:rFonts w:ascii="Arial" w:hAnsi="Arial" w:cs="Arial"/>
          <w:lang w:val="tr-TR"/>
        </w:rPr>
        <w:t xml:space="preserve"> (Not:18) (1 Ocak - 31 Aralık 201</w:t>
      </w:r>
      <w:r w:rsidR="00F53471">
        <w:rPr>
          <w:rFonts w:ascii="Arial" w:hAnsi="Arial" w:cs="Arial"/>
          <w:lang w:val="tr-TR"/>
        </w:rPr>
        <w:t>4</w:t>
      </w:r>
      <w:r w:rsidRPr="00AE202B">
        <w:rPr>
          <w:rFonts w:ascii="Arial" w:hAnsi="Arial" w:cs="Arial"/>
          <w:lang w:val="tr-TR"/>
        </w:rPr>
        <w:t xml:space="preserve"> – 1</w:t>
      </w:r>
      <w:r w:rsidR="00F53471">
        <w:rPr>
          <w:rFonts w:ascii="Arial" w:hAnsi="Arial" w:cs="Arial"/>
          <w:lang w:val="tr-TR"/>
        </w:rPr>
        <w:t>5</w:t>
      </w:r>
      <w:r w:rsidRPr="00AE202B">
        <w:rPr>
          <w:rFonts w:ascii="Arial" w:hAnsi="Arial" w:cs="Arial"/>
          <w:lang w:val="tr-TR"/>
        </w:rPr>
        <w:t>.</w:t>
      </w:r>
      <w:r w:rsidR="00F53471">
        <w:rPr>
          <w:rFonts w:ascii="Arial" w:hAnsi="Arial" w:cs="Arial"/>
          <w:lang w:val="tr-TR"/>
        </w:rPr>
        <w:t>543</w:t>
      </w:r>
      <w:r w:rsidRPr="00AE202B">
        <w:rPr>
          <w:rFonts w:ascii="Arial" w:hAnsi="Arial" w:cs="Arial"/>
          <w:lang w:val="tr-TR"/>
        </w:rPr>
        <w:t xml:space="preserve"> TL)</w:t>
      </w:r>
    </w:p>
    <w:p w:rsidR="00D322FB" w:rsidRDefault="00D322FB">
      <w:pPr>
        <w:rPr>
          <w:rFonts w:ascii="Arial" w:hAnsi="Arial" w:cs="Arial"/>
          <w:lang w:val="tr-TR"/>
        </w:rPr>
      </w:pPr>
    </w:p>
    <w:p w:rsidR="00D322FB" w:rsidRPr="00FF7F24" w:rsidRDefault="00D322FB" w:rsidP="005C3EEB">
      <w:pPr>
        <w:pStyle w:val="000normal"/>
        <w:autoSpaceDE w:val="0"/>
        <w:autoSpaceDN w:val="0"/>
        <w:adjustRightInd w:val="0"/>
        <w:spacing w:before="0" w:after="0" w:afterAutospacing="0"/>
        <w:outlineLvl w:val="0"/>
        <w:rPr>
          <w:rFonts w:eastAsia="Times New Roman"/>
          <w:lang w:val="tr-TR"/>
        </w:rPr>
      </w:pPr>
      <w:r w:rsidRPr="00FF7F24">
        <w:rPr>
          <w:rFonts w:eastAsia="Times New Roman"/>
          <w:b/>
          <w:lang w:val="tr-TR"/>
        </w:rPr>
        <w:t>11</w:t>
      </w:r>
      <w:r w:rsidRPr="00FF7F24">
        <w:rPr>
          <w:rFonts w:eastAsia="Times New Roman"/>
          <w:lang w:val="tr-TR"/>
        </w:rPr>
        <w:t>.</w:t>
      </w:r>
      <w:r w:rsidRPr="00FF7F24">
        <w:rPr>
          <w:rFonts w:eastAsia="Times New Roman"/>
          <w:lang w:val="tr-TR"/>
        </w:rPr>
        <w:tab/>
      </w:r>
      <w:r w:rsidRPr="00FF7F24">
        <w:rPr>
          <w:rFonts w:eastAsia="Times New Roman"/>
          <w:b/>
          <w:lang w:val="tr-TR"/>
        </w:rPr>
        <w:t>Maddi olmayan duran varlıklar</w:t>
      </w:r>
      <w:r w:rsidRPr="00FF7F24">
        <w:rPr>
          <w:rFonts w:eastAsia="Times New Roman"/>
          <w:lang w:val="tr-TR"/>
        </w:rPr>
        <w:t xml:space="preserve"> </w:t>
      </w:r>
    </w:p>
    <w:p w:rsidR="00D322FB" w:rsidRPr="00FF7F24" w:rsidRDefault="00D322FB" w:rsidP="00D9040F">
      <w:pPr>
        <w:ind w:right="-1"/>
        <w:jc w:val="both"/>
        <w:rPr>
          <w:rFonts w:ascii="Arial" w:hAnsi="Arial" w:cs="Arial"/>
          <w:lang w:val="tr-TR"/>
        </w:rPr>
      </w:pPr>
    </w:p>
    <w:p w:rsidR="00D322FB" w:rsidRDefault="006F2183" w:rsidP="00FF7F24">
      <w:pPr>
        <w:pStyle w:val="body0"/>
        <w:spacing w:after="0" w:line="230" w:lineRule="auto"/>
        <w:jc w:val="left"/>
        <w:rPr>
          <w:rFonts w:ascii="Arial" w:hAnsi="Arial" w:cs="Arial"/>
          <w:sz w:val="20"/>
          <w:szCs w:val="20"/>
          <w:lang w:val="tr-TR"/>
        </w:rPr>
      </w:pPr>
      <w:r>
        <w:rPr>
          <w:rFonts w:ascii="Arial" w:hAnsi="Arial" w:cs="Arial"/>
          <w:sz w:val="20"/>
          <w:szCs w:val="20"/>
          <w:lang w:val="tr-TR"/>
        </w:rPr>
        <w:t>31 Mart</w:t>
      </w:r>
      <w:r w:rsidRPr="00776A7A">
        <w:rPr>
          <w:rFonts w:ascii="Arial" w:hAnsi="Arial" w:cs="Arial"/>
          <w:sz w:val="20"/>
          <w:szCs w:val="20"/>
          <w:lang w:val="tr-TR"/>
        </w:rPr>
        <w:t xml:space="preserve"> 201</w:t>
      </w:r>
      <w:r>
        <w:rPr>
          <w:rFonts w:ascii="Arial" w:hAnsi="Arial" w:cs="Arial"/>
          <w:sz w:val="20"/>
          <w:szCs w:val="20"/>
          <w:lang w:val="tr-TR"/>
        </w:rPr>
        <w:t>5 ve 31 Aralık 2014</w:t>
      </w:r>
      <w:r w:rsidRPr="00776A7A">
        <w:rPr>
          <w:rFonts w:ascii="Arial" w:hAnsi="Arial" w:cs="Arial"/>
          <w:sz w:val="20"/>
          <w:szCs w:val="20"/>
          <w:lang w:val="tr-TR"/>
        </w:rPr>
        <w:t xml:space="preserve">  </w:t>
      </w:r>
      <w:r w:rsidR="00D322FB">
        <w:rPr>
          <w:rFonts w:ascii="Arial" w:hAnsi="Arial" w:cs="Arial"/>
          <w:sz w:val="20"/>
          <w:szCs w:val="20"/>
          <w:lang w:val="tr-TR"/>
        </w:rPr>
        <w:t>tarihi itibariyle</w:t>
      </w:r>
      <w:r w:rsidR="00D322FB" w:rsidRPr="00FF7F24">
        <w:rPr>
          <w:rFonts w:ascii="Arial" w:hAnsi="Arial" w:cs="Arial"/>
          <w:sz w:val="20"/>
          <w:szCs w:val="20"/>
          <w:lang w:val="tr-TR"/>
        </w:rPr>
        <w:t xml:space="preserve"> maddi olmayan duran varlıklarda gerçekleşen hareketler aşağıdaki gibidir:</w:t>
      </w:r>
    </w:p>
    <w:p w:rsidR="00D322FB" w:rsidRDefault="00D322FB" w:rsidP="00D9040F">
      <w:pPr>
        <w:ind w:right="-1"/>
        <w:jc w:val="both"/>
        <w:rPr>
          <w:rFonts w:ascii="Arial" w:hAnsi="Arial" w:cs="Arial"/>
          <w:highlight w:val="yellow"/>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5529"/>
        <w:gridCol w:w="1701"/>
        <w:gridCol w:w="1842"/>
      </w:tblGrid>
      <w:tr w:rsidR="00D322FB" w:rsidRPr="00FF7F24" w:rsidTr="001A0C62">
        <w:trPr>
          <w:trHeight w:val="113"/>
        </w:trPr>
        <w:tc>
          <w:tcPr>
            <w:tcW w:w="5529" w:type="dxa"/>
            <w:tcBorders>
              <w:top w:val="single" w:sz="4" w:space="0" w:color="auto"/>
              <w:bottom w:val="single" w:sz="4" w:space="0" w:color="auto"/>
            </w:tcBorders>
            <w:vAlign w:val="bottom"/>
          </w:tcPr>
          <w:p w:rsidR="00D322FB" w:rsidRPr="00B17E23" w:rsidRDefault="00D322FB" w:rsidP="001A0C62">
            <w:pPr>
              <w:rPr>
                <w:rFonts w:ascii="Arial" w:hAnsi="Arial" w:cs="Arial"/>
                <w:b/>
                <w:lang w:val="tr-TR"/>
              </w:rPr>
            </w:pPr>
          </w:p>
          <w:p w:rsidR="00D322FB" w:rsidRPr="00B17E23" w:rsidRDefault="00D322FB" w:rsidP="001A0C62">
            <w:pPr>
              <w:rPr>
                <w:rFonts w:ascii="Arial" w:hAnsi="Arial" w:cs="Arial"/>
                <w:b/>
                <w:lang w:val="tr-TR"/>
              </w:rPr>
            </w:pPr>
          </w:p>
        </w:tc>
        <w:tc>
          <w:tcPr>
            <w:tcW w:w="1701" w:type="dxa"/>
            <w:tcBorders>
              <w:top w:val="single" w:sz="4" w:space="0" w:color="auto"/>
              <w:bottom w:val="single" w:sz="4" w:space="0" w:color="auto"/>
            </w:tcBorders>
            <w:vAlign w:val="bottom"/>
          </w:tcPr>
          <w:p w:rsidR="00D322FB" w:rsidRPr="00B17E23" w:rsidRDefault="00D322FB" w:rsidP="001A0C62">
            <w:pPr>
              <w:ind w:right="47"/>
              <w:jc w:val="right"/>
              <w:rPr>
                <w:rFonts w:ascii="Arial" w:hAnsi="Arial" w:cs="Arial"/>
                <w:b/>
                <w:lang w:val="tr-TR"/>
              </w:rPr>
            </w:pPr>
            <w:r w:rsidRPr="00B17E23">
              <w:rPr>
                <w:rFonts w:ascii="Arial" w:hAnsi="Arial" w:cs="Arial"/>
                <w:b/>
                <w:lang w:val="tr-TR"/>
              </w:rPr>
              <w:t>Bi</w:t>
            </w:r>
            <w:r>
              <w:rPr>
                <w:rFonts w:ascii="Arial" w:hAnsi="Arial" w:cs="Arial"/>
                <w:b/>
                <w:lang w:val="tr-TR"/>
              </w:rPr>
              <w:t>l</w:t>
            </w:r>
            <w:r w:rsidRPr="00B17E23">
              <w:rPr>
                <w:rFonts w:ascii="Arial" w:hAnsi="Arial" w:cs="Arial"/>
                <w:b/>
                <w:lang w:val="tr-TR"/>
              </w:rPr>
              <w:t>gisayar</w:t>
            </w:r>
          </w:p>
          <w:p w:rsidR="00D322FB" w:rsidRPr="00B17E23" w:rsidRDefault="00D322FB" w:rsidP="001A0C62">
            <w:pPr>
              <w:ind w:right="47"/>
              <w:jc w:val="right"/>
              <w:rPr>
                <w:rFonts w:ascii="Arial" w:hAnsi="Arial" w:cs="Arial"/>
                <w:b/>
                <w:lang w:val="tr-TR"/>
              </w:rPr>
            </w:pPr>
            <w:r w:rsidRPr="00B17E23">
              <w:rPr>
                <w:rFonts w:ascii="Arial" w:hAnsi="Arial" w:cs="Arial"/>
                <w:b/>
                <w:lang w:val="tr-TR"/>
              </w:rPr>
              <w:t>programları</w:t>
            </w:r>
          </w:p>
        </w:tc>
        <w:tc>
          <w:tcPr>
            <w:tcW w:w="1842" w:type="dxa"/>
            <w:tcBorders>
              <w:top w:val="single" w:sz="4" w:space="0" w:color="auto"/>
              <w:bottom w:val="single" w:sz="4" w:space="0" w:color="auto"/>
            </w:tcBorders>
            <w:vAlign w:val="bottom"/>
          </w:tcPr>
          <w:p w:rsidR="00D322FB" w:rsidRPr="00B17E23" w:rsidRDefault="00D322FB" w:rsidP="001A0C62">
            <w:pPr>
              <w:jc w:val="right"/>
              <w:rPr>
                <w:rFonts w:ascii="Arial" w:hAnsi="Arial" w:cs="Arial"/>
                <w:b/>
                <w:lang w:val="tr-TR"/>
              </w:rPr>
            </w:pPr>
            <w:r w:rsidRPr="00B17E23">
              <w:rPr>
                <w:rFonts w:ascii="Arial" w:hAnsi="Arial" w:cs="Arial"/>
                <w:b/>
                <w:lang w:val="tr-TR"/>
              </w:rPr>
              <w:t>Toplam</w:t>
            </w:r>
          </w:p>
        </w:tc>
      </w:tr>
      <w:tr w:rsidR="00D322FB" w:rsidRPr="00FF7F24" w:rsidTr="001A0C62">
        <w:trPr>
          <w:trHeight w:val="113"/>
        </w:trPr>
        <w:tc>
          <w:tcPr>
            <w:tcW w:w="5529" w:type="dxa"/>
            <w:tcBorders>
              <w:top w:val="single" w:sz="4" w:space="0" w:color="auto"/>
            </w:tcBorders>
            <w:vAlign w:val="bottom"/>
          </w:tcPr>
          <w:p w:rsidR="00D322FB" w:rsidRPr="00B17E23" w:rsidRDefault="00D322FB" w:rsidP="001A0C62">
            <w:pPr>
              <w:rPr>
                <w:rFonts w:ascii="Arial" w:hAnsi="Arial" w:cs="Arial"/>
                <w:b/>
                <w:lang w:val="tr-TR"/>
              </w:rPr>
            </w:pPr>
          </w:p>
        </w:tc>
        <w:tc>
          <w:tcPr>
            <w:tcW w:w="1701" w:type="dxa"/>
            <w:tcBorders>
              <w:top w:val="single" w:sz="4" w:space="0" w:color="auto"/>
            </w:tcBorders>
            <w:vAlign w:val="bottom"/>
          </w:tcPr>
          <w:p w:rsidR="00D322FB" w:rsidRPr="00B17E23" w:rsidRDefault="00D322FB" w:rsidP="001A0C62">
            <w:pPr>
              <w:ind w:right="47"/>
              <w:jc w:val="right"/>
              <w:rPr>
                <w:rFonts w:ascii="Arial" w:hAnsi="Arial" w:cs="Arial"/>
                <w:b/>
                <w:lang w:val="tr-TR"/>
              </w:rPr>
            </w:pPr>
          </w:p>
        </w:tc>
        <w:tc>
          <w:tcPr>
            <w:tcW w:w="1842" w:type="dxa"/>
            <w:tcBorders>
              <w:top w:val="single" w:sz="4" w:space="0" w:color="auto"/>
            </w:tcBorders>
            <w:vAlign w:val="bottom"/>
          </w:tcPr>
          <w:p w:rsidR="00D322FB" w:rsidRPr="00B17E23" w:rsidRDefault="00D322FB" w:rsidP="001A0C62">
            <w:pPr>
              <w:ind w:right="47"/>
              <w:jc w:val="right"/>
              <w:rPr>
                <w:rFonts w:ascii="Arial" w:hAnsi="Arial" w:cs="Arial"/>
                <w:b/>
                <w:lang w:val="tr-TR"/>
              </w:rPr>
            </w:pPr>
          </w:p>
        </w:tc>
      </w:tr>
      <w:tr w:rsidR="00D322FB" w:rsidRPr="00FF7F24" w:rsidTr="001A0C62">
        <w:trPr>
          <w:trHeight w:val="113"/>
        </w:trPr>
        <w:tc>
          <w:tcPr>
            <w:tcW w:w="5529" w:type="dxa"/>
            <w:vAlign w:val="bottom"/>
          </w:tcPr>
          <w:p w:rsidR="00D322FB" w:rsidRPr="00B17E23" w:rsidRDefault="00D322FB" w:rsidP="001A0C62">
            <w:pPr>
              <w:rPr>
                <w:rFonts w:ascii="Arial" w:hAnsi="Arial" w:cs="Arial"/>
                <w:b/>
                <w:sz w:val="22"/>
                <w:szCs w:val="22"/>
                <w:lang w:val="tr-TR"/>
              </w:rPr>
            </w:pPr>
            <w:r w:rsidRPr="00B17E23">
              <w:rPr>
                <w:rFonts w:ascii="Arial" w:hAnsi="Arial" w:cs="Arial"/>
                <w:b/>
                <w:lang w:val="tr-TR"/>
              </w:rPr>
              <w:t>Maliyet değeri</w:t>
            </w:r>
          </w:p>
        </w:tc>
        <w:tc>
          <w:tcPr>
            <w:tcW w:w="1701" w:type="dxa"/>
            <w:vAlign w:val="bottom"/>
          </w:tcPr>
          <w:p w:rsidR="00D322FB" w:rsidRPr="00B17E23" w:rsidRDefault="00D322FB" w:rsidP="001A0C62">
            <w:pPr>
              <w:jc w:val="right"/>
              <w:rPr>
                <w:rFonts w:ascii="Arial" w:hAnsi="Arial" w:cs="Arial"/>
                <w:b/>
                <w:bCs/>
                <w:color w:val="000000"/>
              </w:rPr>
            </w:pPr>
          </w:p>
        </w:tc>
        <w:tc>
          <w:tcPr>
            <w:tcW w:w="1842" w:type="dxa"/>
            <w:vAlign w:val="bottom"/>
          </w:tcPr>
          <w:p w:rsidR="00D322FB" w:rsidRPr="00B17E23" w:rsidRDefault="00D322FB" w:rsidP="001A0C62">
            <w:pPr>
              <w:jc w:val="right"/>
              <w:rPr>
                <w:rFonts w:ascii="Arial" w:hAnsi="Arial" w:cs="Arial"/>
                <w:b/>
                <w:bCs/>
                <w:color w:val="000000"/>
              </w:rPr>
            </w:pPr>
          </w:p>
        </w:tc>
      </w:tr>
      <w:tr w:rsidR="00D322FB" w:rsidRPr="00FF7F24" w:rsidTr="00B17E23">
        <w:trPr>
          <w:trHeight w:val="113"/>
        </w:trPr>
        <w:tc>
          <w:tcPr>
            <w:tcW w:w="5529" w:type="dxa"/>
            <w:vAlign w:val="bottom"/>
          </w:tcPr>
          <w:p w:rsidR="00D322FB" w:rsidRPr="00B17E23" w:rsidRDefault="00D322FB" w:rsidP="001A0C62">
            <w:pPr>
              <w:rPr>
                <w:rFonts w:ascii="Arial" w:hAnsi="Arial" w:cs="Arial"/>
                <w:b/>
                <w:sz w:val="22"/>
                <w:szCs w:val="22"/>
                <w:lang w:val="tr-TR"/>
              </w:rPr>
            </w:pPr>
            <w:r>
              <w:rPr>
                <w:rFonts w:ascii="Arial" w:hAnsi="Arial" w:cs="Arial"/>
                <w:b/>
                <w:lang w:val="tr-TR"/>
              </w:rPr>
              <w:t>1 Ocak 2015</w:t>
            </w:r>
            <w:r w:rsidRPr="00B17E23">
              <w:rPr>
                <w:rFonts w:ascii="Arial" w:hAnsi="Arial" w:cs="Arial"/>
                <w:b/>
                <w:lang w:val="tr-TR"/>
              </w:rPr>
              <w:t xml:space="preserve"> açılış bakiyesi</w:t>
            </w:r>
          </w:p>
        </w:tc>
        <w:tc>
          <w:tcPr>
            <w:tcW w:w="1701" w:type="dxa"/>
            <w:vAlign w:val="bottom"/>
          </w:tcPr>
          <w:p w:rsidR="00D322FB" w:rsidRPr="00B17E23" w:rsidRDefault="00D322FB" w:rsidP="004B7752">
            <w:pPr>
              <w:jc w:val="right"/>
              <w:rPr>
                <w:rFonts w:ascii="Arial" w:hAnsi="Arial" w:cs="Arial"/>
                <w:b/>
                <w:bCs/>
                <w:color w:val="000000"/>
              </w:rPr>
            </w:pPr>
            <w:r w:rsidRPr="00B17E23">
              <w:rPr>
                <w:rFonts w:ascii="Arial" w:hAnsi="Arial" w:cs="Arial"/>
                <w:b/>
                <w:bCs/>
                <w:color w:val="000000"/>
              </w:rPr>
              <w:t xml:space="preserve">          </w:t>
            </w:r>
            <w:r w:rsidR="004B7752">
              <w:rPr>
                <w:rFonts w:ascii="Arial" w:hAnsi="Arial" w:cs="Arial"/>
                <w:b/>
                <w:bCs/>
                <w:color w:val="000000"/>
              </w:rPr>
              <w:t>45.876</w:t>
            </w:r>
            <w:r w:rsidRPr="00B17E23">
              <w:rPr>
                <w:rFonts w:ascii="Arial" w:hAnsi="Arial" w:cs="Arial"/>
                <w:b/>
                <w:bCs/>
                <w:color w:val="000000"/>
              </w:rPr>
              <w:t xml:space="preserve"> </w:t>
            </w:r>
          </w:p>
        </w:tc>
        <w:tc>
          <w:tcPr>
            <w:tcW w:w="1842" w:type="dxa"/>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45.876</w:t>
            </w:r>
          </w:p>
        </w:tc>
      </w:tr>
      <w:tr w:rsidR="00D322FB" w:rsidRPr="00FF7F24" w:rsidTr="00B17E23">
        <w:trPr>
          <w:trHeight w:val="113"/>
        </w:trPr>
        <w:tc>
          <w:tcPr>
            <w:tcW w:w="5529" w:type="dxa"/>
            <w:vAlign w:val="bottom"/>
          </w:tcPr>
          <w:p w:rsidR="00D322FB" w:rsidRPr="00B17E23" w:rsidRDefault="00D322FB" w:rsidP="001A0C62">
            <w:pPr>
              <w:rPr>
                <w:rFonts w:ascii="Arial" w:hAnsi="Arial" w:cs="Arial"/>
                <w:b/>
                <w:sz w:val="22"/>
                <w:szCs w:val="22"/>
                <w:lang w:val="tr-TR"/>
              </w:rPr>
            </w:pPr>
            <w:r w:rsidRPr="00B17E23">
              <w:rPr>
                <w:rFonts w:ascii="Arial" w:hAnsi="Arial" w:cs="Arial"/>
                <w:b/>
                <w:lang w:val="tr-TR"/>
              </w:rPr>
              <w:t>Alımlar</w:t>
            </w:r>
          </w:p>
        </w:tc>
        <w:tc>
          <w:tcPr>
            <w:tcW w:w="1701" w:type="dxa"/>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2.619</w:t>
            </w:r>
          </w:p>
        </w:tc>
        <w:tc>
          <w:tcPr>
            <w:tcW w:w="1842" w:type="dxa"/>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2.619</w:t>
            </w:r>
          </w:p>
        </w:tc>
      </w:tr>
      <w:tr w:rsidR="00D322FB" w:rsidRPr="00FF7F24" w:rsidTr="00B17E23">
        <w:trPr>
          <w:trHeight w:val="113"/>
        </w:trPr>
        <w:tc>
          <w:tcPr>
            <w:tcW w:w="5529" w:type="dxa"/>
            <w:tcBorders>
              <w:bottom w:val="single" w:sz="4" w:space="0" w:color="auto"/>
            </w:tcBorders>
            <w:vAlign w:val="bottom"/>
          </w:tcPr>
          <w:p w:rsidR="00D322FB" w:rsidRPr="00B17E23" w:rsidRDefault="00D322FB" w:rsidP="001A0C62">
            <w:pPr>
              <w:rPr>
                <w:rFonts w:ascii="Arial" w:hAnsi="Arial" w:cs="Arial"/>
                <w:b/>
                <w:lang w:val="tr-TR"/>
              </w:rPr>
            </w:pPr>
          </w:p>
        </w:tc>
        <w:tc>
          <w:tcPr>
            <w:tcW w:w="1701" w:type="dxa"/>
            <w:tcBorders>
              <w:bottom w:val="single" w:sz="4" w:space="0" w:color="auto"/>
            </w:tcBorders>
            <w:vAlign w:val="bottom"/>
          </w:tcPr>
          <w:p w:rsidR="00D322FB" w:rsidRPr="00B17E23" w:rsidRDefault="00D322FB" w:rsidP="00B17E23">
            <w:pPr>
              <w:jc w:val="right"/>
              <w:rPr>
                <w:rFonts w:ascii="Arial" w:hAnsi="Arial" w:cs="Arial"/>
                <w:b/>
                <w:bCs/>
                <w:color w:val="000000"/>
              </w:rPr>
            </w:pPr>
            <w:r w:rsidRPr="00B17E23">
              <w:rPr>
                <w:rFonts w:ascii="Arial" w:hAnsi="Arial" w:cs="Arial"/>
                <w:b/>
                <w:bCs/>
                <w:color w:val="000000"/>
              </w:rPr>
              <w:t> </w:t>
            </w:r>
          </w:p>
        </w:tc>
        <w:tc>
          <w:tcPr>
            <w:tcW w:w="1842" w:type="dxa"/>
            <w:tcBorders>
              <w:bottom w:val="single" w:sz="4" w:space="0" w:color="auto"/>
            </w:tcBorders>
            <w:vAlign w:val="bottom"/>
          </w:tcPr>
          <w:p w:rsidR="00D322FB" w:rsidRPr="00B17E23" w:rsidRDefault="00D322FB" w:rsidP="00B17E23">
            <w:pPr>
              <w:jc w:val="right"/>
              <w:rPr>
                <w:rFonts w:ascii="Arial" w:hAnsi="Arial" w:cs="Arial"/>
                <w:b/>
                <w:bCs/>
                <w:color w:val="000000"/>
              </w:rPr>
            </w:pPr>
            <w:r w:rsidRPr="00B17E23">
              <w:rPr>
                <w:rFonts w:ascii="Arial" w:hAnsi="Arial" w:cs="Arial"/>
                <w:b/>
                <w:bCs/>
                <w:color w:val="000000"/>
              </w:rPr>
              <w:t> </w:t>
            </w:r>
          </w:p>
        </w:tc>
      </w:tr>
      <w:tr w:rsidR="00D322FB" w:rsidRPr="00FF7F24" w:rsidTr="00B17E23">
        <w:trPr>
          <w:trHeight w:val="113"/>
        </w:trPr>
        <w:tc>
          <w:tcPr>
            <w:tcW w:w="5529" w:type="dxa"/>
            <w:tcBorders>
              <w:top w:val="single" w:sz="4" w:space="0" w:color="auto"/>
              <w:bottom w:val="single" w:sz="4" w:space="0" w:color="auto"/>
            </w:tcBorders>
            <w:vAlign w:val="bottom"/>
          </w:tcPr>
          <w:p w:rsidR="00D322FB" w:rsidRPr="00B17E23" w:rsidRDefault="00D322FB" w:rsidP="001A0C62">
            <w:pPr>
              <w:rPr>
                <w:rFonts w:ascii="Arial" w:hAnsi="Arial" w:cs="Arial"/>
                <w:b/>
                <w:sz w:val="22"/>
                <w:szCs w:val="22"/>
                <w:lang w:val="tr-TR"/>
              </w:rPr>
            </w:pPr>
            <w:r>
              <w:rPr>
                <w:rFonts w:ascii="Arial" w:hAnsi="Arial" w:cs="Arial"/>
                <w:b/>
                <w:lang w:val="tr-TR"/>
              </w:rPr>
              <w:t>31 Mart 2015</w:t>
            </w:r>
            <w:r w:rsidRPr="00B17E23">
              <w:rPr>
                <w:rFonts w:ascii="Arial" w:hAnsi="Arial" w:cs="Arial"/>
                <w:b/>
                <w:lang w:val="tr-TR"/>
              </w:rPr>
              <w:t xml:space="preserve"> kapanış bakiyesi</w:t>
            </w:r>
          </w:p>
        </w:tc>
        <w:tc>
          <w:tcPr>
            <w:tcW w:w="1701" w:type="dxa"/>
            <w:tcBorders>
              <w:top w:val="single" w:sz="4" w:space="0" w:color="auto"/>
              <w:bottom w:val="single" w:sz="4" w:space="0" w:color="auto"/>
            </w:tcBorders>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48.495</w:t>
            </w:r>
          </w:p>
        </w:tc>
        <w:tc>
          <w:tcPr>
            <w:tcW w:w="1842" w:type="dxa"/>
            <w:tcBorders>
              <w:top w:val="single" w:sz="4" w:space="0" w:color="auto"/>
              <w:bottom w:val="single" w:sz="4" w:space="0" w:color="auto"/>
            </w:tcBorders>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48.495</w:t>
            </w:r>
          </w:p>
        </w:tc>
      </w:tr>
      <w:tr w:rsidR="00D322FB" w:rsidRPr="00FF7F24" w:rsidTr="00B17E23">
        <w:trPr>
          <w:trHeight w:val="113"/>
        </w:trPr>
        <w:tc>
          <w:tcPr>
            <w:tcW w:w="5529" w:type="dxa"/>
            <w:tcBorders>
              <w:top w:val="single" w:sz="4" w:space="0" w:color="auto"/>
            </w:tcBorders>
            <w:vAlign w:val="bottom"/>
          </w:tcPr>
          <w:p w:rsidR="00D322FB" w:rsidRPr="00B17E23" w:rsidRDefault="00D322FB" w:rsidP="001A0C62">
            <w:pPr>
              <w:rPr>
                <w:rFonts w:ascii="Arial" w:hAnsi="Arial" w:cs="Arial"/>
                <w:b/>
                <w:lang w:val="tr-TR"/>
              </w:rPr>
            </w:pPr>
          </w:p>
        </w:tc>
        <w:tc>
          <w:tcPr>
            <w:tcW w:w="1701" w:type="dxa"/>
            <w:tcBorders>
              <w:top w:val="single" w:sz="4" w:space="0" w:color="auto"/>
            </w:tcBorders>
            <w:vAlign w:val="bottom"/>
          </w:tcPr>
          <w:p w:rsidR="00D322FB" w:rsidRPr="00B17E23" w:rsidRDefault="00D322FB" w:rsidP="00B17E23">
            <w:pPr>
              <w:jc w:val="right"/>
              <w:rPr>
                <w:rFonts w:ascii="Arial" w:hAnsi="Arial" w:cs="Arial"/>
                <w:b/>
                <w:bCs/>
                <w:color w:val="000000"/>
              </w:rPr>
            </w:pPr>
          </w:p>
        </w:tc>
        <w:tc>
          <w:tcPr>
            <w:tcW w:w="1842" w:type="dxa"/>
            <w:tcBorders>
              <w:top w:val="single" w:sz="4" w:space="0" w:color="auto"/>
            </w:tcBorders>
            <w:vAlign w:val="bottom"/>
          </w:tcPr>
          <w:p w:rsidR="00D322FB" w:rsidRPr="00B17E23" w:rsidRDefault="00D322FB" w:rsidP="00B17E23">
            <w:pPr>
              <w:jc w:val="right"/>
              <w:rPr>
                <w:rFonts w:ascii="Arial" w:hAnsi="Arial" w:cs="Arial"/>
                <w:b/>
                <w:bCs/>
                <w:color w:val="000000"/>
              </w:rPr>
            </w:pPr>
          </w:p>
        </w:tc>
      </w:tr>
      <w:tr w:rsidR="00D322FB" w:rsidRPr="00FF7F24" w:rsidTr="00B17E23">
        <w:trPr>
          <w:trHeight w:val="113"/>
        </w:trPr>
        <w:tc>
          <w:tcPr>
            <w:tcW w:w="5529" w:type="dxa"/>
            <w:vAlign w:val="bottom"/>
          </w:tcPr>
          <w:p w:rsidR="00D322FB" w:rsidRPr="00B17E23" w:rsidRDefault="00D322FB" w:rsidP="001A0C62">
            <w:pPr>
              <w:rPr>
                <w:rFonts w:ascii="Arial" w:hAnsi="Arial" w:cs="Arial"/>
                <w:b/>
                <w:sz w:val="22"/>
                <w:szCs w:val="22"/>
                <w:lang w:val="tr-TR"/>
              </w:rPr>
            </w:pPr>
            <w:r w:rsidRPr="00B17E23">
              <w:rPr>
                <w:rFonts w:ascii="Arial" w:hAnsi="Arial" w:cs="Arial"/>
                <w:b/>
                <w:lang w:val="tr-TR"/>
              </w:rPr>
              <w:t>Birikmiş amortismanlar</w:t>
            </w:r>
          </w:p>
        </w:tc>
        <w:tc>
          <w:tcPr>
            <w:tcW w:w="1701" w:type="dxa"/>
            <w:vAlign w:val="bottom"/>
          </w:tcPr>
          <w:p w:rsidR="00D322FB" w:rsidRPr="00B17E23" w:rsidRDefault="00D322FB" w:rsidP="00B17E23">
            <w:pPr>
              <w:jc w:val="right"/>
              <w:rPr>
                <w:rFonts w:ascii="Arial" w:hAnsi="Arial" w:cs="Arial"/>
                <w:b/>
                <w:bCs/>
                <w:color w:val="000000"/>
              </w:rPr>
            </w:pPr>
          </w:p>
        </w:tc>
        <w:tc>
          <w:tcPr>
            <w:tcW w:w="1842" w:type="dxa"/>
            <w:vAlign w:val="bottom"/>
          </w:tcPr>
          <w:p w:rsidR="00D322FB" w:rsidRPr="00B17E23" w:rsidRDefault="00D322FB" w:rsidP="00B17E23">
            <w:pPr>
              <w:jc w:val="right"/>
              <w:rPr>
                <w:rFonts w:ascii="Arial" w:hAnsi="Arial" w:cs="Arial"/>
                <w:b/>
                <w:bCs/>
                <w:color w:val="000000"/>
              </w:rPr>
            </w:pPr>
          </w:p>
        </w:tc>
      </w:tr>
      <w:tr w:rsidR="00D322FB" w:rsidRPr="00FF7F24" w:rsidTr="00B17E23">
        <w:trPr>
          <w:trHeight w:val="113"/>
        </w:trPr>
        <w:tc>
          <w:tcPr>
            <w:tcW w:w="5529" w:type="dxa"/>
            <w:vAlign w:val="bottom"/>
          </w:tcPr>
          <w:p w:rsidR="00D322FB" w:rsidRPr="00B17E23" w:rsidRDefault="00D322FB" w:rsidP="001A0C62">
            <w:pPr>
              <w:rPr>
                <w:rFonts w:ascii="Arial" w:hAnsi="Arial" w:cs="Arial"/>
                <w:b/>
                <w:sz w:val="22"/>
                <w:szCs w:val="22"/>
                <w:lang w:val="tr-TR"/>
              </w:rPr>
            </w:pPr>
            <w:r>
              <w:rPr>
                <w:rFonts w:ascii="Arial" w:hAnsi="Arial" w:cs="Arial"/>
                <w:b/>
                <w:lang w:val="tr-TR"/>
              </w:rPr>
              <w:t>1 Ocak 2015</w:t>
            </w:r>
            <w:r w:rsidRPr="00B17E23">
              <w:rPr>
                <w:rFonts w:ascii="Arial" w:hAnsi="Arial" w:cs="Arial"/>
                <w:b/>
                <w:lang w:val="tr-TR"/>
              </w:rPr>
              <w:t xml:space="preserve"> açılış bakiyesi</w:t>
            </w:r>
          </w:p>
        </w:tc>
        <w:tc>
          <w:tcPr>
            <w:tcW w:w="1701" w:type="dxa"/>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(12.661)</w:t>
            </w:r>
          </w:p>
        </w:tc>
        <w:tc>
          <w:tcPr>
            <w:tcW w:w="1842" w:type="dxa"/>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(12.661)</w:t>
            </w:r>
          </w:p>
        </w:tc>
      </w:tr>
      <w:tr w:rsidR="00D322FB" w:rsidRPr="00FF7F24" w:rsidTr="00B17E23">
        <w:trPr>
          <w:trHeight w:val="113"/>
        </w:trPr>
        <w:tc>
          <w:tcPr>
            <w:tcW w:w="5529" w:type="dxa"/>
            <w:vAlign w:val="bottom"/>
          </w:tcPr>
          <w:p w:rsidR="00D322FB" w:rsidRPr="00B17E23" w:rsidRDefault="00D322FB" w:rsidP="001A0C62">
            <w:pPr>
              <w:rPr>
                <w:rFonts w:ascii="Arial" w:hAnsi="Arial" w:cs="Arial"/>
                <w:b/>
                <w:sz w:val="22"/>
                <w:szCs w:val="22"/>
                <w:lang w:val="tr-TR"/>
              </w:rPr>
            </w:pPr>
            <w:r w:rsidRPr="00B17E23">
              <w:rPr>
                <w:rFonts w:ascii="Arial" w:hAnsi="Arial" w:cs="Arial"/>
                <w:b/>
                <w:lang w:val="tr-TR"/>
              </w:rPr>
              <w:t>Dönem gideri</w:t>
            </w:r>
          </w:p>
        </w:tc>
        <w:tc>
          <w:tcPr>
            <w:tcW w:w="1701" w:type="dxa"/>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(2.867)</w:t>
            </w:r>
          </w:p>
        </w:tc>
        <w:tc>
          <w:tcPr>
            <w:tcW w:w="1842" w:type="dxa"/>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(2.867)</w:t>
            </w:r>
          </w:p>
        </w:tc>
      </w:tr>
      <w:tr w:rsidR="00D322FB" w:rsidRPr="00FF7F24" w:rsidTr="00B17E23">
        <w:trPr>
          <w:trHeight w:val="113"/>
        </w:trPr>
        <w:tc>
          <w:tcPr>
            <w:tcW w:w="5529" w:type="dxa"/>
            <w:tcBorders>
              <w:bottom w:val="single" w:sz="4" w:space="0" w:color="auto"/>
            </w:tcBorders>
            <w:vAlign w:val="bottom"/>
          </w:tcPr>
          <w:p w:rsidR="00D322FB" w:rsidRPr="00B17E23" w:rsidRDefault="00D322FB" w:rsidP="001A0C62">
            <w:pPr>
              <w:rPr>
                <w:rFonts w:ascii="Arial" w:hAnsi="Arial" w:cs="Arial"/>
                <w:b/>
                <w:lang w:val="tr-TR"/>
              </w:rPr>
            </w:pPr>
          </w:p>
        </w:tc>
        <w:tc>
          <w:tcPr>
            <w:tcW w:w="1701" w:type="dxa"/>
            <w:tcBorders>
              <w:bottom w:val="single" w:sz="4" w:space="0" w:color="auto"/>
            </w:tcBorders>
            <w:vAlign w:val="bottom"/>
          </w:tcPr>
          <w:p w:rsidR="00D322FB" w:rsidRPr="00B17E23" w:rsidRDefault="00D322FB" w:rsidP="00B17E23">
            <w:pPr>
              <w:jc w:val="right"/>
              <w:rPr>
                <w:rFonts w:ascii="Arial" w:hAnsi="Arial" w:cs="Arial"/>
                <w:b/>
                <w:bCs/>
                <w:color w:val="000000"/>
              </w:rPr>
            </w:pPr>
            <w:r w:rsidRPr="00B17E23">
              <w:rPr>
                <w:rFonts w:ascii="Arial" w:hAnsi="Arial" w:cs="Arial"/>
                <w:b/>
                <w:bCs/>
                <w:color w:val="000000"/>
              </w:rPr>
              <w:t> </w:t>
            </w:r>
          </w:p>
        </w:tc>
        <w:tc>
          <w:tcPr>
            <w:tcW w:w="1842" w:type="dxa"/>
            <w:tcBorders>
              <w:bottom w:val="single" w:sz="4" w:space="0" w:color="auto"/>
            </w:tcBorders>
            <w:vAlign w:val="bottom"/>
          </w:tcPr>
          <w:p w:rsidR="00D322FB" w:rsidRPr="00B17E23" w:rsidRDefault="00D322FB" w:rsidP="00B17E23">
            <w:pPr>
              <w:jc w:val="right"/>
              <w:rPr>
                <w:rFonts w:ascii="Arial" w:hAnsi="Arial" w:cs="Arial"/>
                <w:b/>
                <w:bCs/>
                <w:color w:val="000000"/>
              </w:rPr>
            </w:pPr>
            <w:r w:rsidRPr="00B17E23">
              <w:rPr>
                <w:rFonts w:ascii="Arial" w:hAnsi="Arial" w:cs="Arial"/>
                <w:b/>
                <w:bCs/>
                <w:color w:val="000000"/>
              </w:rPr>
              <w:t> </w:t>
            </w:r>
          </w:p>
        </w:tc>
      </w:tr>
      <w:tr w:rsidR="00D322FB" w:rsidRPr="00FF7F24" w:rsidTr="00B17E23">
        <w:trPr>
          <w:trHeight w:val="113"/>
        </w:trPr>
        <w:tc>
          <w:tcPr>
            <w:tcW w:w="5529" w:type="dxa"/>
            <w:tcBorders>
              <w:top w:val="single" w:sz="4" w:space="0" w:color="auto"/>
              <w:bottom w:val="single" w:sz="4" w:space="0" w:color="auto"/>
            </w:tcBorders>
            <w:vAlign w:val="bottom"/>
          </w:tcPr>
          <w:p w:rsidR="00D322FB" w:rsidRPr="00B17E23" w:rsidRDefault="00D322FB" w:rsidP="001A0C62">
            <w:pPr>
              <w:rPr>
                <w:rFonts w:ascii="Arial" w:hAnsi="Arial" w:cs="Arial"/>
                <w:b/>
                <w:sz w:val="22"/>
                <w:szCs w:val="22"/>
                <w:lang w:val="tr-TR"/>
              </w:rPr>
            </w:pPr>
            <w:r w:rsidRPr="00B17E23">
              <w:rPr>
                <w:rFonts w:ascii="Arial" w:hAnsi="Arial" w:cs="Arial"/>
                <w:b/>
                <w:lang w:val="tr-TR"/>
              </w:rPr>
              <w:t xml:space="preserve">31 </w:t>
            </w:r>
            <w:r>
              <w:rPr>
                <w:rFonts w:ascii="Arial" w:hAnsi="Arial" w:cs="Arial"/>
                <w:b/>
                <w:lang w:val="tr-TR"/>
              </w:rPr>
              <w:t>Mart 2015</w:t>
            </w:r>
            <w:r w:rsidRPr="00B17E23">
              <w:rPr>
                <w:rFonts w:ascii="Arial" w:hAnsi="Arial" w:cs="Arial"/>
                <w:b/>
                <w:lang w:val="tr-TR"/>
              </w:rPr>
              <w:t xml:space="preserve"> kapanış bakiyesi</w:t>
            </w:r>
          </w:p>
        </w:tc>
        <w:tc>
          <w:tcPr>
            <w:tcW w:w="1701" w:type="dxa"/>
            <w:tcBorders>
              <w:top w:val="single" w:sz="4" w:space="0" w:color="auto"/>
              <w:bottom w:val="single" w:sz="4" w:space="0" w:color="auto"/>
            </w:tcBorders>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(15.528)</w:t>
            </w:r>
          </w:p>
        </w:tc>
        <w:tc>
          <w:tcPr>
            <w:tcW w:w="1842" w:type="dxa"/>
            <w:tcBorders>
              <w:top w:val="single" w:sz="4" w:space="0" w:color="auto"/>
              <w:bottom w:val="single" w:sz="4" w:space="0" w:color="auto"/>
            </w:tcBorders>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(15.528)</w:t>
            </w:r>
          </w:p>
        </w:tc>
      </w:tr>
      <w:tr w:rsidR="00D322FB" w:rsidRPr="00FF7F24" w:rsidTr="00B17E23">
        <w:trPr>
          <w:trHeight w:val="113"/>
        </w:trPr>
        <w:tc>
          <w:tcPr>
            <w:tcW w:w="5529" w:type="dxa"/>
            <w:tcBorders>
              <w:top w:val="single" w:sz="4" w:space="0" w:color="auto"/>
              <w:bottom w:val="single" w:sz="4" w:space="0" w:color="auto"/>
            </w:tcBorders>
            <w:vAlign w:val="bottom"/>
          </w:tcPr>
          <w:p w:rsidR="00D322FB" w:rsidRPr="00B17E23" w:rsidRDefault="00D322FB" w:rsidP="001A0C62">
            <w:pPr>
              <w:rPr>
                <w:rFonts w:ascii="Arial" w:hAnsi="Arial" w:cs="Arial"/>
                <w:b/>
                <w:lang w:val="tr-TR"/>
              </w:rPr>
            </w:pPr>
          </w:p>
        </w:tc>
        <w:tc>
          <w:tcPr>
            <w:tcW w:w="1701" w:type="dxa"/>
            <w:tcBorders>
              <w:top w:val="single" w:sz="4" w:space="0" w:color="auto"/>
              <w:bottom w:val="single" w:sz="4" w:space="0" w:color="auto"/>
            </w:tcBorders>
            <w:vAlign w:val="bottom"/>
          </w:tcPr>
          <w:p w:rsidR="00D322FB" w:rsidRPr="00B17E23" w:rsidRDefault="00D322FB" w:rsidP="00B17E23">
            <w:pPr>
              <w:jc w:val="right"/>
              <w:rPr>
                <w:rFonts w:ascii="Arial" w:hAnsi="Arial" w:cs="Arial"/>
                <w:b/>
                <w:bCs/>
                <w:color w:val="000000"/>
              </w:rPr>
            </w:pPr>
            <w:r w:rsidRPr="00B17E23">
              <w:rPr>
                <w:rFonts w:ascii="Arial" w:hAnsi="Arial" w:cs="Arial"/>
                <w:b/>
                <w:bCs/>
                <w:color w:val="000000"/>
              </w:rPr>
              <w:t> </w:t>
            </w:r>
          </w:p>
        </w:tc>
        <w:tc>
          <w:tcPr>
            <w:tcW w:w="1842" w:type="dxa"/>
            <w:tcBorders>
              <w:top w:val="single" w:sz="4" w:space="0" w:color="auto"/>
              <w:bottom w:val="single" w:sz="4" w:space="0" w:color="auto"/>
            </w:tcBorders>
            <w:vAlign w:val="bottom"/>
          </w:tcPr>
          <w:p w:rsidR="00D322FB" w:rsidRPr="00B17E23" w:rsidRDefault="00D322FB" w:rsidP="00B17E23">
            <w:pPr>
              <w:jc w:val="right"/>
              <w:rPr>
                <w:rFonts w:ascii="Arial" w:hAnsi="Arial" w:cs="Arial"/>
                <w:b/>
                <w:bCs/>
                <w:color w:val="000000"/>
              </w:rPr>
            </w:pPr>
            <w:r w:rsidRPr="00B17E23">
              <w:rPr>
                <w:rFonts w:ascii="Arial" w:hAnsi="Arial" w:cs="Arial"/>
                <w:b/>
                <w:bCs/>
                <w:color w:val="000000"/>
              </w:rPr>
              <w:t> </w:t>
            </w:r>
          </w:p>
        </w:tc>
      </w:tr>
      <w:tr w:rsidR="00D322FB" w:rsidRPr="00FF7F24" w:rsidTr="00B17E23">
        <w:trPr>
          <w:trHeight w:val="113"/>
        </w:trPr>
        <w:tc>
          <w:tcPr>
            <w:tcW w:w="5529" w:type="dxa"/>
            <w:tcBorders>
              <w:top w:val="single" w:sz="4" w:space="0" w:color="auto"/>
              <w:bottom w:val="single" w:sz="4" w:space="0" w:color="auto"/>
            </w:tcBorders>
            <w:vAlign w:val="bottom"/>
          </w:tcPr>
          <w:p w:rsidR="00D322FB" w:rsidRPr="00B17E23" w:rsidRDefault="00D322FB" w:rsidP="001A0C62">
            <w:pPr>
              <w:rPr>
                <w:rFonts w:ascii="Arial" w:hAnsi="Arial" w:cs="Arial"/>
                <w:b/>
                <w:sz w:val="22"/>
                <w:szCs w:val="22"/>
                <w:lang w:val="tr-TR"/>
              </w:rPr>
            </w:pPr>
            <w:r>
              <w:rPr>
                <w:rFonts w:ascii="Arial" w:hAnsi="Arial" w:cs="Arial"/>
                <w:b/>
                <w:lang w:val="tr-TR"/>
              </w:rPr>
              <w:t>31 Aralık 2014</w:t>
            </w:r>
            <w:r w:rsidRPr="00B17E23">
              <w:rPr>
                <w:rFonts w:ascii="Arial" w:hAnsi="Arial" w:cs="Arial"/>
                <w:b/>
                <w:lang w:val="tr-TR"/>
              </w:rPr>
              <w:t xml:space="preserve"> itibariyle net defter değeri</w:t>
            </w:r>
          </w:p>
        </w:tc>
        <w:tc>
          <w:tcPr>
            <w:tcW w:w="1701" w:type="dxa"/>
            <w:tcBorders>
              <w:top w:val="single" w:sz="4" w:space="0" w:color="auto"/>
              <w:bottom w:val="single" w:sz="4" w:space="0" w:color="auto"/>
            </w:tcBorders>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33.215</w:t>
            </w:r>
          </w:p>
        </w:tc>
        <w:tc>
          <w:tcPr>
            <w:tcW w:w="1842" w:type="dxa"/>
            <w:tcBorders>
              <w:top w:val="single" w:sz="4" w:space="0" w:color="auto"/>
              <w:bottom w:val="single" w:sz="4" w:space="0" w:color="auto"/>
            </w:tcBorders>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33.215</w:t>
            </w:r>
          </w:p>
        </w:tc>
      </w:tr>
      <w:tr w:rsidR="00D322FB" w:rsidRPr="00FF7F24" w:rsidTr="00B17E23">
        <w:trPr>
          <w:trHeight w:val="113"/>
        </w:trPr>
        <w:tc>
          <w:tcPr>
            <w:tcW w:w="5529" w:type="dxa"/>
            <w:tcBorders>
              <w:top w:val="single" w:sz="4" w:space="0" w:color="auto"/>
              <w:bottom w:val="single" w:sz="4" w:space="0" w:color="auto"/>
            </w:tcBorders>
            <w:vAlign w:val="bottom"/>
          </w:tcPr>
          <w:p w:rsidR="00D322FB" w:rsidRPr="00B17E23" w:rsidRDefault="00D322FB" w:rsidP="001A0C62">
            <w:pPr>
              <w:rPr>
                <w:rFonts w:ascii="Arial" w:hAnsi="Arial" w:cs="Arial"/>
                <w:b/>
                <w:lang w:val="tr-TR"/>
              </w:rPr>
            </w:pPr>
          </w:p>
        </w:tc>
        <w:tc>
          <w:tcPr>
            <w:tcW w:w="1701" w:type="dxa"/>
            <w:tcBorders>
              <w:top w:val="single" w:sz="4" w:space="0" w:color="auto"/>
              <w:bottom w:val="single" w:sz="4" w:space="0" w:color="auto"/>
            </w:tcBorders>
            <w:vAlign w:val="bottom"/>
          </w:tcPr>
          <w:p w:rsidR="00D322FB" w:rsidRPr="00B17E23" w:rsidRDefault="00D322FB" w:rsidP="00B17E23">
            <w:pPr>
              <w:jc w:val="right"/>
              <w:rPr>
                <w:rFonts w:ascii="Arial" w:hAnsi="Arial" w:cs="Arial"/>
                <w:color w:val="000000"/>
              </w:rPr>
            </w:pPr>
            <w:r w:rsidRPr="00B17E23">
              <w:rPr>
                <w:rFonts w:ascii="Arial" w:hAnsi="Arial" w:cs="Arial"/>
                <w:color w:val="000000"/>
              </w:rPr>
              <w:t> </w:t>
            </w:r>
          </w:p>
        </w:tc>
        <w:tc>
          <w:tcPr>
            <w:tcW w:w="1842" w:type="dxa"/>
            <w:tcBorders>
              <w:top w:val="single" w:sz="4" w:space="0" w:color="auto"/>
              <w:bottom w:val="single" w:sz="4" w:space="0" w:color="auto"/>
            </w:tcBorders>
            <w:vAlign w:val="bottom"/>
          </w:tcPr>
          <w:p w:rsidR="00D322FB" w:rsidRPr="00B17E23" w:rsidRDefault="00D322FB" w:rsidP="00B17E23">
            <w:pPr>
              <w:jc w:val="right"/>
              <w:rPr>
                <w:rFonts w:ascii="Arial" w:hAnsi="Arial" w:cs="Arial"/>
                <w:color w:val="000000"/>
              </w:rPr>
            </w:pPr>
            <w:r w:rsidRPr="00B17E23">
              <w:rPr>
                <w:rFonts w:ascii="Arial" w:hAnsi="Arial" w:cs="Arial"/>
                <w:color w:val="000000"/>
              </w:rPr>
              <w:t> </w:t>
            </w:r>
          </w:p>
        </w:tc>
      </w:tr>
      <w:tr w:rsidR="00D322FB" w:rsidRPr="00FF7F24" w:rsidTr="00B17E23">
        <w:trPr>
          <w:trHeight w:val="113"/>
        </w:trPr>
        <w:tc>
          <w:tcPr>
            <w:tcW w:w="5529" w:type="dxa"/>
            <w:tcBorders>
              <w:top w:val="single" w:sz="4" w:space="0" w:color="auto"/>
              <w:bottom w:val="double" w:sz="4" w:space="0" w:color="auto"/>
            </w:tcBorders>
            <w:vAlign w:val="bottom"/>
          </w:tcPr>
          <w:p w:rsidR="00D322FB" w:rsidRPr="00B17E23" w:rsidRDefault="00D322FB" w:rsidP="001A0C62">
            <w:pPr>
              <w:rPr>
                <w:rFonts w:ascii="Arial" w:hAnsi="Arial" w:cs="Arial"/>
                <w:b/>
                <w:sz w:val="22"/>
                <w:szCs w:val="22"/>
                <w:lang w:val="tr-TR"/>
              </w:rPr>
            </w:pPr>
            <w:r w:rsidRPr="00B17E23">
              <w:rPr>
                <w:rFonts w:ascii="Arial" w:hAnsi="Arial" w:cs="Arial"/>
                <w:b/>
                <w:lang w:val="tr-TR"/>
              </w:rPr>
              <w:t xml:space="preserve">31 </w:t>
            </w:r>
            <w:r>
              <w:rPr>
                <w:rFonts w:ascii="Arial" w:hAnsi="Arial" w:cs="Arial"/>
                <w:b/>
                <w:lang w:val="tr-TR"/>
              </w:rPr>
              <w:t>Mart 2015</w:t>
            </w:r>
            <w:r w:rsidRPr="00B17E23">
              <w:rPr>
                <w:rFonts w:ascii="Arial" w:hAnsi="Arial" w:cs="Arial"/>
                <w:b/>
                <w:lang w:val="tr-TR"/>
              </w:rPr>
              <w:t xml:space="preserve"> itibariyle net defter değeri</w:t>
            </w:r>
          </w:p>
        </w:tc>
        <w:tc>
          <w:tcPr>
            <w:tcW w:w="1701" w:type="dxa"/>
            <w:tcBorders>
              <w:top w:val="single" w:sz="4" w:space="0" w:color="auto"/>
              <w:bottom w:val="double" w:sz="4" w:space="0" w:color="auto"/>
            </w:tcBorders>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32.968</w:t>
            </w:r>
          </w:p>
        </w:tc>
        <w:tc>
          <w:tcPr>
            <w:tcW w:w="1842" w:type="dxa"/>
            <w:tcBorders>
              <w:top w:val="single" w:sz="4" w:space="0" w:color="auto"/>
              <w:bottom w:val="double" w:sz="4" w:space="0" w:color="auto"/>
            </w:tcBorders>
            <w:vAlign w:val="bottom"/>
          </w:tcPr>
          <w:p w:rsidR="00D322FB" w:rsidRPr="00B17E23" w:rsidRDefault="004B7752" w:rsidP="00B17E23">
            <w:pPr>
              <w:jc w:val="right"/>
              <w:rPr>
                <w:rFonts w:ascii="Arial" w:hAnsi="Arial" w:cs="Arial"/>
                <w:b/>
                <w:bCs/>
                <w:color w:val="000000"/>
              </w:rPr>
            </w:pPr>
            <w:r>
              <w:rPr>
                <w:rFonts w:ascii="Arial" w:hAnsi="Arial" w:cs="Arial"/>
                <w:b/>
                <w:bCs/>
                <w:color w:val="000000"/>
              </w:rPr>
              <w:t>32.967</w:t>
            </w:r>
          </w:p>
        </w:tc>
      </w:tr>
    </w:tbl>
    <w:p w:rsidR="00D322FB" w:rsidRDefault="00D322FB" w:rsidP="00D9040F">
      <w:pPr>
        <w:ind w:right="-1"/>
        <w:jc w:val="both"/>
        <w:rPr>
          <w:rFonts w:ascii="Arial" w:hAnsi="Arial" w:cs="Arial"/>
          <w:highlight w:val="yellow"/>
          <w:lang w:val="tr-TR"/>
        </w:rPr>
      </w:pPr>
    </w:p>
    <w:p w:rsidR="00E8391B" w:rsidRDefault="00E8391B" w:rsidP="00D9040F">
      <w:pPr>
        <w:ind w:right="-1"/>
        <w:jc w:val="both"/>
        <w:rPr>
          <w:rFonts w:ascii="Arial" w:hAnsi="Arial" w:cs="Arial"/>
          <w:highlight w:val="yellow"/>
          <w:lang w:val="tr-TR"/>
        </w:rPr>
      </w:pPr>
    </w:p>
    <w:p w:rsidR="00E8391B" w:rsidRDefault="00E8391B" w:rsidP="00D9040F">
      <w:pPr>
        <w:ind w:right="-1"/>
        <w:jc w:val="both"/>
        <w:rPr>
          <w:rFonts w:ascii="Arial" w:hAnsi="Arial" w:cs="Arial"/>
          <w:highlight w:val="yellow"/>
          <w:lang w:val="tr-TR"/>
        </w:rPr>
      </w:pPr>
    </w:p>
    <w:p w:rsidR="00660A69" w:rsidRDefault="00660A69" w:rsidP="00660A69">
      <w:pPr>
        <w:pStyle w:val="000normal"/>
        <w:autoSpaceDE w:val="0"/>
        <w:autoSpaceDN w:val="0"/>
        <w:adjustRightInd w:val="0"/>
        <w:spacing w:before="0" w:after="0" w:afterAutospacing="0"/>
        <w:outlineLvl w:val="0"/>
        <w:rPr>
          <w:rFonts w:eastAsia="Times New Roman"/>
          <w:b/>
          <w:lang w:val="tr-TR"/>
        </w:rPr>
      </w:pPr>
    </w:p>
    <w:p w:rsidR="00660A69" w:rsidRDefault="00660A69" w:rsidP="00660A69">
      <w:pPr>
        <w:pStyle w:val="000normal"/>
        <w:autoSpaceDE w:val="0"/>
        <w:autoSpaceDN w:val="0"/>
        <w:adjustRightInd w:val="0"/>
        <w:spacing w:before="0" w:after="0" w:afterAutospacing="0"/>
        <w:outlineLvl w:val="0"/>
        <w:rPr>
          <w:rFonts w:eastAsia="Times New Roman"/>
          <w:b/>
          <w:lang w:val="tr-TR"/>
        </w:rPr>
      </w:pPr>
    </w:p>
    <w:p w:rsidR="00660A69" w:rsidRPr="00FF7F24" w:rsidRDefault="00660A69" w:rsidP="00660A69">
      <w:pPr>
        <w:pStyle w:val="000normal"/>
        <w:autoSpaceDE w:val="0"/>
        <w:autoSpaceDN w:val="0"/>
        <w:adjustRightInd w:val="0"/>
        <w:spacing w:before="0" w:after="0" w:afterAutospacing="0"/>
        <w:outlineLvl w:val="0"/>
        <w:rPr>
          <w:rFonts w:eastAsia="Times New Roman"/>
          <w:lang w:val="tr-TR"/>
        </w:rPr>
      </w:pPr>
      <w:r w:rsidRPr="00FF7F24">
        <w:rPr>
          <w:rFonts w:eastAsia="Times New Roman"/>
          <w:b/>
          <w:lang w:val="tr-TR"/>
        </w:rPr>
        <w:t>11</w:t>
      </w:r>
      <w:r w:rsidRPr="00FF7F24">
        <w:rPr>
          <w:rFonts w:eastAsia="Times New Roman"/>
          <w:lang w:val="tr-TR"/>
        </w:rPr>
        <w:t>.</w:t>
      </w:r>
      <w:r w:rsidRPr="00FF7F24">
        <w:rPr>
          <w:rFonts w:eastAsia="Times New Roman"/>
          <w:lang w:val="tr-TR"/>
        </w:rPr>
        <w:tab/>
      </w:r>
      <w:r w:rsidRPr="00FF7F24">
        <w:rPr>
          <w:rFonts w:eastAsia="Times New Roman"/>
          <w:b/>
          <w:lang w:val="tr-TR"/>
        </w:rPr>
        <w:t>Maddi olmayan duran varlıklar</w:t>
      </w:r>
      <w:r w:rsidRPr="00FF7F24">
        <w:rPr>
          <w:rFonts w:eastAsia="Times New Roman"/>
          <w:lang w:val="tr-TR"/>
        </w:rPr>
        <w:t xml:space="preserve"> </w:t>
      </w:r>
      <w:r>
        <w:rPr>
          <w:rFonts w:eastAsia="Times New Roman"/>
          <w:lang w:val="tr-TR"/>
        </w:rPr>
        <w:t>(devamı)</w:t>
      </w:r>
    </w:p>
    <w:p w:rsidR="00660A69" w:rsidRPr="00FF7F24" w:rsidRDefault="00660A69" w:rsidP="00660A69">
      <w:pPr>
        <w:ind w:right="-1"/>
        <w:jc w:val="both"/>
        <w:rPr>
          <w:rFonts w:ascii="Arial" w:hAnsi="Arial" w:cs="Arial"/>
          <w:lang w:val="tr-TR"/>
        </w:rPr>
      </w:pPr>
    </w:p>
    <w:p w:rsidR="00660A69" w:rsidRDefault="00660A69" w:rsidP="00660A69">
      <w:pPr>
        <w:pStyle w:val="body0"/>
        <w:spacing w:after="0" w:line="230" w:lineRule="auto"/>
        <w:jc w:val="left"/>
        <w:rPr>
          <w:rFonts w:ascii="Arial" w:hAnsi="Arial" w:cs="Arial"/>
          <w:sz w:val="20"/>
          <w:szCs w:val="20"/>
          <w:lang w:val="tr-TR"/>
        </w:rPr>
      </w:pPr>
      <w:r>
        <w:rPr>
          <w:rFonts w:ascii="Arial" w:hAnsi="Arial" w:cs="Arial"/>
          <w:sz w:val="20"/>
          <w:szCs w:val="20"/>
          <w:lang w:val="tr-TR"/>
        </w:rPr>
        <w:t>31 Mart</w:t>
      </w:r>
      <w:r w:rsidRPr="00776A7A">
        <w:rPr>
          <w:rFonts w:ascii="Arial" w:hAnsi="Arial" w:cs="Arial"/>
          <w:sz w:val="20"/>
          <w:szCs w:val="20"/>
          <w:lang w:val="tr-TR"/>
        </w:rPr>
        <w:t xml:space="preserve"> 201</w:t>
      </w:r>
      <w:r>
        <w:rPr>
          <w:rFonts w:ascii="Arial" w:hAnsi="Arial" w:cs="Arial"/>
          <w:sz w:val="20"/>
          <w:szCs w:val="20"/>
          <w:lang w:val="tr-TR"/>
        </w:rPr>
        <w:t>5 ve 31 Aralık 2014</w:t>
      </w:r>
      <w:r w:rsidRPr="00776A7A">
        <w:rPr>
          <w:rFonts w:ascii="Arial" w:hAnsi="Arial" w:cs="Arial"/>
          <w:sz w:val="20"/>
          <w:szCs w:val="20"/>
          <w:lang w:val="tr-TR"/>
        </w:rPr>
        <w:t xml:space="preserve">  </w:t>
      </w:r>
      <w:r>
        <w:rPr>
          <w:rFonts w:ascii="Arial" w:hAnsi="Arial" w:cs="Arial"/>
          <w:sz w:val="20"/>
          <w:szCs w:val="20"/>
          <w:lang w:val="tr-TR"/>
        </w:rPr>
        <w:t>tarihi itibariyle</w:t>
      </w:r>
      <w:r w:rsidRPr="00FF7F24">
        <w:rPr>
          <w:rFonts w:ascii="Arial" w:hAnsi="Arial" w:cs="Arial"/>
          <w:sz w:val="20"/>
          <w:szCs w:val="20"/>
          <w:lang w:val="tr-TR"/>
        </w:rPr>
        <w:t xml:space="preserve"> maddi olmayan duran varlıklarda gerçekleşen hareketler aşağıdaki gibidir:</w:t>
      </w:r>
    </w:p>
    <w:p w:rsidR="00E8391B" w:rsidRDefault="00E8391B" w:rsidP="00D9040F">
      <w:pPr>
        <w:ind w:right="-1"/>
        <w:jc w:val="both"/>
        <w:rPr>
          <w:rFonts w:ascii="Arial" w:hAnsi="Arial" w:cs="Arial"/>
          <w:highlight w:val="yellow"/>
          <w:lang w:val="tr-TR"/>
        </w:rPr>
      </w:pPr>
    </w:p>
    <w:p w:rsidR="00E8391B" w:rsidRDefault="00E8391B" w:rsidP="00D9040F">
      <w:pPr>
        <w:ind w:right="-1"/>
        <w:jc w:val="both"/>
        <w:rPr>
          <w:rFonts w:ascii="Arial" w:hAnsi="Arial" w:cs="Arial"/>
          <w:highlight w:val="yellow"/>
          <w:lang w:val="tr-TR"/>
        </w:rPr>
      </w:pPr>
    </w:p>
    <w:p w:rsidR="00E8391B" w:rsidRDefault="00E8391B" w:rsidP="00D9040F">
      <w:pPr>
        <w:ind w:right="-1"/>
        <w:jc w:val="both"/>
        <w:rPr>
          <w:rFonts w:ascii="Arial" w:hAnsi="Arial" w:cs="Arial"/>
          <w:highlight w:val="yellow"/>
          <w:lang w:val="tr-TR"/>
        </w:rPr>
      </w:pPr>
    </w:p>
    <w:p w:rsidR="00E8391B" w:rsidRDefault="00E8391B" w:rsidP="00D9040F">
      <w:pPr>
        <w:ind w:right="-1"/>
        <w:jc w:val="both"/>
        <w:rPr>
          <w:rFonts w:ascii="Arial" w:hAnsi="Arial" w:cs="Arial"/>
          <w:highlight w:val="yellow"/>
          <w:lang w:val="tr-TR"/>
        </w:rPr>
      </w:pPr>
    </w:p>
    <w:p w:rsidR="00E8391B" w:rsidRDefault="00E8391B" w:rsidP="00D9040F">
      <w:pPr>
        <w:ind w:right="-1"/>
        <w:jc w:val="both"/>
        <w:rPr>
          <w:rFonts w:ascii="Arial" w:hAnsi="Arial" w:cs="Arial"/>
          <w:highlight w:val="yellow"/>
          <w:lang w:val="tr-TR"/>
        </w:rPr>
      </w:pPr>
    </w:p>
    <w:p w:rsidR="00660A69" w:rsidRDefault="00660A69" w:rsidP="00D9040F">
      <w:pPr>
        <w:ind w:right="-1"/>
        <w:jc w:val="both"/>
        <w:rPr>
          <w:rFonts w:ascii="Arial" w:hAnsi="Arial" w:cs="Arial"/>
          <w:highlight w:val="yellow"/>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5529"/>
        <w:gridCol w:w="1701"/>
        <w:gridCol w:w="1842"/>
      </w:tblGrid>
      <w:tr w:rsidR="00D322FB" w:rsidRPr="00AA5B89" w:rsidTr="00DE18BD">
        <w:trPr>
          <w:trHeight w:val="113"/>
        </w:trPr>
        <w:tc>
          <w:tcPr>
            <w:tcW w:w="5529" w:type="dxa"/>
            <w:tcBorders>
              <w:top w:val="single" w:sz="4" w:space="0" w:color="auto"/>
              <w:bottom w:val="single" w:sz="4" w:space="0" w:color="auto"/>
            </w:tcBorders>
            <w:vAlign w:val="bottom"/>
          </w:tcPr>
          <w:p w:rsidR="00D322FB" w:rsidRPr="00AA5B89" w:rsidRDefault="00D322FB" w:rsidP="00DE18BD">
            <w:pPr>
              <w:rPr>
                <w:rFonts w:ascii="Arial" w:hAnsi="Arial" w:cs="Arial"/>
                <w:lang w:val="tr-TR"/>
              </w:rPr>
            </w:pPr>
          </w:p>
          <w:p w:rsidR="00D322FB" w:rsidRPr="00AA5B89" w:rsidRDefault="00D322FB" w:rsidP="00DE18BD">
            <w:pPr>
              <w:rPr>
                <w:rFonts w:ascii="Arial" w:hAnsi="Arial" w:cs="Arial"/>
                <w:lang w:val="tr-TR"/>
              </w:rPr>
            </w:pPr>
          </w:p>
        </w:tc>
        <w:tc>
          <w:tcPr>
            <w:tcW w:w="1701" w:type="dxa"/>
            <w:tcBorders>
              <w:top w:val="single" w:sz="4" w:space="0" w:color="auto"/>
              <w:bottom w:val="single" w:sz="4" w:space="0" w:color="auto"/>
            </w:tcBorders>
            <w:vAlign w:val="bottom"/>
          </w:tcPr>
          <w:p w:rsidR="00D322FB" w:rsidRPr="00AA5B89" w:rsidRDefault="00D322FB" w:rsidP="00DE18BD">
            <w:pPr>
              <w:ind w:right="47"/>
              <w:jc w:val="right"/>
              <w:rPr>
                <w:rFonts w:ascii="Arial" w:hAnsi="Arial" w:cs="Arial"/>
                <w:lang w:val="tr-TR"/>
              </w:rPr>
            </w:pPr>
            <w:r w:rsidRPr="00AA5B89">
              <w:rPr>
                <w:rFonts w:ascii="Arial" w:hAnsi="Arial" w:cs="Arial"/>
                <w:lang w:val="tr-TR"/>
              </w:rPr>
              <w:t>Bilgisayar</w:t>
            </w:r>
          </w:p>
          <w:p w:rsidR="00D322FB" w:rsidRPr="00AA5B89" w:rsidRDefault="00D322FB" w:rsidP="00DE18BD">
            <w:pPr>
              <w:ind w:right="47"/>
              <w:jc w:val="right"/>
              <w:rPr>
                <w:rFonts w:ascii="Arial" w:hAnsi="Arial" w:cs="Arial"/>
                <w:lang w:val="tr-TR"/>
              </w:rPr>
            </w:pPr>
            <w:r w:rsidRPr="00AA5B89">
              <w:rPr>
                <w:rFonts w:ascii="Arial" w:hAnsi="Arial" w:cs="Arial"/>
                <w:lang w:val="tr-TR"/>
              </w:rPr>
              <w:t>programları</w:t>
            </w:r>
          </w:p>
        </w:tc>
        <w:tc>
          <w:tcPr>
            <w:tcW w:w="1842" w:type="dxa"/>
            <w:tcBorders>
              <w:top w:val="single" w:sz="4" w:space="0" w:color="auto"/>
              <w:bottom w:val="single" w:sz="4" w:space="0" w:color="auto"/>
            </w:tcBorders>
            <w:vAlign w:val="bottom"/>
          </w:tcPr>
          <w:p w:rsidR="00D322FB" w:rsidRPr="00AA5B89" w:rsidRDefault="00D322FB" w:rsidP="00DE18BD">
            <w:pPr>
              <w:jc w:val="right"/>
              <w:rPr>
                <w:rFonts w:ascii="Arial" w:hAnsi="Arial" w:cs="Arial"/>
                <w:lang w:val="tr-TR"/>
              </w:rPr>
            </w:pPr>
            <w:r w:rsidRPr="00AA5B89">
              <w:rPr>
                <w:rFonts w:ascii="Arial" w:hAnsi="Arial" w:cs="Arial"/>
                <w:lang w:val="tr-TR"/>
              </w:rPr>
              <w:t>Toplam</w:t>
            </w:r>
          </w:p>
        </w:tc>
      </w:tr>
      <w:tr w:rsidR="00D322FB" w:rsidRPr="00AA5B89" w:rsidTr="00DE18BD">
        <w:trPr>
          <w:trHeight w:val="113"/>
        </w:trPr>
        <w:tc>
          <w:tcPr>
            <w:tcW w:w="5529" w:type="dxa"/>
            <w:tcBorders>
              <w:top w:val="single" w:sz="4" w:space="0" w:color="auto"/>
            </w:tcBorders>
            <w:vAlign w:val="bottom"/>
          </w:tcPr>
          <w:p w:rsidR="00D322FB" w:rsidRPr="00AA5B89" w:rsidRDefault="00D322FB" w:rsidP="00DE18BD">
            <w:pPr>
              <w:rPr>
                <w:rFonts w:ascii="Arial" w:hAnsi="Arial" w:cs="Arial"/>
                <w:lang w:val="tr-TR"/>
              </w:rPr>
            </w:pPr>
          </w:p>
        </w:tc>
        <w:tc>
          <w:tcPr>
            <w:tcW w:w="1701" w:type="dxa"/>
            <w:tcBorders>
              <w:top w:val="single" w:sz="4" w:space="0" w:color="auto"/>
            </w:tcBorders>
            <w:vAlign w:val="bottom"/>
          </w:tcPr>
          <w:p w:rsidR="00D322FB" w:rsidRPr="00AA5B89" w:rsidRDefault="00D322FB" w:rsidP="00DE18BD">
            <w:pPr>
              <w:ind w:right="47"/>
              <w:jc w:val="right"/>
              <w:rPr>
                <w:rFonts w:ascii="Arial" w:hAnsi="Arial" w:cs="Arial"/>
                <w:lang w:val="tr-TR"/>
              </w:rPr>
            </w:pPr>
          </w:p>
        </w:tc>
        <w:tc>
          <w:tcPr>
            <w:tcW w:w="1842" w:type="dxa"/>
            <w:tcBorders>
              <w:top w:val="single" w:sz="4" w:space="0" w:color="auto"/>
            </w:tcBorders>
            <w:vAlign w:val="bottom"/>
          </w:tcPr>
          <w:p w:rsidR="00D322FB" w:rsidRPr="00AA5B89" w:rsidRDefault="00D322FB" w:rsidP="00DE18BD">
            <w:pPr>
              <w:ind w:right="47"/>
              <w:jc w:val="right"/>
              <w:rPr>
                <w:rFonts w:ascii="Arial" w:hAnsi="Arial" w:cs="Arial"/>
                <w:lang w:val="tr-TR"/>
              </w:rPr>
            </w:pPr>
          </w:p>
        </w:tc>
      </w:tr>
      <w:tr w:rsidR="00D322FB" w:rsidRPr="00AA5B89" w:rsidTr="00DE18BD">
        <w:trPr>
          <w:trHeight w:val="113"/>
        </w:trPr>
        <w:tc>
          <w:tcPr>
            <w:tcW w:w="5529" w:type="dxa"/>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Maliyet değeri</w:t>
            </w:r>
          </w:p>
        </w:tc>
        <w:tc>
          <w:tcPr>
            <w:tcW w:w="1701" w:type="dxa"/>
            <w:vAlign w:val="bottom"/>
          </w:tcPr>
          <w:p w:rsidR="00D322FB" w:rsidRPr="00AA5B89" w:rsidRDefault="00D322FB" w:rsidP="00DE18BD">
            <w:pPr>
              <w:jc w:val="right"/>
              <w:rPr>
                <w:rFonts w:ascii="Arial" w:hAnsi="Arial" w:cs="Arial"/>
                <w:bCs/>
                <w:color w:val="000000"/>
              </w:rPr>
            </w:pPr>
          </w:p>
        </w:tc>
        <w:tc>
          <w:tcPr>
            <w:tcW w:w="1842" w:type="dxa"/>
            <w:vAlign w:val="bottom"/>
          </w:tcPr>
          <w:p w:rsidR="00D322FB" w:rsidRPr="00AA5B89" w:rsidRDefault="00D322FB" w:rsidP="00DE18BD">
            <w:pPr>
              <w:jc w:val="right"/>
              <w:rPr>
                <w:rFonts w:ascii="Arial" w:hAnsi="Arial" w:cs="Arial"/>
                <w:bCs/>
                <w:color w:val="000000"/>
              </w:rPr>
            </w:pPr>
          </w:p>
        </w:tc>
      </w:tr>
      <w:tr w:rsidR="00D322FB" w:rsidRPr="00AA5B89" w:rsidTr="00DE18BD">
        <w:trPr>
          <w:trHeight w:val="113"/>
        </w:trPr>
        <w:tc>
          <w:tcPr>
            <w:tcW w:w="5529" w:type="dxa"/>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1 Ocak 2014 açılış bakiyesi</w:t>
            </w:r>
          </w:p>
        </w:tc>
        <w:tc>
          <w:tcPr>
            <w:tcW w:w="1701"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26.839 </w:t>
            </w:r>
          </w:p>
        </w:tc>
        <w:tc>
          <w:tcPr>
            <w:tcW w:w="1842"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26.839 </w:t>
            </w:r>
          </w:p>
        </w:tc>
      </w:tr>
      <w:tr w:rsidR="00D322FB" w:rsidRPr="00AA5B89" w:rsidTr="00DE18BD">
        <w:trPr>
          <w:trHeight w:val="113"/>
        </w:trPr>
        <w:tc>
          <w:tcPr>
            <w:tcW w:w="5529" w:type="dxa"/>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Alımlar</w:t>
            </w:r>
          </w:p>
        </w:tc>
        <w:tc>
          <w:tcPr>
            <w:tcW w:w="1701"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19.037 </w:t>
            </w:r>
          </w:p>
        </w:tc>
        <w:tc>
          <w:tcPr>
            <w:tcW w:w="1842"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19.037 </w:t>
            </w:r>
          </w:p>
        </w:tc>
      </w:tr>
      <w:tr w:rsidR="00D322FB" w:rsidRPr="00AA5B89" w:rsidTr="00DE18BD">
        <w:trPr>
          <w:trHeight w:val="113"/>
        </w:trPr>
        <w:tc>
          <w:tcPr>
            <w:tcW w:w="5529" w:type="dxa"/>
            <w:tcBorders>
              <w:bottom w:val="single" w:sz="4" w:space="0" w:color="auto"/>
            </w:tcBorders>
            <w:vAlign w:val="bottom"/>
          </w:tcPr>
          <w:p w:rsidR="00D322FB" w:rsidRPr="00AA5B89" w:rsidRDefault="00D322FB" w:rsidP="00DE18BD">
            <w:pPr>
              <w:rPr>
                <w:rFonts w:ascii="Arial" w:hAnsi="Arial" w:cs="Arial"/>
                <w:lang w:val="tr-TR"/>
              </w:rPr>
            </w:pPr>
          </w:p>
        </w:tc>
        <w:tc>
          <w:tcPr>
            <w:tcW w:w="1701" w:type="dxa"/>
            <w:tcBorders>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w:t>
            </w:r>
          </w:p>
        </w:tc>
        <w:tc>
          <w:tcPr>
            <w:tcW w:w="1842" w:type="dxa"/>
            <w:tcBorders>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w:t>
            </w:r>
          </w:p>
        </w:tc>
      </w:tr>
      <w:tr w:rsidR="00D322FB" w:rsidRPr="00AA5B89" w:rsidTr="00DE18BD">
        <w:trPr>
          <w:trHeight w:val="113"/>
        </w:trPr>
        <w:tc>
          <w:tcPr>
            <w:tcW w:w="5529" w:type="dxa"/>
            <w:tcBorders>
              <w:top w:val="single" w:sz="4" w:space="0" w:color="auto"/>
              <w:bottom w:val="single" w:sz="4" w:space="0" w:color="auto"/>
            </w:tcBorders>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31 Aralık 2014 kapanış bakiyesi</w:t>
            </w:r>
          </w:p>
        </w:tc>
        <w:tc>
          <w:tcPr>
            <w:tcW w:w="1701" w:type="dxa"/>
            <w:tcBorders>
              <w:top w:val="single" w:sz="4" w:space="0" w:color="auto"/>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45.876 </w:t>
            </w:r>
          </w:p>
        </w:tc>
        <w:tc>
          <w:tcPr>
            <w:tcW w:w="1842" w:type="dxa"/>
            <w:tcBorders>
              <w:top w:val="single" w:sz="4" w:space="0" w:color="auto"/>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45.876 </w:t>
            </w:r>
          </w:p>
        </w:tc>
      </w:tr>
      <w:tr w:rsidR="00D322FB" w:rsidRPr="00AA5B89" w:rsidTr="00DE18BD">
        <w:trPr>
          <w:trHeight w:val="113"/>
        </w:trPr>
        <w:tc>
          <w:tcPr>
            <w:tcW w:w="5529" w:type="dxa"/>
            <w:tcBorders>
              <w:top w:val="single" w:sz="4" w:space="0" w:color="auto"/>
            </w:tcBorders>
            <w:vAlign w:val="bottom"/>
          </w:tcPr>
          <w:p w:rsidR="00D322FB" w:rsidRPr="00AA5B89" w:rsidRDefault="00D322FB" w:rsidP="00DE18BD">
            <w:pPr>
              <w:rPr>
                <w:rFonts w:ascii="Arial" w:hAnsi="Arial" w:cs="Arial"/>
                <w:lang w:val="tr-TR"/>
              </w:rPr>
            </w:pPr>
          </w:p>
        </w:tc>
        <w:tc>
          <w:tcPr>
            <w:tcW w:w="1701" w:type="dxa"/>
            <w:tcBorders>
              <w:top w:val="single" w:sz="4" w:space="0" w:color="auto"/>
            </w:tcBorders>
            <w:vAlign w:val="bottom"/>
          </w:tcPr>
          <w:p w:rsidR="00D322FB" w:rsidRPr="00AA5B89" w:rsidRDefault="00D322FB" w:rsidP="00DE18BD">
            <w:pPr>
              <w:jc w:val="right"/>
              <w:rPr>
                <w:rFonts w:ascii="Arial" w:hAnsi="Arial" w:cs="Arial"/>
                <w:bCs/>
                <w:color w:val="000000"/>
              </w:rPr>
            </w:pPr>
          </w:p>
        </w:tc>
        <w:tc>
          <w:tcPr>
            <w:tcW w:w="1842" w:type="dxa"/>
            <w:tcBorders>
              <w:top w:val="single" w:sz="4" w:space="0" w:color="auto"/>
            </w:tcBorders>
            <w:vAlign w:val="bottom"/>
          </w:tcPr>
          <w:p w:rsidR="00D322FB" w:rsidRPr="00AA5B89" w:rsidRDefault="00D322FB" w:rsidP="00DE18BD">
            <w:pPr>
              <w:jc w:val="right"/>
              <w:rPr>
                <w:rFonts w:ascii="Arial" w:hAnsi="Arial" w:cs="Arial"/>
                <w:bCs/>
                <w:color w:val="000000"/>
              </w:rPr>
            </w:pPr>
          </w:p>
        </w:tc>
      </w:tr>
      <w:tr w:rsidR="00D322FB" w:rsidRPr="00AA5B89" w:rsidTr="00DE18BD">
        <w:trPr>
          <w:trHeight w:val="113"/>
        </w:trPr>
        <w:tc>
          <w:tcPr>
            <w:tcW w:w="5529" w:type="dxa"/>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Birikmiş amortismanlar</w:t>
            </w:r>
          </w:p>
        </w:tc>
        <w:tc>
          <w:tcPr>
            <w:tcW w:w="1701" w:type="dxa"/>
            <w:vAlign w:val="bottom"/>
          </w:tcPr>
          <w:p w:rsidR="00D322FB" w:rsidRPr="00AA5B89" w:rsidRDefault="00D322FB" w:rsidP="00DE18BD">
            <w:pPr>
              <w:jc w:val="right"/>
              <w:rPr>
                <w:rFonts w:ascii="Arial" w:hAnsi="Arial" w:cs="Arial"/>
                <w:bCs/>
                <w:color w:val="000000"/>
              </w:rPr>
            </w:pPr>
          </w:p>
        </w:tc>
        <w:tc>
          <w:tcPr>
            <w:tcW w:w="1842" w:type="dxa"/>
            <w:vAlign w:val="bottom"/>
          </w:tcPr>
          <w:p w:rsidR="00D322FB" w:rsidRPr="00AA5B89" w:rsidRDefault="00D322FB" w:rsidP="00DE18BD">
            <w:pPr>
              <w:jc w:val="right"/>
              <w:rPr>
                <w:rFonts w:ascii="Arial" w:hAnsi="Arial" w:cs="Arial"/>
                <w:bCs/>
                <w:color w:val="000000"/>
              </w:rPr>
            </w:pPr>
          </w:p>
        </w:tc>
      </w:tr>
      <w:tr w:rsidR="00D322FB" w:rsidRPr="00AA5B89" w:rsidTr="00DE18BD">
        <w:trPr>
          <w:trHeight w:val="113"/>
        </w:trPr>
        <w:tc>
          <w:tcPr>
            <w:tcW w:w="5529" w:type="dxa"/>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1 Ocak 2014 açılış bakiyesi</w:t>
            </w:r>
          </w:p>
        </w:tc>
        <w:tc>
          <w:tcPr>
            <w:tcW w:w="1701"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(5.350)</w:t>
            </w:r>
          </w:p>
        </w:tc>
        <w:tc>
          <w:tcPr>
            <w:tcW w:w="1842"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(5.350)</w:t>
            </w:r>
          </w:p>
        </w:tc>
      </w:tr>
      <w:tr w:rsidR="00D322FB" w:rsidRPr="00AA5B89" w:rsidTr="00DE18BD">
        <w:trPr>
          <w:trHeight w:val="113"/>
        </w:trPr>
        <w:tc>
          <w:tcPr>
            <w:tcW w:w="5529" w:type="dxa"/>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Dönem gideri</w:t>
            </w:r>
          </w:p>
        </w:tc>
        <w:tc>
          <w:tcPr>
            <w:tcW w:w="1701"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(7.310)</w:t>
            </w:r>
          </w:p>
        </w:tc>
        <w:tc>
          <w:tcPr>
            <w:tcW w:w="1842"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(7.310)</w:t>
            </w:r>
          </w:p>
        </w:tc>
      </w:tr>
      <w:tr w:rsidR="00D322FB" w:rsidRPr="00AA5B89" w:rsidTr="00DE18BD">
        <w:trPr>
          <w:trHeight w:val="113"/>
        </w:trPr>
        <w:tc>
          <w:tcPr>
            <w:tcW w:w="5529" w:type="dxa"/>
            <w:tcBorders>
              <w:bottom w:val="single" w:sz="4" w:space="0" w:color="auto"/>
            </w:tcBorders>
            <w:vAlign w:val="bottom"/>
          </w:tcPr>
          <w:p w:rsidR="00D322FB" w:rsidRPr="00AA5B89" w:rsidRDefault="00D322FB" w:rsidP="00DE18BD">
            <w:pPr>
              <w:rPr>
                <w:rFonts w:ascii="Arial" w:hAnsi="Arial" w:cs="Arial"/>
                <w:lang w:val="tr-TR"/>
              </w:rPr>
            </w:pPr>
          </w:p>
        </w:tc>
        <w:tc>
          <w:tcPr>
            <w:tcW w:w="1701" w:type="dxa"/>
            <w:tcBorders>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w:t>
            </w:r>
          </w:p>
        </w:tc>
        <w:tc>
          <w:tcPr>
            <w:tcW w:w="1842" w:type="dxa"/>
            <w:tcBorders>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w:t>
            </w:r>
          </w:p>
        </w:tc>
      </w:tr>
      <w:tr w:rsidR="00D322FB" w:rsidRPr="00AA5B89" w:rsidTr="00DE18BD">
        <w:trPr>
          <w:trHeight w:val="113"/>
        </w:trPr>
        <w:tc>
          <w:tcPr>
            <w:tcW w:w="5529" w:type="dxa"/>
            <w:tcBorders>
              <w:top w:val="single" w:sz="4" w:space="0" w:color="auto"/>
              <w:bottom w:val="single" w:sz="4" w:space="0" w:color="auto"/>
            </w:tcBorders>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31 Aralık 2014 kapanış bakiyesi</w:t>
            </w:r>
          </w:p>
        </w:tc>
        <w:tc>
          <w:tcPr>
            <w:tcW w:w="1701" w:type="dxa"/>
            <w:tcBorders>
              <w:top w:val="single" w:sz="4" w:space="0" w:color="auto"/>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(12.660)</w:t>
            </w:r>
          </w:p>
        </w:tc>
        <w:tc>
          <w:tcPr>
            <w:tcW w:w="1842" w:type="dxa"/>
            <w:tcBorders>
              <w:top w:val="single" w:sz="4" w:space="0" w:color="auto"/>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(12.660)</w:t>
            </w:r>
          </w:p>
        </w:tc>
      </w:tr>
      <w:tr w:rsidR="00D322FB" w:rsidRPr="00AA5B89" w:rsidTr="00DE18BD">
        <w:trPr>
          <w:trHeight w:val="113"/>
        </w:trPr>
        <w:tc>
          <w:tcPr>
            <w:tcW w:w="5529" w:type="dxa"/>
            <w:tcBorders>
              <w:top w:val="single" w:sz="4" w:space="0" w:color="auto"/>
              <w:bottom w:val="single" w:sz="4" w:space="0" w:color="auto"/>
            </w:tcBorders>
            <w:vAlign w:val="bottom"/>
          </w:tcPr>
          <w:p w:rsidR="00D322FB" w:rsidRPr="00AA5B89" w:rsidRDefault="00D322FB" w:rsidP="00DE18BD">
            <w:pPr>
              <w:rPr>
                <w:rFonts w:ascii="Arial" w:hAnsi="Arial" w:cs="Arial"/>
                <w:lang w:val="tr-TR"/>
              </w:rPr>
            </w:pPr>
          </w:p>
        </w:tc>
        <w:tc>
          <w:tcPr>
            <w:tcW w:w="1701" w:type="dxa"/>
            <w:tcBorders>
              <w:top w:val="single" w:sz="4" w:space="0" w:color="auto"/>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w:t>
            </w:r>
          </w:p>
        </w:tc>
        <w:tc>
          <w:tcPr>
            <w:tcW w:w="1842" w:type="dxa"/>
            <w:tcBorders>
              <w:top w:val="single" w:sz="4" w:space="0" w:color="auto"/>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w:t>
            </w:r>
          </w:p>
        </w:tc>
      </w:tr>
      <w:tr w:rsidR="00D322FB" w:rsidRPr="00AA5B89" w:rsidTr="00DE18BD">
        <w:trPr>
          <w:trHeight w:val="113"/>
        </w:trPr>
        <w:tc>
          <w:tcPr>
            <w:tcW w:w="5529" w:type="dxa"/>
            <w:tcBorders>
              <w:top w:val="single" w:sz="4" w:space="0" w:color="auto"/>
              <w:bottom w:val="single" w:sz="4" w:space="0" w:color="auto"/>
            </w:tcBorders>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31 Aralık 2013 itibariyle net defter değeri</w:t>
            </w:r>
          </w:p>
        </w:tc>
        <w:tc>
          <w:tcPr>
            <w:tcW w:w="1701" w:type="dxa"/>
            <w:tcBorders>
              <w:top w:val="single" w:sz="4" w:space="0" w:color="auto"/>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lang w:val="de-DE"/>
              </w:rPr>
              <w:t xml:space="preserve">          </w:t>
            </w:r>
            <w:r w:rsidRPr="00AA5B89">
              <w:rPr>
                <w:rFonts w:ascii="Arial" w:hAnsi="Arial" w:cs="Arial"/>
                <w:bCs/>
                <w:color w:val="000000"/>
              </w:rPr>
              <w:t xml:space="preserve">21.489 </w:t>
            </w:r>
          </w:p>
        </w:tc>
        <w:tc>
          <w:tcPr>
            <w:tcW w:w="1842" w:type="dxa"/>
            <w:tcBorders>
              <w:top w:val="single" w:sz="4" w:space="0" w:color="auto"/>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21.489 </w:t>
            </w:r>
          </w:p>
        </w:tc>
      </w:tr>
      <w:tr w:rsidR="00D322FB" w:rsidRPr="00AA5B89" w:rsidTr="00DE18BD">
        <w:trPr>
          <w:trHeight w:val="113"/>
        </w:trPr>
        <w:tc>
          <w:tcPr>
            <w:tcW w:w="5529" w:type="dxa"/>
            <w:tcBorders>
              <w:top w:val="single" w:sz="4" w:space="0" w:color="auto"/>
              <w:bottom w:val="single" w:sz="4" w:space="0" w:color="auto"/>
            </w:tcBorders>
            <w:vAlign w:val="bottom"/>
          </w:tcPr>
          <w:p w:rsidR="00D322FB" w:rsidRPr="00AA5B89" w:rsidRDefault="00D322FB" w:rsidP="00DE18BD">
            <w:pPr>
              <w:rPr>
                <w:rFonts w:ascii="Arial" w:hAnsi="Arial" w:cs="Arial"/>
                <w:lang w:val="tr-TR"/>
              </w:rPr>
            </w:pPr>
          </w:p>
        </w:tc>
        <w:tc>
          <w:tcPr>
            <w:tcW w:w="1701" w:type="dxa"/>
            <w:tcBorders>
              <w:top w:val="single" w:sz="4" w:space="0" w:color="auto"/>
              <w:bottom w:val="single" w:sz="4" w:space="0" w:color="auto"/>
            </w:tcBorders>
            <w:vAlign w:val="bottom"/>
          </w:tcPr>
          <w:p w:rsidR="00D322FB" w:rsidRPr="00AA5B89" w:rsidRDefault="00D322FB" w:rsidP="00DE18BD">
            <w:pPr>
              <w:jc w:val="right"/>
              <w:rPr>
                <w:rFonts w:ascii="Arial" w:hAnsi="Arial" w:cs="Arial"/>
                <w:color w:val="000000"/>
              </w:rPr>
            </w:pPr>
            <w:r w:rsidRPr="00AA5B89">
              <w:rPr>
                <w:rFonts w:ascii="Arial" w:hAnsi="Arial" w:cs="Arial"/>
                <w:color w:val="000000"/>
              </w:rPr>
              <w:t> </w:t>
            </w:r>
          </w:p>
        </w:tc>
        <w:tc>
          <w:tcPr>
            <w:tcW w:w="1842" w:type="dxa"/>
            <w:tcBorders>
              <w:top w:val="single" w:sz="4" w:space="0" w:color="auto"/>
              <w:bottom w:val="single" w:sz="4" w:space="0" w:color="auto"/>
            </w:tcBorders>
            <w:vAlign w:val="bottom"/>
          </w:tcPr>
          <w:p w:rsidR="00D322FB" w:rsidRPr="00AA5B89" w:rsidRDefault="00D322FB" w:rsidP="00DE18BD">
            <w:pPr>
              <w:jc w:val="right"/>
              <w:rPr>
                <w:rFonts w:ascii="Arial" w:hAnsi="Arial" w:cs="Arial"/>
                <w:color w:val="000000"/>
              </w:rPr>
            </w:pPr>
            <w:r w:rsidRPr="00AA5B89">
              <w:rPr>
                <w:rFonts w:ascii="Arial" w:hAnsi="Arial" w:cs="Arial"/>
                <w:color w:val="000000"/>
              </w:rPr>
              <w:t> </w:t>
            </w:r>
          </w:p>
        </w:tc>
      </w:tr>
      <w:tr w:rsidR="00D322FB" w:rsidRPr="00AA5B89" w:rsidTr="00DE18BD">
        <w:trPr>
          <w:trHeight w:val="113"/>
        </w:trPr>
        <w:tc>
          <w:tcPr>
            <w:tcW w:w="5529" w:type="dxa"/>
            <w:tcBorders>
              <w:top w:val="single" w:sz="4" w:space="0" w:color="auto"/>
              <w:bottom w:val="double" w:sz="4" w:space="0" w:color="auto"/>
            </w:tcBorders>
            <w:vAlign w:val="bottom"/>
          </w:tcPr>
          <w:p w:rsidR="00D322FB" w:rsidRPr="00AA5B89" w:rsidRDefault="00D322FB" w:rsidP="00DE18BD">
            <w:pPr>
              <w:rPr>
                <w:rFonts w:ascii="Arial" w:hAnsi="Arial" w:cs="Arial"/>
                <w:sz w:val="22"/>
                <w:szCs w:val="22"/>
                <w:lang w:val="tr-TR"/>
              </w:rPr>
            </w:pPr>
            <w:r w:rsidRPr="00AA5B89">
              <w:rPr>
                <w:rFonts w:ascii="Arial" w:hAnsi="Arial" w:cs="Arial"/>
                <w:lang w:val="tr-TR"/>
              </w:rPr>
              <w:t>31 Aralık 2014 itibariyle net defter değeri</w:t>
            </w:r>
          </w:p>
        </w:tc>
        <w:tc>
          <w:tcPr>
            <w:tcW w:w="1701" w:type="dxa"/>
            <w:tcBorders>
              <w:top w:val="single" w:sz="4" w:space="0" w:color="auto"/>
              <w:bottom w:val="doub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lang w:val="de-DE"/>
              </w:rPr>
              <w:t xml:space="preserve">          </w:t>
            </w:r>
            <w:r w:rsidRPr="00AA5B89">
              <w:rPr>
                <w:rFonts w:ascii="Arial" w:hAnsi="Arial" w:cs="Arial"/>
                <w:bCs/>
                <w:color w:val="000000"/>
              </w:rPr>
              <w:t xml:space="preserve">33.216 </w:t>
            </w:r>
          </w:p>
        </w:tc>
        <w:tc>
          <w:tcPr>
            <w:tcW w:w="1842" w:type="dxa"/>
            <w:tcBorders>
              <w:top w:val="single" w:sz="4" w:space="0" w:color="auto"/>
              <w:bottom w:val="doub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33.216 </w:t>
            </w:r>
          </w:p>
        </w:tc>
      </w:tr>
    </w:tbl>
    <w:p w:rsidR="00D322FB" w:rsidRDefault="00D322FB" w:rsidP="00D9040F">
      <w:pPr>
        <w:ind w:right="-1"/>
        <w:jc w:val="both"/>
        <w:rPr>
          <w:rFonts w:ascii="Arial" w:hAnsi="Arial" w:cs="Arial"/>
          <w:highlight w:val="yellow"/>
          <w:lang w:val="tr-TR"/>
        </w:rPr>
      </w:pPr>
    </w:p>
    <w:p w:rsidR="00D322FB" w:rsidRPr="00727376" w:rsidRDefault="00D322FB" w:rsidP="00D9040F">
      <w:pPr>
        <w:ind w:right="-1"/>
        <w:jc w:val="both"/>
        <w:rPr>
          <w:rFonts w:ascii="Arial" w:hAnsi="Arial" w:cs="Arial"/>
          <w:highlight w:val="yellow"/>
          <w:lang w:val="tr-TR"/>
        </w:rPr>
      </w:pPr>
    </w:p>
    <w:p w:rsidR="00D322FB" w:rsidRPr="00727376" w:rsidRDefault="00D322FB" w:rsidP="00AE0484">
      <w:pPr>
        <w:ind w:right="-1"/>
        <w:jc w:val="both"/>
        <w:rPr>
          <w:rFonts w:ascii="Arial" w:hAnsi="Arial" w:cs="Arial"/>
          <w:b/>
          <w:highlight w:val="yellow"/>
          <w:lang w:val="tr-TR"/>
        </w:rPr>
      </w:pPr>
    </w:p>
    <w:p w:rsidR="00D322FB" w:rsidRDefault="00D322FB" w:rsidP="00792AEE">
      <w:pPr>
        <w:ind w:right="-1"/>
        <w:rPr>
          <w:rFonts w:ascii="Arial" w:hAnsi="Arial" w:cs="Arial"/>
          <w:highlight w:val="yellow"/>
          <w:lang w:val="tr-TR"/>
        </w:rPr>
      </w:pPr>
      <w:bookmarkStart w:id="1" w:name="OLE_LINK1"/>
    </w:p>
    <w:bookmarkEnd w:id="1"/>
    <w:p w:rsidR="00D322FB" w:rsidRPr="00065886" w:rsidRDefault="00D322FB" w:rsidP="00792AEE">
      <w:pPr>
        <w:ind w:right="-1"/>
        <w:rPr>
          <w:rFonts w:ascii="Arial" w:hAnsi="Arial" w:cs="Arial"/>
          <w:lang w:val="tr-TR"/>
        </w:rPr>
      </w:pPr>
      <w:r w:rsidRPr="00E66CBE">
        <w:rPr>
          <w:rFonts w:ascii="Arial" w:hAnsi="Arial" w:cs="Arial"/>
          <w:lang w:val="tr-TR"/>
        </w:rPr>
        <w:t xml:space="preserve">1 Ocak – 31 </w:t>
      </w:r>
      <w:r w:rsidR="00626EAD">
        <w:rPr>
          <w:rFonts w:ascii="Arial" w:hAnsi="Arial" w:cs="Arial"/>
          <w:lang w:val="tr-TR"/>
        </w:rPr>
        <w:t>Mart</w:t>
      </w:r>
      <w:r w:rsidRPr="00E66CBE">
        <w:rPr>
          <w:rFonts w:ascii="Arial" w:hAnsi="Arial" w:cs="Arial"/>
          <w:lang w:val="tr-TR"/>
        </w:rPr>
        <w:t xml:space="preserve"> 201</w:t>
      </w:r>
      <w:r w:rsidR="00626EAD">
        <w:rPr>
          <w:rFonts w:ascii="Arial" w:hAnsi="Arial" w:cs="Arial"/>
          <w:lang w:val="tr-TR"/>
        </w:rPr>
        <w:t>5</w:t>
      </w:r>
      <w:r w:rsidRPr="00E66CBE">
        <w:rPr>
          <w:rFonts w:ascii="Arial" w:hAnsi="Arial" w:cs="Arial"/>
          <w:lang w:val="tr-TR"/>
        </w:rPr>
        <w:t xml:space="preserve"> </w:t>
      </w:r>
      <w:r w:rsidRPr="00B17E23">
        <w:rPr>
          <w:rFonts w:ascii="Arial" w:hAnsi="Arial" w:cs="Arial"/>
          <w:lang w:val="tr-TR"/>
        </w:rPr>
        <w:t xml:space="preserve">dönemine ait </w:t>
      </w:r>
      <w:r w:rsidR="00E8391B">
        <w:rPr>
          <w:rFonts w:ascii="Arial" w:hAnsi="Arial" w:cs="Arial"/>
          <w:lang w:val="tr-TR"/>
        </w:rPr>
        <w:t>2.867T</w:t>
      </w:r>
      <w:r w:rsidRPr="00B17E23">
        <w:rPr>
          <w:rFonts w:ascii="Arial" w:hAnsi="Arial" w:cs="Arial"/>
          <w:lang w:val="tr-TR"/>
        </w:rPr>
        <w:t xml:space="preserve">L tutarındaki dönem </w:t>
      </w:r>
      <w:r>
        <w:rPr>
          <w:rFonts w:ascii="Arial" w:hAnsi="Arial" w:cs="Arial"/>
          <w:lang w:val="tr-TR"/>
        </w:rPr>
        <w:t>itfa</w:t>
      </w:r>
      <w:r w:rsidRPr="00B17E23">
        <w:rPr>
          <w:rFonts w:ascii="Arial" w:hAnsi="Arial" w:cs="Arial"/>
          <w:lang w:val="tr-TR"/>
        </w:rPr>
        <w:t xml:space="preserve"> gideri genel yönetim giderlerine dahil edilmiştir (Not:18) (1 Ocak – 31 Aralık 201</w:t>
      </w:r>
      <w:r w:rsidR="00F53471">
        <w:rPr>
          <w:rFonts w:ascii="Arial" w:hAnsi="Arial" w:cs="Arial"/>
          <w:lang w:val="tr-TR"/>
        </w:rPr>
        <w:t>4</w:t>
      </w:r>
      <w:r w:rsidRPr="00B17E23">
        <w:rPr>
          <w:rFonts w:ascii="Arial" w:hAnsi="Arial" w:cs="Arial"/>
          <w:lang w:val="tr-TR"/>
        </w:rPr>
        <w:t xml:space="preserve"> – </w:t>
      </w:r>
      <w:r w:rsidR="00F53471">
        <w:rPr>
          <w:rFonts w:ascii="Arial" w:hAnsi="Arial" w:cs="Arial"/>
          <w:lang w:val="tr-TR"/>
        </w:rPr>
        <w:t>7</w:t>
      </w:r>
      <w:r w:rsidRPr="00B17E23">
        <w:rPr>
          <w:rFonts w:ascii="Arial" w:hAnsi="Arial" w:cs="Arial"/>
          <w:lang w:val="tr-TR"/>
        </w:rPr>
        <w:t>.</w:t>
      </w:r>
      <w:r w:rsidR="00626EAD">
        <w:rPr>
          <w:rFonts w:ascii="Arial" w:hAnsi="Arial" w:cs="Arial"/>
          <w:lang w:val="tr-TR"/>
        </w:rPr>
        <w:t>310</w:t>
      </w:r>
      <w:r w:rsidRPr="00B17E23">
        <w:rPr>
          <w:rFonts w:ascii="Arial" w:hAnsi="Arial" w:cs="Arial"/>
          <w:lang w:val="tr-TR"/>
        </w:rPr>
        <w:t xml:space="preserve"> TL</w:t>
      </w:r>
      <w:r w:rsidRPr="00065886">
        <w:rPr>
          <w:rFonts w:ascii="Arial" w:hAnsi="Arial" w:cs="Arial"/>
          <w:lang w:val="tr-TR"/>
        </w:rPr>
        <w:t>).</w:t>
      </w:r>
    </w:p>
    <w:p w:rsidR="00D322FB" w:rsidRPr="00727376" w:rsidRDefault="00D322FB">
      <w:pPr>
        <w:rPr>
          <w:rFonts w:ascii="Arial" w:hAnsi="Arial" w:cs="Arial"/>
          <w:b/>
          <w:highlight w:val="yellow"/>
          <w:lang w:val="tr-TR"/>
        </w:rPr>
      </w:pPr>
      <w:r w:rsidRPr="00727376">
        <w:rPr>
          <w:rFonts w:ascii="Arial" w:hAnsi="Arial" w:cs="Arial"/>
          <w:b/>
          <w:highlight w:val="yellow"/>
          <w:lang w:val="tr-TR"/>
        </w:rPr>
        <w:br w:type="page"/>
      </w: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lastRenderedPageBreak/>
        <w:t>12.</w:t>
      </w:r>
      <w:r w:rsidRPr="00284495">
        <w:rPr>
          <w:rFonts w:ascii="Arial" w:hAnsi="Arial" w:cs="Arial"/>
          <w:color w:val="auto"/>
          <w:sz w:val="20"/>
          <w:lang w:val="tr-TR"/>
        </w:rPr>
        <w:tab/>
        <w:t>Çalışanlara sağlanan faydalar kapsamında borçlar</w:t>
      </w:r>
    </w:p>
    <w:p w:rsidR="00D322FB" w:rsidRDefault="00D322FB" w:rsidP="00D55510">
      <w:pPr>
        <w:rPr>
          <w:rFonts w:ascii="Arial" w:hAnsi="Arial" w:cs="Arial"/>
          <w:b/>
          <w:highlight w:val="yellow"/>
          <w:lang w:val="tr-TR"/>
        </w:rPr>
      </w:pPr>
    </w:p>
    <w:p w:rsidR="00D322FB" w:rsidRPr="00A041C4" w:rsidRDefault="006F2183" w:rsidP="00966B96">
      <w:pPr>
        <w:spacing w:line="230" w:lineRule="auto"/>
        <w:ind w:right="-1"/>
        <w:rPr>
          <w:rFonts w:ascii="Arial" w:hAnsi="Arial" w:cs="Arial"/>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sidR="00D322FB">
        <w:rPr>
          <w:rFonts w:ascii="Arial" w:hAnsi="Arial" w:cs="Arial"/>
          <w:lang w:val="tr-TR"/>
        </w:rPr>
        <w:t xml:space="preserve"> itibariyle</w:t>
      </w:r>
      <w:r w:rsidR="00D322FB" w:rsidRPr="00A041C4">
        <w:rPr>
          <w:rFonts w:ascii="Arial" w:hAnsi="Arial" w:cs="Arial"/>
          <w:lang w:val="tr-TR"/>
        </w:rPr>
        <w:t xml:space="preserve"> </w:t>
      </w:r>
      <w:r w:rsidR="00D322FB">
        <w:rPr>
          <w:rFonts w:ascii="Arial" w:hAnsi="Arial" w:cs="Arial"/>
          <w:lang w:val="tr-TR"/>
        </w:rPr>
        <w:t>Ş</w:t>
      </w:r>
      <w:r w:rsidR="00D322FB" w:rsidRPr="00A041C4">
        <w:rPr>
          <w:rFonts w:ascii="Arial" w:hAnsi="Arial" w:cs="Arial"/>
          <w:lang w:val="tr-TR"/>
        </w:rPr>
        <w:t>irket</w:t>
      </w:r>
      <w:r w:rsidR="00D322FB">
        <w:rPr>
          <w:rFonts w:ascii="Arial" w:hAnsi="Arial" w:cs="Arial"/>
          <w:lang w:val="tr-TR"/>
        </w:rPr>
        <w:t>’</w:t>
      </w:r>
      <w:r w:rsidR="00D322FB" w:rsidRPr="00A041C4">
        <w:rPr>
          <w:rFonts w:ascii="Arial" w:hAnsi="Arial" w:cs="Arial"/>
          <w:lang w:val="tr-TR"/>
        </w:rPr>
        <w:t xml:space="preserve">in </w:t>
      </w:r>
      <w:r w:rsidR="00D322FB">
        <w:rPr>
          <w:rFonts w:ascii="Arial" w:hAnsi="Arial" w:cs="Arial"/>
          <w:lang w:val="tr-TR"/>
        </w:rPr>
        <w:t>ç</w:t>
      </w:r>
      <w:r w:rsidR="00D322FB" w:rsidRPr="00966B96">
        <w:rPr>
          <w:rFonts w:ascii="Arial" w:hAnsi="Arial" w:cs="Arial"/>
          <w:lang w:val="tr-TR"/>
        </w:rPr>
        <w:t>alışanlara sağlanan faydalar kapsamında borçlar</w:t>
      </w:r>
      <w:r w:rsidR="00D322FB">
        <w:rPr>
          <w:rFonts w:ascii="Arial" w:hAnsi="Arial" w:cs="Arial"/>
          <w:lang w:val="tr-TR"/>
        </w:rPr>
        <w:t>ının</w:t>
      </w:r>
      <w:r w:rsidR="00D322FB" w:rsidRPr="00966B96">
        <w:rPr>
          <w:rFonts w:ascii="Arial" w:hAnsi="Arial" w:cs="Arial"/>
          <w:lang w:val="tr-TR"/>
        </w:rPr>
        <w:t xml:space="preserve"> </w:t>
      </w:r>
      <w:r w:rsidR="00D322FB">
        <w:rPr>
          <w:rFonts w:ascii="Arial" w:hAnsi="Arial" w:cs="Arial"/>
          <w:lang w:val="tr-TR"/>
        </w:rPr>
        <w:t xml:space="preserve">detayı </w:t>
      </w:r>
      <w:r w:rsidR="00D322FB" w:rsidRPr="00A041C4">
        <w:rPr>
          <w:rFonts w:ascii="Arial" w:hAnsi="Arial" w:cs="Arial"/>
          <w:lang w:val="tr-TR"/>
        </w:rPr>
        <w:t>aşağıdaki gibidir:</w:t>
      </w:r>
    </w:p>
    <w:p w:rsidR="00D322FB" w:rsidRPr="00727376" w:rsidRDefault="00D322FB" w:rsidP="00D55510">
      <w:pPr>
        <w:rPr>
          <w:rFonts w:ascii="Arial" w:hAnsi="Arial" w:cs="Arial"/>
          <w:b/>
          <w:highlight w:val="yellow"/>
          <w:lang w:val="tr-TR"/>
        </w:rPr>
      </w:pPr>
    </w:p>
    <w:tbl>
      <w:tblPr>
        <w:tblW w:w="9342" w:type="dxa"/>
        <w:tblInd w:w="108" w:type="dxa"/>
        <w:tblLayout w:type="fixed"/>
        <w:tblLook w:val="01E0" w:firstRow="1" w:lastRow="1" w:firstColumn="1" w:lastColumn="1" w:noHBand="0" w:noVBand="0"/>
      </w:tblPr>
      <w:tblGrid>
        <w:gridCol w:w="5940"/>
        <w:gridCol w:w="1701"/>
        <w:gridCol w:w="1701"/>
      </w:tblGrid>
      <w:tr w:rsidR="00D322FB" w:rsidRPr="00727376" w:rsidTr="00AA5B89">
        <w:tc>
          <w:tcPr>
            <w:tcW w:w="5940" w:type="dxa"/>
            <w:tcBorders>
              <w:top w:val="single" w:sz="4" w:space="0" w:color="auto"/>
              <w:bottom w:val="single" w:sz="4" w:space="0" w:color="auto"/>
            </w:tcBorders>
          </w:tcPr>
          <w:p w:rsidR="00D322FB" w:rsidRPr="00441323" w:rsidRDefault="00D322FB" w:rsidP="00BE1B0F">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D322FB" w:rsidRPr="00441323" w:rsidRDefault="00D322FB" w:rsidP="00BE1B0F">
            <w:pPr>
              <w:autoSpaceDE w:val="0"/>
              <w:autoSpaceDN w:val="0"/>
              <w:adjustRightInd w:val="0"/>
              <w:jc w:val="right"/>
              <w:rPr>
                <w:rFonts w:ascii="Arial" w:hAnsi="Arial" w:cs="Arial"/>
                <w:b/>
                <w:lang w:val="tr-TR"/>
              </w:rPr>
            </w:pPr>
            <w:r w:rsidRPr="00441323">
              <w:rPr>
                <w:rFonts w:ascii="Arial" w:hAnsi="Arial" w:cs="Arial"/>
                <w:b/>
                <w:lang w:val="tr-TR"/>
              </w:rPr>
              <w:t xml:space="preserve">31 </w:t>
            </w:r>
            <w:r>
              <w:rPr>
                <w:rFonts w:ascii="Arial" w:hAnsi="Arial" w:cs="Arial"/>
                <w:b/>
                <w:lang w:val="tr-TR"/>
              </w:rPr>
              <w:t>Mart 2015</w:t>
            </w:r>
          </w:p>
        </w:tc>
        <w:tc>
          <w:tcPr>
            <w:tcW w:w="1701" w:type="dxa"/>
            <w:tcBorders>
              <w:top w:val="single" w:sz="4" w:space="0" w:color="auto"/>
              <w:bottom w:val="single" w:sz="4" w:space="0" w:color="auto"/>
            </w:tcBorders>
            <w:vAlign w:val="bottom"/>
          </w:tcPr>
          <w:p w:rsidR="00D322FB" w:rsidRPr="00AA5B89" w:rsidRDefault="00D322FB" w:rsidP="00DE18BD">
            <w:pPr>
              <w:autoSpaceDE w:val="0"/>
              <w:autoSpaceDN w:val="0"/>
              <w:adjustRightInd w:val="0"/>
              <w:jc w:val="right"/>
              <w:rPr>
                <w:rFonts w:ascii="Arial" w:hAnsi="Arial" w:cs="Arial"/>
                <w:lang w:val="tr-TR"/>
              </w:rPr>
            </w:pPr>
            <w:r w:rsidRPr="00AA5B89">
              <w:rPr>
                <w:rFonts w:ascii="Arial" w:hAnsi="Arial" w:cs="Arial"/>
                <w:lang w:val="tr-TR"/>
              </w:rPr>
              <w:t>31 Aralık 2014</w:t>
            </w:r>
          </w:p>
        </w:tc>
      </w:tr>
      <w:tr w:rsidR="00D322FB" w:rsidRPr="00727376" w:rsidTr="00AA5B89">
        <w:tc>
          <w:tcPr>
            <w:tcW w:w="5940" w:type="dxa"/>
            <w:tcBorders>
              <w:top w:val="single" w:sz="4" w:space="0" w:color="auto"/>
            </w:tcBorders>
          </w:tcPr>
          <w:p w:rsidR="00D322FB" w:rsidRPr="00441323" w:rsidRDefault="00D322FB" w:rsidP="00BE1B0F">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D322FB" w:rsidRPr="00441323" w:rsidRDefault="00D322FB" w:rsidP="00BE1B0F">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D322FB" w:rsidRPr="00AA5B89" w:rsidRDefault="00D322FB" w:rsidP="00DE18BD">
            <w:pPr>
              <w:autoSpaceDE w:val="0"/>
              <w:autoSpaceDN w:val="0"/>
              <w:adjustRightInd w:val="0"/>
              <w:jc w:val="right"/>
              <w:rPr>
                <w:rFonts w:ascii="Arial" w:hAnsi="Arial" w:cs="Arial"/>
                <w:lang w:val="tr-TR"/>
              </w:rPr>
            </w:pPr>
          </w:p>
        </w:tc>
      </w:tr>
      <w:tr w:rsidR="00D322FB" w:rsidRPr="00727376" w:rsidTr="00AA5B89">
        <w:tc>
          <w:tcPr>
            <w:tcW w:w="5940" w:type="dxa"/>
          </w:tcPr>
          <w:p w:rsidR="00D322FB" w:rsidRPr="00441323" w:rsidRDefault="00D322FB" w:rsidP="00BE1B0F">
            <w:pPr>
              <w:autoSpaceDE w:val="0"/>
              <w:autoSpaceDN w:val="0"/>
              <w:adjustRightInd w:val="0"/>
              <w:ind w:left="-108"/>
              <w:jc w:val="both"/>
              <w:rPr>
                <w:rFonts w:ascii="Arial" w:hAnsi="Arial" w:cs="Arial"/>
                <w:lang w:val="tr-TR"/>
              </w:rPr>
            </w:pPr>
            <w:r w:rsidRPr="00441323">
              <w:rPr>
                <w:rFonts w:ascii="Arial" w:hAnsi="Arial" w:cs="Arial"/>
                <w:lang w:val="tr-TR"/>
              </w:rPr>
              <w:t>Ödenecek vergi ve fonlar</w:t>
            </w:r>
          </w:p>
        </w:tc>
        <w:tc>
          <w:tcPr>
            <w:tcW w:w="1701" w:type="dxa"/>
            <w:vAlign w:val="bottom"/>
          </w:tcPr>
          <w:p w:rsidR="00D322FB" w:rsidRPr="00441323" w:rsidRDefault="00D322FB" w:rsidP="00CB395F">
            <w:pPr>
              <w:jc w:val="right"/>
              <w:rPr>
                <w:rFonts w:ascii="Arial" w:hAnsi="Arial" w:cs="Arial"/>
                <w:b/>
                <w:bCs/>
                <w:color w:val="000000"/>
              </w:rPr>
            </w:pPr>
            <w:r w:rsidRPr="00441323">
              <w:rPr>
                <w:rFonts w:ascii="Arial" w:hAnsi="Arial" w:cs="Arial"/>
                <w:b/>
                <w:bCs/>
                <w:color w:val="000000"/>
              </w:rPr>
              <w:t xml:space="preserve">              </w:t>
            </w:r>
            <w:r w:rsidR="00CB395F">
              <w:rPr>
                <w:rFonts w:ascii="Arial" w:hAnsi="Arial" w:cs="Arial"/>
                <w:b/>
                <w:bCs/>
                <w:color w:val="000000"/>
              </w:rPr>
              <w:t>52.562</w:t>
            </w:r>
            <w:r w:rsidRPr="00441323">
              <w:rPr>
                <w:rFonts w:ascii="Arial" w:hAnsi="Arial" w:cs="Arial"/>
                <w:b/>
                <w:bCs/>
                <w:color w:val="000000"/>
              </w:rPr>
              <w:t xml:space="preserve"> </w:t>
            </w:r>
          </w:p>
        </w:tc>
        <w:tc>
          <w:tcPr>
            <w:tcW w:w="1701"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48.706 </w:t>
            </w:r>
          </w:p>
        </w:tc>
      </w:tr>
      <w:tr w:rsidR="00D322FB" w:rsidRPr="00727376" w:rsidTr="00AA5B89">
        <w:tc>
          <w:tcPr>
            <w:tcW w:w="5940" w:type="dxa"/>
          </w:tcPr>
          <w:p w:rsidR="00D322FB" w:rsidRPr="00441323" w:rsidRDefault="00D322FB" w:rsidP="00BE1B0F">
            <w:pPr>
              <w:autoSpaceDE w:val="0"/>
              <w:autoSpaceDN w:val="0"/>
              <w:adjustRightInd w:val="0"/>
              <w:ind w:left="-108"/>
              <w:jc w:val="both"/>
              <w:rPr>
                <w:rFonts w:ascii="Arial" w:hAnsi="Arial" w:cs="Arial"/>
                <w:lang w:val="tr-TR"/>
              </w:rPr>
            </w:pPr>
            <w:r w:rsidRPr="00441323">
              <w:rPr>
                <w:rFonts w:ascii="Arial" w:hAnsi="Arial" w:cs="Arial"/>
                <w:lang w:val="tr-TR"/>
              </w:rPr>
              <w:t>Ödenecek sosyal güvenlik kesintileri</w:t>
            </w:r>
          </w:p>
        </w:tc>
        <w:tc>
          <w:tcPr>
            <w:tcW w:w="1701" w:type="dxa"/>
            <w:vAlign w:val="bottom"/>
          </w:tcPr>
          <w:p w:rsidR="00D322FB" w:rsidRPr="00441323" w:rsidRDefault="00D322FB" w:rsidP="00CB395F">
            <w:pPr>
              <w:jc w:val="right"/>
              <w:rPr>
                <w:rFonts w:ascii="Arial" w:hAnsi="Arial" w:cs="Arial"/>
                <w:b/>
                <w:bCs/>
                <w:color w:val="000000"/>
              </w:rPr>
            </w:pPr>
            <w:r w:rsidRPr="00441323">
              <w:rPr>
                <w:rFonts w:ascii="Arial" w:hAnsi="Arial" w:cs="Arial"/>
                <w:b/>
                <w:bCs/>
                <w:color w:val="000000"/>
              </w:rPr>
              <w:t xml:space="preserve">              27.</w:t>
            </w:r>
            <w:r w:rsidR="00CB395F">
              <w:rPr>
                <w:rFonts w:ascii="Arial" w:hAnsi="Arial" w:cs="Arial"/>
                <w:b/>
                <w:bCs/>
                <w:color w:val="000000"/>
              </w:rPr>
              <w:t>328</w:t>
            </w:r>
            <w:r w:rsidRPr="00441323">
              <w:rPr>
                <w:rFonts w:ascii="Arial" w:hAnsi="Arial" w:cs="Arial"/>
                <w:b/>
                <w:bCs/>
                <w:color w:val="000000"/>
              </w:rPr>
              <w:t xml:space="preserve"> </w:t>
            </w:r>
          </w:p>
        </w:tc>
        <w:tc>
          <w:tcPr>
            <w:tcW w:w="1701"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27.380 </w:t>
            </w:r>
          </w:p>
        </w:tc>
      </w:tr>
      <w:tr w:rsidR="00D322FB" w:rsidRPr="00727376" w:rsidTr="00AA5B89">
        <w:tc>
          <w:tcPr>
            <w:tcW w:w="5940" w:type="dxa"/>
            <w:tcBorders>
              <w:bottom w:val="single" w:sz="4" w:space="0" w:color="auto"/>
            </w:tcBorders>
          </w:tcPr>
          <w:p w:rsidR="00D322FB" w:rsidRPr="00441323" w:rsidRDefault="00D322FB" w:rsidP="00BE1B0F">
            <w:pPr>
              <w:autoSpaceDE w:val="0"/>
              <w:autoSpaceDN w:val="0"/>
              <w:adjustRightInd w:val="0"/>
              <w:ind w:left="-108"/>
              <w:jc w:val="both"/>
              <w:rPr>
                <w:rFonts w:ascii="Arial" w:hAnsi="Arial" w:cs="Arial"/>
                <w:lang w:val="tr-TR"/>
              </w:rPr>
            </w:pPr>
          </w:p>
        </w:tc>
        <w:tc>
          <w:tcPr>
            <w:tcW w:w="1701" w:type="dxa"/>
            <w:tcBorders>
              <w:bottom w:val="single" w:sz="4" w:space="0" w:color="auto"/>
            </w:tcBorders>
            <w:vAlign w:val="bottom"/>
          </w:tcPr>
          <w:p w:rsidR="00D322FB" w:rsidRPr="00441323" w:rsidRDefault="00D322FB" w:rsidP="00441323">
            <w:pPr>
              <w:jc w:val="right"/>
              <w:rPr>
                <w:rFonts w:ascii="Arial" w:hAnsi="Arial" w:cs="Arial"/>
                <w:b/>
                <w:bCs/>
                <w:color w:val="000000"/>
              </w:rPr>
            </w:pPr>
            <w:r w:rsidRPr="00441323">
              <w:rPr>
                <w:rFonts w:ascii="Arial" w:hAnsi="Arial" w:cs="Arial"/>
                <w:b/>
                <w:bCs/>
                <w:color w:val="000000"/>
              </w:rPr>
              <w:t> </w:t>
            </w:r>
          </w:p>
        </w:tc>
        <w:tc>
          <w:tcPr>
            <w:tcW w:w="1701" w:type="dxa"/>
            <w:tcBorders>
              <w:bottom w:val="sing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w:t>
            </w:r>
          </w:p>
        </w:tc>
      </w:tr>
      <w:tr w:rsidR="00D322FB" w:rsidRPr="00727376" w:rsidTr="00AA5B89">
        <w:tc>
          <w:tcPr>
            <w:tcW w:w="5940" w:type="dxa"/>
            <w:tcBorders>
              <w:top w:val="single" w:sz="4" w:space="0" w:color="auto"/>
              <w:bottom w:val="double" w:sz="4" w:space="0" w:color="auto"/>
            </w:tcBorders>
          </w:tcPr>
          <w:p w:rsidR="00D322FB" w:rsidRPr="00441323" w:rsidRDefault="00D322FB" w:rsidP="00BE1B0F">
            <w:pPr>
              <w:autoSpaceDE w:val="0"/>
              <w:autoSpaceDN w:val="0"/>
              <w:adjustRightInd w:val="0"/>
              <w:ind w:left="-108"/>
              <w:jc w:val="both"/>
              <w:rPr>
                <w:rFonts w:ascii="Arial" w:hAnsi="Arial" w:cs="Arial"/>
                <w:lang w:val="tr-TR"/>
              </w:rPr>
            </w:pPr>
            <w:r w:rsidRPr="00441323">
              <w:rPr>
                <w:rFonts w:ascii="Arial" w:hAnsi="Arial" w:cs="Arial"/>
                <w:b/>
                <w:lang w:val="tr-TR"/>
              </w:rPr>
              <w:t>Toplam</w:t>
            </w:r>
          </w:p>
        </w:tc>
        <w:tc>
          <w:tcPr>
            <w:tcW w:w="1701" w:type="dxa"/>
            <w:tcBorders>
              <w:top w:val="single" w:sz="4" w:space="0" w:color="auto"/>
              <w:bottom w:val="double" w:sz="4" w:space="0" w:color="auto"/>
            </w:tcBorders>
            <w:vAlign w:val="bottom"/>
          </w:tcPr>
          <w:p w:rsidR="00D322FB" w:rsidRPr="00441323" w:rsidRDefault="00D322FB" w:rsidP="00CB395F">
            <w:pPr>
              <w:jc w:val="right"/>
              <w:rPr>
                <w:rFonts w:ascii="Arial" w:hAnsi="Arial" w:cs="Arial"/>
                <w:b/>
                <w:bCs/>
                <w:color w:val="000000"/>
              </w:rPr>
            </w:pPr>
            <w:r w:rsidRPr="00441323">
              <w:rPr>
                <w:rFonts w:ascii="Arial" w:hAnsi="Arial" w:cs="Arial"/>
                <w:b/>
                <w:bCs/>
                <w:color w:val="000000"/>
              </w:rPr>
              <w:t xml:space="preserve">              7</w:t>
            </w:r>
            <w:r w:rsidR="00CB395F">
              <w:rPr>
                <w:rFonts w:ascii="Arial" w:hAnsi="Arial" w:cs="Arial"/>
                <w:b/>
                <w:bCs/>
                <w:color w:val="000000"/>
              </w:rPr>
              <w:t>9</w:t>
            </w:r>
            <w:r w:rsidRPr="00441323">
              <w:rPr>
                <w:rFonts w:ascii="Arial" w:hAnsi="Arial" w:cs="Arial"/>
                <w:b/>
                <w:bCs/>
                <w:color w:val="000000"/>
              </w:rPr>
              <w:t>.</w:t>
            </w:r>
            <w:r w:rsidR="00CB395F">
              <w:rPr>
                <w:rFonts w:ascii="Arial" w:hAnsi="Arial" w:cs="Arial"/>
                <w:b/>
                <w:bCs/>
                <w:color w:val="000000"/>
              </w:rPr>
              <w:t>890</w:t>
            </w:r>
            <w:r w:rsidRPr="00441323">
              <w:rPr>
                <w:rFonts w:ascii="Arial" w:hAnsi="Arial" w:cs="Arial"/>
                <w:b/>
                <w:bCs/>
                <w:color w:val="000000"/>
              </w:rPr>
              <w:t xml:space="preserve"> </w:t>
            </w:r>
          </w:p>
        </w:tc>
        <w:tc>
          <w:tcPr>
            <w:tcW w:w="1701" w:type="dxa"/>
            <w:tcBorders>
              <w:top w:val="single" w:sz="4" w:space="0" w:color="auto"/>
              <w:bottom w:val="doub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xml:space="preserve">              76.086 </w:t>
            </w:r>
          </w:p>
        </w:tc>
      </w:tr>
    </w:tbl>
    <w:p w:rsidR="00D322FB" w:rsidRDefault="00D322FB" w:rsidP="00BE73E1">
      <w:pPr>
        <w:rPr>
          <w:rFonts w:ascii="Arial" w:hAnsi="Arial" w:cs="Arial"/>
          <w:lang w:val="tr-TR"/>
        </w:rPr>
      </w:pP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t>13.</w:t>
      </w:r>
      <w:r w:rsidRPr="00284495">
        <w:rPr>
          <w:rFonts w:ascii="Arial" w:hAnsi="Arial" w:cs="Arial"/>
          <w:color w:val="auto"/>
          <w:sz w:val="20"/>
          <w:lang w:val="tr-TR"/>
        </w:rPr>
        <w:tab/>
        <w:t>Uzun vadeli karşılıklar</w:t>
      </w:r>
    </w:p>
    <w:p w:rsidR="00D322FB" w:rsidRDefault="00D322FB" w:rsidP="00AE0484">
      <w:pPr>
        <w:ind w:left="567" w:hanging="567"/>
        <w:rPr>
          <w:rFonts w:ascii="Arial" w:hAnsi="Arial" w:cs="Arial"/>
          <w:b/>
          <w:highlight w:val="yellow"/>
          <w:lang w:val="tr-TR"/>
        </w:rPr>
      </w:pPr>
    </w:p>
    <w:p w:rsidR="00D322FB" w:rsidRPr="00E94A9E" w:rsidRDefault="00D322FB" w:rsidP="00E45708">
      <w:pPr>
        <w:autoSpaceDE w:val="0"/>
        <w:autoSpaceDN w:val="0"/>
        <w:adjustRightInd w:val="0"/>
        <w:spacing w:line="230" w:lineRule="auto"/>
        <w:rPr>
          <w:rFonts w:ascii="Arial" w:hAnsi="Arial" w:cs="Arial"/>
          <w:lang w:val="tr-TR"/>
        </w:rPr>
      </w:pPr>
      <w:r w:rsidRPr="00E94A9E">
        <w:rPr>
          <w:rFonts w:ascii="Arial" w:hAnsi="Arial" w:cs="Arial"/>
          <w:lang w:val="tr-TR"/>
        </w:rPr>
        <w:t>Çalışanlara sağlanan faydalara ilişkin uzun vadeli karşılıklar, kullanılmamış izin karşılığından ve kıdem tazminatı karşılığından oluşmakta olup kullanılmamış izin karşılığı raporlama yapılan yılın sonundan itibaren 1 yıldan uzun süre içinde kullanılacağı tahmin edilen tutarlardır.</w:t>
      </w:r>
    </w:p>
    <w:p w:rsidR="00D322FB" w:rsidRPr="00727376" w:rsidRDefault="00D322FB" w:rsidP="00AE0484">
      <w:pPr>
        <w:ind w:left="567" w:hanging="567"/>
        <w:rPr>
          <w:rFonts w:ascii="Arial" w:hAnsi="Arial" w:cs="Arial"/>
          <w:b/>
          <w:highlight w:val="yellow"/>
          <w:lang w:val="tr-TR"/>
        </w:rPr>
      </w:pPr>
    </w:p>
    <w:tbl>
      <w:tblPr>
        <w:tblW w:w="9342" w:type="dxa"/>
        <w:tblInd w:w="108" w:type="dxa"/>
        <w:tblLayout w:type="fixed"/>
        <w:tblLook w:val="01E0" w:firstRow="1" w:lastRow="1" w:firstColumn="1" w:lastColumn="1" w:noHBand="0" w:noVBand="0"/>
      </w:tblPr>
      <w:tblGrid>
        <w:gridCol w:w="5940"/>
        <w:gridCol w:w="1701"/>
        <w:gridCol w:w="1701"/>
      </w:tblGrid>
      <w:tr w:rsidR="00D322FB" w:rsidRPr="00727376" w:rsidTr="00AA5B89">
        <w:tc>
          <w:tcPr>
            <w:tcW w:w="5940" w:type="dxa"/>
            <w:tcBorders>
              <w:top w:val="single" w:sz="4" w:space="0" w:color="auto"/>
              <w:bottom w:val="single" w:sz="4" w:space="0" w:color="auto"/>
            </w:tcBorders>
          </w:tcPr>
          <w:p w:rsidR="00D322FB" w:rsidRPr="005B7493" w:rsidRDefault="00D322FB" w:rsidP="009F4D08">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D322FB" w:rsidRPr="00656745" w:rsidRDefault="00D322FB" w:rsidP="001A0C62">
            <w:pPr>
              <w:autoSpaceDE w:val="0"/>
              <w:autoSpaceDN w:val="0"/>
              <w:adjustRightInd w:val="0"/>
              <w:jc w:val="right"/>
              <w:rPr>
                <w:rFonts w:ascii="Arial" w:hAnsi="Arial" w:cs="Arial"/>
                <w:b/>
                <w:lang w:val="tr-TR"/>
              </w:rPr>
            </w:pPr>
            <w:r w:rsidRPr="00656745">
              <w:rPr>
                <w:rFonts w:ascii="Arial" w:hAnsi="Arial" w:cs="Arial"/>
                <w:b/>
                <w:lang w:val="tr-TR"/>
              </w:rPr>
              <w:t xml:space="preserve">31 </w:t>
            </w:r>
            <w:r>
              <w:rPr>
                <w:rFonts w:ascii="Arial" w:hAnsi="Arial" w:cs="Arial"/>
                <w:b/>
                <w:lang w:val="tr-TR"/>
              </w:rPr>
              <w:t>Mart 2015</w:t>
            </w:r>
          </w:p>
        </w:tc>
        <w:tc>
          <w:tcPr>
            <w:tcW w:w="1701" w:type="dxa"/>
            <w:tcBorders>
              <w:top w:val="single" w:sz="4" w:space="0" w:color="auto"/>
              <w:bottom w:val="single" w:sz="4" w:space="0" w:color="auto"/>
            </w:tcBorders>
            <w:vAlign w:val="bottom"/>
          </w:tcPr>
          <w:p w:rsidR="00D322FB" w:rsidRPr="00AA5B89" w:rsidRDefault="00D322FB" w:rsidP="00DE18BD">
            <w:pPr>
              <w:autoSpaceDE w:val="0"/>
              <w:autoSpaceDN w:val="0"/>
              <w:adjustRightInd w:val="0"/>
              <w:jc w:val="right"/>
              <w:rPr>
                <w:rFonts w:ascii="Arial" w:hAnsi="Arial" w:cs="Arial"/>
                <w:lang w:val="tr-TR"/>
              </w:rPr>
            </w:pPr>
            <w:r w:rsidRPr="00AA5B89">
              <w:rPr>
                <w:rFonts w:ascii="Arial" w:hAnsi="Arial" w:cs="Arial"/>
                <w:lang w:val="tr-TR"/>
              </w:rPr>
              <w:t>31 Aralık 2014</w:t>
            </w:r>
          </w:p>
        </w:tc>
      </w:tr>
      <w:tr w:rsidR="00D322FB" w:rsidRPr="00727376" w:rsidTr="00AA5B89">
        <w:tc>
          <w:tcPr>
            <w:tcW w:w="5940" w:type="dxa"/>
            <w:tcBorders>
              <w:top w:val="single" w:sz="4" w:space="0" w:color="auto"/>
            </w:tcBorders>
          </w:tcPr>
          <w:p w:rsidR="00D322FB" w:rsidRPr="005B7493" w:rsidRDefault="00D322FB" w:rsidP="00237DCB">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D322FB" w:rsidRPr="00656745" w:rsidRDefault="00D322FB" w:rsidP="001A0C62">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D322FB" w:rsidRPr="00AA5B89" w:rsidRDefault="00D322FB" w:rsidP="00DE18BD">
            <w:pPr>
              <w:autoSpaceDE w:val="0"/>
              <w:autoSpaceDN w:val="0"/>
              <w:adjustRightInd w:val="0"/>
              <w:jc w:val="right"/>
              <w:rPr>
                <w:rFonts w:ascii="Arial" w:hAnsi="Arial" w:cs="Arial"/>
                <w:lang w:val="tr-TR"/>
              </w:rPr>
            </w:pPr>
          </w:p>
        </w:tc>
      </w:tr>
      <w:tr w:rsidR="00D322FB" w:rsidRPr="00727376" w:rsidTr="00AA5B89">
        <w:tc>
          <w:tcPr>
            <w:tcW w:w="5940" w:type="dxa"/>
          </w:tcPr>
          <w:p w:rsidR="00D322FB" w:rsidRPr="005B7493" w:rsidRDefault="00D322FB" w:rsidP="00237DCB">
            <w:pPr>
              <w:autoSpaceDE w:val="0"/>
              <w:autoSpaceDN w:val="0"/>
              <w:adjustRightInd w:val="0"/>
              <w:ind w:left="-108"/>
              <w:jc w:val="both"/>
              <w:rPr>
                <w:rFonts w:ascii="Arial" w:hAnsi="Arial" w:cs="Arial"/>
                <w:lang w:val="tr-TR"/>
              </w:rPr>
            </w:pPr>
            <w:r w:rsidRPr="005B7493">
              <w:rPr>
                <w:rFonts w:ascii="Arial" w:hAnsi="Arial" w:cs="Arial"/>
                <w:lang w:val="tr-TR"/>
              </w:rPr>
              <w:t>Kıdem tazminatı karşılığı</w:t>
            </w:r>
          </w:p>
        </w:tc>
        <w:tc>
          <w:tcPr>
            <w:tcW w:w="1701" w:type="dxa"/>
            <w:vAlign w:val="bottom"/>
          </w:tcPr>
          <w:p w:rsidR="00D322FB" w:rsidRPr="00656745" w:rsidRDefault="00B441DA" w:rsidP="00B441DA">
            <w:pPr>
              <w:jc w:val="right"/>
              <w:rPr>
                <w:rFonts w:ascii="Arial" w:hAnsi="Arial" w:cs="Arial"/>
                <w:b/>
                <w:bCs/>
                <w:color w:val="000000"/>
              </w:rPr>
            </w:pPr>
            <w:r>
              <w:rPr>
                <w:rFonts w:ascii="Arial" w:hAnsi="Arial" w:cs="Arial"/>
                <w:b/>
                <w:bCs/>
                <w:color w:val="000000"/>
              </w:rPr>
              <w:t>141</w:t>
            </w:r>
            <w:r w:rsidR="00D322FB" w:rsidRPr="00656745">
              <w:rPr>
                <w:rFonts w:ascii="Arial" w:hAnsi="Arial" w:cs="Arial"/>
                <w:b/>
                <w:bCs/>
                <w:color w:val="000000"/>
              </w:rPr>
              <w:t>.</w:t>
            </w:r>
            <w:r>
              <w:rPr>
                <w:rFonts w:ascii="Arial" w:hAnsi="Arial" w:cs="Arial"/>
                <w:b/>
                <w:bCs/>
                <w:color w:val="000000"/>
              </w:rPr>
              <w:t>436</w:t>
            </w:r>
          </w:p>
        </w:tc>
        <w:tc>
          <w:tcPr>
            <w:tcW w:w="1701"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130.761</w:t>
            </w:r>
          </w:p>
        </w:tc>
      </w:tr>
      <w:tr w:rsidR="00D322FB" w:rsidRPr="00727376" w:rsidTr="00AA5B89">
        <w:tc>
          <w:tcPr>
            <w:tcW w:w="5940" w:type="dxa"/>
          </w:tcPr>
          <w:p w:rsidR="00D322FB" w:rsidRPr="005B7493" w:rsidRDefault="00D322FB" w:rsidP="00237DCB">
            <w:pPr>
              <w:autoSpaceDE w:val="0"/>
              <w:autoSpaceDN w:val="0"/>
              <w:adjustRightInd w:val="0"/>
              <w:ind w:left="-108"/>
              <w:jc w:val="both"/>
              <w:rPr>
                <w:rFonts w:ascii="Arial" w:hAnsi="Arial" w:cs="Arial"/>
                <w:lang w:val="tr-TR"/>
              </w:rPr>
            </w:pPr>
            <w:r w:rsidRPr="005B7493">
              <w:rPr>
                <w:rFonts w:ascii="Arial" w:hAnsi="Arial" w:cs="Arial"/>
                <w:lang w:val="tr-TR"/>
              </w:rPr>
              <w:t>Kullanılmamış izin karşılığı</w:t>
            </w:r>
          </w:p>
        </w:tc>
        <w:tc>
          <w:tcPr>
            <w:tcW w:w="1701" w:type="dxa"/>
            <w:vAlign w:val="bottom"/>
          </w:tcPr>
          <w:p w:rsidR="00D322FB" w:rsidRPr="00656745" w:rsidRDefault="00D322FB" w:rsidP="00D604E5">
            <w:pPr>
              <w:jc w:val="right"/>
              <w:rPr>
                <w:rFonts w:ascii="Arial" w:hAnsi="Arial" w:cs="Arial"/>
                <w:b/>
                <w:bCs/>
                <w:color w:val="000000"/>
              </w:rPr>
            </w:pPr>
            <w:r w:rsidRPr="00656745">
              <w:rPr>
                <w:rFonts w:ascii="Arial" w:hAnsi="Arial" w:cs="Arial"/>
                <w:b/>
                <w:bCs/>
                <w:color w:val="000000"/>
              </w:rPr>
              <w:t> </w:t>
            </w:r>
            <w:r w:rsidR="00D604E5">
              <w:rPr>
                <w:rFonts w:ascii="Arial" w:hAnsi="Arial" w:cs="Arial"/>
                <w:b/>
                <w:bCs/>
                <w:color w:val="000000"/>
              </w:rPr>
              <w:t>79</w:t>
            </w:r>
            <w:r w:rsidRPr="00656745">
              <w:rPr>
                <w:rFonts w:ascii="Arial" w:hAnsi="Arial" w:cs="Arial"/>
                <w:b/>
                <w:bCs/>
                <w:color w:val="000000"/>
              </w:rPr>
              <w:t>.</w:t>
            </w:r>
            <w:r w:rsidR="00D604E5">
              <w:rPr>
                <w:rFonts w:ascii="Arial" w:hAnsi="Arial" w:cs="Arial"/>
                <w:b/>
                <w:bCs/>
                <w:color w:val="000000"/>
              </w:rPr>
              <w:t>354</w:t>
            </w:r>
          </w:p>
        </w:tc>
        <w:tc>
          <w:tcPr>
            <w:tcW w:w="1701"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 56.688</w:t>
            </w:r>
          </w:p>
        </w:tc>
      </w:tr>
      <w:tr w:rsidR="00D322FB" w:rsidRPr="00727376" w:rsidTr="00AA5B89">
        <w:tc>
          <w:tcPr>
            <w:tcW w:w="5940" w:type="dxa"/>
            <w:tcBorders>
              <w:bottom w:val="single" w:sz="4" w:space="0" w:color="auto"/>
            </w:tcBorders>
          </w:tcPr>
          <w:p w:rsidR="00D322FB" w:rsidRPr="005B7493" w:rsidRDefault="00D322FB" w:rsidP="00237DCB">
            <w:pPr>
              <w:autoSpaceDE w:val="0"/>
              <w:autoSpaceDN w:val="0"/>
              <w:adjustRightInd w:val="0"/>
              <w:ind w:left="-108"/>
              <w:jc w:val="both"/>
              <w:rPr>
                <w:rFonts w:ascii="Arial" w:hAnsi="Arial" w:cs="Arial"/>
                <w:lang w:val="tr-TR"/>
              </w:rPr>
            </w:pPr>
          </w:p>
        </w:tc>
        <w:tc>
          <w:tcPr>
            <w:tcW w:w="1701" w:type="dxa"/>
            <w:tcBorders>
              <w:bottom w:val="single" w:sz="4" w:space="0" w:color="auto"/>
            </w:tcBorders>
            <w:vAlign w:val="bottom"/>
          </w:tcPr>
          <w:p w:rsidR="00D322FB" w:rsidRPr="00656745" w:rsidRDefault="00D322FB" w:rsidP="001A0C62">
            <w:pPr>
              <w:autoSpaceDE w:val="0"/>
              <w:autoSpaceDN w:val="0"/>
              <w:adjustRightInd w:val="0"/>
              <w:jc w:val="right"/>
              <w:rPr>
                <w:rFonts w:ascii="Arial" w:hAnsi="Arial" w:cs="Arial"/>
                <w:b/>
                <w:lang w:val="tr-TR"/>
              </w:rPr>
            </w:pPr>
          </w:p>
        </w:tc>
        <w:tc>
          <w:tcPr>
            <w:tcW w:w="1701" w:type="dxa"/>
            <w:tcBorders>
              <w:bottom w:val="single" w:sz="4" w:space="0" w:color="auto"/>
            </w:tcBorders>
            <w:vAlign w:val="bottom"/>
          </w:tcPr>
          <w:p w:rsidR="00D322FB" w:rsidRPr="00AA5B89" w:rsidRDefault="00D322FB" w:rsidP="00DE18BD">
            <w:pPr>
              <w:autoSpaceDE w:val="0"/>
              <w:autoSpaceDN w:val="0"/>
              <w:adjustRightInd w:val="0"/>
              <w:jc w:val="right"/>
              <w:rPr>
                <w:rFonts w:ascii="Arial" w:hAnsi="Arial" w:cs="Arial"/>
                <w:lang w:val="tr-TR"/>
              </w:rPr>
            </w:pPr>
          </w:p>
        </w:tc>
      </w:tr>
      <w:tr w:rsidR="00D322FB" w:rsidRPr="00727376" w:rsidTr="00AA5B89">
        <w:tc>
          <w:tcPr>
            <w:tcW w:w="5940" w:type="dxa"/>
            <w:tcBorders>
              <w:top w:val="single" w:sz="4" w:space="0" w:color="auto"/>
              <w:bottom w:val="double" w:sz="4" w:space="0" w:color="auto"/>
            </w:tcBorders>
          </w:tcPr>
          <w:p w:rsidR="00D322FB" w:rsidRPr="005B7493" w:rsidRDefault="00D322FB" w:rsidP="00237DCB">
            <w:pPr>
              <w:autoSpaceDE w:val="0"/>
              <w:autoSpaceDN w:val="0"/>
              <w:adjustRightInd w:val="0"/>
              <w:ind w:left="-108"/>
              <w:jc w:val="both"/>
              <w:rPr>
                <w:rFonts w:ascii="Arial" w:hAnsi="Arial" w:cs="Arial"/>
                <w:lang w:val="tr-TR"/>
              </w:rPr>
            </w:pPr>
            <w:r w:rsidRPr="005B7493">
              <w:rPr>
                <w:rFonts w:ascii="Arial" w:hAnsi="Arial" w:cs="Arial"/>
                <w:b/>
                <w:lang w:val="tr-TR"/>
              </w:rPr>
              <w:t>Toplam</w:t>
            </w:r>
          </w:p>
        </w:tc>
        <w:tc>
          <w:tcPr>
            <w:tcW w:w="1701" w:type="dxa"/>
            <w:tcBorders>
              <w:top w:val="single" w:sz="4" w:space="0" w:color="auto"/>
              <w:bottom w:val="double" w:sz="4" w:space="0" w:color="auto"/>
            </w:tcBorders>
            <w:vAlign w:val="bottom"/>
          </w:tcPr>
          <w:p w:rsidR="00D322FB" w:rsidRPr="00656745" w:rsidRDefault="00D604E5" w:rsidP="00D604E5">
            <w:pPr>
              <w:jc w:val="right"/>
              <w:rPr>
                <w:rFonts w:ascii="Arial" w:hAnsi="Arial" w:cs="Arial"/>
                <w:b/>
                <w:bCs/>
                <w:color w:val="000000"/>
              </w:rPr>
            </w:pPr>
            <w:r>
              <w:rPr>
                <w:rFonts w:ascii="Arial" w:hAnsi="Arial" w:cs="Arial"/>
                <w:b/>
                <w:bCs/>
                <w:color w:val="000000"/>
              </w:rPr>
              <w:t>220</w:t>
            </w:r>
            <w:r w:rsidR="00D322FB" w:rsidRPr="00656745">
              <w:rPr>
                <w:rFonts w:ascii="Arial" w:hAnsi="Arial" w:cs="Arial"/>
                <w:b/>
                <w:bCs/>
                <w:color w:val="000000"/>
              </w:rPr>
              <w:t>.</w:t>
            </w:r>
            <w:r>
              <w:rPr>
                <w:rFonts w:ascii="Arial" w:hAnsi="Arial" w:cs="Arial"/>
                <w:b/>
                <w:bCs/>
                <w:color w:val="000000"/>
              </w:rPr>
              <w:t>790</w:t>
            </w:r>
          </w:p>
        </w:tc>
        <w:tc>
          <w:tcPr>
            <w:tcW w:w="1701" w:type="dxa"/>
            <w:tcBorders>
              <w:top w:val="single" w:sz="4" w:space="0" w:color="auto"/>
              <w:bottom w:val="doub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187.449</w:t>
            </w:r>
          </w:p>
        </w:tc>
      </w:tr>
    </w:tbl>
    <w:p w:rsidR="00D322FB" w:rsidRPr="00727376" w:rsidRDefault="00D322FB" w:rsidP="006E13E5">
      <w:pPr>
        <w:rPr>
          <w:rFonts w:ascii="Arial" w:hAnsi="Arial" w:cs="Arial"/>
          <w:b/>
          <w:highlight w:val="yellow"/>
          <w:lang w:val="tr-TR"/>
        </w:rPr>
      </w:pPr>
    </w:p>
    <w:p w:rsidR="00D322FB" w:rsidRPr="001948F9" w:rsidRDefault="00D322FB" w:rsidP="00243287">
      <w:pPr>
        <w:autoSpaceDE w:val="0"/>
        <w:autoSpaceDN w:val="0"/>
        <w:adjustRightInd w:val="0"/>
        <w:spacing w:line="230" w:lineRule="auto"/>
        <w:rPr>
          <w:rFonts w:ascii="Arial" w:hAnsi="Arial" w:cs="Arial"/>
          <w:lang w:val="tr-TR"/>
        </w:rPr>
      </w:pPr>
      <w:r w:rsidRPr="001948F9">
        <w:rPr>
          <w:rFonts w:ascii="Arial" w:hAnsi="Arial" w:cs="Arial"/>
          <w:lang w:val="tr-TR"/>
        </w:rPr>
        <w:t>Yürürlükteki İş Kanunu hükümleri uyarınca, çalışanlardan kıdem tazminatına hak kazanacak şekilde iş sözleşmesi sona erenlere, hak kazandıkları yasal kıdem tazminatlarının ödenmesi yükümlülüğü vardır.</w:t>
      </w:r>
      <w:r>
        <w:rPr>
          <w:rFonts w:ascii="Arial" w:hAnsi="Arial" w:cs="Arial"/>
          <w:lang w:val="tr-TR"/>
        </w:rPr>
        <w:t xml:space="preserve"> </w:t>
      </w:r>
      <w:r w:rsidRPr="001948F9">
        <w:rPr>
          <w:rFonts w:ascii="Arial" w:hAnsi="Arial" w:cs="Arial"/>
          <w:lang w:val="tr-TR"/>
        </w:rPr>
        <w:t>Ayrıca, halen yürürlükte bulunan 506 sayılı Sosyal Sigortalar Kanunu’nun 6 Mart 1981 tarih, 2422 sayılı ve 25 Ağustos 1999 tarih, 4447 sayılı yasalar ile değişik 60’ıncı Maddesi hükmü gereğince kıdem tazminatını alarak işten ayrılma hakkı kazananlara da yasal kıdem tazminatlarını ödeme yükümlülüğü bulunmaktadır. Emeklilik öncesi hizmet şartlarıyla ilgili bazı geçiş karşılıkları, ilgili kanunun 23 Mayıs 2002 tarihinde değiştirilmesi ile Kanun’dan çıkarılmıştır.</w:t>
      </w:r>
    </w:p>
    <w:p w:rsidR="00D322FB" w:rsidRPr="00E95815" w:rsidRDefault="00D322FB" w:rsidP="00232832">
      <w:pPr>
        <w:autoSpaceDE w:val="0"/>
        <w:autoSpaceDN w:val="0"/>
        <w:adjustRightInd w:val="0"/>
        <w:spacing w:line="230" w:lineRule="auto"/>
        <w:rPr>
          <w:rFonts w:ascii="Arial" w:hAnsi="Arial" w:cs="Arial"/>
          <w:highlight w:val="yellow"/>
          <w:lang w:val="tr-TR"/>
        </w:rPr>
      </w:pPr>
    </w:p>
    <w:p w:rsidR="00D322FB" w:rsidRPr="001948F9" w:rsidRDefault="00D322FB" w:rsidP="00232832">
      <w:pPr>
        <w:autoSpaceDE w:val="0"/>
        <w:autoSpaceDN w:val="0"/>
        <w:adjustRightInd w:val="0"/>
        <w:spacing w:line="230" w:lineRule="auto"/>
        <w:rPr>
          <w:rFonts w:ascii="Arial" w:hAnsi="Arial" w:cs="Arial"/>
          <w:lang w:val="tr-TR"/>
        </w:rPr>
      </w:pPr>
      <w:r w:rsidRPr="001948F9">
        <w:rPr>
          <w:rFonts w:ascii="Arial" w:hAnsi="Arial" w:cs="Arial"/>
          <w:lang w:val="tr-TR"/>
        </w:rPr>
        <w:t xml:space="preserve">Ödenecek tazminat, her hizmet yılı için bir aylık maaş tutarı kadardır ve bu miktar, 31 </w:t>
      </w:r>
      <w:r w:rsidR="00E93CB7">
        <w:rPr>
          <w:rFonts w:ascii="Arial" w:hAnsi="Arial" w:cs="Arial"/>
          <w:lang w:val="tr-TR"/>
        </w:rPr>
        <w:t>Mart</w:t>
      </w:r>
      <w:r>
        <w:rPr>
          <w:rFonts w:ascii="Arial" w:hAnsi="Arial" w:cs="Arial"/>
          <w:lang w:val="tr-TR"/>
        </w:rPr>
        <w:t xml:space="preserve"> 201</w:t>
      </w:r>
      <w:r w:rsidR="00E93CB7">
        <w:rPr>
          <w:rFonts w:ascii="Arial" w:hAnsi="Arial" w:cs="Arial"/>
          <w:lang w:val="tr-TR"/>
        </w:rPr>
        <w:t>5</w:t>
      </w:r>
      <w:r>
        <w:rPr>
          <w:rFonts w:ascii="Arial" w:hAnsi="Arial" w:cs="Arial"/>
          <w:lang w:val="tr-TR"/>
        </w:rPr>
        <w:t xml:space="preserve"> itibariyle </w:t>
      </w:r>
      <w:r w:rsidR="00511157" w:rsidRPr="00511157">
        <w:rPr>
          <w:rFonts w:ascii="Arial" w:hAnsi="Arial" w:cs="Arial"/>
          <w:lang w:val="tr-TR"/>
        </w:rPr>
        <w:t>3.541</w:t>
      </w:r>
      <w:r w:rsidRPr="000C360F">
        <w:rPr>
          <w:rFonts w:ascii="Arial" w:hAnsi="Arial" w:cs="Arial"/>
          <w:lang w:val="tr-TR"/>
        </w:rPr>
        <w:t xml:space="preserve"> </w:t>
      </w:r>
      <w:r w:rsidRPr="001948F9">
        <w:rPr>
          <w:rFonts w:ascii="Arial" w:hAnsi="Arial" w:cs="Arial"/>
          <w:lang w:val="tr-TR"/>
        </w:rPr>
        <w:t>TL (31 Aralık 201</w:t>
      </w:r>
      <w:r w:rsidR="00E93CB7">
        <w:rPr>
          <w:rFonts w:ascii="Arial" w:hAnsi="Arial" w:cs="Arial"/>
          <w:lang w:val="tr-TR"/>
        </w:rPr>
        <w:t>4</w:t>
      </w:r>
      <w:r w:rsidRPr="001948F9">
        <w:rPr>
          <w:rFonts w:ascii="Arial" w:hAnsi="Arial" w:cs="Arial"/>
          <w:lang w:val="tr-TR"/>
        </w:rPr>
        <w:t>: 3.</w:t>
      </w:r>
      <w:r w:rsidR="00E93CB7">
        <w:rPr>
          <w:rFonts w:ascii="Arial" w:hAnsi="Arial" w:cs="Arial"/>
          <w:lang w:val="tr-TR"/>
        </w:rPr>
        <w:t>438</w:t>
      </w:r>
      <w:r w:rsidRPr="001948F9">
        <w:rPr>
          <w:rFonts w:ascii="Arial" w:hAnsi="Arial" w:cs="Arial"/>
          <w:lang w:val="tr-TR"/>
        </w:rPr>
        <w:t xml:space="preserve"> TL) ile sınırlandırılmıştır.</w:t>
      </w:r>
    </w:p>
    <w:p w:rsidR="00D322FB" w:rsidRPr="001948F9" w:rsidRDefault="00D322FB" w:rsidP="00232832">
      <w:pPr>
        <w:spacing w:line="230" w:lineRule="auto"/>
        <w:ind w:right="-1"/>
        <w:rPr>
          <w:rFonts w:ascii="Arial" w:hAnsi="Arial" w:cs="Arial"/>
          <w:lang w:val="tr-TR"/>
        </w:rPr>
      </w:pPr>
    </w:p>
    <w:p w:rsidR="00D322FB" w:rsidRPr="00842630" w:rsidRDefault="00D322FB" w:rsidP="00232832">
      <w:pPr>
        <w:spacing w:line="230" w:lineRule="auto"/>
        <w:ind w:right="-1"/>
        <w:rPr>
          <w:rFonts w:ascii="Arial" w:hAnsi="Arial" w:cs="Arial"/>
          <w:lang w:val="tr-TR"/>
        </w:rPr>
      </w:pPr>
      <w:r w:rsidRPr="00842630">
        <w:rPr>
          <w:rFonts w:ascii="Arial" w:hAnsi="Arial" w:cs="Arial"/>
          <w:lang w:val="tr-TR"/>
        </w:rPr>
        <w:t>Kıdem tazminatı karşılığı herhangi bir fonlamaya tabi değildir ve herhangi bir fonlama şartı bulunmamaktadır.</w:t>
      </w:r>
    </w:p>
    <w:p w:rsidR="00D322FB" w:rsidRPr="00842630" w:rsidRDefault="00D322FB" w:rsidP="00232832">
      <w:pPr>
        <w:spacing w:line="230" w:lineRule="auto"/>
        <w:ind w:right="-1"/>
        <w:rPr>
          <w:rFonts w:ascii="Arial" w:hAnsi="Arial" w:cs="Arial"/>
          <w:lang w:val="tr-TR"/>
        </w:rPr>
      </w:pPr>
    </w:p>
    <w:p w:rsidR="00D322FB" w:rsidRPr="00842630" w:rsidRDefault="00D322FB" w:rsidP="00232832">
      <w:pPr>
        <w:spacing w:line="230" w:lineRule="auto"/>
        <w:ind w:right="-1"/>
        <w:rPr>
          <w:rFonts w:ascii="Arial" w:hAnsi="Arial" w:cs="Arial"/>
          <w:lang w:val="tr-TR"/>
        </w:rPr>
      </w:pPr>
      <w:r w:rsidRPr="00842630">
        <w:rPr>
          <w:rFonts w:ascii="Arial" w:hAnsi="Arial" w:cs="Arial"/>
          <w:lang w:val="tr-TR"/>
        </w:rPr>
        <w:t>Söz konusu karşılık, Şirket’in çalışanlarının emekli olmasından doğan gelecekteki olası yükümlülüğün bugünkü değerinin tahmini ile hesaplanır.</w:t>
      </w:r>
    </w:p>
    <w:p w:rsidR="00D322FB" w:rsidRPr="001948F9" w:rsidRDefault="00D322FB" w:rsidP="00232832">
      <w:pPr>
        <w:spacing w:line="230" w:lineRule="auto"/>
        <w:ind w:right="-1"/>
        <w:rPr>
          <w:rFonts w:ascii="Arial" w:hAnsi="Arial" w:cs="Arial"/>
          <w:lang w:val="tr-TR"/>
        </w:rPr>
      </w:pPr>
    </w:p>
    <w:p w:rsidR="00D322FB" w:rsidRDefault="00D322FB" w:rsidP="00232832">
      <w:pPr>
        <w:spacing w:line="230" w:lineRule="auto"/>
        <w:ind w:right="-1"/>
        <w:rPr>
          <w:rFonts w:ascii="Arial" w:hAnsi="Arial" w:cs="Arial"/>
          <w:lang w:val="tr-TR"/>
        </w:rPr>
      </w:pPr>
      <w:r w:rsidRPr="001948F9">
        <w:rPr>
          <w:rFonts w:ascii="Arial" w:hAnsi="Arial" w:cs="Arial"/>
          <w:lang w:val="tr-TR"/>
        </w:rPr>
        <w:t>Tebliğ, Şirket’in kıdem tazminatı karşılığını tahmin etmek için aktüer değerleme yöntemlerinin geliştirilmesini öngörmektedir. Buna göre toplam yükümlülüğün hesaplanmasında aşağıda yer alan aktüer öngörüler kullanılmıştır:</w:t>
      </w:r>
    </w:p>
    <w:p w:rsidR="00D322FB" w:rsidRPr="001948F9" w:rsidRDefault="00D322FB" w:rsidP="00232832">
      <w:pPr>
        <w:spacing w:line="230" w:lineRule="auto"/>
        <w:ind w:right="-1"/>
        <w:rPr>
          <w:rFonts w:ascii="Arial" w:hAnsi="Arial" w:cs="Arial"/>
          <w:lang w:val="tr-TR"/>
        </w:rPr>
      </w:pPr>
    </w:p>
    <w:tbl>
      <w:tblPr>
        <w:tblW w:w="9360" w:type="dxa"/>
        <w:tblInd w:w="108" w:type="dxa"/>
        <w:tblLook w:val="00A0" w:firstRow="1" w:lastRow="0" w:firstColumn="1" w:lastColumn="0" w:noHBand="0" w:noVBand="0"/>
      </w:tblPr>
      <w:tblGrid>
        <w:gridCol w:w="5940"/>
        <w:gridCol w:w="1710"/>
        <w:gridCol w:w="1710"/>
      </w:tblGrid>
      <w:tr w:rsidR="00D322FB" w:rsidRPr="00C47775" w:rsidTr="003B5765">
        <w:tc>
          <w:tcPr>
            <w:tcW w:w="5940" w:type="dxa"/>
            <w:tcBorders>
              <w:top w:val="single" w:sz="4" w:space="0" w:color="auto"/>
              <w:bottom w:val="single" w:sz="4" w:space="0" w:color="auto"/>
            </w:tcBorders>
          </w:tcPr>
          <w:p w:rsidR="00D322FB" w:rsidRPr="00842630" w:rsidRDefault="00D322FB" w:rsidP="001A0C62">
            <w:pPr>
              <w:widowControl w:val="0"/>
              <w:spacing w:line="230" w:lineRule="auto"/>
              <w:ind w:left="-108"/>
              <w:jc w:val="both"/>
              <w:rPr>
                <w:rFonts w:ascii="Arial" w:hAnsi="Arial" w:cs="Arial"/>
                <w:b/>
                <w:lang w:val="tr-TR"/>
              </w:rPr>
            </w:pPr>
          </w:p>
        </w:tc>
        <w:tc>
          <w:tcPr>
            <w:tcW w:w="1710" w:type="dxa"/>
            <w:tcBorders>
              <w:top w:val="single" w:sz="4" w:space="0" w:color="auto"/>
              <w:bottom w:val="single" w:sz="4" w:space="0" w:color="auto"/>
            </w:tcBorders>
          </w:tcPr>
          <w:p w:rsidR="00D322FB" w:rsidRPr="00C47775" w:rsidRDefault="00D322FB" w:rsidP="001A0C62">
            <w:pPr>
              <w:widowControl w:val="0"/>
              <w:spacing w:line="230" w:lineRule="auto"/>
              <w:jc w:val="right"/>
              <w:rPr>
                <w:rFonts w:ascii="Arial" w:hAnsi="Arial" w:cs="Arial"/>
                <w:b/>
              </w:rPr>
            </w:pPr>
            <w:r w:rsidRPr="00C47775">
              <w:rPr>
                <w:rFonts w:ascii="Arial" w:hAnsi="Arial" w:cs="Arial"/>
                <w:b/>
              </w:rPr>
              <w:t xml:space="preserve">31 </w:t>
            </w:r>
            <w:r>
              <w:rPr>
                <w:rFonts w:ascii="Arial" w:hAnsi="Arial" w:cs="Arial"/>
                <w:b/>
              </w:rPr>
              <w:t>Mart 2015</w:t>
            </w:r>
          </w:p>
        </w:tc>
        <w:tc>
          <w:tcPr>
            <w:tcW w:w="1710" w:type="dxa"/>
            <w:tcBorders>
              <w:top w:val="single" w:sz="4" w:space="0" w:color="auto"/>
              <w:bottom w:val="single" w:sz="4" w:space="0" w:color="auto"/>
            </w:tcBorders>
          </w:tcPr>
          <w:p w:rsidR="00D322FB" w:rsidRPr="00C47775" w:rsidRDefault="00D322FB" w:rsidP="001A0C62">
            <w:pPr>
              <w:widowControl w:val="0"/>
              <w:spacing w:line="230" w:lineRule="auto"/>
              <w:jc w:val="right"/>
              <w:rPr>
                <w:rFonts w:ascii="Arial" w:hAnsi="Arial" w:cs="Arial"/>
              </w:rPr>
            </w:pPr>
            <w:r>
              <w:rPr>
                <w:rFonts w:ascii="Arial" w:hAnsi="Arial" w:cs="Arial"/>
              </w:rPr>
              <w:t>31 Aralık 2014</w:t>
            </w:r>
          </w:p>
        </w:tc>
      </w:tr>
      <w:tr w:rsidR="00D322FB" w:rsidRPr="00C47775" w:rsidTr="003B5765">
        <w:tc>
          <w:tcPr>
            <w:tcW w:w="5940" w:type="dxa"/>
            <w:tcBorders>
              <w:top w:val="single" w:sz="4" w:space="0" w:color="auto"/>
            </w:tcBorders>
          </w:tcPr>
          <w:p w:rsidR="00D322FB" w:rsidRPr="00C47775" w:rsidRDefault="00D322FB" w:rsidP="001A0C62">
            <w:pPr>
              <w:widowControl w:val="0"/>
              <w:spacing w:line="230" w:lineRule="auto"/>
              <w:ind w:left="-108"/>
              <w:jc w:val="both"/>
              <w:rPr>
                <w:rFonts w:ascii="Arial" w:hAnsi="Arial" w:cs="Arial"/>
                <w:b/>
              </w:rPr>
            </w:pPr>
          </w:p>
        </w:tc>
        <w:tc>
          <w:tcPr>
            <w:tcW w:w="1710" w:type="dxa"/>
            <w:tcBorders>
              <w:top w:val="single" w:sz="4" w:space="0" w:color="auto"/>
            </w:tcBorders>
          </w:tcPr>
          <w:p w:rsidR="00D322FB" w:rsidRPr="00C47775" w:rsidRDefault="00D322FB" w:rsidP="001A0C62">
            <w:pPr>
              <w:widowControl w:val="0"/>
              <w:spacing w:line="230" w:lineRule="auto"/>
              <w:jc w:val="right"/>
              <w:rPr>
                <w:rFonts w:ascii="Arial" w:hAnsi="Arial" w:cs="Arial"/>
                <w:b/>
              </w:rPr>
            </w:pPr>
          </w:p>
        </w:tc>
        <w:tc>
          <w:tcPr>
            <w:tcW w:w="1710" w:type="dxa"/>
            <w:tcBorders>
              <w:top w:val="single" w:sz="4" w:space="0" w:color="auto"/>
            </w:tcBorders>
          </w:tcPr>
          <w:p w:rsidR="00D322FB" w:rsidRPr="00C47775" w:rsidRDefault="00D322FB" w:rsidP="001A0C62">
            <w:pPr>
              <w:widowControl w:val="0"/>
              <w:spacing w:line="230" w:lineRule="auto"/>
              <w:jc w:val="right"/>
              <w:rPr>
                <w:rFonts w:ascii="Arial" w:hAnsi="Arial" w:cs="Arial"/>
              </w:rPr>
            </w:pPr>
          </w:p>
        </w:tc>
      </w:tr>
      <w:tr w:rsidR="00D322FB" w:rsidRPr="00C47775" w:rsidTr="003B5765">
        <w:tc>
          <w:tcPr>
            <w:tcW w:w="5940" w:type="dxa"/>
          </w:tcPr>
          <w:p w:rsidR="00D322FB" w:rsidRPr="00C47775" w:rsidRDefault="00D322FB" w:rsidP="001A0C62">
            <w:pPr>
              <w:widowControl w:val="0"/>
              <w:spacing w:line="230" w:lineRule="auto"/>
              <w:ind w:left="-108"/>
              <w:jc w:val="both"/>
              <w:rPr>
                <w:rFonts w:ascii="Arial" w:hAnsi="Arial" w:cs="Arial"/>
                <w:bCs/>
              </w:rPr>
            </w:pPr>
            <w:r w:rsidRPr="00C47775">
              <w:rPr>
                <w:rFonts w:ascii="Arial" w:hAnsi="Arial" w:cs="Arial"/>
                <w:bCs/>
              </w:rPr>
              <w:t>İskonto oranı (%)</w:t>
            </w:r>
          </w:p>
        </w:tc>
        <w:tc>
          <w:tcPr>
            <w:tcW w:w="1710" w:type="dxa"/>
          </w:tcPr>
          <w:p w:rsidR="00D322FB" w:rsidRPr="00C47775" w:rsidRDefault="00D322FB" w:rsidP="001A0C62">
            <w:pPr>
              <w:widowControl w:val="0"/>
              <w:spacing w:line="230" w:lineRule="auto"/>
              <w:jc w:val="right"/>
              <w:rPr>
                <w:rFonts w:ascii="Arial" w:hAnsi="Arial" w:cs="Arial"/>
                <w:b/>
                <w:bCs/>
              </w:rPr>
            </w:pPr>
            <w:r w:rsidRPr="00C47775">
              <w:rPr>
                <w:rFonts w:ascii="Arial" w:hAnsi="Arial" w:cs="Arial"/>
                <w:b/>
                <w:bCs/>
              </w:rPr>
              <w:t>8,6</w:t>
            </w:r>
          </w:p>
        </w:tc>
        <w:tc>
          <w:tcPr>
            <w:tcW w:w="1710" w:type="dxa"/>
          </w:tcPr>
          <w:p w:rsidR="00D322FB" w:rsidRPr="00C47775" w:rsidRDefault="00D322FB" w:rsidP="001A0C62">
            <w:pPr>
              <w:widowControl w:val="0"/>
              <w:spacing w:line="230" w:lineRule="auto"/>
              <w:jc w:val="right"/>
              <w:rPr>
                <w:rFonts w:ascii="Arial" w:hAnsi="Arial" w:cs="Arial"/>
                <w:bCs/>
              </w:rPr>
            </w:pPr>
            <w:r w:rsidRPr="00C47775">
              <w:rPr>
                <w:rFonts w:ascii="Arial" w:hAnsi="Arial" w:cs="Arial"/>
                <w:bCs/>
              </w:rPr>
              <w:t>8,6</w:t>
            </w:r>
          </w:p>
        </w:tc>
      </w:tr>
      <w:tr w:rsidR="00D322FB" w:rsidRPr="00C47775" w:rsidTr="003B5765">
        <w:tc>
          <w:tcPr>
            <w:tcW w:w="5940" w:type="dxa"/>
          </w:tcPr>
          <w:p w:rsidR="00D322FB" w:rsidRPr="00C47775" w:rsidRDefault="00D322FB" w:rsidP="001A0C62">
            <w:pPr>
              <w:widowControl w:val="0"/>
              <w:spacing w:line="230" w:lineRule="auto"/>
              <w:ind w:left="-108"/>
              <w:jc w:val="both"/>
              <w:rPr>
                <w:rFonts w:ascii="Arial" w:hAnsi="Arial" w:cs="Arial"/>
                <w:bCs/>
              </w:rPr>
            </w:pPr>
            <w:r w:rsidRPr="00C47775">
              <w:rPr>
                <w:rFonts w:ascii="Arial" w:hAnsi="Arial" w:cs="Arial"/>
                <w:bCs/>
              </w:rPr>
              <w:t>Beklenen ücret/limit artışlar (%)</w:t>
            </w:r>
          </w:p>
        </w:tc>
        <w:tc>
          <w:tcPr>
            <w:tcW w:w="1710" w:type="dxa"/>
          </w:tcPr>
          <w:p w:rsidR="00D322FB" w:rsidRPr="00C47775" w:rsidRDefault="00D322FB" w:rsidP="001A0C62">
            <w:pPr>
              <w:widowControl w:val="0"/>
              <w:spacing w:line="230" w:lineRule="auto"/>
              <w:jc w:val="right"/>
              <w:rPr>
                <w:rFonts w:ascii="Arial" w:hAnsi="Arial" w:cs="Arial"/>
                <w:b/>
                <w:bCs/>
                <w:spacing w:val="-2"/>
              </w:rPr>
            </w:pPr>
            <w:r w:rsidRPr="00C47775">
              <w:rPr>
                <w:rFonts w:ascii="Arial" w:hAnsi="Arial" w:cs="Arial"/>
                <w:b/>
                <w:bCs/>
                <w:spacing w:val="-2"/>
              </w:rPr>
              <w:t>5</w:t>
            </w:r>
          </w:p>
        </w:tc>
        <w:tc>
          <w:tcPr>
            <w:tcW w:w="1710" w:type="dxa"/>
          </w:tcPr>
          <w:p w:rsidR="00D322FB" w:rsidRPr="00C47775" w:rsidRDefault="00D322FB" w:rsidP="001A0C62">
            <w:pPr>
              <w:widowControl w:val="0"/>
              <w:spacing w:line="230" w:lineRule="auto"/>
              <w:jc w:val="right"/>
              <w:rPr>
                <w:rFonts w:ascii="Arial" w:hAnsi="Arial" w:cs="Arial"/>
                <w:bCs/>
                <w:spacing w:val="-2"/>
              </w:rPr>
            </w:pPr>
            <w:r w:rsidRPr="00C47775">
              <w:rPr>
                <w:rFonts w:ascii="Arial" w:hAnsi="Arial" w:cs="Arial"/>
                <w:bCs/>
                <w:spacing w:val="-2"/>
              </w:rPr>
              <w:t>5</w:t>
            </w:r>
          </w:p>
        </w:tc>
      </w:tr>
    </w:tbl>
    <w:p w:rsidR="00D322FB" w:rsidRPr="00C47775" w:rsidRDefault="00D322FB">
      <w:pPr>
        <w:rPr>
          <w:rFonts w:ascii="Arial" w:hAnsi="Arial" w:cs="Arial"/>
          <w:spacing w:val="-3"/>
          <w:lang w:val="tr-TR"/>
        </w:rPr>
      </w:pPr>
    </w:p>
    <w:p w:rsidR="00D322FB" w:rsidRDefault="00D322FB">
      <w:pPr>
        <w:rPr>
          <w:rFonts w:ascii="Arial" w:hAnsi="Arial" w:cs="Arial"/>
          <w:spacing w:val="-3"/>
          <w:highlight w:val="yellow"/>
          <w:lang w:val="tr-TR"/>
        </w:rPr>
      </w:pPr>
    </w:p>
    <w:p w:rsidR="00D322FB" w:rsidRPr="00727376" w:rsidRDefault="00D322FB">
      <w:pPr>
        <w:rPr>
          <w:rFonts w:ascii="Arial" w:hAnsi="Arial" w:cs="Arial"/>
          <w:spacing w:val="-3"/>
          <w:highlight w:val="yellow"/>
          <w:lang w:val="tr-TR"/>
        </w:rPr>
      </w:pPr>
      <w:r w:rsidRPr="00727376">
        <w:rPr>
          <w:rFonts w:ascii="Arial" w:hAnsi="Arial" w:cs="Arial"/>
          <w:spacing w:val="-3"/>
          <w:highlight w:val="yellow"/>
          <w:lang w:val="tr-TR"/>
        </w:rPr>
        <w:br w:type="page"/>
      </w:r>
    </w:p>
    <w:p w:rsidR="00D322FB" w:rsidRPr="007B216B" w:rsidRDefault="00D322FB" w:rsidP="003B42C2">
      <w:pPr>
        <w:rPr>
          <w:rFonts w:ascii="Arial" w:hAnsi="Arial" w:cs="Arial"/>
          <w:b/>
          <w:lang w:val="tr-TR"/>
        </w:rPr>
      </w:pPr>
      <w:r w:rsidRPr="007B216B">
        <w:rPr>
          <w:rFonts w:ascii="Arial" w:hAnsi="Arial" w:cs="Arial"/>
          <w:b/>
          <w:lang w:val="tr-TR"/>
        </w:rPr>
        <w:lastRenderedPageBreak/>
        <w:t>13.</w:t>
      </w:r>
      <w:r w:rsidRPr="007B216B">
        <w:rPr>
          <w:rFonts w:ascii="Arial" w:hAnsi="Arial" w:cs="Arial"/>
          <w:b/>
          <w:lang w:val="tr-TR"/>
        </w:rPr>
        <w:tab/>
        <w:t>Uzun vadeli karşılıklar (devamı)</w:t>
      </w:r>
    </w:p>
    <w:p w:rsidR="00D322FB" w:rsidRPr="007B216B" w:rsidRDefault="00D322FB" w:rsidP="00CB6B56">
      <w:pPr>
        <w:ind w:right="-1"/>
        <w:rPr>
          <w:rFonts w:ascii="Arial" w:hAnsi="Arial" w:cs="Arial"/>
          <w:spacing w:val="-3"/>
          <w:lang w:val="tr-TR"/>
        </w:rPr>
      </w:pPr>
    </w:p>
    <w:p w:rsidR="00D322FB" w:rsidRPr="007B216B" w:rsidRDefault="00D322FB" w:rsidP="00A15A6E">
      <w:pPr>
        <w:autoSpaceDE w:val="0"/>
        <w:autoSpaceDN w:val="0"/>
        <w:adjustRightInd w:val="0"/>
        <w:rPr>
          <w:rFonts w:ascii="Arial" w:hAnsi="Arial" w:cs="Arial"/>
          <w:lang w:val="tr-TR"/>
        </w:rPr>
      </w:pPr>
      <w:r w:rsidRPr="00842630">
        <w:rPr>
          <w:rFonts w:ascii="Arial" w:hAnsi="Arial" w:cs="Arial"/>
          <w:lang w:val="tr-TR"/>
        </w:rPr>
        <w:t xml:space="preserve">31 </w:t>
      </w:r>
      <w:r w:rsidR="006F2183">
        <w:rPr>
          <w:rFonts w:ascii="Arial" w:hAnsi="Arial" w:cs="Arial"/>
          <w:lang w:val="tr-TR"/>
        </w:rPr>
        <w:t>Mart</w:t>
      </w:r>
      <w:r w:rsidRPr="00842630">
        <w:rPr>
          <w:rFonts w:ascii="Arial" w:hAnsi="Arial" w:cs="Arial"/>
          <w:lang w:val="tr-TR"/>
        </w:rPr>
        <w:t xml:space="preserve"> tarihlerinde sona eren yıl içerisindeki kıdem tazminatı karşılığının hareketleri aşağıdaki gibidir:</w:t>
      </w:r>
    </w:p>
    <w:p w:rsidR="00D322FB" w:rsidRDefault="00D322FB" w:rsidP="00232832">
      <w:pPr>
        <w:rPr>
          <w:rFonts w:ascii="Arial" w:hAnsi="Arial" w:cs="Arial"/>
          <w:b/>
          <w:spacing w:val="-2"/>
          <w:highlight w:val="yellow"/>
          <w:lang w:val="tr-TR"/>
        </w:rPr>
      </w:pPr>
    </w:p>
    <w:tbl>
      <w:tblPr>
        <w:tblW w:w="9355" w:type="dxa"/>
        <w:tblInd w:w="108" w:type="dxa"/>
        <w:tblLayout w:type="fixed"/>
        <w:tblLook w:val="01E0" w:firstRow="1" w:lastRow="1" w:firstColumn="1" w:lastColumn="1" w:noHBand="0" w:noVBand="0"/>
      </w:tblPr>
      <w:tblGrid>
        <w:gridCol w:w="5670"/>
        <w:gridCol w:w="1842"/>
        <w:gridCol w:w="1843"/>
      </w:tblGrid>
      <w:tr w:rsidR="00D322FB" w:rsidRPr="00E95815" w:rsidTr="00032DA9">
        <w:tc>
          <w:tcPr>
            <w:tcW w:w="5670" w:type="dxa"/>
            <w:tcBorders>
              <w:top w:val="single" w:sz="4" w:space="0" w:color="auto"/>
              <w:bottom w:val="single" w:sz="4" w:space="0" w:color="auto"/>
            </w:tcBorders>
          </w:tcPr>
          <w:p w:rsidR="00D322FB" w:rsidRPr="00690163" w:rsidRDefault="00D322FB" w:rsidP="001A0C62">
            <w:pPr>
              <w:autoSpaceDE w:val="0"/>
              <w:autoSpaceDN w:val="0"/>
              <w:adjustRightInd w:val="0"/>
              <w:ind w:left="-108"/>
              <w:rPr>
                <w:rFonts w:ascii="Arial" w:hAnsi="Arial" w:cs="Arial"/>
                <w:lang w:val="tr-TR"/>
              </w:rPr>
            </w:pPr>
          </w:p>
        </w:tc>
        <w:tc>
          <w:tcPr>
            <w:tcW w:w="1842" w:type="dxa"/>
            <w:tcBorders>
              <w:top w:val="single" w:sz="4" w:space="0" w:color="auto"/>
              <w:bottom w:val="single" w:sz="4" w:space="0" w:color="auto"/>
            </w:tcBorders>
            <w:vAlign w:val="bottom"/>
          </w:tcPr>
          <w:p w:rsidR="00D322FB" w:rsidRPr="00690163" w:rsidRDefault="00D322FB" w:rsidP="001A0C62">
            <w:pPr>
              <w:autoSpaceDE w:val="0"/>
              <w:autoSpaceDN w:val="0"/>
              <w:adjustRightInd w:val="0"/>
              <w:jc w:val="right"/>
              <w:rPr>
                <w:rFonts w:ascii="Arial" w:hAnsi="Arial" w:cs="Arial"/>
                <w:b/>
                <w:lang w:val="tr-TR"/>
              </w:rPr>
            </w:pPr>
            <w:r>
              <w:rPr>
                <w:rFonts w:ascii="Arial" w:hAnsi="Arial" w:cs="Arial"/>
                <w:b/>
                <w:lang w:val="tr-TR"/>
              </w:rPr>
              <w:t>2015</w:t>
            </w:r>
          </w:p>
        </w:tc>
        <w:tc>
          <w:tcPr>
            <w:tcW w:w="1843" w:type="dxa"/>
            <w:tcBorders>
              <w:top w:val="single" w:sz="4" w:space="0" w:color="auto"/>
              <w:bottom w:val="single" w:sz="4" w:space="0" w:color="auto"/>
            </w:tcBorders>
            <w:vAlign w:val="bottom"/>
          </w:tcPr>
          <w:p w:rsidR="00D322FB" w:rsidRPr="00AA5B89" w:rsidRDefault="00D322FB" w:rsidP="00DE18BD">
            <w:pPr>
              <w:autoSpaceDE w:val="0"/>
              <w:autoSpaceDN w:val="0"/>
              <w:adjustRightInd w:val="0"/>
              <w:jc w:val="right"/>
              <w:rPr>
                <w:rFonts w:ascii="Arial" w:hAnsi="Arial" w:cs="Arial"/>
                <w:lang w:val="tr-TR"/>
              </w:rPr>
            </w:pPr>
            <w:r w:rsidRPr="00AA5B89">
              <w:rPr>
                <w:rFonts w:ascii="Arial" w:hAnsi="Arial" w:cs="Arial"/>
                <w:lang w:val="tr-TR"/>
              </w:rPr>
              <w:t>2014</w:t>
            </w:r>
          </w:p>
        </w:tc>
      </w:tr>
      <w:tr w:rsidR="00D322FB" w:rsidRPr="00E95815" w:rsidTr="00032DA9">
        <w:tc>
          <w:tcPr>
            <w:tcW w:w="5670" w:type="dxa"/>
            <w:tcBorders>
              <w:top w:val="single" w:sz="4" w:space="0" w:color="auto"/>
            </w:tcBorders>
          </w:tcPr>
          <w:p w:rsidR="00D322FB" w:rsidRPr="00690163" w:rsidRDefault="00D322FB" w:rsidP="001A0C62">
            <w:pPr>
              <w:autoSpaceDE w:val="0"/>
              <w:autoSpaceDN w:val="0"/>
              <w:adjustRightInd w:val="0"/>
              <w:ind w:left="-108"/>
              <w:rPr>
                <w:rFonts w:ascii="Arial" w:hAnsi="Arial" w:cs="Arial"/>
                <w:lang w:val="tr-TR"/>
              </w:rPr>
            </w:pPr>
          </w:p>
        </w:tc>
        <w:tc>
          <w:tcPr>
            <w:tcW w:w="1842" w:type="dxa"/>
            <w:tcBorders>
              <w:top w:val="single" w:sz="4" w:space="0" w:color="auto"/>
            </w:tcBorders>
            <w:vAlign w:val="bottom"/>
          </w:tcPr>
          <w:p w:rsidR="00D322FB" w:rsidRPr="00690163" w:rsidRDefault="00D322FB" w:rsidP="001A0C62">
            <w:pPr>
              <w:autoSpaceDE w:val="0"/>
              <w:autoSpaceDN w:val="0"/>
              <w:adjustRightInd w:val="0"/>
              <w:jc w:val="right"/>
              <w:rPr>
                <w:rFonts w:ascii="Arial" w:hAnsi="Arial" w:cs="Arial"/>
                <w:b/>
                <w:lang w:val="tr-TR"/>
              </w:rPr>
            </w:pPr>
          </w:p>
        </w:tc>
        <w:tc>
          <w:tcPr>
            <w:tcW w:w="1843" w:type="dxa"/>
            <w:tcBorders>
              <w:top w:val="single" w:sz="4" w:space="0" w:color="auto"/>
            </w:tcBorders>
            <w:vAlign w:val="bottom"/>
          </w:tcPr>
          <w:p w:rsidR="00D322FB" w:rsidRPr="00AA5B89" w:rsidRDefault="00D322FB" w:rsidP="00DE18BD">
            <w:pPr>
              <w:autoSpaceDE w:val="0"/>
              <w:autoSpaceDN w:val="0"/>
              <w:adjustRightInd w:val="0"/>
              <w:jc w:val="right"/>
              <w:rPr>
                <w:rFonts w:ascii="Arial" w:hAnsi="Arial" w:cs="Arial"/>
                <w:lang w:val="tr-TR"/>
              </w:rPr>
            </w:pPr>
          </w:p>
        </w:tc>
      </w:tr>
      <w:tr w:rsidR="00D322FB" w:rsidRPr="00E95815" w:rsidTr="00032DA9">
        <w:tc>
          <w:tcPr>
            <w:tcW w:w="5670" w:type="dxa"/>
          </w:tcPr>
          <w:p w:rsidR="00D322FB" w:rsidRPr="00690163" w:rsidRDefault="00D322FB" w:rsidP="001A0C62">
            <w:pPr>
              <w:autoSpaceDE w:val="0"/>
              <w:autoSpaceDN w:val="0"/>
              <w:adjustRightInd w:val="0"/>
              <w:ind w:left="-108"/>
              <w:rPr>
                <w:rFonts w:ascii="Arial" w:hAnsi="Arial" w:cs="Arial"/>
                <w:spacing w:val="-3"/>
                <w:lang w:val="tr-TR"/>
              </w:rPr>
            </w:pPr>
            <w:r w:rsidRPr="00690163">
              <w:rPr>
                <w:rFonts w:ascii="Arial" w:hAnsi="Arial" w:cs="Arial"/>
                <w:spacing w:val="-3"/>
                <w:lang w:val="tr-TR"/>
              </w:rPr>
              <w:t>Dönem başı, 1 Ocak</w:t>
            </w:r>
          </w:p>
        </w:tc>
        <w:tc>
          <w:tcPr>
            <w:tcW w:w="1842" w:type="dxa"/>
            <w:vAlign w:val="bottom"/>
          </w:tcPr>
          <w:p w:rsidR="00D322FB" w:rsidRPr="00690163" w:rsidRDefault="00B441DA" w:rsidP="00B441DA">
            <w:pPr>
              <w:jc w:val="right"/>
              <w:rPr>
                <w:rFonts w:ascii="Arial" w:hAnsi="Arial" w:cs="Arial"/>
                <w:b/>
                <w:bCs/>
                <w:color w:val="000000"/>
              </w:rPr>
            </w:pPr>
            <w:r>
              <w:rPr>
                <w:rFonts w:ascii="Arial" w:hAnsi="Arial" w:cs="Arial"/>
                <w:b/>
                <w:bCs/>
                <w:color w:val="000000"/>
              </w:rPr>
              <w:t>130</w:t>
            </w:r>
            <w:r w:rsidR="00D322FB" w:rsidRPr="00690163">
              <w:rPr>
                <w:rFonts w:ascii="Arial" w:hAnsi="Arial" w:cs="Arial"/>
                <w:b/>
                <w:bCs/>
                <w:color w:val="000000"/>
              </w:rPr>
              <w:t>.</w:t>
            </w:r>
            <w:r>
              <w:rPr>
                <w:rFonts w:ascii="Arial" w:hAnsi="Arial" w:cs="Arial"/>
                <w:b/>
                <w:bCs/>
                <w:color w:val="000000"/>
              </w:rPr>
              <w:t>761</w:t>
            </w:r>
          </w:p>
        </w:tc>
        <w:tc>
          <w:tcPr>
            <w:tcW w:w="1843"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76.997</w:t>
            </w:r>
          </w:p>
        </w:tc>
      </w:tr>
      <w:tr w:rsidR="00D322FB" w:rsidRPr="00E95815" w:rsidTr="00032DA9">
        <w:tc>
          <w:tcPr>
            <w:tcW w:w="5670" w:type="dxa"/>
          </w:tcPr>
          <w:p w:rsidR="00D322FB" w:rsidRPr="00690163" w:rsidRDefault="00D322FB" w:rsidP="001A0C62">
            <w:pPr>
              <w:autoSpaceDE w:val="0"/>
              <w:autoSpaceDN w:val="0"/>
              <w:adjustRightInd w:val="0"/>
              <w:ind w:left="-108"/>
              <w:rPr>
                <w:rFonts w:ascii="Arial" w:hAnsi="Arial" w:cs="Arial"/>
                <w:spacing w:val="-3"/>
                <w:lang w:val="tr-TR"/>
              </w:rPr>
            </w:pPr>
            <w:r w:rsidRPr="00690163">
              <w:rPr>
                <w:rFonts w:ascii="Arial" w:hAnsi="Arial" w:cs="Arial"/>
                <w:spacing w:val="-3"/>
                <w:lang w:val="tr-TR"/>
              </w:rPr>
              <w:t>Dönem içinde ödenen</w:t>
            </w:r>
          </w:p>
        </w:tc>
        <w:tc>
          <w:tcPr>
            <w:tcW w:w="1842" w:type="dxa"/>
            <w:vAlign w:val="bottom"/>
          </w:tcPr>
          <w:p w:rsidR="00D322FB" w:rsidRPr="00690163" w:rsidRDefault="00D322FB" w:rsidP="00690163">
            <w:pPr>
              <w:jc w:val="right"/>
              <w:rPr>
                <w:rFonts w:ascii="Times New Roman TUR" w:hAnsi="Times New Roman TUR" w:cs="Arial"/>
              </w:rPr>
            </w:pPr>
            <w:r w:rsidRPr="00690163">
              <w:rPr>
                <w:rFonts w:ascii="Times New Roman TUR" w:hAnsi="Times New Roman TUR" w:cs="Arial"/>
              </w:rPr>
              <w:t xml:space="preserve">                    - </w:t>
            </w:r>
          </w:p>
        </w:tc>
        <w:tc>
          <w:tcPr>
            <w:tcW w:w="1843" w:type="dxa"/>
            <w:vAlign w:val="bottom"/>
          </w:tcPr>
          <w:p w:rsidR="00D322FB" w:rsidRPr="00AA5B89" w:rsidRDefault="00D322FB" w:rsidP="00DE18BD">
            <w:pPr>
              <w:jc w:val="right"/>
              <w:rPr>
                <w:rFonts w:ascii="Times New Roman TUR" w:hAnsi="Times New Roman TUR" w:cs="Arial"/>
              </w:rPr>
            </w:pPr>
            <w:r w:rsidRPr="00AA5B89">
              <w:rPr>
                <w:rFonts w:ascii="Times New Roman TUR" w:hAnsi="Times New Roman TUR" w:cs="Arial"/>
              </w:rPr>
              <w:t xml:space="preserve">                    - </w:t>
            </w:r>
          </w:p>
        </w:tc>
      </w:tr>
      <w:tr w:rsidR="00D322FB" w:rsidRPr="00E95815" w:rsidTr="00032DA9">
        <w:tc>
          <w:tcPr>
            <w:tcW w:w="5670" w:type="dxa"/>
          </w:tcPr>
          <w:p w:rsidR="00D322FB" w:rsidRPr="00690163" w:rsidRDefault="00D322FB" w:rsidP="00232832">
            <w:pPr>
              <w:autoSpaceDE w:val="0"/>
              <w:autoSpaceDN w:val="0"/>
              <w:adjustRightInd w:val="0"/>
              <w:ind w:left="-108"/>
              <w:rPr>
                <w:rFonts w:ascii="Arial" w:hAnsi="Arial" w:cs="Arial"/>
                <w:color w:val="000000"/>
              </w:rPr>
            </w:pPr>
            <w:r w:rsidRPr="00690163">
              <w:rPr>
                <w:rFonts w:ascii="Arial" w:hAnsi="Arial" w:cs="Arial"/>
                <w:color w:val="000000"/>
              </w:rPr>
              <w:t>Hizmet maliyeti</w:t>
            </w:r>
          </w:p>
        </w:tc>
        <w:tc>
          <w:tcPr>
            <w:tcW w:w="1842" w:type="dxa"/>
            <w:vAlign w:val="bottom"/>
          </w:tcPr>
          <w:p w:rsidR="00D322FB" w:rsidRPr="00690163" w:rsidRDefault="00295709" w:rsidP="00295709">
            <w:pPr>
              <w:jc w:val="right"/>
              <w:rPr>
                <w:rFonts w:ascii="Arial" w:hAnsi="Arial" w:cs="Arial"/>
                <w:b/>
                <w:bCs/>
                <w:color w:val="000000"/>
              </w:rPr>
            </w:pPr>
            <w:r>
              <w:rPr>
                <w:rFonts w:ascii="Arial" w:hAnsi="Arial" w:cs="Arial"/>
                <w:b/>
                <w:bCs/>
                <w:color w:val="000000"/>
              </w:rPr>
              <w:t>9.569</w:t>
            </w:r>
          </w:p>
        </w:tc>
        <w:tc>
          <w:tcPr>
            <w:tcW w:w="1843"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51.124</w:t>
            </w:r>
          </w:p>
        </w:tc>
      </w:tr>
      <w:tr w:rsidR="00D322FB" w:rsidRPr="00E95815" w:rsidTr="00032DA9">
        <w:tc>
          <w:tcPr>
            <w:tcW w:w="5670" w:type="dxa"/>
          </w:tcPr>
          <w:p w:rsidR="00D322FB" w:rsidRPr="00690163" w:rsidRDefault="00D322FB" w:rsidP="00232832">
            <w:pPr>
              <w:autoSpaceDE w:val="0"/>
              <w:autoSpaceDN w:val="0"/>
              <w:adjustRightInd w:val="0"/>
              <w:ind w:left="-108"/>
              <w:rPr>
                <w:rFonts w:ascii="Arial" w:hAnsi="Arial" w:cs="Arial"/>
                <w:color w:val="000000"/>
              </w:rPr>
            </w:pPr>
            <w:r w:rsidRPr="00690163">
              <w:rPr>
                <w:rFonts w:ascii="Arial" w:hAnsi="Arial" w:cs="Arial"/>
                <w:color w:val="000000"/>
              </w:rPr>
              <w:t>Faiz maliyeti</w:t>
            </w:r>
          </w:p>
        </w:tc>
        <w:tc>
          <w:tcPr>
            <w:tcW w:w="1842" w:type="dxa"/>
            <w:vAlign w:val="bottom"/>
          </w:tcPr>
          <w:p w:rsidR="00D322FB" w:rsidRPr="00690163" w:rsidRDefault="00B441DA" w:rsidP="00D604E5">
            <w:pPr>
              <w:jc w:val="right"/>
              <w:rPr>
                <w:rFonts w:ascii="Arial" w:hAnsi="Arial" w:cs="Arial"/>
                <w:b/>
                <w:bCs/>
                <w:color w:val="000000"/>
              </w:rPr>
            </w:pPr>
            <w:r>
              <w:rPr>
                <w:rFonts w:ascii="Arial" w:hAnsi="Arial" w:cs="Arial"/>
                <w:b/>
                <w:bCs/>
                <w:color w:val="000000"/>
              </w:rPr>
              <w:t>1</w:t>
            </w:r>
            <w:r w:rsidR="00D322FB" w:rsidRPr="00690163">
              <w:rPr>
                <w:rFonts w:ascii="Arial" w:hAnsi="Arial" w:cs="Arial"/>
                <w:b/>
                <w:bCs/>
                <w:color w:val="000000"/>
              </w:rPr>
              <w:t>.</w:t>
            </w:r>
            <w:r>
              <w:rPr>
                <w:rFonts w:ascii="Arial" w:hAnsi="Arial" w:cs="Arial"/>
                <w:b/>
                <w:bCs/>
                <w:color w:val="000000"/>
              </w:rPr>
              <w:t>1</w:t>
            </w:r>
            <w:r w:rsidR="00D604E5">
              <w:rPr>
                <w:rFonts w:ascii="Arial" w:hAnsi="Arial" w:cs="Arial"/>
                <w:b/>
                <w:bCs/>
                <w:color w:val="000000"/>
              </w:rPr>
              <w:t>05</w:t>
            </w:r>
          </w:p>
        </w:tc>
        <w:tc>
          <w:tcPr>
            <w:tcW w:w="1843" w:type="dxa"/>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2.640</w:t>
            </w:r>
          </w:p>
        </w:tc>
      </w:tr>
      <w:tr w:rsidR="00D322FB" w:rsidRPr="00E95815" w:rsidTr="00032DA9">
        <w:tc>
          <w:tcPr>
            <w:tcW w:w="5670" w:type="dxa"/>
            <w:tcBorders>
              <w:bottom w:val="single" w:sz="4" w:space="0" w:color="auto"/>
            </w:tcBorders>
          </w:tcPr>
          <w:p w:rsidR="00D322FB" w:rsidRPr="00690163" w:rsidRDefault="00D322FB" w:rsidP="001A0C62">
            <w:pPr>
              <w:autoSpaceDE w:val="0"/>
              <w:autoSpaceDN w:val="0"/>
              <w:adjustRightInd w:val="0"/>
              <w:ind w:left="-108"/>
              <w:rPr>
                <w:rFonts w:ascii="Arial" w:hAnsi="Arial" w:cs="Arial"/>
                <w:spacing w:val="-3"/>
                <w:lang w:val="tr-TR"/>
              </w:rPr>
            </w:pPr>
          </w:p>
        </w:tc>
        <w:tc>
          <w:tcPr>
            <w:tcW w:w="1842" w:type="dxa"/>
            <w:tcBorders>
              <w:bottom w:val="single" w:sz="4" w:space="0" w:color="auto"/>
            </w:tcBorders>
            <w:vAlign w:val="bottom"/>
          </w:tcPr>
          <w:p w:rsidR="00D322FB" w:rsidRPr="00690163" w:rsidRDefault="00D322FB" w:rsidP="00690163">
            <w:pPr>
              <w:autoSpaceDE w:val="0"/>
              <w:autoSpaceDN w:val="0"/>
              <w:adjustRightInd w:val="0"/>
              <w:jc w:val="right"/>
              <w:rPr>
                <w:rFonts w:ascii="Arial" w:hAnsi="Arial" w:cs="Arial"/>
                <w:lang w:val="tr-TR"/>
              </w:rPr>
            </w:pPr>
          </w:p>
        </w:tc>
        <w:tc>
          <w:tcPr>
            <w:tcW w:w="1843" w:type="dxa"/>
            <w:tcBorders>
              <w:bottom w:val="single" w:sz="4" w:space="0" w:color="auto"/>
            </w:tcBorders>
            <w:vAlign w:val="bottom"/>
          </w:tcPr>
          <w:p w:rsidR="00D322FB" w:rsidRPr="00AA5B89" w:rsidRDefault="00D322FB" w:rsidP="00DE18BD">
            <w:pPr>
              <w:autoSpaceDE w:val="0"/>
              <w:autoSpaceDN w:val="0"/>
              <w:adjustRightInd w:val="0"/>
              <w:jc w:val="right"/>
              <w:rPr>
                <w:rFonts w:ascii="Arial" w:hAnsi="Arial" w:cs="Arial"/>
                <w:lang w:val="tr-TR"/>
              </w:rPr>
            </w:pPr>
          </w:p>
        </w:tc>
      </w:tr>
      <w:tr w:rsidR="00D322FB" w:rsidRPr="00E95815" w:rsidTr="00032DA9">
        <w:tc>
          <w:tcPr>
            <w:tcW w:w="5670" w:type="dxa"/>
            <w:tcBorders>
              <w:top w:val="single" w:sz="4" w:space="0" w:color="auto"/>
              <w:bottom w:val="double" w:sz="4" w:space="0" w:color="auto"/>
            </w:tcBorders>
          </w:tcPr>
          <w:p w:rsidR="00D322FB" w:rsidRPr="00690163" w:rsidRDefault="00D322FB" w:rsidP="00613D75">
            <w:pPr>
              <w:autoSpaceDE w:val="0"/>
              <w:autoSpaceDN w:val="0"/>
              <w:adjustRightInd w:val="0"/>
              <w:ind w:left="-108"/>
              <w:rPr>
                <w:rFonts w:ascii="Arial" w:hAnsi="Arial" w:cs="Arial"/>
                <w:spacing w:val="-3"/>
                <w:lang w:val="tr-TR"/>
              </w:rPr>
            </w:pPr>
            <w:r w:rsidRPr="00690163">
              <w:rPr>
                <w:rFonts w:ascii="Arial" w:hAnsi="Arial" w:cs="Arial"/>
                <w:spacing w:val="-3"/>
                <w:lang w:val="tr-TR"/>
              </w:rPr>
              <w:t xml:space="preserve">Dönem sonu, 31 </w:t>
            </w:r>
            <w:r w:rsidR="00613D75">
              <w:rPr>
                <w:rFonts w:ascii="Arial" w:hAnsi="Arial" w:cs="Arial"/>
                <w:spacing w:val="-3"/>
                <w:lang w:val="tr-TR"/>
              </w:rPr>
              <w:t>Mart</w:t>
            </w:r>
          </w:p>
        </w:tc>
        <w:tc>
          <w:tcPr>
            <w:tcW w:w="1842" w:type="dxa"/>
            <w:tcBorders>
              <w:top w:val="single" w:sz="4" w:space="0" w:color="auto"/>
              <w:bottom w:val="double" w:sz="4" w:space="0" w:color="auto"/>
            </w:tcBorders>
            <w:vAlign w:val="bottom"/>
          </w:tcPr>
          <w:p w:rsidR="00D322FB" w:rsidRPr="00690163" w:rsidRDefault="00D322FB" w:rsidP="00295709">
            <w:pPr>
              <w:jc w:val="right"/>
              <w:rPr>
                <w:rFonts w:ascii="Arial" w:hAnsi="Arial" w:cs="Arial"/>
                <w:b/>
                <w:bCs/>
                <w:color w:val="000000"/>
              </w:rPr>
            </w:pPr>
            <w:r w:rsidRPr="00690163">
              <w:rPr>
                <w:rFonts w:ascii="Arial" w:hAnsi="Arial" w:cs="Arial"/>
                <w:b/>
                <w:bCs/>
                <w:color w:val="000000"/>
              </w:rPr>
              <w:t>1</w:t>
            </w:r>
            <w:r w:rsidR="00295709">
              <w:rPr>
                <w:rFonts w:ascii="Arial" w:hAnsi="Arial" w:cs="Arial"/>
                <w:b/>
                <w:bCs/>
                <w:color w:val="000000"/>
              </w:rPr>
              <w:t>41</w:t>
            </w:r>
            <w:r w:rsidRPr="00690163">
              <w:rPr>
                <w:rFonts w:ascii="Arial" w:hAnsi="Arial" w:cs="Arial"/>
                <w:b/>
                <w:bCs/>
                <w:color w:val="000000"/>
              </w:rPr>
              <w:t>.</w:t>
            </w:r>
            <w:r w:rsidR="00295709">
              <w:rPr>
                <w:rFonts w:ascii="Arial" w:hAnsi="Arial" w:cs="Arial"/>
                <w:b/>
                <w:bCs/>
                <w:color w:val="000000"/>
              </w:rPr>
              <w:t>436</w:t>
            </w:r>
          </w:p>
        </w:tc>
        <w:tc>
          <w:tcPr>
            <w:tcW w:w="1843" w:type="dxa"/>
            <w:tcBorders>
              <w:top w:val="single" w:sz="4" w:space="0" w:color="auto"/>
              <w:bottom w:val="double" w:sz="4" w:space="0" w:color="auto"/>
            </w:tcBorders>
            <w:vAlign w:val="bottom"/>
          </w:tcPr>
          <w:p w:rsidR="00D322FB" w:rsidRPr="00AA5B89" w:rsidRDefault="00D322FB" w:rsidP="00DE18BD">
            <w:pPr>
              <w:jc w:val="right"/>
              <w:rPr>
                <w:rFonts w:ascii="Arial" w:hAnsi="Arial" w:cs="Arial"/>
                <w:bCs/>
                <w:color w:val="000000"/>
              </w:rPr>
            </w:pPr>
            <w:r w:rsidRPr="00AA5B89">
              <w:rPr>
                <w:rFonts w:ascii="Arial" w:hAnsi="Arial" w:cs="Arial"/>
                <w:bCs/>
                <w:color w:val="000000"/>
              </w:rPr>
              <w:t>130.761</w:t>
            </w:r>
          </w:p>
        </w:tc>
      </w:tr>
    </w:tbl>
    <w:p w:rsidR="00D322FB" w:rsidRPr="00232832" w:rsidRDefault="00D322FB" w:rsidP="00232832">
      <w:pPr>
        <w:rPr>
          <w:rFonts w:ascii="Arial" w:hAnsi="Arial" w:cs="Arial"/>
          <w:b/>
          <w:spacing w:val="-2"/>
          <w:lang w:val="tr-TR"/>
        </w:rPr>
      </w:pPr>
    </w:p>
    <w:p w:rsidR="00D322FB" w:rsidRPr="00232832" w:rsidRDefault="00D322FB" w:rsidP="00232832">
      <w:pPr>
        <w:suppressAutoHyphens/>
        <w:ind w:right="2"/>
        <w:rPr>
          <w:rFonts w:ascii="Arial" w:hAnsi="Arial" w:cs="Arial"/>
          <w:lang w:val="tr-TR"/>
        </w:rPr>
      </w:pPr>
      <w:r w:rsidRPr="00232832">
        <w:rPr>
          <w:rFonts w:ascii="Arial" w:hAnsi="Arial" w:cs="Arial"/>
          <w:lang w:val="tr-TR"/>
        </w:rPr>
        <w:t xml:space="preserve">1 Ocak – 31 </w:t>
      </w:r>
      <w:r w:rsidR="00E93CB7">
        <w:rPr>
          <w:rFonts w:ascii="Arial" w:hAnsi="Arial" w:cs="Arial"/>
          <w:lang w:val="tr-TR"/>
        </w:rPr>
        <w:t>Mart</w:t>
      </w:r>
      <w:r w:rsidRPr="00232832">
        <w:rPr>
          <w:rFonts w:ascii="Arial" w:hAnsi="Arial" w:cs="Arial"/>
          <w:lang w:val="tr-TR"/>
        </w:rPr>
        <w:t xml:space="preserve"> 201</w:t>
      </w:r>
      <w:r w:rsidR="00E93CB7">
        <w:rPr>
          <w:rFonts w:ascii="Arial" w:hAnsi="Arial" w:cs="Arial"/>
          <w:lang w:val="tr-TR"/>
        </w:rPr>
        <w:t>5</w:t>
      </w:r>
      <w:r w:rsidRPr="00232832">
        <w:rPr>
          <w:rFonts w:ascii="Arial" w:hAnsi="Arial" w:cs="Arial"/>
          <w:lang w:val="tr-TR"/>
        </w:rPr>
        <w:t xml:space="preserve"> dönemine ait kıdem tazminatı karşılık gideri </w:t>
      </w:r>
      <w:r w:rsidRPr="00690163">
        <w:rPr>
          <w:rFonts w:ascii="Arial" w:hAnsi="Arial" w:cs="Arial"/>
          <w:lang w:val="tr-TR"/>
        </w:rPr>
        <w:t xml:space="preserve">olan </w:t>
      </w:r>
      <w:r w:rsidR="00295709" w:rsidRPr="00295709">
        <w:rPr>
          <w:rFonts w:ascii="Arial" w:hAnsi="Arial" w:cs="Arial"/>
          <w:lang w:val="tr-TR"/>
        </w:rPr>
        <w:t>10</w:t>
      </w:r>
      <w:r w:rsidRPr="00295709">
        <w:rPr>
          <w:rFonts w:ascii="Arial" w:hAnsi="Arial" w:cs="Arial"/>
          <w:lang w:val="tr-TR"/>
        </w:rPr>
        <w:t>.</w:t>
      </w:r>
      <w:r w:rsidR="00295709" w:rsidRPr="00295709">
        <w:rPr>
          <w:rFonts w:ascii="Arial" w:hAnsi="Arial" w:cs="Arial"/>
          <w:lang w:val="tr-TR"/>
        </w:rPr>
        <w:t>674</w:t>
      </w:r>
      <w:r w:rsidRPr="00690163">
        <w:rPr>
          <w:rFonts w:ascii="Arial" w:hAnsi="Arial" w:cs="Arial"/>
          <w:lang w:val="tr-TR"/>
        </w:rPr>
        <w:t xml:space="preserve"> TL genel yönetim giderlerinde muhasebeleştirilmiştir (Not:18) (1 Ocak – 31 Aralık 201</w:t>
      </w:r>
      <w:r w:rsidR="00E93CB7">
        <w:rPr>
          <w:rFonts w:ascii="Arial" w:hAnsi="Arial" w:cs="Arial"/>
          <w:lang w:val="tr-TR"/>
        </w:rPr>
        <w:t>4</w:t>
      </w:r>
      <w:r w:rsidRPr="00690163">
        <w:rPr>
          <w:rFonts w:ascii="Arial" w:hAnsi="Arial" w:cs="Arial"/>
          <w:lang w:val="tr-TR"/>
        </w:rPr>
        <w:t xml:space="preserve"> karşılık gideri olan </w:t>
      </w:r>
      <w:r w:rsidR="00E93CB7">
        <w:rPr>
          <w:rFonts w:ascii="Arial" w:hAnsi="Arial" w:cs="Arial"/>
          <w:lang w:val="tr-TR"/>
        </w:rPr>
        <w:t>53</w:t>
      </w:r>
      <w:r w:rsidRPr="00690163">
        <w:rPr>
          <w:rFonts w:ascii="Arial" w:hAnsi="Arial" w:cs="Arial"/>
          <w:lang w:val="tr-TR"/>
        </w:rPr>
        <w:t>.</w:t>
      </w:r>
      <w:r w:rsidR="00E93CB7">
        <w:rPr>
          <w:rFonts w:ascii="Arial" w:hAnsi="Arial" w:cs="Arial"/>
          <w:lang w:val="tr-TR"/>
        </w:rPr>
        <w:t>764</w:t>
      </w:r>
      <w:r w:rsidRPr="00690163">
        <w:rPr>
          <w:rFonts w:ascii="Arial" w:hAnsi="Arial" w:cs="Arial"/>
          <w:lang w:val="tr-TR"/>
        </w:rPr>
        <w:t xml:space="preserve"> TL genel yönetim giderlerinden düşülmüştür).</w:t>
      </w:r>
    </w:p>
    <w:p w:rsidR="00D322FB" w:rsidRDefault="00D322FB" w:rsidP="00232832">
      <w:pPr>
        <w:rPr>
          <w:rFonts w:ascii="Arial" w:hAnsi="Arial" w:cs="Arial"/>
          <w:b/>
          <w:spacing w:val="-2"/>
          <w:lang w:val="tr-TR"/>
        </w:rPr>
      </w:pPr>
    </w:p>
    <w:p w:rsidR="00D322FB" w:rsidRDefault="00613D75" w:rsidP="00232832">
      <w:pPr>
        <w:rPr>
          <w:rFonts w:ascii="Arial" w:hAnsi="Arial" w:cs="Arial"/>
          <w:b/>
          <w:spacing w:val="-2"/>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sidR="00D322FB" w:rsidRPr="00842630">
        <w:rPr>
          <w:rFonts w:ascii="Arial" w:hAnsi="Arial" w:cs="Arial"/>
          <w:lang w:val="tr-TR"/>
        </w:rPr>
        <w:t xml:space="preserve"> tarihinde sona eren yıllara ait kullanılmamış izin karşılığının hareketleri aşağıdaki gibidir:</w:t>
      </w:r>
    </w:p>
    <w:p w:rsidR="00D322FB" w:rsidRDefault="00D322FB" w:rsidP="00232832">
      <w:pPr>
        <w:rPr>
          <w:rFonts w:ascii="Arial" w:hAnsi="Arial" w:cs="Arial"/>
          <w:b/>
          <w:spacing w:val="-2"/>
          <w:lang w:val="tr-TR"/>
        </w:rPr>
      </w:pPr>
    </w:p>
    <w:tbl>
      <w:tblPr>
        <w:tblW w:w="9355" w:type="dxa"/>
        <w:tblInd w:w="108" w:type="dxa"/>
        <w:tblLayout w:type="fixed"/>
        <w:tblLook w:val="01E0" w:firstRow="1" w:lastRow="1" w:firstColumn="1" w:lastColumn="1" w:noHBand="0" w:noVBand="0"/>
      </w:tblPr>
      <w:tblGrid>
        <w:gridCol w:w="5670"/>
        <w:gridCol w:w="1842"/>
        <w:gridCol w:w="1843"/>
      </w:tblGrid>
      <w:tr w:rsidR="00D322FB" w:rsidRPr="00690163" w:rsidTr="00CB5525">
        <w:tc>
          <w:tcPr>
            <w:tcW w:w="5670" w:type="dxa"/>
            <w:tcBorders>
              <w:top w:val="single" w:sz="4" w:space="0" w:color="auto"/>
              <w:bottom w:val="single" w:sz="4" w:space="0" w:color="auto"/>
            </w:tcBorders>
          </w:tcPr>
          <w:p w:rsidR="00D322FB" w:rsidRPr="00295709" w:rsidRDefault="00D322FB" w:rsidP="00CB5525">
            <w:pPr>
              <w:autoSpaceDE w:val="0"/>
              <w:autoSpaceDN w:val="0"/>
              <w:adjustRightInd w:val="0"/>
              <w:ind w:left="-108"/>
              <w:rPr>
                <w:rFonts w:ascii="Arial" w:hAnsi="Arial" w:cs="Arial"/>
                <w:lang w:val="tr-TR"/>
              </w:rPr>
            </w:pPr>
          </w:p>
        </w:tc>
        <w:tc>
          <w:tcPr>
            <w:tcW w:w="1842" w:type="dxa"/>
            <w:tcBorders>
              <w:top w:val="single" w:sz="4" w:space="0" w:color="auto"/>
              <w:bottom w:val="single" w:sz="4" w:space="0" w:color="auto"/>
            </w:tcBorders>
            <w:vAlign w:val="bottom"/>
          </w:tcPr>
          <w:p w:rsidR="00D322FB" w:rsidRPr="00295709" w:rsidRDefault="00D322FB" w:rsidP="00CB5525">
            <w:pPr>
              <w:autoSpaceDE w:val="0"/>
              <w:autoSpaceDN w:val="0"/>
              <w:adjustRightInd w:val="0"/>
              <w:jc w:val="right"/>
              <w:rPr>
                <w:rFonts w:ascii="Arial" w:hAnsi="Arial" w:cs="Arial"/>
                <w:b/>
                <w:lang w:val="tr-TR"/>
              </w:rPr>
            </w:pPr>
            <w:r w:rsidRPr="00295709">
              <w:rPr>
                <w:rFonts w:ascii="Arial" w:hAnsi="Arial" w:cs="Arial"/>
                <w:b/>
                <w:lang w:val="tr-TR"/>
              </w:rPr>
              <w:t>2014</w:t>
            </w:r>
          </w:p>
        </w:tc>
        <w:tc>
          <w:tcPr>
            <w:tcW w:w="1843" w:type="dxa"/>
            <w:tcBorders>
              <w:top w:val="single" w:sz="4" w:space="0" w:color="auto"/>
              <w:bottom w:val="single" w:sz="4" w:space="0" w:color="auto"/>
            </w:tcBorders>
            <w:vAlign w:val="bottom"/>
          </w:tcPr>
          <w:p w:rsidR="00D322FB" w:rsidRPr="00295709" w:rsidRDefault="00D322FB" w:rsidP="00295709">
            <w:pPr>
              <w:autoSpaceDE w:val="0"/>
              <w:autoSpaceDN w:val="0"/>
              <w:adjustRightInd w:val="0"/>
              <w:jc w:val="right"/>
              <w:rPr>
                <w:rFonts w:ascii="Arial" w:hAnsi="Arial" w:cs="Arial"/>
                <w:lang w:val="tr-TR"/>
              </w:rPr>
            </w:pPr>
            <w:r w:rsidRPr="00295709">
              <w:rPr>
                <w:rFonts w:ascii="Arial" w:hAnsi="Arial" w:cs="Arial"/>
                <w:lang w:val="tr-TR"/>
              </w:rPr>
              <w:t>201</w:t>
            </w:r>
            <w:r w:rsidR="00295709" w:rsidRPr="00295709">
              <w:rPr>
                <w:rFonts w:ascii="Arial" w:hAnsi="Arial" w:cs="Arial"/>
                <w:lang w:val="tr-TR"/>
              </w:rPr>
              <w:t>4</w:t>
            </w:r>
          </w:p>
        </w:tc>
      </w:tr>
      <w:tr w:rsidR="00D322FB" w:rsidRPr="00690163" w:rsidTr="00CB5525">
        <w:tc>
          <w:tcPr>
            <w:tcW w:w="5670" w:type="dxa"/>
            <w:tcBorders>
              <w:top w:val="single" w:sz="4" w:space="0" w:color="auto"/>
            </w:tcBorders>
          </w:tcPr>
          <w:p w:rsidR="00D322FB" w:rsidRPr="00295709" w:rsidRDefault="00D322FB" w:rsidP="00CB5525">
            <w:pPr>
              <w:autoSpaceDE w:val="0"/>
              <w:autoSpaceDN w:val="0"/>
              <w:adjustRightInd w:val="0"/>
              <w:ind w:left="-108"/>
              <w:rPr>
                <w:rFonts w:ascii="Arial" w:hAnsi="Arial" w:cs="Arial"/>
                <w:lang w:val="tr-TR"/>
              </w:rPr>
            </w:pPr>
          </w:p>
        </w:tc>
        <w:tc>
          <w:tcPr>
            <w:tcW w:w="1842" w:type="dxa"/>
            <w:tcBorders>
              <w:top w:val="single" w:sz="4" w:space="0" w:color="auto"/>
            </w:tcBorders>
            <w:vAlign w:val="bottom"/>
          </w:tcPr>
          <w:p w:rsidR="00D322FB" w:rsidRPr="00295709" w:rsidRDefault="00D322FB" w:rsidP="00CB5525">
            <w:pPr>
              <w:autoSpaceDE w:val="0"/>
              <w:autoSpaceDN w:val="0"/>
              <w:adjustRightInd w:val="0"/>
              <w:jc w:val="right"/>
              <w:rPr>
                <w:rFonts w:ascii="Arial" w:hAnsi="Arial" w:cs="Arial"/>
                <w:b/>
                <w:lang w:val="tr-TR"/>
              </w:rPr>
            </w:pPr>
          </w:p>
        </w:tc>
        <w:tc>
          <w:tcPr>
            <w:tcW w:w="1843" w:type="dxa"/>
            <w:tcBorders>
              <w:top w:val="single" w:sz="4" w:space="0" w:color="auto"/>
            </w:tcBorders>
            <w:vAlign w:val="bottom"/>
          </w:tcPr>
          <w:p w:rsidR="00D322FB" w:rsidRPr="00295709" w:rsidRDefault="00D322FB" w:rsidP="00CB5525">
            <w:pPr>
              <w:autoSpaceDE w:val="0"/>
              <w:autoSpaceDN w:val="0"/>
              <w:adjustRightInd w:val="0"/>
              <w:jc w:val="right"/>
              <w:rPr>
                <w:rFonts w:ascii="Arial" w:hAnsi="Arial" w:cs="Arial"/>
                <w:lang w:val="tr-TR"/>
              </w:rPr>
            </w:pPr>
          </w:p>
        </w:tc>
      </w:tr>
      <w:tr w:rsidR="00D322FB" w:rsidRPr="00690163" w:rsidTr="00DB061E">
        <w:tc>
          <w:tcPr>
            <w:tcW w:w="5670" w:type="dxa"/>
          </w:tcPr>
          <w:p w:rsidR="00D322FB" w:rsidRPr="00295709" w:rsidRDefault="00D322FB" w:rsidP="00CB5525">
            <w:pPr>
              <w:autoSpaceDE w:val="0"/>
              <w:autoSpaceDN w:val="0"/>
              <w:adjustRightInd w:val="0"/>
              <w:ind w:left="-108"/>
              <w:rPr>
                <w:rFonts w:ascii="Arial" w:hAnsi="Arial" w:cs="Arial"/>
                <w:spacing w:val="-3"/>
                <w:lang w:val="tr-TR"/>
              </w:rPr>
            </w:pPr>
            <w:r w:rsidRPr="00295709">
              <w:rPr>
                <w:rFonts w:ascii="Arial" w:hAnsi="Arial" w:cs="Arial"/>
                <w:spacing w:val="-3"/>
                <w:lang w:val="tr-TR"/>
              </w:rPr>
              <w:t>Dönem başı, 1 Ocak</w:t>
            </w:r>
          </w:p>
        </w:tc>
        <w:tc>
          <w:tcPr>
            <w:tcW w:w="1842" w:type="dxa"/>
            <w:vAlign w:val="bottom"/>
          </w:tcPr>
          <w:p w:rsidR="00D322FB" w:rsidRPr="00295709" w:rsidRDefault="00D322FB" w:rsidP="00295709">
            <w:pPr>
              <w:jc w:val="right"/>
              <w:rPr>
                <w:rFonts w:ascii="Arial" w:hAnsi="Arial" w:cs="Arial"/>
                <w:b/>
                <w:bCs/>
                <w:color w:val="000000"/>
              </w:rPr>
            </w:pPr>
            <w:r w:rsidRPr="00295709">
              <w:rPr>
                <w:rFonts w:ascii="Arial" w:hAnsi="Arial" w:cs="Arial"/>
                <w:b/>
                <w:bCs/>
                <w:color w:val="000000"/>
              </w:rPr>
              <w:t>5</w:t>
            </w:r>
            <w:r w:rsidR="00295709" w:rsidRPr="00295709">
              <w:rPr>
                <w:rFonts w:ascii="Arial" w:hAnsi="Arial" w:cs="Arial"/>
                <w:b/>
                <w:bCs/>
                <w:color w:val="000000"/>
              </w:rPr>
              <w:t>6</w:t>
            </w:r>
            <w:r w:rsidRPr="00295709">
              <w:rPr>
                <w:rFonts w:ascii="Arial" w:hAnsi="Arial" w:cs="Arial"/>
                <w:b/>
                <w:bCs/>
                <w:color w:val="000000"/>
              </w:rPr>
              <w:t>.</w:t>
            </w:r>
            <w:r w:rsidR="00295709" w:rsidRPr="00295709">
              <w:rPr>
                <w:rFonts w:ascii="Arial" w:hAnsi="Arial" w:cs="Arial"/>
                <w:b/>
                <w:bCs/>
                <w:color w:val="000000"/>
              </w:rPr>
              <w:t>688</w:t>
            </w:r>
          </w:p>
        </w:tc>
        <w:tc>
          <w:tcPr>
            <w:tcW w:w="1843" w:type="dxa"/>
            <w:vAlign w:val="bottom"/>
          </w:tcPr>
          <w:p w:rsidR="00D322FB" w:rsidRPr="00295709" w:rsidRDefault="00295709" w:rsidP="00295709">
            <w:pPr>
              <w:jc w:val="right"/>
              <w:rPr>
                <w:rFonts w:ascii="Arial" w:hAnsi="Arial" w:cs="Arial"/>
                <w:color w:val="000000"/>
              </w:rPr>
            </w:pPr>
            <w:r w:rsidRPr="00295709">
              <w:rPr>
                <w:rFonts w:ascii="Arial" w:hAnsi="Arial" w:cs="Arial"/>
                <w:color w:val="000000"/>
              </w:rPr>
              <w:t>54</w:t>
            </w:r>
            <w:r w:rsidR="00D322FB" w:rsidRPr="00295709">
              <w:rPr>
                <w:rFonts w:ascii="Arial" w:hAnsi="Arial" w:cs="Arial"/>
                <w:color w:val="000000"/>
              </w:rPr>
              <w:t>.</w:t>
            </w:r>
            <w:r w:rsidRPr="00295709">
              <w:rPr>
                <w:rFonts w:ascii="Arial" w:hAnsi="Arial" w:cs="Arial"/>
                <w:color w:val="000000"/>
              </w:rPr>
              <w:t>070</w:t>
            </w:r>
          </w:p>
        </w:tc>
      </w:tr>
      <w:tr w:rsidR="00D322FB" w:rsidRPr="00690163" w:rsidTr="00DB061E">
        <w:tc>
          <w:tcPr>
            <w:tcW w:w="5670" w:type="dxa"/>
          </w:tcPr>
          <w:p w:rsidR="00D322FB" w:rsidRPr="00295709" w:rsidRDefault="00D322FB" w:rsidP="00CB5525">
            <w:pPr>
              <w:autoSpaceDE w:val="0"/>
              <w:autoSpaceDN w:val="0"/>
              <w:adjustRightInd w:val="0"/>
              <w:ind w:left="-108"/>
              <w:rPr>
                <w:rFonts w:ascii="Arial" w:hAnsi="Arial" w:cs="Arial"/>
                <w:spacing w:val="-3"/>
                <w:lang w:val="tr-TR"/>
              </w:rPr>
            </w:pPr>
            <w:r w:rsidRPr="00295709">
              <w:rPr>
                <w:rFonts w:ascii="Arial" w:hAnsi="Arial" w:cs="Arial"/>
                <w:spacing w:val="-3"/>
                <w:lang w:val="tr-TR"/>
              </w:rPr>
              <w:t>Dönem içinde ödenen</w:t>
            </w:r>
          </w:p>
        </w:tc>
        <w:tc>
          <w:tcPr>
            <w:tcW w:w="1842" w:type="dxa"/>
            <w:vAlign w:val="bottom"/>
          </w:tcPr>
          <w:p w:rsidR="00D322FB" w:rsidRPr="00295709" w:rsidRDefault="00D322FB" w:rsidP="00393429">
            <w:pPr>
              <w:jc w:val="right"/>
              <w:rPr>
                <w:rFonts w:ascii="Times New Roman TUR" w:hAnsi="Times New Roman TUR" w:cs="Arial"/>
                <w:b/>
                <w:bCs/>
              </w:rPr>
            </w:pPr>
            <w:r w:rsidRPr="00295709">
              <w:rPr>
                <w:rFonts w:ascii="Times New Roman TUR" w:hAnsi="Times New Roman TUR" w:cs="Arial"/>
                <w:b/>
                <w:bCs/>
              </w:rPr>
              <w:t xml:space="preserve">                    - </w:t>
            </w:r>
          </w:p>
        </w:tc>
        <w:tc>
          <w:tcPr>
            <w:tcW w:w="1843" w:type="dxa"/>
            <w:vAlign w:val="bottom"/>
          </w:tcPr>
          <w:p w:rsidR="00D322FB" w:rsidRPr="00295709" w:rsidRDefault="00D322FB" w:rsidP="00DB061E">
            <w:pPr>
              <w:jc w:val="right"/>
              <w:rPr>
                <w:rFonts w:ascii="Arial" w:hAnsi="Arial" w:cs="Arial"/>
              </w:rPr>
            </w:pPr>
            <w:r w:rsidRPr="00295709">
              <w:rPr>
                <w:rFonts w:ascii="Arial" w:hAnsi="Arial" w:cs="Arial"/>
              </w:rPr>
              <w:t>-</w:t>
            </w:r>
          </w:p>
        </w:tc>
      </w:tr>
      <w:tr w:rsidR="00D322FB" w:rsidRPr="00690163" w:rsidTr="00DB061E">
        <w:tc>
          <w:tcPr>
            <w:tcW w:w="5670" w:type="dxa"/>
          </w:tcPr>
          <w:p w:rsidR="00D322FB" w:rsidRPr="00295709" w:rsidRDefault="00D322FB" w:rsidP="00CB5525">
            <w:pPr>
              <w:autoSpaceDE w:val="0"/>
              <w:autoSpaceDN w:val="0"/>
              <w:adjustRightInd w:val="0"/>
              <w:ind w:left="-108"/>
              <w:rPr>
                <w:rFonts w:ascii="Arial" w:hAnsi="Arial" w:cs="Arial"/>
                <w:color w:val="000000"/>
              </w:rPr>
            </w:pPr>
            <w:r w:rsidRPr="00295709">
              <w:rPr>
                <w:rFonts w:ascii="Arial" w:hAnsi="Arial" w:cs="Arial"/>
                <w:color w:val="000000"/>
              </w:rPr>
              <w:t>Hizmet maliyeti</w:t>
            </w:r>
          </w:p>
        </w:tc>
        <w:tc>
          <w:tcPr>
            <w:tcW w:w="1842" w:type="dxa"/>
            <w:vAlign w:val="bottom"/>
          </w:tcPr>
          <w:p w:rsidR="00D322FB" w:rsidRPr="00295709" w:rsidRDefault="00295709" w:rsidP="00295709">
            <w:pPr>
              <w:jc w:val="right"/>
              <w:rPr>
                <w:rFonts w:ascii="Arial" w:hAnsi="Arial" w:cs="Arial"/>
                <w:b/>
                <w:bCs/>
                <w:color w:val="000000"/>
              </w:rPr>
            </w:pPr>
            <w:r w:rsidRPr="00295709">
              <w:rPr>
                <w:rFonts w:ascii="Arial" w:hAnsi="Arial" w:cs="Arial"/>
                <w:b/>
                <w:bCs/>
                <w:color w:val="000000"/>
              </w:rPr>
              <w:t>2</w:t>
            </w:r>
            <w:r w:rsidR="00D322FB" w:rsidRPr="00295709">
              <w:rPr>
                <w:rFonts w:ascii="Arial" w:hAnsi="Arial" w:cs="Arial"/>
                <w:b/>
                <w:bCs/>
                <w:color w:val="000000"/>
              </w:rPr>
              <w:t>2.</w:t>
            </w:r>
            <w:r w:rsidRPr="00295709">
              <w:rPr>
                <w:rFonts w:ascii="Arial" w:hAnsi="Arial" w:cs="Arial"/>
                <w:b/>
                <w:bCs/>
                <w:color w:val="000000"/>
              </w:rPr>
              <w:t>666</w:t>
            </w:r>
          </w:p>
        </w:tc>
        <w:tc>
          <w:tcPr>
            <w:tcW w:w="1843" w:type="dxa"/>
            <w:vAlign w:val="bottom"/>
          </w:tcPr>
          <w:p w:rsidR="00D322FB" w:rsidRPr="00295709" w:rsidRDefault="00295709" w:rsidP="00295709">
            <w:pPr>
              <w:jc w:val="right"/>
              <w:rPr>
                <w:rFonts w:ascii="Arial" w:hAnsi="Arial" w:cs="Arial"/>
              </w:rPr>
            </w:pPr>
            <w:r w:rsidRPr="00295709">
              <w:rPr>
                <w:rFonts w:ascii="Arial" w:hAnsi="Arial" w:cs="Arial"/>
              </w:rPr>
              <w:t>2</w:t>
            </w:r>
            <w:r w:rsidR="00D322FB" w:rsidRPr="00295709">
              <w:rPr>
                <w:rFonts w:ascii="Arial" w:hAnsi="Arial" w:cs="Arial"/>
              </w:rPr>
              <w:t>.</w:t>
            </w:r>
            <w:r w:rsidRPr="00295709">
              <w:rPr>
                <w:rFonts w:ascii="Arial" w:hAnsi="Arial" w:cs="Arial"/>
              </w:rPr>
              <w:t>618</w:t>
            </w:r>
          </w:p>
        </w:tc>
      </w:tr>
      <w:tr w:rsidR="00D322FB" w:rsidRPr="00690163" w:rsidTr="00393429">
        <w:tc>
          <w:tcPr>
            <w:tcW w:w="5670" w:type="dxa"/>
            <w:tcBorders>
              <w:bottom w:val="single" w:sz="4" w:space="0" w:color="auto"/>
            </w:tcBorders>
          </w:tcPr>
          <w:p w:rsidR="00D322FB" w:rsidRPr="00295709" w:rsidRDefault="00D322FB" w:rsidP="00CB5525">
            <w:pPr>
              <w:autoSpaceDE w:val="0"/>
              <w:autoSpaceDN w:val="0"/>
              <w:adjustRightInd w:val="0"/>
              <w:ind w:left="-108"/>
              <w:rPr>
                <w:rFonts w:ascii="Arial" w:hAnsi="Arial" w:cs="Arial"/>
                <w:spacing w:val="-3"/>
                <w:lang w:val="tr-TR"/>
              </w:rPr>
            </w:pPr>
          </w:p>
        </w:tc>
        <w:tc>
          <w:tcPr>
            <w:tcW w:w="1842" w:type="dxa"/>
            <w:tcBorders>
              <w:bottom w:val="single" w:sz="4" w:space="0" w:color="auto"/>
            </w:tcBorders>
            <w:vAlign w:val="bottom"/>
          </w:tcPr>
          <w:p w:rsidR="00D322FB" w:rsidRPr="00295709" w:rsidRDefault="00D322FB" w:rsidP="00393429">
            <w:pPr>
              <w:jc w:val="right"/>
              <w:rPr>
                <w:rFonts w:ascii="Arial" w:hAnsi="Arial" w:cs="Arial"/>
                <w:b/>
                <w:bCs/>
                <w:color w:val="000000"/>
              </w:rPr>
            </w:pPr>
            <w:r w:rsidRPr="00295709">
              <w:rPr>
                <w:rFonts w:ascii="Arial" w:hAnsi="Arial" w:cs="Arial"/>
                <w:b/>
                <w:bCs/>
                <w:color w:val="000000"/>
              </w:rPr>
              <w:t> </w:t>
            </w:r>
          </w:p>
        </w:tc>
        <w:tc>
          <w:tcPr>
            <w:tcW w:w="1843" w:type="dxa"/>
            <w:tcBorders>
              <w:bottom w:val="single" w:sz="4" w:space="0" w:color="auto"/>
            </w:tcBorders>
            <w:vAlign w:val="bottom"/>
          </w:tcPr>
          <w:p w:rsidR="00D322FB" w:rsidRPr="00295709" w:rsidRDefault="00D322FB" w:rsidP="00393429">
            <w:pPr>
              <w:jc w:val="right"/>
              <w:rPr>
                <w:rFonts w:ascii="Arial" w:hAnsi="Arial" w:cs="Arial"/>
                <w:color w:val="000000"/>
              </w:rPr>
            </w:pPr>
            <w:r w:rsidRPr="00295709">
              <w:rPr>
                <w:rFonts w:ascii="Arial" w:hAnsi="Arial" w:cs="Arial"/>
                <w:color w:val="000000"/>
              </w:rPr>
              <w:t> </w:t>
            </w:r>
          </w:p>
        </w:tc>
      </w:tr>
      <w:tr w:rsidR="00D322FB" w:rsidRPr="00690163" w:rsidTr="00393429">
        <w:tc>
          <w:tcPr>
            <w:tcW w:w="5670" w:type="dxa"/>
            <w:tcBorders>
              <w:top w:val="single" w:sz="4" w:space="0" w:color="auto"/>
              <w:bottom w:val="double" w:sz="4" w:space="0" w:color="auto"/>
            </w:tcBorders>
          </w:tcPr>
          <w:p w:rsidR="00D322FB" w:rsidRPr="00295709" w:rsidRDefault="00D322FB" w:rsidP="00E93CB7">
            <w:pPr>
              <w:autoSpaceDE w:val="0"/>
              <w:autoSpaceDN w:val="0"/>
              <w:adjustRightInd w:val="0"/>
              <w:ind w:left="-108"/>
              <w:rPr>
                <w:rFonts w:ascii="Arial" w:hAnsi="Arial" w:cs="Arial"/>
                <w:spacing w:val="-3"/>
                <w:lang w:val="tr-TR"/>
              </w:rPr>
            </w:pPr>
            <w:r w:rsidRPr="00295709">
              <w:rPr>
                <w:rFonts w:ascii="Arial" w:hAnsi="Arial" w:cs="Arial"/>
                <w:spacing w:val="-3"/>
                <w:lang w:val="tr-TR"/>
              </w:rPr>
              <w:t xml:space="preserve">Dönem sonu, 31 </w:t>
            </w:r>
            <w:r w:rsidR="00E93CB7" w:rsidRPr="00295709">
              <w:rPr>
                <w:rFonts w:ascii="Arial" w:hAnsi="Arial" w:cs="Arial"/>
                <w:spacing w:val="-3"/>
                <w:lang w:val="tr-TR"/>
              </w:rPr>
              <w:t>Mart</w:t>
            </w:r>
          </w:p>
        </w:tc>
        <w:tc>
          <w:tcPr>
            <w:tcW w:w="1842" w:type="dxa"/>
            <w:tcBorders>
              <w:top w:val="single" w:sz="4" w:space="0" w:color="auto"/>
              <w:bottom w:val="double" w:sz="4" w:space="0" w:color="auto"/>
            </w:tcBorders>
            <w:vAlign w:val="bottom"/>
          </w:tcPr>
          <w:p w:rsidR="00D322FB" w:rsidRPr="00295709" w:rsidRDefault="00295709" w:rsidP="00295709">
            <w:pPr>
              <w:jc w:val="right"/>
              <w:rPr>
                <w:rFonts w:ascii="Arial" w:hAnsi="Arial" w:cs="Arial"/>
                <w:b/>
                <w:bCs/>
                <w:color w:val="000000"/>
              </w:rPr>
            </w:pPr>
            <w:r w:rsidRPr="00295709">
              <w:rPr>
                <w:rFonts w:ascii="Arial" w:hAnsi="Arial" w:cs="Arial"/>
                <w:b/>
                <w:bCs/>
                <w:color w:val="000000"/>
              </w:rPr>
              <w:t>79</w:t>
            </w:r>
            <w:r w:rsidR="00D322FB" w:rsidRPr="00295709">
              <w:rPr>
                <w:rFonts w:ascii="Arial" w:hAnsi="Arial" w:cs="Arial"/>
                <w:b/>
                <w:bCs/>
                <w:color w:val="000000"/>
              </w:rPr>
              <w:t>.</w:t>
            </w:r>
            <w:r w:rsidRPr="00295709">
              <w:rPr>
                <w:rFonts w:ascii="Arial" w:hAnsi="Arial" w:cs="Arial"/>
                <w:b/>
                <w:bCs/>
                <w:color w:val="000000"/>
              </w:rPr>
              <w:t>354</w:t>
            </w:r>
          </w:p>
        </w:tc>
        <w:tc>
          <w:tcPr>
            <w:tcW w:w="1843" w:type="dxa"/>
            <w:tcBorders>
              <w:top w:val="single" w:sz="4" w:space="0" w:color="auto"/>
              <w:bottom w:val="double" w:sz="4" w:space="0" w:color="auto"/>
            </w:tcBorders>
            <w:vAlign w:val="bottom"/>
          </w:tcPr>
          <w:p w:rsidR="00D322FB" w:rsidRPr="00295709" w:rsidRDefault="00D322FB" w:rsidP="00295709">
            <w:pPr>
              <w:jc w:val="right"/>
              <w:rPr>
                <w:rFonts w:ascii="Arial" w:hAnsi="Arial" w:cs="Arial"/>
                <w:color w:val="000000"/>
              </w:rPr>
            </w:pPr>
            <w:r w:rsidRPr="00295709">
              <w:rPr>
                <w:rFonts w:ascii="Arial" w:hAnsi="Arial" w:cs="Arial"/>
                <w:color w:val="000000"/>
              </w:rPr>
              <w:t>5</w:t>
            </w:r>
            <w:r w:rsidR="00295709" w:rsidRPr="00295709">
              <w:rPr>
                <w:rFonts w:ascii="Arial" w:hAnsi="Arial" w:cs="Arial"/>
                <w:color w:val="000000"/>
              </w:rPr>
              <w:t>6</w:t>
            </w:r>
            <w:r w:rsidRPr="00295709">
              <w:rPr>
                <w:rFonts w:ascii="Arial" w:hAnsi="Arial" w:cs="Arial"/>
                <w:color w:val="000000"/>
              </w:rPr>
              <w:t>.</w:t>
            </w:r>
            <w:r w:rsidR="00295709" w:rsidRPr="00295709">
              <w:rPr>
                <w:rFonts w:ascii="Arial" w:hAnsi="Arial" w:cs="Arial"/>
                <w:color w:val="000000"/>
              </w:rPr>
              <w:t>688</w:t>
            </w:r>
          </w:p>
        </w:tc>
      </w:tr>
    </w:tbl>
    <w:p w:rsidR="00D322FB" w:rsidRDefault="00D322FB" w:rsidP="00232832">
      <w:pPr>
        <w:rPr>
          <w:rFonts w:ascii="Arial" w:hAnsi="Arial" w:cs="Arial"/>
          <w:b/>
          <w:spacing w:val="-2"/>
          <w:lang w:val="tr-TR"/>
        </w:rPr>
      </w:pPr>
    </w:p>
    <w:p w:rsidR="00D322FB" w:rsidRPr="00232832" w:rsidRDefault="00D322FB" w:rsidP="00237C52">
      <w:pPr>
        <w:suppressAutoHyphens/>
        <w:ind w:right="2"/>
        <w:rPr>
          <w:rFonts w:ascii="Arial" w:hAnsi="Arial" w:cs="Arial"/>
          <w:lang w:val="tr-TR"/>
        </w:rPr>
      </w:pPr>
      <w:r w:rsidRPr="00232832">
        <w:rPr>
          <w:rFonts w:ascii="Arial" w:hAnsi="Arial" w:cs="Arial"/>
          <w:lang w:val="tr-TR"/>
        </w:rPr>
        <w:t xml:space="preserve">1 Ocak – 31 </w:t>
      </w:r>
      <w:r w:rsidR="00E93CB7">
        <w:rPr>
          <w:rFonts w:ascii="Arial" w:hAnsi="Arial" w:cs="Arial"/>
          <w:lang w:val="tr-TR"/>
        </w:rPr>
        <w:t>Mart</w:t>
      </w:r>
      <w:r w:rsidRPr="00232832">
        <w:rPr>
          <w:rFonts w:ascii="Arial" w:hAnsi="Arial" w:cs="Arial"/>
          <w:lang w:val="tr-TR"/>
        </w:rPr>
        <w:t xml:space="preserve"> 201</w:t>
      </w:r>
      <w:r w:rsidR="00E93CB7">
        <w:rPr>
          <w:rFonts w:ascii="Arial" w:hAnsi="Arial" w:cs="Arial"/>
          <w:lang w:val="tr-TR"/>
        </w:rPr>
        <w:t>5</w:t>
      </w:r>
      <w:r w:rsidRPr="00232832">
        <w:rPr>
          <w:rFonts w:ascii="Arial" w:hAnsi="Arial" w:cs="Arial"/>
          <w:lang w:val="tr-TR"/>
        </w:rPr>
        <w:t xml:space="preserve"> dönemine ait </w:t>
      </w:r>
      <w:r>
        <w:rPr>
          <w:rFonts w:ascii="Arial" w:hAnsi="Arial" w:cs="Arial"/>
          <w:lang w:val="tr-TR"/>
        </w:rPr>
        <w:t>kullanılmamış izin</w:t>
      </w:r>
      <w:r w:rsidRPr="00232832">
        <w:rPr>
          <w:rFonts w:ascii="Arial" w:hAnsi="Arial" w:cs="Arial"/>
          <w:lang w:val="tr-TR"/>
        </w:rPr>
        <w:t xml:space="preserve"> karşılık gideri </w:t>
      </w:r>
      <w:r w:rsidRPr="00690163">
        <w:rPr>
          <w:rFonts w:ascii="Arial" w:hAnsi="Arial" w:cs="Arial"/>
          <w:lang w:val="tr-TR"/>
        </w:rPr>
        <w:t>olan</w:t>
      </w:r>
      <w:r>
        <w:rPr>
          <w:rFonts w:ascii="Arial" w:hAnsi="Arial" w:cs="Arial"/>
          <w:lang w:val="tr-TR"/>
        </w:rPr>
        <w:t xml:space="preserve"> </w:t>
      </w:r>
      <w:r w:rsidR="00295709" w:rsidRPr="00295709">
        <w:rPr>
          <w:rFonts w:ascii="Arial" w:hAnsi="Arial" w:cs="Arial"/>
          <w:lang w:val="tr-TR"/>
        </w:rPr>
        <w:t>22</w:t>
      </w:r>
      <w:r w:rsidRPr="00295709">
        <w:rPr>
          <w:rFonts w:ascii="Arial" w:hAnsi="Arial" w:cs="Arial"/>
          <w:lang w:val="tr-TR"/>
        </w:rPr>
        <w:t>.</w:t>
      </w:r>
      <w:r w:rsidR="00295709" w:rsidRPr="00295709">
        <w:rPr>
          <w:rFonts w:ascii="Arial" w:hAnsi="Arial" w:cs="Arial"/>
          <w:lang w:val="tr-TR"/>
        </w:rPr>
        <w:t>666</w:t>
      </w:r>
      <w:r w:rsidRPr="00690163">
        <w:rPr>
          <w:rFonts w:ascii="Arial" w:hAnsi="Arial" w:cs="Arial"/>
          <w:lang w:val="tr-TR"/>
        </w:rPr>
        <w:t xml:space="preserve"> TL genel yönetim giderlerinde muhasebeleştirilmiştir (Not:18) (1 Ocak – 31 Aralık </w:t>
      </w:r>
      <w:r>
        <w:rPr>
          <w:rFonts w:ascii="Arial" w:hAnsi="Arial" w:cs="Arial"/>
          <w:lang w:val="tr-TR"/>
        </w:rPr>
        <w:t>201</w:t>
      </w:r>
      <w:r w:rsidR="00E93CB7">
        <w:rPr>
          <w:rFonts w:ascii="Arial" w:hAnsi="Arial" w:cs="Arial"/>
          <w:lang w:val="tr-TR"/>
        </w:rPr>
        <w:t>4</w:t>
      </w:r>
      <w:r>
        <w:rPr>
          <w:rFonts w:ascii="Arial" w:hAnsi="Arial" w:cs="Arial"/>
          <w:lang w:val="tr-TR"/>
        </w:rPr>
        <w:t xml:space="preserve"> karşılık gideri olan </w:t>
      </w:r>
      <w:r w:rsidR="00E93CB7">
        <w:rPr>
          <w:rFonts w:ascii="Arial" w:hAnsi="Arial" w:cs="Arial"/>
          <w:lang w:val="tr-TR"/>
        </w:rPr>
        <w:t>2.618</w:t>
      </w:r>
      <w:r w:rsidRPr="00690163">
        <w:rPr>
          <w:rFonts w:ascii="Arial" w:hAnsi="Arial" w:cs="Arial"/>
          <w:lang w:val="tr-TR"/>
        </w:rPr>
        <w:t xml:space="preserve"> TL genel yönetim giderlerinden düşülmüştür).</w:t>
      </w:r>
    </w:p>
    <w:p w:rsidR="00D322FB" w:rsidRDefault="00D322FB" w:rsidP="00232832">
      <w:pPr>
        <w:rPr>
          <w:rFonts w:ascii="Arial" w:hAnsi="Arial" w:cs="Arial"/>
          <w:b/>
          <w:spacing w:val="-2"/>
          <w:lang w:val="tr-TR"/>
        </w:rPr>
      </w:pP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t>14.</w:t>
      </w:r>
      <w:r w:rsidRPr="00284495">
        <w:rPr>
          <w:rFonts w:ascii="Arial" w:hAnsi="Arial" w:cs="Arial"/>
          <w:color w:val="auto"/>
          <w:sz w:val="20"/>
          <w:lang w:val="tr-TR"/>
        </w:rPr>
        <w:tab/>
        <w:t>Karşılıklar, koşullu varlık ve yükümlülükler</w:t>
      </w:r>
    </w:p>
    <w:p w:rsidR="00D322FB" w:rsidRPr="00772684" w:rsidRDefault="00D322FB" w:rsidP="005B1460">
      <w:pPr>
        <w:ind w:left="567" w:hanging="567"/>
        <w:rPr>
          <w:rFonts w:ascii="Arial" w:hAnsi="Arial" w:cs="Arial"/>
          <w:b/>
          <w:lang w:val="tr-TR"/>
        </w:rPr>
      </w:pPr>
    </w:p>
    <w:p w:rsidR="00D322FB" w:rsidRDefault="00613D75" w:rsidP="005B1460">
      <w:pPr>
        <w:autoSpaceDE w:val="0"/>
        <w:autoSpaceDN w:val="0"/>
        <w:adjustRightInd w:val="0"/>
        <w:rPr>
          <w:rFonts w:ascii="Arial" w:hAnsi="Arial" w:cs="Arial"/>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sidR="00D322FB" w:rsidRPr="00772684">
        <w:rPr>
          <w:rFonts w:ascii="Arial" w:hAnsi="Arial" w:cs="Arial"/>
          <w:lang w:val="tr-TR"/>
        </w:rPr>
        <w:t xml:space="preserve">tarihleri itibariyle aktif değerler üzerinde ipotek veya rehin bulunmamaktadır. </w:t>
      </w:r>
    </w:p>
    <w:p w:rsidR="00D322FB" w:rsidRDefault="00D322FB" w:rsidP="005B1460">
      <w:pPr>
        <w:autoSpaceDE w:val="0"/>
        <w:autoSpaceDN w:val="0"/>
        <w:adjustRightInd w:val="0"/>
        <w:rPr>
          <w:rFonts w:ascii="Arial" w:hAnsi="Arial" w:cs="Arial"/>
          <w:lang w:val="tr-TR"/>
        </w:rPr>
      </w:pPr>
    </w:p>
    <w:p w:rsidR="00D322FB" w:rsidRPr="00772684" w:rsidRDefault="00D322FB" w:rsidP="005B1460">
      <w:pPr>
        <w:autoSpaceDE w:val="0"/>
        <w:autoSpaceDN w:val="0"/>
        <w:adjustRightInd w:val="0"/>
        <w:rPr>
          <w:rFonts w:ascii="Arial" w:hAnsi="Arial" w:cs="Arial"/>
          <w:lang w:val="tr-TR"/>
        </w:rPr>
      </w:pPr>
      <w:r w:rsidRPr="009F1C23">
        <w:rPr>
          <w:rFonts w:ascii="Arial" w:hAnsi="Arial" w:cs="Arial"/>
          <w:lang w:val="tr-TR"/>
        </w:rPr>
        <w:t>Bilanço tarihi itibariyle Şirket aleyhine açılmış dava bulunmamaktadır.</w:t>
      </w:r>
      <w:r w:rsidRPr="00772684">
        <w:rPr>
          <w:rFonts w:ascii="Arial" w:hAnsi="Arial" w:cs="Arial"/>
          <w:lang w:val="tr-TR"/>
        </w:rPr>
        <w:t xml:space="preserve"> </w:t>
      </w:r>
    </w:p>
    <w:p w:rsidR="00D322FB" w:rsidRPr="00727376" w:rsidRDefault="00D322FB" w:rsidP="005B1460">
      <w:pPr>
        <w:autoSpaceDE w:val="0"/>
        <w:autoSpaceDN w:val="0"/>
        <w:adjustRightInd w:val="0"/>
        <w:rPr>
          <w:rFonts w:ascii="Arial" w:hAnsi="Arial" w:cs="Arial"/>
          <w:highlight w:val="yellow"/>
          <w:lang w:val="tr-TR"/>
        </w:rPr>
      </w:pPr>
    </w:p>
    <w:p w:rsidR="00D322FB" w:rsidRPr="00727376" w:rsidRDefault="00D322FB" w:rsidP="0008082E">
      <w:pPr>
        <w:autoSpaceDE w:val="0"/>
        <w:autoSpaceDN w:val="0"/>
        <w:adjustRightInd w:val="0"/>
        <w:rPr>
          <w:rFonts w:ascii="Arial" w:hAnsi="Arial" w:cs="Arial"/>
          <w:b/>
          <w:highlight w:val="yellow"/>
          <w:lang w:val="tr-TR"/>
        </w:rPr>
      </w:pPr>
      <w:r>
        <w:rPr>
          <w:rFonts w:ascii="Arial" w:hAnsi="Arial" w:cs="Arial"/>
          <w:lang w:val="tr-TR"/>
        </w:rPr>
        <w:t xml:space="preserve">31 </w:t>
      </w:r>
      <w:r w:rsidR="00E93CB7">
        <w:rPr>
          <w:rFonts w:ascii="Arial" w:hAnsi="Arial" w:cs="Arial"/>
          <w:lang w:val="tr-TR"/>
        </w:rPr>
        <w:t>Mart</w:t>
      </w:r>
      <w:r>
        <w:rPr>
          <w:rFonts w:ascii="Arial" w:hAnsi="Arial" w:cs="Arial"/>
          <w:lang w:val="tr-TR"/>
        </w:rPr>
        <w:t xml:space="preserve"> 201</w:t>
      </w:r>
      <w:r w:rsidR="00E93CB7">
        <w:rPr>
          <w:rFonts w:ascii="Arial" w:hAnsi="Arial" w:cs="Arial"/>
          <w:lang w:val="tr-TR"/>
        </w:rPr>
        <w:t>5</w:t>
      </w:r>
      <w:r w:rsidRPr="00772684">
        <w:rPr>
          <w:rFonts w:ascii="Arial" w:hAnsi="Arial" w:cs="Arial"/>
          <w:lang w:val="tr-TR"/>
        </w:rPr>
        <w:t xml:space="preserve"> tarihi itibariyle Şirket’in </w:t>
      </w:r>
      <w:r w:rsidRPr="00380682">
        <w:rPr>
          <w:rFonts w:ascii="Arial" w:hAnsi="Arial" w:cs="Arial"/>
          <w:lang w:val="tr-TR"/>
        </w:rPr>
        <w:t>portföyündeki</w:t>
      </w:r>
      <w:r>
        <w:rPr>
          <w:rFonts w:ascii="Arial" w:hAnsi="Arial" w:cs="Arial"/>
          <w:lang w:val="tr-TR"/>
        </w:rPr>
        <w:t xml:space="preserve"> 100.000</w:t>
      </w:r>
      <w:r w:rsidR="00E93CB7">
        <w:rPr>
          <w:rFonts w:ascii="Arial" w:hAnsi="Arial" w:cs="Arial"/>
          <w:lang w:val="tr-TR"/>
        </w:rPr>
        <w:t xml:space="preserve"> TL (31 Aralık 2014</w:t>
      </w:r>
      <w:r w:rsidRPr="00772684">
        <w:rPr>
          <w:rFonts w:ascii="Arial" w:hAnsi="Arial" w:cs="Arial"/>
          <w:lang w:val="tr-TR"/>
        </w:rPr>
        <w:t xml:space="preserve"> – 100.000 TL) nominal değerdeki taşınan değeri </w:t>
      </w:r>
      <w:r w:rsidR="00E93CB7">
        <w:rPr>
          <w:rFonts w:ascii="Arial" w:hAnsi="Arial" w:cs="Arial"/>
          <w:lang w:val="tr-TR"/>
        </w:rPr>
        <w:t>101.409</w:t>
      </w:r>
      <w:r w:rsidRPr="00772684">
        <w:rPr>
          <w:rFonts w:ascii="Arial" w:hAnsi="Arial" w:cs="Arial"/>
          <w:lang w:val="tr-TR"/>
        </w:rPr>
        <w:t xml:space="preserve"> TL (31 Aralık 201</w:t>
      </w:r>
      <w:r w:rsidR="00E93CB7">
        <w:rPr>
          <w:rFonts w:ascii="Arial" w:hAnsi="Arial" w:cs="Arial"/>
          <w:lang w:val="tr-TR"/>
        </w:rPr>
        <w:t>4</w:t>
      </w:r>
      <w:r w:rsidRPr="00772684">
        <w:rPr>
          <w:rFonts w:ascii="Arial" w:hAnsi="Arial" w:cs="Arial"/>
          <w:lang w:val="tr-TR"/>
        </w:rPr>
        <w:t xml:space="preserve"> – </w:t>
      </w:r>
      <w:r w:rsidR="00E93CB7">
        <w:rPr>
          <w:rFonts w:ascii="Arial" w:hAnsi="Arial" w:cs="Arial"/>
          <w:lang w:val="tr-TR"/>
        </w:rPr>
        <w:t>99</w:t>
      </w:r>
      <w:r w:rsidRPr="00772684">
        <w:rPr>
          <w:rFonts w:ascii="Arial" w:hAnsi="Arial" w:cs="Arial"/>
          <w:lang w:val="tr-TR"/>
        </w:rPr>
        <w:t>.</w:t>
      </w:r>
      <w:r w:rsidR="00E93CB7">
        <w:rPr>
          <w:rFonts w:ascii="Arial" w:hAnsi="Arial" w:cs="Arial"/>
          <w:lang w:val="tr-TR"/>
        </w:rPr>
        <w:t>348</w:t>
      </w:r>
      <w:r w:rsidRPr="00772684">
        <w:rPr>
          <w:rFonts w:ascii="Arial" w:hAnsi="Arial" w:cs="Arial"/>
          <w:lang w:val="tr-TR"/>
        </w:rPr>
        <w:t xml:space="preserve"> TL) olan devlet iç borçlanma senedi, sermaye blokajı olarak SPK adına İstanbul Takas ve Saklama Bankası A.Ş.’de (“Takasbank”) bloke hesapta tutulmaktadır.</w:t>
      </w:r>
    </w:p>
    <w:p w:rsidR="00D322FB" w:rsidRPr="009E6131" w:rsidRDefault="00D322FB" w:rsidP="000668E2">
      <w:pPr>
        <w:rPr>
          <w:rFonts w:ascii="Arial" w:hAnsi="Arial" w:cs="Arial"/>
          <w:b/>
          <w:lang w:val="tr-TR"/>
        </w:rPr>
      </w:pPr>
      <w:r>
        <w:rPr>
          <w:rFonts w:ascii="Arial" w:hAnsi="Arial" w:cs="Arial"/>
          <w:b/>
          <w:lang w:val="tr-TR"/>
        </w:rPr>
        <w:br w:type="page"/>
      </w: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lastRenderedPageBreak/>
        <w:t>15.</w:t>
      </w:r>
      <w:r w:rsidRPr="00284495">
        <w:rPr>
          <w:rFonts w:ascii="Arial" w:hAnsi="Arial" w:cs="Arial"/>
          <w:color w:val="auto"/>
          <w:sz w:val="20"/>
          <w:lang w:val="tr-TR"/>
        </w:rPr>
        <w:tab/>
        <w:t>Özkaynaklar</w:t>
      </w:r>
    </w:p>
    <w:p w:rsidR="00D322FB" w:rsidRPr="009E6131" w:rsidRDefault="00D322FB" w:rsidP="00AE0484">
      <w:pPr>
        <w:ind w:left="567" w:hanging="567"/>
        <w:rPr>
          <w:rFonts w:ascii="Arial" w:hAnsi="Arial" w:cs="Arial"/>
          <w:lang w:val="tr-TR"/>
        </w:rPr>
      </w:pPr>
    </w:p>
    <w:p w:rsidR="00D322FB" w:rsidRPr="009E6131" w:rsidRDefault="00D322FB" w:rsidP="00AE0484">
      <w:pPr>
        <w:ind w:left="567" w:hanging="567"/>
        <w:rPr>
          <w:rFonts w:ascii="Arial" w:hAnsi="Arial" w:cs="Arial"/>
          <w:i/>
          <w:lang w:val="tr-TR"/>
        </w:rPr>
      </w:pPr>
      <w:r w:rsidRPr="009E6131">
        <w:rPr>
          <w:rFonts w:ascii="Arial" w:hAnsi="Arial" w:cs="Arial"/>
          <w:bCs/>
          <w:i/>
          <w:noProof/>
          <w:lang w:val="tr-TR"/>
        </w:rPr>
        <w:t>Ödenmiş sermaye</w:t>
      </w:r>
    </w:p>
    <w:p w:rsidR="00D322FB" w:rsidRPr="009E6131" w:rsidRDefault="00D322FB" w:rsidP="00AE0484">
      <w:pPr>
        <w:ind w:left="567" w:hanging="567"/>
        <w:rPr>
          <w:rFonts w:ascii="Arial" w:hAnsi="Arial" w:cs="Arial"/>
          <w:lang w:val="tr-TR"/>
        </w:rPr>
      </w:pPr>
    </w:p>
    <w:p w:rsidR="00D322FB" w:rsidRPr="008243E5" w:rsidRDefault="00D322FB" w:rsidP="009E6131">
      <w:pPr>
        <w:autoSpaceDE w:val="0"/>
        <w:autoSpaceDN w:val="0"/>
        <w:adjustRightInd w:val="0"/>
        <w:spacing w:line="230" w:lineRule="auto"/>
        <w:rPr>
          <w:rFonts w:ascii="Arial" w:hAnsi="Arial" w:cs="Arial"/>
          <w:lang w:val="tr-TR"/>
        </w:rPr>
      </w:pPr>
      <w:r w:rsidRPr="009E6131">
        <w:rPr>
          <w:rFonts w:ascii="Arial" w:hAnsi="Arial" w:cs="Arial"/>
          <w:lang w:val="tr-TR"/>
        </w:rPr>
        <w:t xml:space="preserve">Şirket’in </w:t>
      </w:r>
      <w:r w:rsidR="002B063A">
        <w:rPr>
          <w:rFonts w:ascii="Arial" w:hAnsi="Arial" w:cs="Arial"/>
          <w:lang w:val="tr-TR"/>
        </w:rPr>
        <w:t>31 Mart</w:t>
      </w:r>
      <w:r w:rsidR="002B063A" w:rsidRPr="00776A7A">
        <w:rPr>
          <w:rFonts w:ascii="Arial" w:hAnsi="Arial" w:cs="Arial"/>
          <w:lang w:val="tr-TR"/>
        </w:rPr>
        <w:t xml:space="preserve"> 201</w:t>
      </w:r>
      <w:r w:rsidR="002B063A">
        <w:rPr>
          <w:rFonts w:ascii="Arial" w:hAnsi="Arial" w:cs="Arial"/>
          <w:lang w:val="tr-TR"/>
        </w:rPr>
        <w:t>5 ve 31 Aralık 2014</w:t>
      </w:r>
      <w:r w:rsidR="002B063A" w:rsidRPr="00776A7A">
        <w:rPr>
          <w:rFonts w:ascii="Arial" w:hAnsi="Arial" w:cs="Arial"/>
          <w:lang w:val="tr-TR"/>
        </w:rPr>
        <w:t xml:space="preserve">  </w:t>
      </w:r>
      <w:r>
        <w:rPr>
          <w:rFonts w:ascii="Arial" w:hAnsi="Arial" w:cs="Arial"/>
          <w:lang w:val="tr-TR"/>
        </w:rPr>
        <w:t xml:space="preserve"> tarihleri itibariyle</w:t>
      </w:r>
      <w:r w:rsidRPr="008243E5">
        <w:rPr>
          <w:rFonts w:ascii="Arial" w:hAnsi="Arial" w:cs="Arial"/>
          <w:lang w:val="tr-TR"/>
        </w:rPr>
        <w:t xml:space="preserve"> ödenmiş sermaye yapısı aşağıdaki gibidir:</w:t>
      </w:r>
    </w:p>
    <w:p w:rsidR="00D322FB" w:rsidRPr="00727376" w:rsidRDefault="00D322FB" w:rsidP="00D9040F">
      <w:pPr>
        <w:jc w:val="both"/>
        <w:rPr>
          <w:rFonts w:ascii="Arial" w:hAnsi="Arial" w:cs="Arial"/>
          <w:highlight w:val="yellow"/>
          <w:lang w:val="tr-TR"/>
        </w:rPr>
      </w:pPr>
    </w:p>
    <w:tbl>
      <w:tblPr>
        <w:tblW w:w="9450" w:type="dxa"/>
        <w:tblInd w:w="62" w:type="dxa"/>
        <w:tblLayout w:type="fixed"/>
        <w:tblCellMar>
          <w:left w:w="62" w:type="dxa"/>
          <w:right w:w="62" w:type="dxa"/>
        </w:tblCellMar>
        <w:tblLook w:val="0000" w:firstRow="0" w:lastRow="0" w:firstColumn="0" w:lastColumn="0" w:noHBand="0" w:noVBand="0"/>
      </w:tblPr>
      <w:tblGrid>
        <w:gridCol w:w="3420"/>
        <w:gridCol w:w="1440"/>
        <w:gridCol w:w="1530"/>
        <w:gridCol w:w="1530"/>
        <w:gridCol w:w="1530"/>
      </w:tblGrid>
      <w:tr w:rsidR="00B441DA" w:rsidRPr="00727376" w:rsidTr="00B6520D">
        <w:tc>
          <w:tcPr>
            <w:tcW w:w="3420" w:type="dxa"/>
            <w:tcBorders>
              <w:top w:val="single" w:sz="4" w:space="0" w:color="auto"/>
              <w:bottom w:val="single" w:sz="4" w:space="0" w:color="auto"/>
            </w:tcBorders>
            <w:vAlign w:val="bottom"/>
          </w:tcPr>
          <w:p w:rsidR="00B441DA" w:rsidRPr="00D953E1" w:rsidRDefault="00B441DA" w:rsidP="00AE0484">
            <w:pPr>
              <w:pStyle w:val="Heading9"/>
              <w:tabs>
                <w:tab w:val="clear" w:pos="1082"/>
              </w:tabs>
              <w:suppressAutoHyphens/>
              <w:jc w:val="left"/>
              <w:rPr>
                <w:rFonts w:ascii="Arial" w:hAnsi="Arial" w:cs="Arial"/>
                <w:spacing w:val="-3"/>
                <w:sz w:val="20"/>
                <w:u w:val="none"/>
                <w:lang w:val="tr-TR"/>
              </w:rPr>
            </w:pPr>
            <w:r w:rsidRPr="00D953E1">
              <w:rPr>
                <w:rFonts w:ascii="Arial" w:hAnsi="Arial" w:cs="Arial"/>
                <w:spacing w:val="-3"/>
                <w:sz w:val="20"/>
                <w:u w:val="none"/>
                <w:lang w:val="tr-TR"/>
              </w:rPr>
              <w:t>Ortaklar</w:t>
            </w:r>
          </w:p>
        </w:tc>
        <w:tc>
          <w:tcPr>
            <w:tcW w:w="1440" w:type="dxa"/>
            <w:tcBorders>
              <w:top w:val="single" w:sz="4" w:space="0" w:color="auto"/>
              <w:bottom w:val="single" w:sz="4" w:space="0" w:color="auto"/>
            </w:tcBorders>
            <w:vAlign w:val="bottom"/>
          </w:tcPr>
          <w:p w:rsidR="00B441DA" w:rsidRPr="00D953E1" w:rsidRDefault="00B441DA" w:rsidP="00F32A01">
            <w:pPr>
              <w:suppressAutoHyphens/>
              <w:jc w:val="right"/>
              <w:rPr>
                <w:rFonts w:ascii="Arial" w:hAnsi="Arial" w:cs="Arial"/>
                <w:b/>
                <w:spacing w:val="-3"/>
                <w:lang w:val="tr-TR"/>
              </w:rPr>
            </w:pPr>
            <w:r w:rsidRPr="00D953E1">
              <w:rPr>
                <w:rFonts w:ascii="Arial" w:hAnsi="Arial" w:cs="Arial"/>
                <w:b/>
                <w:spacing w:val="-3"/>
                <w:lang w:val="tr-TR"/>
              </w:rPr>
              <w:t>Pay oranı (%)</w:t>
            </w:r>
          </w:p>
        </w:tc>
        <w:tc>
          <w:tcPr>
            <w:tcW w:w="1530" w:type="dxa"/>
            <w:tcBorders>
              <w:top w:val="single" w:sz="4" w:space="0" w:color="auto"/>
              <w:bottom w:val="single" w:sz="4" w:space="0" w:color="auto"/>
            </w:tcBorders>
            <w:vAlign w:val="bottom"/>
          </w:tcPr>
          <w:p w:rsidR="00B441DA" w:rsidRPr="00D953E1" w:rsidRDefault="00B441DA" w:rsidP="00B441DA">
            <w:pPr>
              <w:suppressAutoHyphens/>
              <w:jc w:val="right"/>
              <w:rPr>
                <w:rFonts w:ascii="Arial" w:hAnsi="Arial" w:cs="Arial"/>
                <w:b/>
                <w:spacing w:val="-3"/>
                <w:lang w:val="tr-TR"/>
              </w:rPr>
            </w:pPr>
            <w:r w:rsidRPr="00D953E1">
              <w:rPr>
                <w:rFonts w:ascii="Arial" w:hAnsi="Arial" w:cs="Arial"/>
                <w:b/>
                <w:spacing w:val="-3"/>
                <w:lang w:val="tr-TR"/>
              </w:rPr>
              <w:t xml:space="preserve">31 </w:t>
            </w:r>
            <w:r>
              <w:rPr>
                <w:rFonts w:ascii="Arial" w:hAnsi="Arial" w:cs="Arial"/>
                <w:b/>
                <w:spacing w:val="-3"/>
                <w:lang w:val="tr-TR"/>
              </w:rPr>
              <w:t>Mart</w:t>
            </w:r>
            <w:r w:rsidRPr="00D953E1">
              <w:rPr>
                <w:rFonts w:ascii="Arial" w:hAnsi="Arial" w:cs="Arial"/>
                <w:b/>
                <w:spacing w:val="-3"/>
                <w:lang w:val="tr-TR"/>
              </w:rPr>
              <w:t xml:space="preserve"> 201</w:t>
            </w:r>
            <w:r>
              <w:rPr>
                <w:rFonts w:ascii="Arial" w:hAnsi="Arial" w:cs="Arial"/>
                <w:b/>
                <w:spacing w:val="-3"/>
                <w:lang w:val="tr-TR"/>
              </w:rPr>
              <w:t>5</w:t>
            </w:r>
          </w:p>
        </w:tc>
        <w:tc>
          <w:tcPr>
            <w:tcW w:w="1530" w:type="dxa"/>
            <w:tcBorders>
              <w:top w:val="single" w:sz="4" w:space="0" w:color="auto"/>
              <w:bottom w:val="single" w:sz="4" w:space="0" w:color="auto"/>
            </w:tcBorders>
            <w:vAlign w:val="bottom"/>
          </w:tcPr>
          <w:p w:rsidR="00B441DA" w:rsidRPr="00B441DA" w:rsidRDefault="00B441DA" w:rsidP="00B6520D">
            <w:pPr>
              <w:suppressAutoHyphens/>
              <w:jc w:val="right"/>
              <w:rPr>
                <w:rFonts w:ascii="Arial" w:hAnsi="Arial" w:cs="Arial"/>
                <w:spacing w:val="-3"/>
                <w:lang w:val="tr-TR"/>
              </w:rPr>
            </w:pPr>
            <w:r w:rsidRPr="00B441DA">
              <w:rPr>
                <w:rFonts w:ascii="Arial" w:hAnsi="Arial" w:cs="Arial"/>
                <w:spacing w:val="-3"/>
                <w:lang w:val="tr-TR"/>
              </w:rPr>
              <w:t>Pay oranı (%)</w:t>
            </w:r>
          </w:p>
        </w:tc>
        <w:tc>
          <w:tcPr>
            <w:tcW w:w="1530" w:type="dxa"/>
            <w:tcBorders>
              <w:top w:val="single" w:sz="4" w:space="0" w:color="auto"/>
              <w:bottom w:val="single" w:sz="4" w:space="0" w:color="auto"/>
            </w:tcBorders>
            <w:vAlign w:val="bottom"/>
          </w:tcPr>
          <w:p w:rsidR="00B441DA" w:rsidRPr="00B441DA" w:rsidRDefault="00B441DA" w:rsidP="00B6520D">
            <w:pPr>
              <w:suppressAutoHyphens/>
              <w:jc w:val="right"/>
              <w:rPr>
                <w:rFonts w:ascii="Arial" w:hAnsi="Arial" w:cs="Arial"/>
                <w:spacing w:val="-3"/>
                <w:lang w:val="tr-TR"/>
              </w:rPr>
            </w:pPr>
            <w:r w:rsidRPr="00B441DA">
              <w:rPr>
                <w:rFonts w:ascii="Arial" w:hAnsi="Arial" w:cs="Arial"/>
                <w:spacing w:val="-3"/>
                <w:lang w:val="tr-TR"/>
              </w:rPr>
              <w:t>31 Aralık 2014</w:t>
            </w:r>
          </w:p>
        </w:tc>
      </w:tr>
      <w:tr w:rsidR="00B441DA" w:rsidRPr="00727376" w:rsidTr="00B6520D">
        <w:tc>
          <w:tcPr>
            <w:tcW w:w="3420" w:type="dxa"/>
            <w:tcBorders>
              <w:top w:val="single" w:sz="4" w:space="0" w:color="auto"/>
            </w:tcBorders>
            <w:vAlign w:val="bottom"/>
          </w:tcPr>
          <w:p w:rsidR="00B441DA" w:rsidRPr="00D953E1" w:rsidRDefault="00B441DA" w:rsidP="00AE0484">
            <w:pPr>
              <w:pStyle w:val="Heading9"/>
              <w:tabs>
                <w:tab w:val="clear" w:pos="1082"/>
              </w:tabs>
              <w:suppressAutoHyphens/>
              <w:jc w:val="left"/>
              <w:rPr>
                <w:rFonts w:ascii="Arial" w:hAnsi="Arial" w:cs="Arial"/>
                <w:spacing w:val="-3"/>
                <w:sz w:val="20"/>
                <w:u w:val="none"/>
                <w:lang w:val="tr-TR"/>
              </w:rPr>
            </w:pPr>
          </w:p>
        </w:tc>
        <w:tc>
          <w:tcPr>
            <w:tcW w:w="1440" w:type="dxa"/>
            <w:tcBorders>
              <w:top w:val="single" w:sz="4" w:space="0" w:color="auto"/>
            </w:tcBorders>
            <w:vAlign w:val="bottom"/>
          </w:tcPr>
          <w:p w:rsidR="00B441DA" w:rsidRPr="00D953E1" w:rsidRDefault="00B441DA" w:rsidP="0015474E">
            <w:pPr>
              <w:suppressAutoHyphens/>
              <w:jc w:val="right"/>
              <w:rPr>
                <w:rFonts w:ascii="Arial" w:hAnsi="Arial" w:cs="Arial"/>
                <w:b/>
                <w:spacing w:val="-3"/>
                <w:lang w:val="tr-TR"/>
              </w:rPr>
            </w:pPr>
          </w:p>
        </w:tc>
        <w:tc>
          <w:tcPr>
            <w:tcW w:w="1530" w:type="dxa"/>
            <w:tcBorders>
              <w:top w:val="single" w:sz="4" w:space="0" w:color="auto"/>
            </w:tcBorders>
            <w:vAlign w:val="bottom"/>
          </w:tcPr>
          <w:p w:rsidR="00B441DA" w:rsidRPr="00D953E1" w:rsidRDefault="00B441DA" w:rsidP="0015474E">
            <w:pPr>
              <w:suppressAutoHyphens/>
              <w:jc w:val="right"/>
              <w:rPr>
                <w:rFonts w:ascii="Arial" w:hAnsi="Arial" w:cs="Arial"/>
                <w:b/>
                <w:spacing w:val="-3"/>
                <w:lang w:val="tr-TR"/>
              </w:rPr>
            </w:pPr>
          </w:p>
        </w:tc>
        <w:tc>
          <w:tcPr>
            <w:tcW w:w="1530" w:type="dxa"/>
            <w:tcBorders>
              <w:top w:val="single" w:sz="4" w:space="0" w:color="auto"/>
            </w:tcBorders>
            <w:vAlign w:val="bottom"/>
          </w:tcPr>
          <w:p w:rsidR="00B441DA" w:rsidRPr="00B441DA" w:rsidRDefault="00B441DA" w:rsidP="00B6520D">
            <w:pPr>
              <w:suppressAutoHyphens/>
              <w:jc w:val="right"/>
              <w:rPr>
                <w:rFonts w:ascii="Arial" w:hAnsi="Arial" w:cs="Arial"/>
                <w:spacing w:val="-3"/>
                <w:lang w:val="tr-TR"/>
              </w:rPr>
            </w:pPr>
          </w:p>
        </w:tc>
        <w:tc>
          <w:tcPr>
            <w:tcW w:w="1530" w:type="dxa"/>
            <w:tcBorders>
              <w:top w:val="single" w:sz="4" w:space="0" w:color="auto"/>
            </w:tcBorders>
            <w:vAlign w:val="bottom"/>
          </w:tcPr>
          <w:p w:rsidR="00B441DA" w:rsidRPr="00B441DA" w:rsidRDefault="00B441DA" w:rsidP="00B6520D">
            <w:pPr>
              <w:suppressAutoHyphens/>
              <w:jc w:val="right"/>
              <w:rPr>
                <w:rFonts w:ascii="Arial" w:hAnsi="Arial" w:cs="Arial"/>
                <w:spacing w:val="-3"/>
                <w:lang w:val="tr-TR"/>
              </w:rPr>
            </w:pPr>
          </w:p>
        </w:tc>
      </w:tr>
      <w:tr w:rsidR="00B441DA" w:rsidRPr="00727376" w:rsidTr="00B6520D">
        <w:tc>
          <w:tcPr>
            <w:tcW w:w="3420" w:type="dxa"/>
            <w:vAlign w:val="bottom"/>
          </w:tcPr>
          <w:p w:rsidR="00B441DA" w:rsidRPr="00D953E1" w:rsidRDefault="00B441DA" w:rsidP="00AE0484">
            <w:pPr>
              <w:rPr>
                <w:rFonts w:ascii="Arial" w:eastAsia="Arial Unicode MS" w:hAnsi="Arial" w:cs="Arial"/>
                <w:lang w:val="tr-TR"/>
              </w:rPr>
            </w:pPr>
            <w:r w:rsidRPr="00D953E1">
              <w:rPr>
                <w:rFonts w:ascii="Arial" w:eastAsia="Arial Unicode MS" w:hAnsi="Arial" w:cs="Arial"/>
                <w:lang w:val="tr-TR"/>
              </w:rPr>
              <w:t>Ata Yatırım Menkul Kıymetler A.Ş.</w:t>
            </w:r>
          </w:p>
        </w:tc>
        <w:tc>
          <w:tcPr>
            <w:tcW w:w="144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89,30%</w:t>
            </w:r>
          </w:p>
        </w:tc>
        <w:tc>
          <w:tcPr>
            <w:tcW w:w="153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 xml:space="preserve">         2.679.000 </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89,30%</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 xml:space="preserve">         2.679.000 </w:t>
            </w:r>
          </w:p>
        </w:tc>
      </w:tr>
      <w:tr w:rsidR="00B441DA" w:rsidRPr="00727376" w:rsidTr="00B6520D">
        <w:tc>
          <w:tcPr>
            <w:tcW w:w="3420" w:type="dxa"/>
            <w:vAlign w:val="bottom"/>
          </w:tcPr>
          <w:p w:rsidR="00B441DA" w:rsidRPr="00D953E1" w:rsidRDefault="00B441DA" w:rsidP="00AE0484">
            <w:pPr>
              <w:rPr>
                <w:rFonts w:ascii="Arial" w:eastAsia="Arial Unicode MS" w:hAnsi="Arial" w:cs="Arial"/>
                <w:lang w:val="tr-TR"/>
              </w:rPr>
            </w:pPr>
            <w:r w:rsidRPr="00D953E1">
              <w:rPr>
                <w:rFonts w:ascii="Arial" w:eastAsia="Arial Unicode MS" w:hAnsi="Arial" w:cs="Arial"/>
                <w:lang w:val="tr-TR"/>
              </w:rPr>
              <w:t>Ata Holding A.Ş.</w:t>
            </w:r>
          </w:p>
        </w:tc>
        <w:tc>
          <w:tcPr>
            <w:tcW w:w="144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9,70%</w:t>
            </w:r>
          </w:p>
        </w:tc>
        <w:tc>
          <w:tcPr>
            <w:tcW w:w="153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 xml:space="preserve">           291.000 </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9,70%</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 xml:space="preserve">           291.000 </w:t>
            </w:r>
          </w:p>
        </w:tc>
      </w:tr>
      <w:tr w:rsidR="00B441DA" w:rsidRPr="00727376" w:rsidTr="00B6520D">
        <w:tc>
          <w:tcPr>
            <w:tcW w:w="3420" w:type="dxa"/>
            <w:vAlign w:val="bottom"/>
          </w:tcPr>
          <w:p w:rsidR="00B441DA" w:rsidRPr="00D953E1" w:rsidRDefault="00B441DA" w:rsidP="00AE0484">
            <w:pPr>
              <w:rPr>
                <w:rFonts w:ascii="Arial" w:eastAsia="Arial Unicode MS" w:hAnsi="Arial" w:cs="Arial"/>
                <w:lang w:val="tr-TR"/>
              </w:rPr>
            </w:pPr>
            <w:r w:rsidRPr="00D953E1">
              <w:rPr>
                <w:rFonts w:ascii="Arial" w:eastAsia="Arial Unicode MS" w:hAnsi="Arial" w:cs="Arial"/>
                <w:lang w:val="tr-TR"/>
              </w:rPr>
              <w:t xml:space="preserve">Korhan Kurdoğlu </w:t>
            </w:r>
          </w:p>
        </w:tc>
        <w:tc>
          <w:tcPr>
            <w:tcW w:w="144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0,25%</w:t>
            </w:r>
          </w:p>
        </w:tc>
        <w:tc>
          <w:tcPr>
            <w:tcW w:w="153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 xml:space="preserve">               7.500 </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0,25%</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 xml:space="preserve">               7.500 </w:t>
            </w:r>
          </w:p>
        </w:tc>
      </w:tr>
      <w:tr w:rsidR="00B441DA" w:rsidRPr="00727376" w:rsidTr="00B6520D">
        <w:tc>
          <w:tcPr>
            <w:tcW w:w="3420" w:type="dxa"/>
            <w:vAlign w:val="bottom"/>
          </w:tcPr>
          <w:p w:rsidR="00B441DA" w:rsidRPr="00D953E1" w:rsidRDefault="00B441DA" w:rsidP="00AE0484">
            <w:pPr>
              <w:rPr>
                <w:rFonts w:ascii="Arial" w:eastAsia="Arial Unicode MS" w:hAnsi="Arial" w:cs="Arial"/>
                <w:lang w:val="tr-TR"/>
              </w:rPr>
            </w:pPr>
            <w:r w:rsidRPr="00D953E1">
              <w:rPr>
                <w:rFonts w:ascii="Arial" w:eastAsia="Arial Unicode MS" w:hAnsi="Arial" w:cs="Arial"/>
                <w:lang w:val="tr-TR"/>
              </w:rPr>
              <w:t>Erhan Kurdoğlu</w:t>
            </w:r>
          </w:p>
        </w:tc>
        <w:tc>
          <w:tcPr>
            <w:tcW w:w="144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0,25%</w:t>
            </w:r>
          </w:p>
        </w:tc>
        <w:tc>
          <w:tcPr>
            <w:tcW w:w="153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 xml:space="preserve">               7.500 </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0,25%</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 xml:space="preserve">               7.500 </w:t>
            </w:r>
          </w:p>
        </w:tc>
      </w:tr>
      <w:tr w:rsidR="00B441DA" w:rsidRPr="00727376" w:rsidTr="00B6520D">
        <w:tc>
          <w:tcPr>
            <w:tcW w:w="3420" w:type="dxa"/>
            <w:vAlign w:val="bottom"/>
          </w:tcPr>
          <w:p w:rsidR="00B441DA" w:rsidRPr="00D953E1" w:rsidRDefault="00B441DA" w:rsidP="00AE0484">
            <w:pPr>
              <w:rPr>
                <w:rFonts w:ascii="Arial" w:eastAsia="Arial Unicode MS" w:hAnsi="Arial" w:cs="Arial"/>
                <w:lang w:val="tr-TR"/>
              </w:rPr>
            </w:pPr>
            <w:r w:rsidRPr="00D953E1">
              <w:rPr>
                <w:rFonts w:ascii="Arial" w:eastAsia="Arial Unicode MS" w:hAnsi="Arial" w:cs="Arial"/>
                <w:lang w:val="tr-TR"/>
              </w:rPr>
              <w:t>Duran Uğur</w:t>
            </w:r>
          </w:p>
        </w:tc>
        <w:tc>
          <w:tcPr>
            <w:tcW w:w="144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0,25%</w:t>
            </w:r>
          </w:p>
        </w:tc>
        <w:tc>
          <w:tcPr>
            <w:tcW w:w="153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 xml:space="preserve">               7.500 </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0,25%</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 xml:space="preserve">               7.500 </w:t>
            </w:r>
          </w:p>
        </w:tc>
      </w:tr>
      <w:tr w:rsidR="00B441DA" w:rsidRPr="00727376" w:rsidTr="00B6520D">
        <w:tc>
          <w:tcPr>
            <w:tcW w:w="3420" w:type="dxa"/>
            <w:vAlign w:val="bottom"/>
          </w:tcPr>
          <w:p w:rsidR="00B441DA" w:rsidRPr="00D953E1" w:rsidRDefault="00B441DA" w:rsidP="00AE0484">
            <w:pPr>
              <w:rPr>
                <w:rFonts w:ascii="Arial" w:eastAsia="Arial Unicode MS" w:hAnsi="Arial" w:cs="Arial"/>
                <w:lang w:val="tr-TR"/>
              </w:rPr>
            </w:pPr>
            <w:r w:rsidRPr="00D953E1">
              <w:rPr>
                <w:rFonts w:ascii="Arial" w:eastAsia="Arial Unicode MS" w:hAnsi="Arial" w:cs="Arial"/>
                <w:lang w:val="tr-TR"/>
              </w:rPr>
              <w:t>Ömer Faruk Işık</w:t>
            </w:r>
          </w:p>
        </w:tc>
        <w:tc>
          <w:tcPr>
            <w:tcW w:w="144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0,25%</w:t>
            </w:r>
          </w:p>
        </w:tc>
        <w:tc>
          <w:tcPr>
            <w:tcW w:w="1530" w:type="dxa"/>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 xml:space="preserve">               7.500 </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0,25%</w:t>
            </w:r>
          </w:p>
        </w:tc>
        <w:tc>
          <w:tcPr>
            <w:tcW w:w="1530" w:type="dxa"/>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 xml:space="preserve">               7.500 </w:t>
            </w:r>
          </w:p>
        </w:tc>
      </w:tr>
      <w:tr w:rsidR="00B441DA" w:rsidRPr="00727376" w:rsidTr="00B6520D">
        <w:tc>
          <w:tcPr>
            <w:tcW w:w="3420" w:type="dxa"/>
            <w:tcBorders>
              <w:bottom w:val="single" w:sz="4" w:space="0" w:color="auto"/>
            </w:tcBorders>
            <w:vAlign w:val="bottom"/>
          </w:tcPr>
          <w:p w:rsidR="00B441DA" w:rsidRPr="00D953E1" w:rsidRDefault="00B441DA" w:rsidP="00AE0484">
            <w:pPr>
              <w:rPr>
                <w:rFonts w:ascii="Arial" w:eastAsia="Arial Unicode MS" w:hAnsi="Arial" w:cs="Arial"/>
                <w:lang w:val="tr-TR"/>
              </w:rPr>
            </w:pPr>
          </w:p>
        </w:tc>
        <w:tc>
          <w:tcPr>
            <w:tcW w:w="1440" w:type="dxa"/>
            <w:tcBorders>
              <w:bottom w:val="single" w:sz="4" w:space="0" w:color="auto"/>
            </w:tcBorders>
            <w:vAlign w:val="bottom"/>
          </w:tcPr>
          <w:p w:rsidR="00B441DA" w:rsidRPr="00D953E1" w:rsidRDefault="00B441DA" w:rsidP="00E56138">
            <w:pPr>
              <w:jc w:val="right"/>
              <w:rPr>
                <w:rFonts w:ascii="Arial" w:hAnsi="Arial" w:cs="Arial"/>
                <w:b/>
                <w:color w:val="000000"/>
              </w:rPr>
            </w:pPr>
          </w:p>
        </w:tc>
        <w:tc>
          <w:tcPr>
            <w:tcW w:w="1530" w:type="dxa"/>
            <w:tcBorders>
              <w:bottom w:val="single" w:sz="4" w:space="0" w:color="auto"/>
            </w:tcBorders>
            <w:vAlign w:val="bottom"/>
          </w:tcPr>
          <w:p w:rsidR="00B441DA" w:rsidRPr="00D953E1" w:rsidRDefault="00B441DA" w:rsidP="00E56138">
            <w:pPr>
              <w:jc w:val="right"/>
              <w:rPr>
                <w:rFonts w:ascii="Arial" w:hAnsi="Arial" w:cs="Arial"/>
                <w:b/>
                <w:color w:val="000000"/>
              </w:rPr>
            </w:pPr>
          </w:p>
        </w:tc>
        <w:tc>
          <w:tcPr>
            <w:tcW w:w="1530" w:type="dxa"/>
            <w:tcBorders>
              <w:bottom w:val="single" w:sz="4" w:space="0" w:color="auto"/>
            </w:tcBorders>
            <w:vAlign w:val="bottom"/>
          </w:tcPr>
          <w:p w:rsidR="00B441DA" w:rsidRPr="00B441DA" w:rsidRDefault="00B441DA" w:rsidP="00B6520D">
            <w:pPr>
              <w:jc w:val="right"/>
              <w:rPr>
                <w:rFonts w:ascii="Arial" w:hAnsi="Arial" w:cs="Arial"/>
                <w:color w:val="000000"/>
              </w:rPr>
            </w:pPr>
          </w:p>
        </w:tc>
        <w:tc>
          <w:tcPr>
            <w:tcW w:w="1530" w:type="dxa"/>
            <w:tcBorders>
              <w:bottom w:val="single" w:sz="4" w:space="0" w:color="auto"/>
            </w:tcBorders>
            <w:vAlign w:val="bottom"/>
          </w:tcPr>
          <w:p w:rsidR="00B441DA" w:rsidRPr="00B441DA" w:rsidRDefault="00B441DA" w:rsidP="00B6520D">
            <w:pPr>
              <w:jc w:val="right"/>
              <w:rPr>
                <w:rFonts w:ascii="Arial" w:hAnsi="Arial" w:cs="Arial"/>
                <w:color w:val="000000"/>
              </w:rPr>
            </w:pPr>
          </w:p>
        </w:tc>
      </w:tr>
      <w:tr w:rsidR="00B441DA" w:rsidRPr="00727376" w:rsidTr="00B6520D">
        <w:tc>
          <w:tcPr>
            <w:tcW w:w="3420" w:type="dxa"/>
            <w:tcBorders>
              <w:top w:val="single" w:sz="4" w:space="0" w:color="auto"/>
              <w:bottom w:val="double" w:sz="4" w:space="0" w:color="auto"/>
            </w:tcBorders>
            <w:vAlign w:val="bottom"/>
          </w:tcPr>
          <w:p w:rsidR="00B441DA" w:rsidRPr="00D953E1" w:rsidRDefault="00B441DA" w:rsidP="00AE0484">
            <w:pPr>
              <w:suppressAutoHyphens/>
              <w:ind w:right="-469"/>
              <w:rPr>
                <w:rFonts w:ascii="Arial" w:hAnsi="Arial" w:cs="Arial"/>
                <w:spacing w:val="-3"/>
                <w:lang w:val="tr-TR"/>
              </w:rPr>
            </w:pPr>
          </w:p>
        </w:tc>
        <w:tc>
          <w:tcPr>
            <w:tcW w:w="1440" w:type="dxa"/>
            <w:tcBorders>
              <w:top w:val="single" w:sz="4" w:space="0" w:color="auto"/>
              <w:bottom w:val="double" w:sz="4" w:space="0" w:color="auto"/>
            </w:tcBorders>
            <w:vAlign w:val="bottom"/>
          </w:tcPr>
          <w:p w:rsidR="00B441DA" w:rsidRPr="00D953E1" w:rsidRDefault="00B441DA" w:rsidP="00E56138">
            <w:pPr>
              <w:jc w:val="right"/>
              <w:rPr>
                <w:rFonts w:ascii="Arial" w:hAnsi="Arial" w:cs="Arial"/>
                <w:b/>
                <w:color w:val="000000"/>
              </w:rPr>
            </w:pPr>
            <w:r w:rsidRPr="00D953E1">
              <w:rPr>
                <w:rFonts w:ascii="Arial" w:hAnsi="Arial" w:cs="Arial"/>
                <w:b/>
                <w:color w:val="000000"/>
              </w:rPr>
              <w:t>100%</w:t>
            </w:r>
          </w:p>
        </w:tc>
        <w:tc>
          <w:tcPr>
            <w:tcW w:w="1530" w:type="dxa"/>
            <w:tcBorders>
              <w:top w:val="single" w:sz="4" w:space="0" w:color="auto"/>
              <w:bottom w:val="double" w:sz="4" w:space="0" w:color="auto"/>
            </w:tcBorders>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 xml:space="preserve">         3.000.000 </w:t>
            </w:r>
          </w:p>
        </w:tc>
        <w:tc>
          <w:tcPr>
            <w:tcW w:w="1530" w:type="dxa"/>
            <w:tcBorders>
              <w:top w:val="single" w:sz="4" w:space="0" w:color="auto"/>
              <w:bottom w:val="double" w:sz="4" w:space="0" w:color="auto"/>
            </w:tcBorders>
            <w:vAlign w:val="bottom"/>
          </w:tcPr>
          <w:p w:rsidR="00B441DA" w:rsidRPr="00B441DA" w:rsidRDefault="00B441DA" w:rsidP="00B6520D">
            <w:pPr>
              <w:jc w:val="right"/>
              <w:rPr>
                <w:rFonts w:ascii="Arial" w:hAnsi="Arial" w:cs="Arial"/>
                <w:color w:val="000000"/>
              </w:rPr>
            </w:pPr>
            <w:r w:rsidRPr="00B441DA">
              <w:rPr>
                <w:rFonts w:ascii="Arial" w:hAnsi="Arial" w:cs="Arial"/>
                <w:color w:val="000000"/>
              </w:rPr>
              <w:t>100%</w:t>
            </w:r>
          </w:p>
        </w:tc>
        <w:tc>
          <w:tcPr>
            <w:tcW w:w="1530" w:type="dxa"/>
            <w:tcBorders>
              <w:top w:val="single" w:sz="4" w:space="0" w:color="auto"/>
              <w:bottom w:val="double" w:sz="4" w:space="0" w:color="auto"/>
            </w:tcBorders>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 xml:space="preserve">         3.000.000 </w:t>
            </w:r>
          </w:p>
        </w:tc>
      </w:tr>
      <w:tr w:rsidR="00B441DA" w:rsidRPr="00727376" w:rsidTr="00B6520D">
        <w:tc>
          <w:tcPr>
            <w:tcW w:w="3420" w:type="dxa"/>
            <w:tcBorders>
              <w:top w:val="double" w:sz="4" w:space="0" w:color="auto"/>
              <w:bottom w:val="single" w:sz="4" w:space="0" w:color="auto"/>
            </w:tcBorders>
            <w:vAlign w:val="bottom"/>
          </w:tcPr>
          <w:p w:rsidR="00B441DA" w:rsidRPr="00D953E1" w:rsidRDefault="00B441DA" w:rsidP="00AE0484">
            <w:pPr>
              <w:suppressAutoHyphens/>
              <w:rPr>
                <w:rFonts w:ascii="Arial" w:hAnsi="Arial" w:cs="Arial"/>
                <w:spacing w:val="-3"/>
                <w:lang w:val="tr-TR"/>
              </w:rPr>
            </w:pPr>
          </w:p>
        </w:tc>
        <w:tc>
          <w:tcPr>
            <w:tcW w:w="1440" w:type="dxa"/>
            <w:tcBorders>
              <w:top w:val="double" w:sz="4" w:space="0" w:color="auto"/>
              <w:bottom w:val="single" w:sz="4" w:space="0" w:color="auto"/>
            </w:tcBorders>
            <w:vAlign w:val="bottom"/>
          </w:tcPr>
          <w:p w:rsidR="00B441DA" w:rsidRPr="00D953E1" w:rsidRDefault="00B441DA" w:rsidP="00E56138">
            <w:pPr>
              <w:suppressAutoHyphens/>
              <w:jc w:val="right"/>
              <w:rPr>
                <w:rFonts w:ascii="Arial" w:hAnsi="Arial" w:cs="Arial"/>
                <w:b/>
                <w:spacing w:val="-3"/>
                <w:lang w:val="tr-TR"/>
              </w:rPr>
            </w:pPr>
          </w:p>
        </w:tc>
        <w:tc>
          <w:tcPr>
            <w:tcW w:w="1530" w:type="dxa"/>
            <w:tcBorders>
              <w:top w:val="double" w:sz="4" w:space="0" w:color="auto"/>
              <w:bottom w:val="single" w:sz="4" w:space="0" w:color="auto"/>
            </w:tcBorders>
            <w:vAlign w:val="bottom"/>
          </w:tcPr>
          <w:p w:rsidR="00B441DA" w:rsidRPr="00D953E1" w:rsidRDefault="00B441DA" w:rsidP="00E56138">
            <w:pPr>
              <w:suppressAutoHyphens/>
              <w:jc w:val="right"/>
              <w:rPr>
                <w:rFonts w:ascii="Arial" w:hAnsi="Arial" w:cs="Arial"/>
                <w:b/>
                <w:spacing w:val="-3"/>
                <w:lang w:val="tr-TR"/>
              </w:rPr>
            </w:pPr>
          </w:p>
        </w:tc>
        <w:tc>
          <w:tcPr>
            <w:tcW w:w="1530" w:type="dxa"/>
            <w:tcBorders>
              <w:top w:val="double" w:sz="4" w:space="0" w:color="auto"/>
              <w:bottom w:val="single" w:sz="4" w:space="0" w:color="auto"/>
            </w:tcBorders>
            <w:vAlign w:val="bottom"/>
          </w:tcPr>
          <w:p w:rsidR="00B441DA" w:rsidRPr="00B441DA" w:rsidRDefault="00B441DA" w:rsidP="00B6520D">
            <w:pPr>
              <w:suppressAutoHyphens/>
              <w:jc w:val="right"/>
              <w:rPr>
                <w:rFonts w:ascii="Arial" w:hAnsi="Arial" w:cs="Arial"/>
                <w:spacing w:val="-3"/>
                <w:lang w:val="tr-TR"/>
              </w:rPr>
            </w:pPr>
          </w:p>
        </w:tc>
        <w:tc>
          <w:tcPr>
            <w:tcW w:w="1530" w:type="dxa"/>
            <w:tcBorders>
              <w:top w:val="double" w:sz="4" w:space="0" w:color="auto"/>
              <w:bottom w:val="single" w:sz="4" w:space="0" w:color="auto"/>
            </w:tcBorders>
            <w:vAlign w:val="bottom"/>
          </w:tcPr>
          <w:p w:rsidR="00B441DA" w:rsidRPr="00B441DA" w:rsidRDefault="00B441DA" w:rsidP="00B6520D">
            <w:pPr>
              <w:suppressAutoHyphens/>
              <w:jc w:val="right"/>
              <w:rPr>
                <w:rFonts w:ascii="Arial" w:hAnsi="Arial" w:cs="Arial"/>
                <w:spacing w:val="-3"/>
                <w:lang w:val="tr-TR"/>
              </w:rPr>
            </w:pPr>
          </w:p>
        </w:tc>
      </w:tr>
      <w:tr w:rsidR="00B441DA" w:rsidRPr="00727376" w:rsidTr="00B6520D">
        <w:tc>
          <w:tcPr>
            <w:tcW w:w="3420" w:type="dxa"/>
            <w:tcBorders>
              <w:top w:val="single" w:sz="4" w:space="0" w:color="auto"/>
              <w:bottom w:val="double" w:sz="4" w:space="0" w:color="auto"/>
            </w:tcBorders>
            <w:vAlign w:val="bottom"/>
          </w:tcPr>
          <w:p w:rsidR="00B441DA" w:rsidRPr="00D953E1" w:rsidRDefault="00B441DA" w:rsidP="00AE0484">
            <w:pPr>
              <w:suppressAutoHyphens/>
              <w:rPr>
                <w:rFonts w:ascii="Arial" w:hAnsi="Arial" w:cs="Arial"/>
                <w:spacing w:val="-3"/>
                <w:lang w:val="tr-TR"/>
              </w:rPr>
            </w:pPr>
            <w:r w:rsidRPr="00D953E1">
              <w:rPr>
                <w:rFonts w:ascii="Arial" w:hAnsi="Arial" w:cs="Arial"/>
                <w:spacing w:val="-3"/>
                <w:lang w:val="tr-TR"/>
              </w:rPr>
              <w:t>Sermaye düzeltmesi farkları</w:t>
            </w:r>
          </w:p>
        </w:tc>
        <w:tc>
          <w:tcPr>
            <w:tcW w:w="1440" w:type="dxa"/>
            <w:tcBorders>
              <w:top w:val="single" w:sz="4" w:space="0" w:color="auto"/>
              <w:bottom w:val="double" w:sz="4" w:space="0" w:color="auto"/>
            </w:tcBorders>
            <w:vAlign w:val="bottom"/>
          </w:tcPr>
          <w:p w:rsidR="00B441DA" w:rsidRPr="00D953E1" w:rsidRDefault="00B441DA" w:rsidP="00E56138">
            <w:pPr>
              <w:suppressAutoHyphens/>
              <w:jc w:val="right"/>
              <w:rPr>
                <w:rFonts w:ascii="Arial" w:hAnsi="Arial" w:cs="Arial"/>
                <w:b/>
                <w:spacing w:val="-3"/>
                <w:lang w:val="tr-TR"/>
              </w:rPr>
            </w:pPr>
          </w:p>
        </w:tc>
        <w:tc>
          <w:tcPr>
            <w:tcW w:w="1530" w:type="dxa"/>
            <w:tcBorders>
              <w:top w:val="single" w:sz="4" w:space="0" w:color="auto"/>
              <w:bottom w:val="double" w:sz="4" w:space="0" w:color="auto"/>
            </w:tcBorders>
            <w:vAlign w:val="bottom"/>
          </w:tcPr>
          <w:p w:rsidR="00B441DA" w:rsidRPr="00D953E1" w:rsidRDefault="00B441DA" w:rsidP="00E56138">
            <w:pPr>
              <w:jc w:val="right"/>
              <w:rPr>
                <w:rFonts w:ascii="Arial" w:hAnsi="Arial" w:cs="Arial"/>
                <w:b/>
                <w:bCs/>
                <w:color w:val="000000"/>
              </w:rPr>
            </w:pPr>
            <w:r w:rsidRPr="00D953E1">
              <w:rPr>
                <w:rFonts w:ascii="Arial" w:hAnsi="Arial" w:cs="Arial"/>
                <w:b/>
                <w:bCs/>
                <w:color w:val="000000"/>
              </w:rPr>
              <w:t xml:space="preserve">           133.130 </w:t>
            </w:r>
          </w:p>
        </w:tc>
        <w:tc>
          <w:tcPr>
            <w:tcW w:w="1530" w:type="dxa"/>
            <w:tcBorders>
              <w:top w:val="single" w:sz="4" w:space="0" w:color="auto"/>
              <w:bottom w:val="double" w:sz="4" w:space="0" w:color="auto"/>
            </w:tcBorders>
            <w:vAlign w:val="bottom"/>
          </w:tcPr>
          <w:p w:rsidR="00B441DA" w:rsidRPr="00B441DA" w:rsidRDefault="00B441DA" w:rsidP="00B6520D">
            <w:pPr>
              <w:suppressAutoHyphens/>
              <w:jc w:val="right"/>
              <w:rPr>
                <w:rFonts w:ascii="Arial" w:hAnsi="Arial" w:cs="Arial"/>
                <w:spacing w:val="-3"/>
                <w:lang w:val="tr-TR"/>
              </w:rPr>
            </w:pPr>
          </w:p>
        </w:tc>
        <w:tc>
          <w:tcPr>
            <w:tcW w:w="1530" w:type="dxa"/>
            <w:tcBorders>
              <w:top w:val="single" w:sz="4" w:space="0" w:color="auto"/>
              <w:bottom w:val="double" w:sz="4" w:space="0" w:color="auto"/>
            </w:tcBorders>
            <w:vAlign w:val="bottom"/>
          </w:tcPr>
          <w:p w:rsidR="00B441DA" w:rsidRPr="00B441DA" w:rsidRDefault="00B441DA" w:rsidP="00B6520D">
            <w:pPr>
              <w:jc w:val="right"/>
              <w:rPr>
                <w:rFonts w:ascii="Arial" w:hAnsi="Arial" w:cs="Arial"/>
                <w:bCs/>
                <w:color w:val="000000"/>
              </w:rPr>
            </w:pPr>
            <w:r w:rsidRPr="00B441DA">
              <w:rPr>
                <w:rFonts w:ascii="Arial" w:hAnsi="Arial" w:cs="Arial"/>
                <w:bCs/>
                <w:color w:val="000000"/>
              </w:rPr>
              <w:t xml:space="preserve">           133.130 </w:t>
            </w:r>
          </w:p>
        </w:tc>
      </w:tr>
    </w:tbl>
    <w:p w:rsidR="00D322FB" w:rsidRDefault="00D322FB" w:rsidP="00510CC4">
      <w:pPr>
        <w:rPr>
          <w:rFonts w:ascii="Arial" w:hAnsi="Arial" w:cs="Arial"/>
          <w:highlight w:val="yellow"/>
          <w:lang w:val="tr-TR"/>
        </w:rPr>
      </w:pPr>
    </w:p>
    <w:p w:rsidR="00D322FB" w:rsidRPr="00650D76" w:rsidRDefault="00D322FB" w:rsidP="003D68A4">
      <w:pPr>
        <w:pStyle w:val="body0"/>
        <w:tabs>
          <w:tab w:val="left" w:pos="567"/>
        </w:tabs>
        <w:spacing w:after="0" w:line="240" w:lineRule="auto"/>
        <w:jc w:val="left"/>
        <w:rPr>
          <w:rFonts w:ascii="Arial" w:hAnsi="Arial" w:cs="Arial"/>
          <w:spacing w:val="-2"/>
          <w:sz w:val="20"/>
          <w:szCs w:val="20"/>
          <w:lang w:val="tr-TR"/>
        </w:rPr>
      </w:pPr>
      <w:r w:rsidRPr="00650D76">
        <w:rPr>
          <w:rFonts w:ascii="Arial" w:hAnsi="Arial" w:cs="Arial"/>
          <w:spacing w:val="-2"/>
          <w:sz w:val="20"/>
          <w:szCs w:val="20"/>
          <w:lang w:val="tr-TR"/>
        </w:rPr>
        <w:t>Sermaye düzeltme farkları ödenmiş sermayeye yapılan nakit ve nakit benzeri ilavelerin enflasyona göre düzeltilmiş toplam tutarları ile enflasyon düzeltmesi öncesindeki tutarları arasındaki farkı ifade eder.</w:t>
      </w:r>
    </w:p>
    <w:p w:rsidR="00D322FB" w:rsidRDefault="00D322FB" w:rsidP="00510CC4">
      <w:pPr>
        <w:rPr>
          <w:rFonts w:ascii="Arial" w:hAnsi="Arial" w:cs="Arial"/>
          <w:highlight w:val="yellow"/>
          <w:lang w:val="tr-TR"/>
        </w:rPr>
      </w:pPr>
    </w:p>
    <w:p w:rsidR="00D322FB" w:rsidRDefault="00D322FB" w:rsidP="00243287">
      <w:pPr>
        <w:pStyle w:val="body0"/>
        <w:tabs>
          <w:tab w:val="left" w:pos="567"/>
        </w:tabs>
        <w:spacing w:after="0" w:line="240" w:lineRule="auto"/>
        <w:jc w:val="left"/>
        <w:rPr>
          <w:rFonts w:ascii="Arial" w:hAnsi="Arial" w:cs="Arial"/>
          <w:spacing w:val="-2"/>
          <w:sz w:val="20"/>
          <w:szCs w:val="20"/>
          <w:lang w:val="tr-TR"/>
        </w:rPr>
      </w:pPr>
      <w:r w:rsidRPr="00650D76">
        <w:rPr>
          <w:rFonts w:ascii="Arial" w:hAnsi="Arial" w:cs="Arial"/>
          <w:spacing w:val="-2"/>
          <w:sz w:val="20"/>
          <w:szCs w:val="20"/>
          <w:lang w:val="tr-TR"/>
        </w:rPr>
        <w:t>Sermaye düzeltmesi farklarının sermayeye eklenmek dışında bir kullanımı yoktur.</w:t>
      </w:r>
    </w:p>
    <w:p w:rsidR="00D322FB" w:rsidRDefault="00D322FB" w:rsidP="00243287">
      <w:pPr>
        <w:pStyle w:val="body0"/>
        <w:tabs>
          <w:tab w:val="left" w:pos="567"/>
        </w:tabs>
        <w:spacing w:after="0" w:line="240" w:lineRule="auto"/>
        <w:jc w:val="left"/>
        <w:rPr>
          <w:rFonts w:ascii="Arial" w:hAnsi="Arial" w:cs="Arial"/>
          <w:spacing w:val="-2"/>
          <w:sz w:val="20"/>
          <w:szCs w:val="20"/>
          <w:lang w:val="tr-TR"/>
        </w:rPr>
      </w:pPr>
    </w:p>
    <w:p w:rsidR="00D322FB" w:rsidRDefault="00D322FB" w:rsidP="002559E9">
      <w:pPr>
        <w:rPr>
          <w:rFonts w:ascii="Arial" w:hAnsi="Arial" w:cs="Arial"/>
          <w:lang w:val="tr-TR"/>
        </w:rPr>
      </w:pPr>
      <w:r w:rsidRPr="005C1591">
        <w:rPr>
          <w:rFonts w:ascii="Arial" w:hAnsi="Arial" w:cs="Arial"/>
          <w:lang w:val="tr-TR"/>
        </w:rPr>
        <w:t xml:space="preserve">Şirket’in sermayesi </w:t>
      </w:r>
      <w:r>
        <w:rPr>
          <w:rFonts w:ascii="Arial" w:hAnsi="Arial" w:cs="Arial"/>
          <w:color w:val="000000"/>
          <w:lang w:val="tr-TR"/>
        </w:rPr>
        <w:t>3.0</w:t>
      </w:r>
      <w:r w:rsidRPr="005C1591">
        <w:rPr>
          <w:rFonts w:ascii="Arial" w:hAnsi="Arial" w:cs="Arial"/>
          <w:color w:val="000000"/>
          <w:lang w:val="tr-TR"/>
        </w:rPr>
        <w:t>00.000 adet hisseden oluşmaktadır (31 Aralık 201</w:t>
      </w:r>
      <w:r w:rsidR="003D7F46">
        <w:rPr>
          <w:rFonts w:ascii="Arial" w:hAnsi="Arial" w:cs="Arial"/>
          <w:color w:val="000000"/>
          <w:lang w:val="tr-TR"/>
        </w:rPr>
        <w:t>4</w:t>
      </w:r>
      <w:r w:rsidRPr="005C1591">
        <w:rPr>
          <w:rFonts w:ascii="Arial" w:hAnsi="Arial" w:cs="Arial"/>
          <w:color w:val="000000"/>
          <w:lang w:val="tr-TR"/>
        </w:rPr>
        <w:t xml:space="preserve"> – </w:t>
      </w:r>
      <w:r w:rsidR="003D7F46">
        <w:rPr>
          <w:rFonts w:ascii="Arial" w:hAnsi="Arial" w:cs="Arial"/>
          <w:color w:val="000000"/>
          <w:lang w:val="tr-TR"/>
        </w:rPr>
        <w:t>3</w:t>
      </w:r>
      <w:r w:rsidRPr="005C1591">
        <w:rPr>
          <w:rFonts w:ascii="Arial" w:hAnsi="Arial" w:cs="Arial"/>
          <w:color w:val="000000"/>
          <w:lang w:val="tr-TR"/>
        </w:rPr>
        <w:t>.</w:t>
      </w:r>
      <w:r w:rsidR="003D7F46">
        <w:rPr>
          <w:rFonts w:ascii="Arial" w:hAnsi="Arial" w:cs="Arial"/>
          <w:color w:val="000000"/>
          <w:lang w:val="tr-TR"/>
        </w:rPr>
        <w:t>0</w:t>
      </w:r>
      <w:r w:rsidRPr="005C1591">
        <w:rPr>
          <w:rFonts w:ascii="Arial" w:hAnsi="Arial" w:cs="Arial"/>
          <w:color w:val="000000"/>
          <w:lang w:val="tr-TR"/>
        </w:rPr>
        <w:t>00.000 adet hisse). Hisselerin itibari değeri hisse başına 1</w:t>
      </w:r>
      <w:r w:rsidRPr="005C1591">
        <w:rPr>
          <w:rFonts w:ascii="Arial" w:hAnsi="Arial" w:cs="Arial"/>
          <w:lang w:val="tr-TR"/>
        </w:rPr>
        <w:t xml:space="preserve"> TL’dir (</w:t>
      </w:r>
      <w:r w:rsidRPr="005C1591">
        <w:rPr>
          <w:rFonts w:ascii="Arial" w:hAnsi="Arial" w:cs="Arial"/>
          <w:color w:val="000000"/>
          <w:lang w:val="tr-TR"/>
        </w:rPr>
        <w:t>31 Aralık 201</w:t>
      </w:r>
      <w:r w:rsidR="003D7F46">
        <w:rPr>
          <w:rFonts w:ascii="Arial" w:hAnsi="Arial" w:cs="Arial"/>
          <w:color w:val="000000"/>
          <w:lang w:val="tr-TR"/>
        </w:rPr>
        <w:t>4</w:t>
      </w:r>
      <w:r w:rsidRPr="005C1591">
        <w:rPr>
          <w:rFonts w:ascii="Arial" w:hAnsi="Arial" w:cs="Arial"/>
          <w:color w:val="000000"/>
          <w:lang w:val="tr-TR"/>
        </w:rPr>
        <w:t xml:space="preserve"> – </w:t>
      </w:r>
      <w:r w:rsidRPr="005C1591">
        <w:rPr>
          <w:rFonts w:ascii="Arial" w:hAnsi="Arial" w:cs="Arial"/>
          <w:lang w:val="tr-TR"/>
        </w:rPr>
        <w:t>hisse başı 1 TL). İmtiyazlı hisse senedi bulunmamaktadır.</w:t>
      </w:r>
    </w:p>
    <w:p w:rsidR="00D322FB" w:rsidRDefault="00D322FB" w:rsidP="002559E9">
      <w:pPr>
        <w:rPr>
          <w:rFonts w:ascii="Arial" w:hAnsi="Arial" w:cs="Arial"/>
          <w:lang w:val="tr-TR"/>
        </w:rPr>
      </w:pPr>
    </w:p>
    <w:p w:rsidR="00D322FB" w:rsidRDefault="00D322FB" w:rsidP="00243287">
      <w:pPr>
        <w:pStyle w:val="body0"/>
        <w:tabs>
          <w:tab w:val="left" w:pos="567"/>
        </w:tabs>
        <w:spacing w:after="0" w:line="240" w:lineRule="auto"/>
        <w:jc w:val="left"/>
        <w:rPr>
          <w:rFonts w:ascii="Arial" w:hAnsi="Arial" w:cs="Arial"/>
          <w:spacing w:val="-2"/>
          <w:sz w:val="20"/>
          <w:szCs w:val="20"/>
          <w:lang w:val="tr-TR"/>
        </w:rPr>
      </w:pPr>
    </w:p>
    <w:p w:rsidR="00D322FB" w:rsidRPr="00243287" w:rsidRDefault="00D322FB" w:rsidP="00243287">
      <w:pPr>
        <w:rPr>
          <w:rFonts w:ascii="Arial" w:hAnsi="Arial" w:cs="Arial"/>
          <w:b/>
          <w:lang w:val="tr-TR"/>
        </w:rPr>
      </w:pPr>
      <w:r w:rsidRPr="00243287">
        <w:rPr>
          <w:rFonts w:ascii="Arial" w:hAnsi="Arial" w:cs="Arial"/>
          <w:b/>
          <w:lang w:val="tr-TR"/>
        </w:rPr>
        <w:t>15.</w:t>
      </w:r>
      <w:r w:rsidRPr="00243287">
        <w:rPr>
          <w:rFonts w:ascii="Arial" w:hAnsi="Arial" w:cs="Arial"/>
          <w:b/>
          <w:lang w:val="tr-TR"/>
        </w:rPr>
        <w:tab/>
        <w:t>Özkaynaklar (devamı)</w:t>
      </w:r>
    </w:p>
    <w:p w:rsidR="00D322FB" w:rsidRPr="00243287" w:rsidRDefault="00D322FB" w:rsidP="00243287">
      <w:pPr>
        <w:rPr>
          <w:rFonts w:ascii="Arial" w:hAnsi="Arial" w:cs="Arial"/>
          <w:b/>
          <w:lang w:val="tr-TR"/>
        </w:rPr>
      </w:pPr>
    </w:p>
    <w:p w:rsidR="00D322FB" w:rsidRPr="00243287" w:rsidRDefault="00D322FB" w:rsidP="00243287">
      <w:pPr>
        <w:rPr>
          <w:rFonts w:ascii="Arial" w:hAnsi="Arial" w:cs="Arial"/>
          <w:b/>
          <w:lang w:val="tr-TR"/>
        </w:rPr>
      </w:pPr>
      <w:r w:rsidRPr="004201EA">
        <w:rPr>
          <w:rFonts w:ascii="Arial" w:hAnsi="Arial" w:cs="Arial"/>
          <w:lang w:val="tr-TR"/>
        </w:rPr>
        <w:t xml:space="preserve">Şirket’in </w:t>
      </w:r>
      <w:r w:rsidRPr="00E27261">
        <w:rPr>
          <w:rFonts w:ascii="Arial" w:hAnsi="Arial" w:cs="Arial"/>
          <w:lang w:val="tr-TR"/>
        </w:rPr>
        <w:t xml:space="preserve">sermayesi </w:t>
      </w:r>
      <w:r w:rsidRPr="00E27261">
        <w:rPr>
          <w:rFonts w:ascii="Arial" w:hAnsi="Arial" w:cs="Arial"/>
          <w:color w:val="000000"/>
          <w:lang w:val="tr-TR"/>
        </w:rPr>
        <w:t>3.000.000 adet hisseden oluşmaktadır (31 Aralık 201</w:t>
      </w:r>
      <w:r w:rsidR="003D7F46">
        <w:rPr>
          <w:rFonts w:ascii="Arial" w:hAnsi="Arial" w:cs="Arial"/>
          <w:color w:val="000000"/>
          <w:lang w:val="tr-TR"/>
        </w:rPr>
        <w:t>4</w:t>
      </w:r>
      <w:r w:rsidRPr="00E27261">
        <w:rPr>
          <w:rFonts w:ascii="Arial" w:hAnsi="Arial" w:cs="Arial"/>
          <w:color w:val="000000"/>
          <w:lang w:val="tr-TR"/>
        </w:rPr>
        <w:t xml:space="preserve"> – </w:t>
      </w:r>
      <w:r w:rsidR="003D7F46">
        <w:rPr>
          <w:rFonts w:ascii="Arial" w:hAnsi="Arial" w:cs="Arial"/>
          <w:color w:val="000000"/>
          <w:lang w:val="tr-TR"/>
        </w:rPr>
        <w:t>3</w:t>
      </w:r>
      <w:r w:rsidRPr="00E27261">
        <w:rPr>
          <w:rFonts w:ascii="Arial" w:hAnsi="Arial" w:cs="Arial"/>
          <w:color w:val="000000"/>
          <w:lang w:val="tr-TR"/>
        </w:rPr>
        <w:t>.</w:t>
      </w:r>
      <w:r w:rsidR="003D7F46">
        <w:rPr>
          <w:rFonts w:ascii="Arial" w:hAnsi="Arial" w:cs="Arial"/>
          <w:color w:val="000000"/>
          <w:lang w:val="tr-TR"/>
        </w:rPr>
        <w:t>0</w:t>
      </w:r>
      <w:r w:rsidRPr="00E27261">
        <w:rPr>
          <w:rFonts w:ascii="Arial" w:hAnsi="Arial" w:cs="Arial"/>
          <w:color w:val="000000"/>
          <w:lang w:val="tr-TR"/>
        </w:rPr>
        <w:t>00.000 adet hisse). Hisselerin itibari değeri hisse başına 1</w:t>
      </w:r>
      <w:r w:rsidRPr="00E27261">
        <w:rPr>
          <w:rFonts w:ascii="Arial" w:hAnsi="Arial" w:cs="Arial"/>
          <w:lang w:val="tr-TR"/>
        </w:rPr>
        <w:t xml:space="preserve"> TL’dir (</w:t>
      </w:r>
      <w:r w:rsidRPr="00E27261">
        <w:rPr>
          <w:rFonts w:ascii="Arial" w:hAnsi="Arial" w:cs="Arial"/>
          <w:color w:val="000000"/>
          <w:lang w:val="tr-TR"/>
        </w:rPr>
        <w:t>31 Aralık 201</w:t>
      </w:r>
      <w:r w:rsidR="003D7F46">
        <w:rPr>
          <w:rFonts w:ascii="Arial" w:hAnsi="Arial" w:cs="Arial"/>
          <w:color w:val="000000"/>
          <w:lang w:val="tr-TR"/>
        </w:rPr>
        <w:t>4</w:t>
      </w:r>
      <w:r w:rsidRPr="00E27261">
        <w:rPr>
          <w:rFonts w:ascii="Arial" w:hAnsi="Arial" w:cs="Arial"/>
          <w:color w:val="000000"/>
          <w:lang w:val="tr-TR"/>
        </w:rPr>
        <w:t xml:space="preserve"> – </w:t>
      </w:r>
      <w:r w:rsidRPr="00E27261">
        <w:rPr>
          <w:rFonts w:ascii="Arial" w:hAnsi="Arial" w:cs="Arial"/>
          <w:lang w:val="tr-TR"/>
        </w:rPr>
        <w:t>hisse başı 1 TL). İmtiyazlı hisse senedi bulunmamaktadır.</w:t>
      </w:r>
    </w:p>
    <w:p w:rsidR="00D322FB" w:rsidRPr="00243287" w:rsidRDefault="00D322FB">
      <w:pPr>
        <w:rPr>
          <w:rFonts w:ascii="Arial" w:hAnsi="Arial" w:cs="Arial"/>
          <w:b/>
          <w:lang w:val="tr-TR"/>
        </w:rPr>
      </w:pPr>
    </w:p>
    <w:p w:rsidR="00D322FB" w:rsidRDefault="00D322FB" w:rsidP="002E291B">
      <w:pPr>
        <w:autoSpaceDE w:val="0"/>
        <w:autoSpaceDN w:val="0"/>
        <w:adjustRightInd w:val="0"/>
        <w:rPr>
          <w:rFonts w:ascii="Arial" w:hAnsi="Arial" w:cs="Arial"/>
          <w:highlight w:val="yellow"/>
          <w:lang w:val="tr-TR"/>
        </w:rPr>
      </w:pPr>
    </w:p>
    <w:p w:rsidR="00D322FB" w:rsidRPr="00A759DA" w:rsidRDefault="00D322FB" w:rsidP="00A71F33">
      <w:pPr>
        <w:ind w:left="567" w:hanging="567"/>
        <w:rPr>
          <w:rFonts w:ascii="Arial" w:hAnsi="Arial" w:cs="Arial"/>
          <w:i/>
          <w:lang w:val="tr-TR"/>
        </w:rPr>
      </w:pPr>
      <w:r w:rsidRPr="00A759DA">
        <w:rPr>
          <w:rFonts w:ascii="Arial" w:hAnsi="Arial" w:cs="Arial"/>
          <w:i/>
          <w:lang w:val="tr-TR"/>
        </w:rPr>
        <w:t>Kardan ayrılan kısıtlanmış yedekler</w:t>
      </w:r>
    </w:p>
    <w:p w:rsidR="00D322FB" w:rsidRPr="00026CD9" w:rsidRDefault="00D322FB" w:rsidP="00A71F33">
      <w:pPr>
        <w:autoSpaceDE w:val="0"/>
        <w:autoSpaceDN w:val="0"/>
        <w:adjustRightInd w:val="0"/>
        <w:rPr>
          <w:rFonts w:ascii="Arial" w:hAnsi="Arial" w:cs="Arial"/>
          <w:lang w:val="tr-TR"/>
        </w:rPr>
      </w:pPr>
    </w:p>
    <w:p w:rsidR="00D322FB" w:rsidRPr="00842630" w:rsidRDefault="00D322FB" w:rsidP="00A71F33">
      <w:pPr>
        <w:rPr>
          <w:rFonts w:ascii="Arial" w:hAnsi="Arial" w:cs="Arial"/>
          <w:lang w:val="tr-TR"/>
        </w:rPr>
      </w:pPr>
      <w:r w:rsidRPr="00842630">
        <w:rPr>
          <w:rFonts w:ascii="Arial" w:hAnsi="Arial" w:cs="Arial"/>
          <w:lang w:val="tr-TR"/>
        </w:rPr>
        <w:t xml:space="preserve">SPK’nın 1 Şubat 2014 tarihinden itibaren yürürlüğe giren II-19.1 no’lu Kâr Payı Tebliği’ne göre, payları borsada işlem görmeyen ortaklıklar için kâr payı dağıtım oranı, bağışlar eklenmiş net dağıtılabilir dönem kârının yüzde yirmisinden az olamaz. Yine aynı tebliğe göre, payları borsada işlem görmeyen ortaklıkların kâr payını tam ve nakden dağıtmaları zorunludur ve halka açık şirketlere tanınan taksitle kâr dağıtımı uygulamasından yaralanamazlar. </w:t>
      </w:r>
    </w:p>
    <w:p w:rsidR="00D322FB" w:rsidRPr="00842630" w:rsidRDefault="00D322FB" w:rsidP="00A71F33">
      <w:pPr>
        <w:rPr>
          <w:rFonts w:ascii="Arial" w:hAnsi="Arial" w:cs="Arial"/>
          <w:lang w:val="tr-TR"/>
        </w:rPr>
      </w:pPr>
    </w:p>
    <w:p w:rsidR="00D322FB" w:rsidRPr="00842630" w:rsidRDefault="00D322FB" w:rsidP="00A71F33">
      <w:pPr>
        <w:rPr>
          <w:rFonts w:ascii="Arial" w:hAnsi="Arial" w:cs="Arial"/>
          <w:lang w:val="tr-TR"/>
        </w:rPr>
      </w:pPr>
      <w:r w:rsidRPr="00842630">
        <w:rPr>
          <w:rFonts w:ascii="Arial" w:hAnsi="Arial" w:cs="Arial"/>
          <w:lang w:val="tr-TR"/>
        </w:rPr>
        <w:t>Bahsi geçen tebliğ hükümleri doğrultusunda, payları borsada işlem görmeyen ortaklıklar, hesaplanan kâr payı tutarının genel kurula sunulacak son yıllık finansal tablolara göre sermayenin yüzde beşinden daha düşük olması veya söz konusu finansal tablolara göre net dağıtılabilir dönem kârının 100.000 TL’nin altında olması durumunda, ilgili hesap dönemi için kâr payı dağıtmayabilir ve bu durumda dağıtılmayan kâr payı, daha sonraki dönemlerde dağıtılır.</w:t>
      </w:r>
    </w:p>
    <w:p w:rsidR="00660A69" w:rsidRDefault="00660A69" w:rsidP="00660A69">
      <w:pPr>
        <w:rPr>
          <w:rFonts w:ascii="Arial" w:hAnsi="Arial" w:cs="Arial"/>
          <w:b/>
          <w:lang w:val="tr-TR"/>
        </w:rPr>
      </w:pPr>
    </w:p>
    <w:p w:rsidR="00660A69" w:rsidRDefault="00660A69" w:rsidP="00660A69">
      <w:pPr>
        <w:rPr>
          <w:rFonts w:ascii="Arial" w:hAnsi="Arial" w:cs="Arial"/>
          <w:b/>
          <w:lang w:val="tr-TR"/>
        </w:rPr>
      </w:pPr>
    </w:p>
    <w:p w:rsidR="00660A69" w:rsidRDefault="00660A69" w:rsidP="00660A69">
      <w:pPr>
        <w:rPr>
          <w:rFonts w:ascii="Arial" w:hAnsi="Arial" w:cs="Arial"/>
          <w:b/>
          <w:lang w:val="tr-TR"/>
        </w:rPr>
      </w:pPr>
    </w:p>
    <w:p w:rsidR="00660A69" w:rsidRDefault="00660A69" w:rsidP="00660A69">
      <w:pPr>
        <w:rPr>
          <w:rFonts w:ascii="Arial" w:hAnsi="Arial" w:cs="Arial"/>
          <w:b/>
          <w:lang w:val="tr-TR"/>
        </w:rPr>
      </w:pPr>
    </w:p>
    <w:p w:rsidR="00660A69" w:rsidRDefault="00660A69" w:rsidP="00660A69">
      <w:pPr>
        <w:rPr>
          <w:rFonts w:ascii="Arial" w:hAnsi="Arial" w:cs="Arial"/>
          <w:b/>
          <w:lang w:val="tr-TR"/>
        </w:rPr>
      </w:pPr>
    </w:p>
    <w:p w:rsidR="00660A69" w:rsidRDefault="00660A69" w:rsidP="00660A69">
      <w:pPr>
        <w:rPr>
          <w:rFonts w:ascii="Arial" w:hAnsi="Arial" w:cs="Arial"/>
          <w:b/>
          <w:lang w:val="tr-TR"/>
        </w:rPr>
      </w:pPr>
    </w:p>
    <w:p w:rsidR="00660A69" w:rsidRDefault="00660A69" w:rsidP="00660A69">
      <w:pPr>
        <w:rPr>
          <w:rFonts w:ascii="Arial" w:hAnsi="Arial" w:cs="Arial"/>
          <w:b/>
          <w:lang w:val="tr-TR"/>
        </w:rPr>
      </w:pPr>
    </w:p>
    <w:p w:rsidR="00660A69" w:rsidRDefault="00660A69" w:rsidP="00660A69">
      <w:pPr>
        <w:rPr>
          <w:rFonts w:ascii="Arial" w:hAnsi="Arial" w:cs="Arial"/>
          <w:b/>
          <w:lang w:val="tr-TR"/>
        </w:rPr>
      </w:pPr>
    </w:p>
    <w:p w:rsidR="00660A69" w:rsidRDefault="00660A69" w:rsidP="00660A69">
      <w:pPr>
        <w:rPr>
          <w:rFonts w:ascii="Arial" w:hAnsi="Arial" w:cs="Arial"/>
          <w:b/>
          <w:lang w:val="tr-TR"/>
        </w:rPr>
      </w:pPr>
    </w:p>
    <w:p w:rsidR="00660A69" w:rsidRPr="00243287" w:rsidRDefault="00660A69" w:rsidP="00660A69">
      <w:pPr>
        <w:rPr>
          <w:rFonts w:ascii="Arial" w:hAnsi="Arial" w:cs="Arial"/>
          <w:b/>
          <w:lang w:val="tr-TR"/>
        </w:rPr>
      </w:pPr>
      <w:r w:rsidRPr="00243287">
        <w:rPr>
          <w:rFonts w:ascii="Arial" w:hAnsi="Arial" w:cs="Arial"/>
          <w:b/>
          <w:lang w:val="tr-TR"/>
        </w:rPr>
        <w:t>15.</w:t>
      </w:r>
      <w:r w:rsidRPr="00243287">
        <w:rPr>
          <w:rFonts w:ascii="Arial" w:hAnsi="Arial" w:cs="Arial"/>
          <w:b/>
          <w:lang w:val="tr-TR"/>
        </w:rPr>
        <w:tab/>
        <w:t>Özkaynaklar (devamı)</w:t>
      </w:r>
    </w:p>
    <w:p w:rsidR="00D322FB" w:rsidRPr="0091553B" w:rsidRDefault="00D322FB" w:rsidP="00A71F33">
      <w:pPr>
        <w:autoSpaceDE w:val="0"/>
        <w:autoSpaceDN w:val="0"/>
        <w:adjustRightInd w:val="0"/>
        <w:rPr>
          <w:rFonts w:ascii="Arial" w:hAnsi="Arial" w:cs="Arial"/>
          <w:lang w:val="tr-TR"/>
        </w:rPr>
      </w:pPr>
    </w:p>
    <w:p w:rsidR="00D322FB" w:rsidRPr="00650D76" w:rsidRDefault="002B063A" w:rsidP="00A71F33">
      <w:pPr>
        <w:autoSpaceDE w:val="0"/>
        <w:autoSpaceDN w:val="0"/>
        <w:adjustRightInd w:val="0"/>
        <w:rPr>
          <w:rFonts w:ascii="Arial" w:hAnsi="Arial" w:cs="Arial"/>
          <w:lang w:val="tr-TR"/>
        </w:rPr>
      </w:pPr>
      <w:r>
        <w:rPr>
          <w:rFonts w:ascii="Arial" w:hAnsi="Arial" w:cs="Arial"/>
          <w:lang w:val="tr-TR"/>
        </w:rPr>
        <w:t>31 Mart</w:t>
      </w:r>
      <w:r w:rsidRPr="00776A7A">
        <w:rPr>
          <w:rFonts w:ascii="Arial" w:hAnsi="Arial" w:cs="Arial"/>
          <w:lang w:val="tr-TR"/>
        </w:rPr>
        <w:t xml:space="preserve"> 201</w:t>
      </w:r>
      <w:r>
        <w:rPr>
          <w:rFonts w:ascii="Arial" w:hAnsi="Arial" w:cs="Arial"/>
          <w:lang w:val="tr-TR"/>
        </w:rPr>
        <w:t>5 ve 31 Aralık 2014</w:t>
      </w:r>
      <w:r w:rsidRPr="00776A7A">
        <w:rPr>
          <w:rFonts w:ascii="Arial" w:hAnsi="Arial" w:cs="Arial"/>
          <w:lang w:val="tr-TR"/>
        </w:rPr>
        <w:t xml:space="preserve">  </w:t>
      </w:r>
      <w:r w:rsidR="00D322FB" w:rsidRPr="0091553B">
        <w:rPr>
          <w:rFonts w:ascii="Arial" w:hAnsi="Arial" w:cs="Arial"/>
          <w:lang w:val="tr-TR"/>
        </w:rPr>
        <w:t xml:space="preserve">tarihleri itibariyle </w:t>
      </w:r>
      <w:r w:rsidR="00D322FB" w:rsidRPr="00650D76">
        <w:rPr>
          <w:rFonts w:ascii="Arial" w:hAnsi="Arial" w:cs="Arial"/>
          <w:lang w:val="tr-TR"/>
        </w:rPr>
        <w:t>kardan ayrılan kısıtlanmış yedekler aşağıdaki gibidir:</w:t>
      </w:r>
    </w:p>
    <w:p w:rsidR="00D322FB" w:rsidRPr="00727376" w:rsidRDefault="00D322FB" w:rsidP="00A71F33">
      <w:pPr>
        <w:autoSpaceDE w:val="0"/>
        <w:autoSpaceDN w:val="0"/>
        <w:adjustRightInd w:val="0"/>
        <w:rPr>
          <w:rFonts w:ascii="Arial" w:hAnsi="Arial" w:cs="Arial"/>
          <w:highlight w:val="yellow"/>
          <w:lang w:val="tr-TR"/>
        </w:rPr>
      </w:pPr>
    </w:p>
    <w:tbl>
      <w:tblPr>
        <w:tblW w:w="9402" w:type="dxa"/>
        <w:tblInd w:w="108" w:type="dxa"/>
        <w:tblLayout w:type="fixed"/>
        <w:tblLook w:val="01E0" w:firstRow="1" w:lastRow="1" w:firstColumn="1" w:lastColumn="1" w:noHBand="0" w:noVBand="0"/>
      </w:tblPr>
      <w:tblGrid>
        <w:gridCol w:w="6030"/>
        <w:gridCol w:w="1686"/>
        <w:gridCol w:w="1686"/>
      </w:tblGrid>
      <w:tr w:rsidR="00D322FB" w:rsidRPr="006E353C" w:rsidTr="00E4669C">
        <w:tc>
          <w:tcPr>
            <w:tcW w:w="6030" w:type="dxa"/>
            <w:tcBorders>
              <w:top w:val="single" w:sz="4" w:space="0" w:color="auto"/>
              <w:bottom w:val="single" w:sz="4" w:space="0" w:color="auto"/>
            </w:tcBorders>
          </w:tcPr>
          <w:p w:rsidR="00D322FB" w:rsidRPr="006E353C" w:rsidRDefault="00D322FB" w:rsidP="001A0C62">
            <w:pPr>
              <w:autoSpaceDE w:val="0"/>
              <w:autoSpaceDN w:val="0"/>
              <w:adjustRightInd w:val="0"/>
              <w:jc w:val="both"/>
              <w:rPr>
                <w:rFonts w:ascii="Arial" w:hAnsi="Arial" w:cs="Arial"/>
                <w:u w:val="single"/>
                <w:lang w:val="tr-TR"/>
              </w:rPr>
            </w:pPr>
          </w:p>
        </w:tc>
        <w:tc>
          <w:tcPr>
            <w:tcW w:w="1686" w:type="dxa"/>
            <w:tcBorders>
              <w:top w:val="single" w:sz="4" w:space="0" w:color="auto"/>
              <w:bottom w:val="single" w:sz="4" w:space="0" w:color="auto"/>
            </w:tcBorders>
            <w:vAlign w:val="bottom"/>
          </w:tcPr>
          <w:p w:rsidR="00D322FB" w:rsidRPr="006E353C" w:rsidRDefault="00D322FB" w:rsidP="00B441DA">
            <w:pPr>
              <w:autoSpaceDE w:val="0"/>
              <w:autoSpaceDN w:val="0"/>
              <w:adjustRightInd w:val="0"/>
              <w:jc w:val="right"/>
              <w:rPr>
                <w:rFonts w:ascii="Arial" w:hAnsi="Arial" w:cs="Arial"/>
                <w:b/>
                <w:lang w:val="tr-TR"/>
              </w:rPr>
            </w:pPr>
            <w:r w:rsidRPr="006E353C">
              <w:rPr>
                <w:rFonts w:ascii="Arial" w:hAnsi="Arial" w:cs="Arial"/>
                <w:b/>
                <w:lang w:val="tr-TR"/>
              </w:rPr>
              <w:t xml:space="preserve">31 </w:t>
            </w:r>
            <w:r w:rsidR="00B441DA">
              <w:rPr>
                <w:rFonts w:ascii="Arial" w:hAnsi="Arial" w:cs="Arial"/>
                <w:b/>
                <w:lang w:val="tr-TR"/>
              </w:rPr>
              <w:t>Mart</w:t>
            </w:r>
            <w:r w:rsidRPr="006E353C">
              <w:rPr>
                <w:rFonts w:ascii="Arial" w:hAnsi="Arial" w:cs="Arial"/>
                <w:b/>
                <w:lang w:val="tr-TR"/>
              </w:rPr>
              <w:t xml:space="preserve"> 201</w:t>
            </w:r>
            <w:r w:rsidR="00B441DA">
              <w:rPr>
                <w:rFonts w:ascii="Arial" w:hAnsi="Arial" w:cs="Arial"/>
                <w:b/>
                <w:lang w:val="tr-TR"/>
              </w:rPr>
              <w:t>5</w:t>
            </w:r>
          </w:p>
        </w:tc>
        <w:tc>
          <w:tcPr>
            <w:tcW w:w="1686" w:type="dxa"/>
            <w:tcBorders>
              <w:top w:val="single" w:sz="4" w:space="0" w:color="auto"/>
              <w:bottom w:val="single" w:sz="4" w:space="0" w:color="auto"/>
            </w:tcBorders>
            <w:vAlign w:val="bottom"/>
          </w:tcPr>
          <w:p w:rsidR="00D322FB" w:rsidRPr="006E353C" w:rsidRDefault="00B441DA" w:rsidP="001A0C62">
            <w:pPr>
              <w:autoSpaceDE w:val="0"/>
              <w:autoSpaceDN w:val="0"/>
              <w:adjustRightInd w:val="0"/>
              <w:jc w:val="right"/>
              <w:rPr>
                <w:rFonts w:ascii="Arial" w:hAnsi="Arial" w:cs="Arial"/>
                <w:lang w:val="tr-TR"/>
              </w:rPr>
            </w:pPr>
            <w:r>
              <w:rPr>
                <w:rFonts w:ascii="Arial" w:hAnsi="Arial" w:cs="Arial"/>
                <w:lang w:val="tr-TR"/>
              </w:rPr>
              <w:t>31 Aralık 2014</w:t>
            </w:r>
          </w:p>
        </w:tc>
      </w:tr>
      <w:tr w:rsidR="00D322FB" w:rsidRPr="006E353C" w:rsidTr="00E4669C">
        <w:tc>
          <w:tcPr>
            <w:tcW w:w="6030" w:type="dxa"/>
            <w:tcBorders>
              <w:top w:val="single" w:sz="4" w:space="0" w:color="auto"/>
            </w:tcBorders>
          </w:tcPr>
          <w:p w:rsidR="00D322FB" w:rsidRPr="006E353C" w:rsidRDefault="00D322FB" w:rsidP="001A0C62">
            <w:pPr>
              <w:autoSpaceDE w:val="0"/>
              <w:autoSpaceDN w:val="0"/>
              <w:adjustRightInd w:val="0"/>
              <w:jc w:val="both"/>
              <w:rPr>
                <w:rFonts w:ascii="Arial" w:hAnsi="Arial" w:cs="Arial"/>
                <w:lang w:val="tr-TR"/>
              </w:rPr>
            </w:pPr>
          </w:p>
        </w:tc>
        <w:tc>
          <w:tcPr>
            <w:tcW w:w="1686" w:type="dxa"/>
            <w:tcBorders>
              <w:top w:val="single" w:sz="4" w:space="0" w:color="auto"/>
            </w:tcBorders>
            <w:vAlign w:val="bottom"/>
          </w:tcPr>
          <w:p w:rsidR="00D322FB" w:rsidRPr="006E353C" w:rsidRDefault="00D322FB" w:rsidP="001A0C62">
            <w:pPr>
              <w:autoSpaceDE w:val="0"/>
              <w:autoSpaceDN w:val="0"/>
              <w:adjustRightInd w:val="0"/>
              <w:jc w:val="right"/>
              <w:rPr>
                <w:rFonts w:ascii="Arial" w:hAnsi="Arial" w:cs="Arial"/>
                <w:lang w:val="tr-TR"/>
              </w:rPr>
            </w:pPr>
          </w:p>
        </w:tc>
        <w:tc>
          <w:tcPr>
            <w:tcW w:w="1686" w:type="dxa"/>
            <w:tcBorders>
              <w:top w:val="single" w:sz="4" w:space="0" w:color="auto"/>
            </w:tcBorders>
            <w:vAlign w:val="bottom"/>
          </w:tcPr>
          <w:p w:rsidR="00D322FB" w:rsidRPr="006E353C" w:rsidRDefault="00D322FB" w:rsidP="001A0C62">
            <w:pPr>
              <w:autoSpaceDE w:val="0"/>
              <w:autoSpaceDN w:val="0"/>
              <w:adjustRightInd w:val="0"/>
              <w:jc w:val="right"/>
              <w:rPr>
                <w:rFonts w:ascii="Arial" w:hAnsi="Arial" w:cs="Arial"/>
                <w:lang w:val="tr-TR"/>
              </w:rPr>
            </w:pPr>
          </w:p>
        </w:tc>
      </w:tr>
      <w:tr w:rsidR="00D322FB" w:rsidRPr="006E353C" w:rsidTr="00E4669C">
        <w:tc>
          <w:tcPr>
            <w:tcW w:w="6030" w:type="dxa"/>
          </w:tcPr>
          <w:p w:rsidR="00D322FB" w:rsidRPr="006E353C" w:rsidRDefault="00D322FB" w:rsidP="001A0C62">
            <w:pPr>
              <w:autoSpaceDE w:val="0"/>
              <w:autoSpaceDN w:val="0"/>
              <w:adjustRightInd w:val="0"/>
              <w:jc w:val="both"/>
              <w:rPr>
                <w:rFonts w:ascii="Arial" w:hAnsi="Arial" w:cs="Arial"/>
                <w:spacing w:val="-3"/>
                <w:lang w:val="tr-TR"/>
              </w:rPr>
            </w:pPr>
            <w:r w:rsidRPr="006E353C">
              <w:rPr>
                <w:rFonts w:ascii="Arial" w:hAnsi="Arial" w:cs="Arial"/>
                <w:spacing w:val="-3"/>
                <w:lang w:val="tr-TR"/>
              </w:rPr>
              <w:t>Yasal yedekler</w:t>
            </w:r>
          </w:p>
        </w:tc>
        <w:tc>
          <w:tcPr>
            <w:tcW w:w="1686" w:type="dxa"/>
            <w:vAlign w:val="bottom"/>
          </w:tcPr>
          <w:p w:rsidR="00D322FB" w:rsidRPr="006E353C" w:rsidRDefault="00D322FB">
            <w:pPr>
              <w:jc w:val="right"/>
              <w:rPr>
                <w:rFonts w:ascii="Arial" w:hAnsi="Arial" w:cs="Arial"/>
                <w:b/>
                <w:bCs/>
                <w:color w:val="000000"/>
              </w:rPr>
            </w:pPr>
            <w:r w:rsidRPr="006E353C">
              <w:rPr>
                <w:rFonts w:ascii="Arial" w:hAnsi="Arial" w:cs="Arial"/>
                <w:b/>
                <w:bCs/>
                <w:color w:val="000000"/>
              </w:rPr>
              <w:t xml:space="preserve">             44.772 </w:t>
            </w:r>
          </w:p>
        </w:tc>
        <w:tc>
          <w:tcPr>
            <w:tcW w:w="1686" w:type="dxa"/>
            <w:vAlign w:val="bottom"/>
          </w:tcPr>
          <w:p w:rsidR="00D322FB" w:rsidRPr="006E353C" w:rsidRDefault="00D322FB" w:rsidP="001A0C62">
            <w:pPr>
              <w:jc w:val="right"/>
              <w:rPr>
                <w:rFonts w:ascii="Arial" w:hAnsi="Arial" w:cs="Arial"/>
                <w:lang w:val="tr-TR"/>
              </w:rPr>
            </w:pPr>
            <w:r w:rsidRPr="006E353C">
              <w:rPr>
                <w:rFonts w:ascii="Arial" w:hAnsi="Arial" w:cs="Arial"/>
                <w:bCs/>
                <w:color w:val="000000"/>
              </w:rPr>
              <w:t>44.772</w:t>
            </w:r>
          </w:p>
        </w:tc>
      </w:tr>
      <w:tr w:rsidR="00D322FB" w:rsidRPr="006E353C" w:rsidTr="00E4669C">
        <w:tc>
          <w:tcPr>
            <w:tcW w:w="6030" w:type="dxa"/>
            <w:tcBorders>
              <w:bottom w:val="single" w:sz="4" w:space="0" w:color="auto"/>
            </w:tcBorders>
          </w:tcPr>
          <w:p w:rsidR="00D322FB" w:rsidRPr="006E353C" w:rsidRDefault="00D322FB" w:rsidP="001A0C62">
            <w:pPr>
              <w:autoSpaceDE w:val="0"/>
              <w:autoSpaceDN w:val="0"/>
              <w:adjustRightInd w:val="0"/>
              <w:jc w:val="both"/>
              <w:rPr>
                <w:rFonts w:ascii="Arial" w:hAnsi="Arial" w:cs="Arial"/>
                <w:spacing w:val="-3"/>
                <w:lang w:val="tr-TR"/>
              </w:rPr>
            </w:pPr>
          </w:p>
        </w:tc>
        <w:tc>
          <w:tcPr>
            <w:tcW w:w="1686" w:type="dxa"/>
            <w:tcBorders>
              <w:bottom w:val="single" w:sz="4" w:space="0" w:color="auto"/>
            </w:tcBorders>
            <w:vAlign w:val="bottom"/>
          </w:tcPr>
          <w:p w:rsidR="00D322FB" w:rsidRPr="006E353C" w:rsidRDefault="00D322FB">
            <w:pPr>
              <w:jc w:val="right"/>
              <w:rPr>
                <w:rFonts w:ascii="Arial" w:hAnsi="Arial" w:cs="Arial"/>
                <w:b/>
                <w:bCs/>
                <w:color w:val="000000"/>
              </w:rPr>
            </w:pPr>
            <w:r w:rsidRPr="006E353C">
              <w:rPr>
                <w:rFonts w:ascii="Arial" w:hAnsi="Arial" w:cs="Arial"/>
                <w:b/>
                <w:bCs/>
                <w:color w:val="000000"/>
              </w:rPr>
              <w:t> </w:t>
            </w:r>
          </w:p>
        </w:tc>
        <w:tc>
          <w:tcPr>
            <w:tcW w:w="1686" w:type="dxa"/>
            <w:tcBorders>
              <w:bottom w:val="single" w:sz="4" w:space="0" w:color="auto"/>
            </w:tcBorders>
            <w:vAlign w:val="bottom"/>
          </w:tcPr>
          <w:p w:rsidR="00D322FB" w:rsidRPr="006E353C" w:rsidRDefault="00D322FB" w:rsidP="001A0C62">
            <w:pPr>
              <w:autoSpaceDE w:val="0"/>
              <w:autoSpaceDN w:val="0"/>
              <w:adjustRightInd w:val="0"/>
              <w:jc w:val="right"/>
              <w:rPr>
                <w:rFonts w:ascii="Arial" w:hAnsi="Arial" w:cs="Arial"/>
                <w:lang w:val="tr-TR"/>
              </w:rPr>
            </w:pPr>
            <w:r w:rsidRPr="006E353C">
              <w:rPr>
                <w:rFonts w:ascii="Arial" w:hAnsi="Arial" w:cs="Arial"/>
                <w:bCs/>
                <w:color w:val="000000"/>
              </w:rPr>
              <w:t> </w:t>
            </w:r>
          </w:p>
        </w:tc>
      </w:tr>
      <w:tr w:rsidR="00D322FB" w:rsidRPr="006E353C" w:rsidTr="00E4669C">
        <w:tc>
          <w:tcPr>
            <w:tcW w:w="6030" w:type="dxa"/>
            <w:tcBorders>
              <w:top w:val="single" w:sz="4" w:space="0" w:color="auto"/>
              <w:bottom w:val="double" w:sz="4" w:space="0" w:color="auto"/>
            </w:tcBorders>
          </w:tcPr>
          <w:p w:rsidR="00D322FB" w:rsidRPr="006E353C" w:rsidRDefault="00D322FB" w:rsidP="001A0C62">
            <w:pPr>
              <w:autoSpaceDE w:val="0"/>
              <w:autoSpaceDN w:val="0"/>
              <w:adjustRightInd w:val="0"/>
              <w:jc w:val="both"/>
              <w:rPr>
                <w:rFonts w:ascii="Arial" w:hAnsi="Arial" w:cs="Arial"/>
                <w:spacing w:val="-3"/>
                <w:lang w:val="tr-TR"/>
              </w:rPr>
            </w:pPr>
            <w:r w:rsidRPr="006E353C">
              <w:rPr>
                <w:rFonts w:ascii="Arial" w:hAnsi="Arial" w:cs="Arial"/>
                <w:spacing w:val="-3"/>
                <w:lang w:val="tr-TR"/>
              </w:rPr>
              <w:t>Toplam</w:t>
            </w:r>
          </w:p>
        </w:tc>
        <w:tc>
          <w:tcPr>
            <w:tcW w:w="1686" w:type="dxa"/>
            <w:tcBorders>
              <w:top w:val="single" w:sz="4" w:space="0" w:color="auto"/>
              <w:bottom w:val="double" w:sz="4" w:space="0" w:color="auto"/>
            </w:tcBorders>
            <w:vAlign w:val="bottom"/>
          </w:tcPr>
          <w:p w:rsidR="00D322FB" w:rsidRPr="006E353C" w:rsidRDefault="00D322FB">
            <w:pPr>
              <w:jc w:val="right"/>
              <w:rPr>
                <w:rFonts w:ascii="Arial" w:hAnsi="Arial" w:cs="Arial"/>
                <w:b/>
                <w:bCs/>
                <w:color w:val="000000"/>
              </w:rPr>
            </w:pPr>
            <w:r w:rsidRPr="006E353C">
              <w:rPr>
                <w:rFonts w:ascii="Arial" w:hAnsi="Arial" w:cs="Arial"/>
                <w:b/>
                <w:bCs/>
                <w:color w:val="000000"/>
              </w:rPr>
              <w:t xml:space="preserve">             44.772 </w:t>
            </w:r>
          </w:p>
        </w:tc>
        <w:tc>
          <w:tcPr>
            <w:tcW w:w="1686" w:type="dxa"/>
            <w:tcBorders>
              <w:top w:val="single" w:sz="4" w:space="0" w:color="auto"/>
              <w:bottom w:val="double" w:sz="4" w:space="0" w:color="auto"/>
            </w:tcBorders>
            <w:vAlign w:val="bottom"/>
          </w:tcPr>
          <w:p w:rsidR="00D322FB" w:rsidRPr="006E353C" w:rsidRDefault="00D322FB" w:rsidP="001A0C62">
            <w:pPr>
              <w:autoSpaceDE w:val="0"/>
              <w:autoSpaceDN w:val="0"/>
              <w:adjustRightInd w:val="0"/>
              <w:jc w:val="right"/>
              <w:rPr>
                <w:rFonts w:ascii="Arial" w:hAnsi="Arial" w:cs="Arial"/>
                <w:lang w:val="tr-TR"/>
              </w:rPr>
            </w:pPr>
            <w:r w:rsidRPr="006E353C">
              <w:rPr>
                <w:rFonts w:ascii="Arial" w:hAnsi="Arial" w:cs="Arial"/>
                <w:bCs/>
                <w:color w:val="000000"/>
              </w:rPr>
              <w:t>44.772</w:t>
            </w:r>
          </w:p>
        </w:tc>
      </w:tr>
    </w:tbl>
    <w:p w:rsidR="00D322FB" w:rsidRPr="006E353C" w:rsidRDefault="00D322FB" w:rsidP="00A71F33">
      <w:pPr>
        <w:autoSpaceDE w:val="0"/>
        <w:autoSpaceDN w:val="0"/>
        <w:adjustRightInd w:val="0"/>
        <w:rPr>
          <w:rFonts w:ascii="Arial" w:hAnsi="Arial" w:cs="Arial"/>
          <w:lang w:val="tr-TR"/>
        </w:rPr>
      </w:pPr>
    </w:p>
    <w:p w:rsidR="00D322FB" w:rsidRPr="006E353C" w:rsidRDefault="00D322FB" w:rsidP="00A71F33">
      <w:pPr>
        <w:pStyle w:val="body0"/>
        <w:spacing w:after="0" w:line="240" w:lineRule="auto"/>
        <w:rPr>
          <w:rFonts w:ascii="Arial" w:hAnsi="Arial" w:cs="Arial"/>
          <w:bCs/>
          <w:noProof/>
          <w:sz w:val="20"/>
          <w:szCs w:val="20"/>
          <w:lang w:val="tr-TR"/>
        </w:rPr>
      </w:pPr>
    </w:p>
    <w:tbl>
      <w:tblPr>
        <w:tblW w:w="9402" w:type="dxa"/>
        <w:tblInd w:w="108" w:type="dxa"/>
        <w:tblLayout w:type="fixed"/>
        <w:tblLook w:val="01E0" w:firstRow="1" w:lastRow="1" w:firstColumn="1" w:lastColumn="1" w:noHBand="0" w:noVBand="0"/>
      </w:tblPr>
      <w:tblGrid>
        <w:gridCol w:w="6030"/>
        <w:gridCol w:w="1686"/>
        <w:gridCol w:w="1686"/>
      </w:tblGrid>
      <w:tr w:rsidR="00D322FB" w:rsidRPr="006E353C" w:rsidTr="00E4669C">
        <w:tc>
          <w:tcPr>
            <w:tcW w:w="6030" w:type="dxa"/>
            <w:tcBorders>
              <w:top w:val="single" w:sz="4" w:space="0" w:color="auto"/>
              <w:bottom w:val="single" w:sz="4" w:space="0" w:color="auto"/>
            </w:tcBorders>
          </w:tcPr>
          <w:p w:rsidR="00D322FB" w:rsidRPr="006E353C" w:rsidRDefault="00D322FB" w:rsidP="001A0C62">
            <w:pPr>
              <w:autoSpaceDE w:val="0"/>
              <w:autoSpaceDN w:val="0"/>
              <w:adjustRightInd w:val="0"/>
              <w:jc w:val="both"/>
              <w:rPr>
                <w:rFonts w:ascii="Arial" w:hAnsi="Arial" w:cs="Arial"/>
                <w:u w:val="single"/>
                <w:lang w:val="tr-TR"/>
              </w:rPr>
            </w:pPr>
          </w:p>
        </w:tc>
        <w:tc>
          <w:tcPr>
            <w:tcW w:w="1686" w:type="dxa"/>
            <w:tcBorders>
              <w:top w:val="single" w:sz="4" w:space="0" w:color="auto"/>
              <w:bottom w:val="single" w:sz="4" w:space="0" w:color="auto"/>
            </w:tcBorders>
            <w:vAlign w:val="bottom"/>
          </w:tcPr>
          <w:p w:rsidR="00D322FB" w:rsidRPr="006E353C" w:rsidRDefault="00D322FB" w:rsidP="00B441DA">
            <w:pPr>
              <w:autoSpaceDE w:val="0"/>
              <w:autoSpaceDN w:val="0"/>
              <w:adjustRightInd w:val="0"/>
              <w:jc w:val="right"/>
              <w:rPr>
                <w:rFonts w:ascii="Arial" w:hAnsi="Arial" w:cs="Arial"/>
                <w:b/>
                <w:lang w:val="tr-TR"/>
              </w:rPr>
            </w:pPr>
            <w:r w:rsidRPr="006E353C">
              <w:rPr>
                <w:rFonts w:ascii="Arial" w:hAnsi="Arial" w:cs="Arial"/>
                <w:b/>
                <w:lang w:val="tr-TR"/>
              </w:rPr>
              <w:t xml:space="preserve">31 </w:t>
            </w:r>
            <w:r w:rsidR="00B441DA">
              <w:rPr>
                <w:rFonts w:ascii="Arial" w:hAnsi="Arial" w:cs="Arial"/>
                <w:b/>
                <w:lang w:val="tr-TR"/>
              </w:rPr>
              <w:t>Mart</w:t>
            </w:r>
            <w:r w:rsidRPr="006E353C">
              <w:rPr>
                <w:rFonts w:ascii="Arial" w:hAnsi="Arial" w:cs="Arial"/>
                <w:b/>
                <w:lang w:val="tr-TR"/>
              </w:rPr>
              <w:t xml:space="preserve"> 201</w:t>
            </w:r>
            <w:r w:rsidR="00B441DA">
              <w:rPr>
                <w:rFonts w:ascii="Arial" w:hAnsi="Arial" w:cs="Arial"/>
                <w:b/>
                <w:lang w:val="tr-TR"/>
              </w:rPr>
              <w:t>5</w:t>
            </w:r>
          </w:p>
        </w:tc>
        <w:tc>
          <w:tcPr>
            <w:tcW w:w="1686" w:type="dxa"/>
            <w:tcBorders>
              <w:top w:val="single" w:sz="4" w:space="0" w:color="auto"/>
              <w:bottom w:val="single" w:sz="4" w:space="0" w:color="auto"/>
            </w:tcBorders>
            <w:vAlign w:val="bottom"/>
          </w:tcPr>
          <w:p w:rsidR="00D322FB" w:rsidRPr="006E353C" w:rsidRDefault="00D322FB" w:rsidP="003D7F46">
            <w:pPr>
              <w:autoSpaceDE w:val="0"/>
              <w:autoSpaceDN w:val="0"/>
              <w:adjustRightInd w:val="0"/>
              <w:jc w:val="right"/>
              <w:rPr>
                <w:rFonts w:ascii="Arial" w:hAnsi="Arial" w:cs="Arial"/>
                <w:lang w:val="tr-TR"/>
              </w:rPr>
            </w:pPr>
            <w:r w:rsidRPr="006E353C">
              <w:rPr>
                <w:rFonts w:ascii="Arial" w:hAnsi="Arial" w:cs="Arial"/>
                <w:lang w:val="tr-TR"/>
              </w:rPr>
              <w:t>31 Aralık 201</w:t>
            </w:r>
            <w:r w:rsidR="003D7F46">
              <w:rPr>
                <w:rFonts w:ascii="Arial" w:hAnsi="Arial" w:cs="Arial"/>
                <w:lang w:val="tr-TR"/>
              </w:rPr>
              <w:t>4</w:t>
            </w:r>
          </w:p>
        </w:tc>
      </w:tr>
      <w:tr w:rsidR="00D322FB" w:rsidRPr="006E353C" w:rsidTr="00E4669C">
        <w:tc>
          <w:tcPr>
            <w:tcW w:w="6030" w:type="dxa"/>
            <w:tcBorders>
              <w:top w:val="single" w:sz="4" w:space="0" w:color="auto"/>
            </w:tcBorders>
          </w:tcPr>
          <w:p w:rsidR="00D322FB" w:rsidRPr="006E353C" w:rsidRDefault="00D322FB" w:rsidP="001A0C62">
            <w:pPr>
              <w:autoSpaceDE w:val="0"/>
              <w:autoSpaceDN w:val="0"/>
              <w:adjustRightInd w:val="0"/>
              <w:jc w:val="both"/>
              <w:rPr>
                <w:rFonts w:ascii="Arial" w:hAnsi="Arial" w:cs="Arial"/>
                <w:lang w:val="tr-TR"/>
              </w:rPr>
            </w:pPr>
          </w:p>
        </w:tc>
        <w:tc>
          <w:tcPr>
            <w:tcW w:w="1686" w:type="dxa"/>
            <w:tcBorders>
              <w:top w:val="single" w:sz="4" w:space="0" w:color="auto"/>
            </w:tcBorders>
            <w:vAlign w:val="bottom"/>
          </w:tcPr>
          <w:p w:rsidR="00D322FB" w:rsidRPr="006E353C" w:rsidRDefault="00D322FB" w:rsidP="001A0C62">
            <w:pPr>
              <w:autoSpaceDE w:val="0"/>
              <w:autoSpaceDN w:val="0"/>
              <w:adjustRightInd w:val="0"/>
              <w:jc w:val="right"/>
              <w:rPr>
                <w:rFonts w:ascii="Arial" w:hAnsi="Arial" w:cs="Arial"/>
                <w:lang w:val="tr-TR"/>
              </w:rPr>
            </w:pPr>
          </w:p>
        </w:tc>
        <w:tc>
          <w:tcPr>
            <w:tcW w:w="1686" w:type="dxa"/>
            <w:tcBorders>
              <w:top w:val="single" w:sz="4" w:space="0" w:color="auto"/>
            </w:tcBorders>
            <w:vAlign w:val="bottom"/>
          </w:tcPr>
          <w:p w:rsidR="00D322FB" w:rsidRPr="006E353C" w:rsidRDefault="00D322FB" w:rsidP="001A0C62">
            <w:pPr>
              <w:autoSpaceDE w:val="0"/>
              <w:autoSpaceDN w:val="0"/>
              <w:adjustRightInd w:val="0"/>
              <w:jc w:val="right"/>
              <w:rPr>
                <w:rFonts w:ascii="Arial" w:hAnsi="Arial" w:cs="Arial"/>
                <w:lang w:val="tr-TR"/>
              </w:rPr>
            </w:pPr>
          </w:p>
        </w:tc>
      </w:tr>
      <w:tr w:rsidR="00D322FB" w:rsidRPr="006E353C" w:rsidTr="00E4669C">
        <w:tc>
          <w:tcPr>
            <w:tcW w:w="6030" w:type="dxa"/>
          </w:tcPr>
          <w:p w:rsidR="00D322FB" w:rsidRPr="006E353C" w:rsidRDefault="00D322FB" w:rsidP="001A0C62">
            <w:pPr>
              <w:autoSpaceDE w:val="0"/>
              <w:autoSpaceDN w:val="0"/>
              <w:adjustRightInd w:val="0"/>
              <w:jc w:val="both"/>
              <w:rPr>
                <w:rFonts w:ascii="Arial" w:hAnsi="Arial" w:cs="Arial"/>
                <w:spacing w:val="-3"/>
                <w:lang w:val="tr-TR"/>
              </w:rPr>
            </w:pPr>
            <w:r w:rsidRPr="006E353C">
              <w:rPr>
                <w:rFonts w:ascii="Arial" w:hAnsi="Arial" w:cs="Arial"/>
                <w:spacing w:val="-3"/>
                <w:lang w:val="tr-TR"/>
              </w:rPr>
              <w:t>Geçmiş yıl (zararları) / karları</w:t>
            </w:r>
          </w:p>
        </w:tc>
        <w:tc>
          <w:tcPr>
            <w:tcW w:w="1686" w:type="dxa"/>
            <w:vAlign w:val="bottom"/>
          </w:tcPr>
          <w:p w:rsidR="00D322FB" w:rsidRPr="006E353C" w:rsidRDefault="00D322FB" w:rsidP="00B441DA">
            <w:pPr>
              <w:jc w:val="right"/>
              <w:rPr>
                <w:rFonts w:ascii="Arial" w:hAnsi="Arial" w:cs="Arial"/>
                <w:b/>
                <w:bCs/>
                <w:color w:val="000000"/>
              </w:rPr>
            </w:pPr>
            <w:r w:rsidRPr="006E353C">
              <w:rPr>
                <w:rFonts w:ascii="Arial" w:hAnsi="Arial" w:cs="Arial"/>
                <w:b/>
                <w:bCs/>
                <w:color w:val="000000"/>
              </w:rPr>
              <w:t xml:space="preserve">     </w:t>
            </w:r>
            <w:r w:rsidR="00B441DA">
              <w:rPr>
                <w:rFonts w:ascii="Arial" w:hAnsi="Arial" w:cs="Arial"/>
                <w:b/>
                <w:bCs/>
                <w:color w:val="000000"/>
              </w:rPr>
              <w:t>(1.681.301</w:t>
            </w:r>
            <w:r w:rsidRPr="006E353C">
              <w:rPr>
                <w:rFonts w:ascii="Arial" w:hAnsi="Arial" w:cs="Arial"/>
                <w:b/>
                <w:bCs/>
                <w:color w:val="000000"/>
              </w:rPr>
              <w:t>)</w:t>
            </w:r>
          </w:p>
        </w:tc>
        <w:tc>
          <w:tcPr>
            <w:tcW w:w="1686" w:type="dxa"/>
            <w:vAlign w:val="bottom"/>
          </w:tcPr>
          <w:p w:rsidR="00D322FB" w:rsidRPr="006E353C" w:rsidRDefault="00D322FB" w:rsidP="001A0C62">
            <w:pPr>
              <w:jc w:val="right"/>
              <w:rPr>
                <w:rFonts w:ascii="Arial" w:hAnsi="Arial" w:cs="Arial"/>
                <w:lang w:val="tr-TR"/>
              </w:rPr>
            </w:pPr>
            <w:r w:rsidRPr="006E353C">
              <w:rPr>
                <w:rFonts w:ascii="Arial" w:hAnsi="Arial" w:cs="Arial"/>
                <w:lang w:val="tr-TR"/>
              </w:rPr>
              <w:t>(316.912)</w:t>
            </w:r>
          </w:p>
        </w:tc>
      </w:tr>
      <w:tr w:rsidR="00D322FB" w:rsidRPr="006E353C" w:rsidTr="00E4669C">
        <w:tc>
          <w:tcPr>
            <w:tcW w:w="6030" w:type="dxa"/>
            <w:tcBorders>
              <w:bottom w:val="single" w:sz="4" w:space="0" w:color="auto"/>
            </w:tcBorders>
          </w:tcPr>
          <w:p w:rsidR="00D322FB" w:rsidRPr="006E353C" w:rsidRDefault="00D322FB" w:rsidP="001A0C62">
            <w:pPr>
              <w:autoSpaceDE w:val="0"/>
              <w:autoSpaceDN w:val="0"/>
              <w:adjustRightInd w:val="0"/>
              <w:jc w:val="both"/>
              <w:rPr>
                <w:rFonts w:ascii="Arial" w:hAnsi="Arial" w:cs="Arial"/>
                <w:spacing w:val="-3"/>
                <w:lang w:val="tr-TR"/>
              </w:rPr>
            </w:pPr>
          </w:p>
        </w:tc>
        <w:tc>
          <w:tcPr>
            <w:tcW w:w="1686" w:type="dxa"/>
            <w:tcBorders>
              <w:bottom w:val="single" w:sz="4" w:space="0" w:color="auto"/>
            </w:tcBorders>
            <w:vAlign w:val="bottom"/>
          </w:tcPr>
          <w:p w:rsidR="00D322FB" w:rsidRPr="006E353C" w:rsidRDefault="00D322FB">
            <w:pPr>
              <w:jc w:val="right"/>
              <w:rPr>
                <w:rFonts w:ascii="Arial" w:hAnsi="Arial" w:cs="Arial"/>
                <w:b/>
                <w:bCs/>
                <w:color w:val="000000"/>
              </w:rPr>
            </w:pPr>
            <w:r w:rsidRPr="006E353C">
              <w:rPr>
                <w:rFonts w:ascii="Arial" w:hAnsi="Arial" w:cs="Arial"/>
                <w:b/>
                <w:bCs/>
                <w:color w:val="000000"/>
              </w:rPr>
              <w:t> </w:t>
            </w:r>
          </w:p>
        </w:tc>
        <w:tc>
          <w:tcPr>
            <w:tcW w:w="1686" w:type="dxa"/>
            <w:tcBorders>
              <w:bottom w:val="single" w:sz="4" w:space="0" w:color="auto"/>
            </w:tcBorders>
            <w:vAlign w:val="bottom"/>
          </w:tcPr>
          <w:p w:rsidR="00D322FB" w:rsidRPr="006E353C" w:rsidRDefault="00D322FB" w:rsidP="001A0C62">
            <w:pPr>
              <w:autoSpaceDE w:val="0"/>
              <w:autoSpaceDN w:val="0"/>
              <w:adjustRightInd w:val="0"/>
              <w:jc w:val="right"/>
              <w:rPr>
                <w:rFonts w:ascii="Arial" w:hAnsi="Arial" w:cs="Arial"/>
                <w:lang w:val="tr-TR"/>
              </w:rPr>
            </w:pPr>
          </w:p>
        </w:tc>
      </w:tr>
      <w:tr w:rsidR="00D322FB" w:rsidRPr="00727376" w:rsidTr="00E4669C">
        <w:tc>
          <w:tcPr>
            <w:tcW w:w="6030" w:type="dxa"/>
            <w:tcBorders>
              <w:top w:val="single" w:sz="4" w:space="0" w:color="auto"/>
              <w:bottom w:val="double" w:sz="4" w:space="0" w:color="auto"/>
            </w:tcBorders>
          </w:tcPr>
          <w:p w:rsidR="00D322FB" w:rsidRPr="006E353C" w:rsidRDefault="00D322FB" w:rsidP="001A0C62">
            <w:pPr>
              <w:autoSpaceDE w:val="0"/>
              <w:autoSpaceDN w:val="0"/>
              <w:adjustRightInd w:val="0"/>
              <w:jc w:val="both"/>
              <w:rPr>
                <w:rFonts w:ascii="Arial" w:hAnsi="Arial" w:cs="Arial"/>
                <w:spacing w:val="-3"/>
                <w:lang w:val="tr-TR"/>
              </w:rPr>
            </w:pPr>
            <w:r w:rsidRPr="006E353C">
              <w:rPr>
                <w:rFonts w:ascii="Arial" w:hAnsi="Arial" w:cs="Arial"/>
                <w:spacing w:val="-3"/>
                <w:lang w:val="tr-TR"/>
              </w:rPr>
              <w:t>Toplam</w:t>
            </w:r>
          </w:p>
        </w:tc>
        <w:tc>
          <w:tcPr>
            <w:tcW w:w="1686" w:type="dxa"/>
            <w:tcBorders>
              <w:top w:val="single" w:sz="4" w:space="0" w:color="auto"/>
              <w:bottom w:val="double" w:sz="4" w:space="0" w:color="auto"/>
            </w:tcBorders>
            <w:vAlign w:val="bottom"/>
          </w:tcPr>
          <w:p w:rsidR="00D322FB" w:rsidRPr="006E353C" w:rsidRDefault="00D322FB" w:rsidP="00B441DA">
            <w:pPr>
              <w:jc w:val="right"/>
              <w:rPr>
                <w:rFonts w:ascii="Arial" w:hAnsi="Arial" w:cs="Arial"/>
                <w:b/>
                <w:bCs/>
                <w:color w:val="000000"/>
              </w:rPr>
            </w:pPr>
            <w:r w:rsidRPr="006E353C">
              <w:rPr>
                <w:rFonts w:ascii="Arial" w:hAnsi="Arial" w:cs="Arial"/>
                <w:b/>
                <w:bCs/>
                <w:color w:val="000000"/>
              </w:rPr>
              <w:t xml:space="preserve">          (</w:t>
            </w:r>
            <w:r w:rsidR="00B441DA">
              <w:rPr>
                <w:rFonts w:ascii="Arial" w:hAnsi="Arial" w:cs="Arial"/>
                <w:b/>
                <w:bCs/>
                <w:color w:val="000000"/>
              </w:rPr>
              <w:t>1.681.301</w:t>
            </w:r>
            <w:r w:rsidRPr="006E353C">
              <w:rPr>
                <w:rFonts w:ascii="Arial" w:hAnsi="Arial" w:cs="Arial"/>
                <w:b/>
                <w:bCs/>
                <w:color w:val="000000"/>
              </w:rPr>
              <w:t>)</w:t>
            </w:r>
          </w:p>
        </w:tc>
        <w:tc>
          <w:tcPr>
            <w:tcW w:w="1686" w:type="dxa"/>
            <w:tcBorders>
              <w:top w:val="single" w:sz="4" w:space="0" w:color="auto"/>
              <w:bottom w:val="double" w:sz="4" w:space="0" w:color="auto"/>
            </w:tcBorders>
            <w:vAlign w:val="bottom"/>
          </w:tcPr>
          <w:p w:rsidR="00D322FB" w:rsidRPr="00C11F40" w:rsidRDefault="00D322FB" w:rsidP="001A0C62">
            <w:pPr>
              <w:autoSpaceDE w:val="0"/>
              <w:autoSpaceDN w:val="0"/>
              <w:adjustRightInd w:val="0"/>
              <w:jc w:val="right"/>
              <w:rPr>
                <w:rFonts w:ascii="Arial" w:hAnsi="Arial" w:cs="Arial"/>
                <w:lang w:val="tr-TR"/>
              </w:rPr>
            </w:pPr>
            <w:r w:rsidRPr="006E353C">
              <w:rPr>
                <w:rFonts w:ascii="Arial" w:hAnsi="Arial" w:cs="Arial"/>
                <w:lang w:val="tr-TR"/>
              </w:rPr>
              <w:t>(316.912)</w:t>
            </w:r>
          </w:p>
        </w:tc>
      </w:tr>
    </w:tbl>
    <w:p w:rsidR="00AC0108" w:rsidRDefault="00AC0108" w:rsidP="00AC0108">
      <w:pPr>
        <w:autoSpaceDE w:val="0"/>
        <w:autoSpaceDN w:val="0"/>
        <w:adjustRightInd w:val="0"/>
        <w:rPr>
          <w:rFonts w:ascii="Arial" w:hAnsi="Arial" w:cs="Arial"/>
          <w:lang w:val="tr-TR"/>
        </w:rPr>
      </w:pPr>
    </w:p>
    <w:p w:rsidR="00D322FB" w:rsidRPr="00284495" w:rsidRDefault="00D322FB" w:rsidP="00AC0108">
      <w:pPr>
        <w:autoSpaceDE w:val="0"/>
        <w:autoSpaceDN w:val="0"/>
        <w:adjustRightInd w:val="0"/>
        <w:rPr>
          <w:rFonts w:ascii="Arial" w:hAnsi="Arial" w:cs="Arial"/>
          <w:lang w:val="tr-TR"/>
        </w:rPr>
      </w:pPr>
      <w:r w:rsidRPr="00284495">
        <w:rPr>
          <w:rFonts w:ascii="Arial" w:hAnsi="Arial" w:cs="Arial"/>
          <w:lang w:val="tr-TR"/>
        </w:rPr>
        <w:t>16.</w:t>
      </w:r>
      <w:r w:rsidRPr="00284495">
        <w:rPr>
          <w:rFonts w:ascii="Arial" w:hAnsi="Arial" w:cs="Arial"/>
          <w:lang w:val="tr-TR"/>
        </w:rPr>
        <w:tab/>
        <w:t>Hasılat</w:t>
      </w:r>
    </w:p>
    <w:p w:rsidR="00D322FB" w:rsidRDefault="00D322FB" w:rsidP="0099593D">
      <w:pPr>
        <w:tabs>
          <w:tab w:val="right" w:pos="6660"/>
          <w:tab w:val="right" w:pos="8640"/>
        </w:tabs>
        <w:ind w:left="567" w:hanging="567"/>
        <w:rPr>
          <w:rFonts w:ascii="Arial" w:hAnsi="Arial" w:cs="Arial"/>
          <w:b/>
          <w:lang w:val="tr-TR"/>
        </w:rPr>
      </w:pPr>
    </w:p>
    <w:p w:rsidR="00D322FB" w:rsidRPr="00DF3B20" w:rsidRDefault="002B063A" w:rsidP="00C64A8E">
      <w:pPr>
        <w:ind w:right="-109"/>
        <w:rPr>
          <w:rFonts w:ascii="Arial" w:hAnsi="Arial" w:cs="Arial"/>
          <w:lang w:val="tr-TR"/>
        </w:rPr>
      </w:pPr>
      <w:r w:rsidRPr="00DF3B20">
        <w:rPr>
          <w:rFonts w:ascii="Arial" w:hAnsi="Arial" w:cs="Arial"/>
          <w:lang w:val="tr-TR"/>
        </w:rPr>
        <w:t xml:space="preserve">1 Ocak – 31 </w:t>
      </w:r>
      <w:r>
        <w:rPr>
          <w:rFonts w:ascii="Arial" w:hAnsi="Arial" w:cs="Arial"/>
          <w:lang w:val="tr-TR"/>
        </w:rPr>
        <w:t>Mart</w:t>
      </w:r>
      <w:r w:rsidRPr="00DF3B20">
        <w:rPr>
          <w:rFonts w:ascii="Arial" w:hAnsi="Arial" w:cs="Arial"/>
          <w:lang w:val="tr-TR"/>
        </w:rPr>
        <w:t xml:space="preserve"> 201</w:t>
      </w:r>
      <w:r>
        <w:rPr>
          <w:rFonts w:ascii="Arial" w:hAnsi="Arial" w:cs="Arial"/>
          <w:lang w:val="tr-TR"/>
        </w:rPr>
        <w:t>5</w:t>
      </w:r>
      <w:r w:rsidRPr="00DF3B20">
        <w:rPr>
          <w:rFonts w:ascii="Arial" w:hAnsi="Arial" w:cs="Arial"/>
          <w:lang w:val="tr-TR"/>
        </w:rPr>
        <w:t xml:space="preserve"> ve 201</w:t>
      </w:r>
      <w:r>
        <w:rPr>
          <w:rFonts w:ascii="Arial" w:hAnsi="Arial" w:cs="Arial"/>
          <w:lang w:val="tr-TR"/>
        </w:rPr>
        <w:t>4</w:t>
      </w:r>
      <w:r w:rsidRPr="00DF3B20">
        <w:rPr>
          <w:rFonts w:ascii="Arial" w:hAnsi="Arial" w:cs="Arial"/>
          <w:lang w:val="tr-TR"/>
        </w:rPr>
        <w:t xml:space="preserve"> </w:t>
      </w:r>
      <w:r w:rsidR="00D322FB" w:rsidRPr="00C64A8E">
        <w:rPr>
          <w:rFonts w:ascii="Arial" w:hAnsi="Arial" w:cs="Arial"/>
          <w:lang w:val="tr-TR"/>
        </w:rPr>
        <w:t xml:space="preserve"> dönemlerine ait hasılat detayı aşağıdaki gibidir:</w:t>
      </w:r>
    </w:p>
    <w:p w:rsidR="00D322FB" w:rsidRPr="00727376" w:rsidRDefault="00D322FB" w:rsidP="0099593D">
      <w:pPr>
        <w:tabs>
          <w:tab w:val="right" w:pos="6660"/>
          <w:tab w:val="right" w:pos="8640"/>
        </w:tabs>
        <w:ind w:left="567" w:hanging="567"/>
        <w:rPr>
          <w:rFonts w:ascii="Arial" w:hAnsi="Arial" w:cs="Arial"/>
          <w:b/>
          <w:highlight w:val="yellow"/>
          <w:lang w:val="tr-TR"/>
        </w:rPr>
      </w:pPr>
    </w:p>
    <w:tbl>
      <w:tblPr>
        <w:tblW w:w="9432" w:type="dxa"/>
        <w:tblInd w:w="108" w:type="dxa"/>
        <w:tblLayout w:type="fixed"/>
        <w:tblLook w:val="0000" w:firstRow="0" w:lastRow="0" w:firstColumn="0" w:lastColumn="0" w:noHBand="0" w:noVBand="0"/>
      </w:tblPr>
      <w:tblGrid>
        <w:gridCol w:w="6030"/>
        <w:gridCol w:w="1701"/>
        <w:gridCol w:w="1701"/>
      </w:tblGrid>
      <w:tr w:rsidR="00D322FB" w:rsidRPr="00236E9F" w:rsidTr="002559E9">
        <w:trPr>
          <w:trHeight w:val="113"/>
        </w:trPr>
        <w:tc>
          <w:tcPr>
            <w:tcW w:w="6030" w:type="dxa"/>
            <w:tcBorders>
              <w:top w:val="single" w:sz="6" w:space="0" w:color="auto"/>
              <w:left w:val="nil"/>
              <w:bottom w:val="single" w:sz="6" w:space="0" w:color="auto"/>
              <w:right w:val="nil"/>
            </w:tcBorders>
            <w:vAlign w:val="bottom"/>
          </w:tcPr>
          <w:p w:rsidR="00D322FB" w:rsidRPr="00236E9F" w:rsidRDefault="00D322FB" w:rsidP="002559E9">
            <w:pPr>
              <w:autoSpaceDE w:val="0"/>
              <w:autoSpaceDN w:val="0"/>
              <w:adjustRightInd w:val="0"/>
              <w:rPr>
                <w:rFonts w:ascii="Arial" w:hAnsi="Arial" w:cs="Arial"/>
                <w:b/>
                <w:bCs/>
                <w:color w:val="000000"/>
              </w:rPr>
            </w:pPr>
            <w:r>
              <w:rPr>
                <w:rFonts w:ascii="Arial" w:hAnsi="Arial" w:cs="Arial"/>
                <w:b/>
                <w:bCs/>
                <w:color w:val="000000"/>
              </w:rPr>
              <w:t>Hasılat</w:t>
            </w:r>
          </w:p>
        </w:tc>
        <w:tc>
          <w:tcPr>
            <w:tcW w:w="1701" w:type="dxa"/>
            <w:tcBorders>
              <w:top w:val="single" w:sz="6" w:space="0" w:color="auto"/>
              <w:left w:val="nil"/>
              <w:bottom w:val="single" w:sz="6" w:space="0" w:color="auto"/>
              <w:right w:val="nil"/>
            </w:tcBorders>
            <w:vAlign w:val="bottom"/>
          </w:tcPr>
          <w:p w:rsidR="00D322FB" w:rsidRPr="00236E9F" w:rsidRDefault="00D322FB" w:rsidP="001A0C62">
            <w:pPr>
              <w:autoSpaceDE w:val="0"/>
              <w:autoSpaceDN w:val="0"/>
              <w:adjustRightInd w:val="0"/>
              <w:jc w:val="right"/>
              <w:rPr>
                <w:rFonts w:ascii="Arial" w:hAnsi="Arial" w:cs="Arial"/>
                <w:b/>
                <w:bCs/>
                <w:color w:val="000000"/>
              </w:rPr>
            </w:pPr>
            <w:r w:rsidRPr="00236E9F">
              <w:rPr>
                <w:rFonts w:ascii="Arial" w:hAnsi="Arial" w:cs="Arial"/>
                <w:b/>
                <w:bCs/>
                <w:color w:val="000000"/>
              </w:rPr>
              <w:t>1 Ocak -</w:t>
            </w:r>
          </w:p>
          <w:p w:rsidR="00D322FB" w:rsidRPr="00236E9F" w:rsidRDefault="00D322FB" w:rsidP="00792991">
            <w:pPr>
              <w:autoSpaceDE w:val="0"/>
              <w:autoSpaceDN w:val="0"/>
              <w:adjustRightInd w:val="0"/>
              <w:jc w:val="right"/>
              <w:rPr>
                <w:rFonts w:ascii="Arial" w:hAnsi="Arial" w:cs="Arial"/>
                <w:b/>
                <w:bCs/>
                <w:color w:val="000000"/>
              </w:rPr>
            </w:pPr>
            <w:r w:rsidRPr="00236E9F">
              <w:rPr>
                <w:rFonts w:ascii="Arial" w:hAnsi="Arial" w:cs="Arial"/>
                <w:b/>
                <w:bCs/>
                <w:color w:val="000000"/>
              </w:rPr>
              <w:t xml:space="preserve">31 </w:t>
            </w:r>
            <w:r w:rsidR="00792991">
              <w:rPr>
                <w:rFonts w:ascii="Arial" w:hAnsi="Arial" w:cs="Arial"/>
                <w:b/>
                <w:bCs/>
                <w:color w:val="000000"/>
              </w:rPr>
              <w:t>Mart</w:t>
            </w:r>
            <w:r w:rsidRPr="00236E9F">
              <w:rPr>
                <w:rFonts w:ascii="Arial" w:hAnsi="Arial" w:cs="Arial"/>
                <w:b/>
                <w:bCs/>
                <w:color w:val="000000"/>
              </w:rPr>
              <w:t xml:space="preserve"> 201</w:t>
            </w:r>
            <w:r w:rsidR="00792991">
              <w:rPr>
                <w:rFonts w:ascii="Arial" w:hAnsi="Arial" w:cs="Arial"/>
                <w:b/>
                <w:bCs/>
                <w:color w:val="000000"/>
              </w:rPr>
              <w:t>5</w:t>
            </w:r>
          </w:p>
        </w:tc>
        <w:tc>
          <w:tcPr>
            <w:tcW w:w="1701" w:type="dxa"/>
            <w:tcBorders>
              <w:top w:val="single" w:sz="6" w:space="0" w:color="auto"/>
              <w:left w:val="nil"/>
              <w:bottom w:val="single" w:sz="6" w:space="0" w:color="auto"/>
              <w:right w:val="nil"/>
            </w:tcBorders>
            <w:vAlign w:val="bottom"/>
          </w:tcPr>
          <w:p w:rsidR="00D322FB" w:rsidRPr="00236E9F" w:rsidRDefault="00D322FB" w:rsidP="001A0C62">
            <w:pPr>
              <w:autoSpaceDE w:val="0"/>
              <w:autoSpaceDN w:val="0"/>
              <w:adjustRightInd w:val="0"/>
              <w:jc w:val="right"/>
              <w:rPr>
                <w:rFonts w:ascii="Arial" w:hAnsi="Arial" w:cs="Arial"/>
                <w:bCs/>
                <w:color w:val="000000"/>
              </w:rPr>
            </w:pPr>
            <w:r w:rsidRPr="00236E9F">
              <w:rPr>
                <w:rFonts w:ascii="Arial" w:hAnsi="Arial" w:cs="Arial"/>
                <w:bCs/>
                <w:color w:val="000000"/>
              </w:rPr>
              <w:t>1 Ocak -</w:t>
            </w:r>
          </w:p>
          <w:p w:rsidR="00D322FB" w:rsidRPr="00236E9F" w:rsidRDefault="00D322FB" w:rsidP="00792991">
            <w:pPr>
              <w:autoSpaceDE w:val="0"/>
              <w:autoSpaceDN w:val="0"/>
              <w:adjustRightInd w:val="0"/>
              <w:jc w:val="right"/>
              <w:rPr>
                <w:rFonts w:ascii="Arial" w:hAnsi="Arial" w:cs="Arial"/>
                <w:bCs/>
                <w:color w:val="000000"/>
              </w:rPr>
            </w:pPr>
            <w:r w:rsidRPr="00236E9F">
              <w:rPr>
                <w:rFonts w:ascii="Arial" w:hAnsi="Arial" w:cs="Arial"/>
                <w:bCs/>
                <w:color w:val="000000"/>
              </w:rPr>
              <w:t xml:space="preserve">31 </w:t>
            </w:r>
            <w:r w:rsidR="00792991">
              <w:rPr>
                <w:rFonts w:ascii="Arial" w:hAnsi="Arial" w:cs="Arial"/>
                <w:bCs/>
                <w:color w:val="000000"/>
              </w:rPr>
              <w:t>Mart</w:t>
            </w:r>
            <w:r w:rsidRPr="00236E9F">
              <w:rPr>
                <w:rFonts w:ascii="Arial" w:hAnsi="Arial" w:cs="Arial"/>
                <w:bCs/>
                <w:color w:val="000000"/>
              </w:rPr>
              <w:t xml:space="preserve"> 201</w:t>
            </w:r>
            <w:r w:rsidR="00792991">
              <w:rPr>
                <w:rFonts w:ascii="Arial" w:hAnsi="Arial" w:cs="Arial"/>
                <w:bCs/>
                <w:color w:val="000000"/>
              </w:rPr>
              <w:t>4</w:t>
            </w:r>
          </w:p>
        </w:tc>
      </w:tr>
      <w:tr w:rsidR="00D322FB" w:rsidRPr="00236E9F" w:rsidTr="00E4669C">
        <w:trPr>
          <w:trHeight w:val="113"/>
        </w:trPr>
        <w:tc>
          <w:tcPr>
            <w:tcW w:w="6030" w:type="dxa"/>
            <w:tcBorders>
              <w:top w:val="single" w:sz="6" w:space="0" w:color="auto"/>
              <w:left w:val="nil"/>
              <w:bottom w:val="nil"/>
              <w:right w:val="nil"/>
            </w:tcBorders>
          </w:tcPr>
          <w:p w:rsidR="00D322FB" w:rsidRPr="00236E9F" w:rsidRDefault="00D322FB" w:rsidP="008310F3">
            <w:pPr>
              <w:autoSpaceDE w:val="0"/>
              <w:autoSpaceDN w:val="0"/>
              <w:adjustRightInd w:val="0"/>
              <w:rPr>
                <w:rFonts w:ascii="Arial" w:hAnsi="Arial" w:cs="Arial"/>
                <w:color w:val="000000"/>
              </w:rPr>
            </w:pPr>
          </w:p>
        </w:tc>
        <w:tc>
          <w:tcPr>
            <w:tcW w:w="1701" w:type="dxa"/>
            <w:tcBorders>
              <w:top w:val="single" w:sz="6" w:space="0" w:color="auto"/>
              <w:left w:val="nil"/>
              <w:bottom w:val="nil"/>
              <w:right w:val="nil"/>
            </w:tcBorders>
            <w:vAlign w:val="bottom"/>
          </w:tcPr>
          <w:p w:rsidR="00D322FB" w:rsidRPr="00236E9F" w:rsidRDefault="00D322FB" w:rsidP="001A0C62">
            <w:pPr>
              <w:autoSpaceDE w:val="0"/>
              <w:autoSpaceDN w:val="0"/>
              <w:adjustRightInd w:val="0"/>
              <w:jc w:val="right"/>
              <w:rPr>
                <w:rFonts w:ascii="Arial" w:hAnsi="Arial" w:cs="Arial"/>
                <w:b/>
                <w:color w:val="000000"/>
              </w:rPr>
            </w:pPr>
          </w:p>
        </w:tc>
        <w:tc>
          <w:tcPr>
            <w:tcW w:w="1701" w:type="dxa"/>
            <w:tcBorders>
              <w:top w:val="single" w:sz="6" w:space="0" w:color="auto"/>
              <w:left w:val="nil"/>
              <w:bottom w:val="nil"/>
              <w:right w:val="nil"/>
            </w:tcBorders>
            <w:vAlign w:val="bottom"/>
          </w:tcPr>
          <w:p w:rsidR="00D322FB" w:rsidRPr="00236E9F" w:rsidRDefault="00D322FB" w:rsidP="001A0C62">
            <w:pPr>
              <w:autoSpaceDE w:val="0"/>
              <w:autoSpaceDN w:val="0"/>
              <w:adjustRightInd w:val="0"/>
              <w:jc w:val="right"/>
              <w:rPr>
                <w:rFonts w:ascii="Arial" w:hAnsi="Arial" w:cs="Arial"/>
                <w:color w:val="000000"/>
              </w:rPr>
            </w:pPr>
          </w:p>
        </w:tc>
      </w:tr>
      <w:tr w:rsidR="00D322FB" w:rsidRPr="00236E9F" w:rsidTr="00E4669C">
        <w:trPr>
          <w:trHeight w:val="113"/>
        </w:trPr>
        <w:tc>
          <w:tcPr>
            <w:tcW w:w="6030" w:type="dxa"/>
            <w:tcBorders>
              <w:top w:val="nil"/>
              <w:left w:val="nil"/>
              <w:bottom w:val="nil"/>
              <w:right w:val="nil"/>
            </w:tcBorders>
          </w:tcPr>
          <w:p w:rsidR="00D322FB" w:rsidRPr="00236E9F" w:rsidRDefault="00D322FB" w:rsidP="00D86D3E">
            <w:pPr>
              <w:autoSpaceDE w:val="0"/>
              <w:autoSpaceDN w:val="0"/>
              <w:adjustRightInd w:val="0"/>
              <w:rPr>
                <w:rFonts w:ascii="Arial" w:hAnsi="Arial" w:cs="Arial"/>
                <w:color w:val="000000"/>
              </w:rPr>
            </w:pPr>
            <w:r w:rsidRPr="00236E9F">
              <w:rPr>
                <w:rFonts w:ascii="Arial" w:hAnsi="Arial" w:cs="Arial"/>
                <w:color w:val="000000"/>
              </w:rPr>
              <w:t>Portföy yönetim komisyonları ()</w:t>
            </w:r>
          </w:p>
        </w:tc>
        <w:tc>
          <w:tcPr>
            <w:tcW w:w="1701" w:type="dxa"/>
            <w:tcBorders>
              <w:top w:val="nil"/>
              <w:left w:val="nil"/>
              <w:bottom w:val="nil"/>
              <w:right w:val="nil"/>
            </w:tcBorders>
            <w:vAlign w:val="bottom"/>
          </w:tcPr>
          <w:p w:rsidR="00D322FB" w:rsidRPr="00236E9F" w:rsidRDefault="00D322FB" w:rsidP="00D604E5">
            <w:pPr>
              <w:jc w:val="right"/>
              <w:rPr>
                <w:rFonts w:ascii="Arial" w:hAnsi="Arial" w:cs="Arial"/>
                <w:b/>
                <w:bCs/>
                <w:color w:val="000000"/>
              </w:rPr>
            </w:pPr>
            <w:r w:rsidRPr="00236E9F">
              <w:rPr>
                <w:rFonts w:ascii="Arial" w:hAnsi="Arial" w:cs="Arial"/>
                <w:b/>
                <w:bCs/>
                <w:color w:val="000000"/>
              </w:rPr>
              <w:t xml:space="preserve">  </w:t>
            </w:r>
            <w:r w:rsidR="00D604E5">
              <w:rPr>
                <w:rFonts w:ascii="Arial" w:hAnsi="Arial" w:cs="Arial"/>
                <w:b/>
                <w:bCs/>
                <w:color w:val="000000"/>
              </w:rPr>
              <w:t>1.046</w:t>
            </w:r>
            <w:r w:rsidRPr="00236E9F">
              <w:rPr>
                <w:rFonts w:ascii="Arial" w:hAnsi="Arial" w:cs="Arial"/>
                <w:b/>
                <w:bCs/>
                <w:color w:val="000000"/>
              </w:rPr>
              <w:t>.</w:t>
            </w:r>
            <w:r w:rsidR="00D604E5">
              <w:rPr>
                <w:rFonts w:ascii="Arial" w:hAnsi="Arial" w:cs="Arial"/>
                <w:b/>
                <w:bCs/>
                <w:color w:val="000000"/>
              </w:rPr>
              <w:t>301</w:t>
            </w:r>
            <w:r w:rsidRPr="00236E9F">
              <w:rPr>
                <w:rFonts w:ascii="Arial" w:hAnsi="Arial" w:cs="Arial"/>
                <w:b/>
                <w:bCs/>
                <w:color w:val="000000"/>
              </w:rPr>
              <w:t xml:space="preserve"> </w:t>
            </w:r>
          </w:p>
        </w:tc>
        <w:tc>
          <w:tcPr>
            <w:tcW w:w="1701" w:type="dxa"/>
            <w:tcBorders>
              <w:top w:val="nil"/>
              <w:left w:val="nil"/>
              <w:bottom w:val="nil"/>
              <w:right w:val="nil"/>
            </w:tcBorders>
            <w:vAlign w:val="bottom"/>
          </w:tcPr>
          <w:p w:rsidR="00D322FB" w:rsidRPr="00236E9F" w:rsidRDefault="00C7640C" w:rsidP="00C7640C">
            <w:pPr>
              <w:autoSpaceDE w:val="0"/>
              <w:autoSpaceDN w:val="0"/>
              <w:adjustRightInd w:val="0"/>
              <w:jc w:val="right"/>
              <w:rPr>
                <w:rFonts w:ascii="Arial" w:hAnsi="Arial" w:cs="Arial"/>
                <w:bCs/>
                <w:color w:val="000000"/>
              </w:rPr>
            </w:pPr>
            <w:r>
              <w:rPr>
                <w:rFonts w:ascii="Arial" w:hAnsi="Arial" w:cs="Arial"/>
                <w:bCs/>
                <w:color w:val="000000"/>
              </w:rPr>
              <w:t>381</w:t>
            </w:r>
            <w:r w:rsidR="00D322FB" w:rsidRPr="00236E9F">
              <w:rPr>
                <w:rFonts w:ascii="Arial" w:hAnsi="Arial" w:cs="Arial"/>
                <w:bCs/>
                <w:color w:val="000000"/>
              </w:rPr>
              <w:t>.</w:t>
            </w:r>
            <w:r>
              <w:rPr>
                <w:rFonts w:ascii="Arial" w:hAnsi="Arial" w:cs="Arial"/>
                <w:bCs/>
                <w:color w:val="000000"/>
              </w:rPr>
              <w:t>236</w:t>
            </w:r>
          </w:p>
        </w:tc>
      </w:tr>
      <w:tr w:rsidR="00D322FB" w:rsidRPr="00236E9F" w:rsidTr="00E4669C">
        <w:trPr>
          <w:trHeight w:val="113"/>
        </w:trPr>
        <w:tc>
          <w:tcPr>
            <w:tcW w:w="6030" w:type="dxa"/>
            <w:tcBorders>
              <w:top w:val="nil"/>
              <w:left w:val="nil"/>
              <w:bottom w:val="nil"/>
              <w:right w:val="nil"/>
            </w:tcBorders>
          </w:tcPr>
          <w:p w:rsidR="00D322FB" w:rsidRPr="00236E9F" w:rsidRDefault="00D322FB" w:rsidP="008310F3">
            <w:pPr>
              <w:autoSpaceDE w:val="0"/>
              <w:autoSpaceDN w:val="0"/>
              <w:adjustRightInd w:val="0"/>
              <w:rPr>
                <w:rFonts w:ascii="Arial" w:hAnsi="Arial" w:cs="Arial"/>
                <w:color w:val="000000"/>
              </w:rPr>
            </w:pPr>
            <w:r w:rsidRPr="00236E9F">
              <w:rPr>
                <w:rFonts w:ascii="Arial" w:hAnsi="Arial" w:cs="Arial"/>
                <w:color w:val="000000"/>
              </w:rPr>
              <w:t>Portföy yönetim ücreti</w:t>
            </w:r>
          </w:p>
        </w:tc>
        <w:tc>
          <w:tcPr>
            <w:tcW w:w="1701" w:type="dxa"/>
            <w:tcBorders>
              <w:top w:val="nil"/>
              <w:left w:val="nil"/>
              <w:bottom w:val="nil"/>
              <w:right w:val="nil"/>
            </w:tcBorders>
            <w:vAlign w:val="bottom"/>
          </w:tcPr>
          <w:p w:rsidR="00D322FB" w:rsidRPr="00236E9F" w:rsidRDefault="00D322FB" w:rsidP="00D604E5">
            <w:pPr>
              <w:jc w:val="right"/>
              <w:rPr>
                <w:rFonts w:ascii="Arial" w:hAnsi="Arial" w:cs="Arial"/>
                <w:b/>
                <w:bCs/>
                <w:color w:val="000000"/>
              </w:rPr>
            </w:pPr>
            <w:r w:rsidRPr="00236E9F">
              <w:rPr>
                <w:rFonts w:ascii="Arial" w:hAnsi="Arial" w:cs="Arial"/>
                <w:b/>
                <w:bCs/>
                <w:color w:val="000000"/>
              </w:rPr>
              <w:t xml:space="preserve">       </w:t>
            </w:r>
            <w:r w:rsidR="00D604E5">
              <w:rPr>
                <w:rFonts w:ascii="Arial" w:hAnsi="Arial" w:cs="Arial"/>
                <w:b/>
                <w:bCs/>
                <w:color w:val="000000"/>
              </w:rPr>
              <w:t>3</w:t>
            </w:r>
            <w:r w:rsidRPr="00236E9F">
              <w:rPr>
                <w:rFonts w:ascii="Arial" w:hAnsi="Arial" w:cs="Arial"/>
                <w:b/>
                <w:bCs/>
                <w:color w:val="000000"/>
              </w:rPr>
              <w:t xml:space="preserve">.000 </w:t>
            </w:r>
          </w:p>
        </w:tc>
        <w:tc>
          <w:tcPr>
            <w:tcW w:w="1701" w:type="dxa"/>
            <w:tcBorders>
              <w:top w:val="nil"/>
              <w:left w:val="nil"/>
              <w:bottom w:val="nil"/>
              <w:right w:val="nil"/>
            </w:tcBorders>
            <w:vAlign w:val="bottom"/>
          </w:tcPr>
          <w:p w:rsidR="00D322FB" w:rsidRPr="00236E9F" w:rsidRDefault="00C7640C" w:rsidP="00C7640C">
            <w:pPr>
              <w:autoSpaceDE w:val="0"/>
              <w:autoSpaceDN w:val="0"/>
              <w:adjustRightInd w:val="0"/>
              <w:jc w:val="right"/>
              <w:rPr>
                <w:rFonts w:ascii="Arial" w:hAnsi="Arial" w:cs="Arial"/>
                <w:bCs/>
                <w:color w:val="000000"/>
              </w:rPr>
            </w:pPr>
            <w:r>
              <w:rPr>
                <w:rFonts w:ascii="Arial" w:hAnsi="Arial" w:cs="Arial"/>
                <w:bCs/>
                <w:color w:val="000000"/>
              </w:rPr>
              <w:t>6.267</w:t>
            </w:r>
          </w:p>
        </w:tc>
      </w:tr>
      <w:tr w:rsidR="00D322FB" w:rsidRPr="00236E9F" w:rsidTr="00CB5525">
        <w:trPr>
          <w:trHeight w:val="113"/>
        </w:trPr>
        <w:tc>
          <w:tcPr>
            <w:tcW w:w="6030" w:type="dxa"/>
            <w:tcBorders>
              <w:top w:val="nil"/>
              <w:left w:val="nil"/>
              <w:bottom w:val="single" w:sz="6" w:space="0" w:color="auto"/>
              <w:right w:val="nil"/>
            </w:tcBorders>
          </w:tcPr>
          <w:p w:rsidR="00D322FB" w:rsidRPr="00236E9F" w:rsidRDefault="00D322FB" w:rsidP="008310F3">
            <w:pPr>
              <w:autoSpaceDE w:val="0"/>
              <w:autoSpaceDN w:val="0"/>
              <w:adjustRightInd w:val="0"/>
              <w:rPr>
                <w:rFonts w:ascii="Arial" w:hAnsi="Arial" w:cs="Arial"/>
                <w:color w:val="000000"/>
              </w:rPr>
            </w:pPr>
          </w:p>
        </w:tc>
        <w:tc>
          <w:tcPr>
            <w:tcW w:w="1701" w:type="dxa"/>
            <w:tcBorders>
              <w:top w:val="nil"/>
              <w:left w:val="nil"/>
              <w:bottom w:val="single" w:sz="6" w:space="0" w:color="auto"/>
              <w:right w:val="nil"/>
            </w:tcBorders>
          </w:tcPr>
          <w:p w:rsidR="00D322FB" w:rsidRPr="00236E9F" w:rsidRDefault="00D322FB">
            <w:pPr>
              <w:jc w:val="right"/>
              <w:rPr>
                <w:rFonts w:ascii="Arial" w:hAnsi="Arial" w:cs="Arial"/>
                <w:b/>
                <w:bCs/>
                <w:color w:val="000000"/>
              </w:rPr>
            </w:pPr>
            <w:r w:rsidRPr="00236E9F">
              <w:rPr>
                <w:rFonts w:ascii="Arial" w:hAnsi="Arial" w:cs="Arial"/>
                <w:b/>
                <w:bCs/>
                <w:color w:val="000000"/>
              </w:rPr>
              <w:t> </w:t>
            </w:r>
          </w:p>
        </w:tc>
        <w:tc>
          <w:tcPr>
            <w:tcW w:w="1701" w:type="dxa"/>
            <w:tcBorders>
              <w:top w:val="nil"/>
              <w:left w:val="nil"/>
              <w:bottom w:val="single" w:sz="6" w:space="0" w:color="auto"/>
              <w:right w:val="nil"/>
            </w:tcBorders>
            <w:vAlign w:val="bottom"/>
          </w:tcPr>
          <w:p w:rsidR="00D322FB" w:rsidRPr="00236E9F" w:rsidRDefault="00D322FB" w:rsidP="001A0C62">
            <w:pPr>
              <w:autoSpaceDE w:val="0"/>
              <w:autoSpaceDN w:val="0"/>
              <w:adjustRightInd w:val="0"/>
              <w:jc w:val="right"/>
              <w:rPr>
                <w:rFonts w:ascii="Arial" w:hAnsi="Arial" w:cs="Arial"/>
                <w:color w:val="000000"/>
              </w:rPr>
            </w:pPr>
          </w:p>
        </w:tc>
      </w:tr>
      <w:tr w:rsidR="00D322FB" w:rsidRPr="00236E9F" w:rsidTr="00CB5525">
        <w:trPr>
          <w:trHeight w:val="113"/>
        </w:trPr>
        <w:tc>
          <w:tcPr>
            <w:tcW w:w="6030" w:type="dxa"/>
            <w:tcBorders>
              <w:top w:val="single" w:sz="6" w:space="0" w:color="auto"/>
              <w:left w:val="nil"/>
              <w:bottom w:val="double" w:sz="6" w:space="0" w:color="auto"/>
              <w:right w:val="nil"/>
            </w:tcBorders>
          </w:tcPr>
          <w:p w:rsidR="00D322FB" w:rsidRPr="00236E9F" w:rsidRDefault="00D322FB" w:rsidP="008310F3">
            <w:pPr>
              <w:autoSpaceDE w:val="0"/>
              <w:autoSpaceDN w:val="0"/>
              <w:adjustRightInd w:val="0"/>
              <w:rPr>
                <w:rFonts w:ascii="Arial" w:hAnsi="Arial" w:cs="Arial"/>
                <w:b/>
                <w:color w:val="000000"/>
              </w:rPr>
            </w:pPr>
            <w:r w:rsidRPr="00236E9F">
              <w:rPr>
                <w:rFonts w:ascii="Arial" w:hAnsi="Arial" w:cs="Arial"/>
                <w:b/>
                <w:color w:val="000000"/>
              </w:rPr>
              <w:t>Toplam</w:t>
            </w:r>
          </w:p>
        </w:tc>
        <w:tc>
          <w:tcPr>
            <w:tcW w:w="1701" w:type="dxa"/>
            <w:tcBorders>
              <w:top w:val="single" w:sz="6" w:space="0" w:color="auto"/>
              <w:left w:val="nil"/>
              <w:bottom w:val="double" w:sz="6" w:space="0" w:color="auto"/>
              <w:right w:val="nil"/>
            </w:tcBorders>
          </w:tcPr>
          <w:p w:rsidR="00D322FB" w:rsidRPr="00236E9F" w:rsidRDefault="00D322FB" w:rsidP="00D604E5">
            <w:pPr>
              <w:jc w:val="right"/>
              <w:rPr>
                <w:rFonts w:ascii="Arial" w:hAnsi="Arial" w:cs="Arial"/>
                <w:b/>
                <w:bCs/>
                <w:color w:val="000000"/>
              </w:rPr>
            </w:pPr>
            <w:r w:rsidRPr="00236E9F">
              <w:rPr>
                <w:rFonts w:ascii="Arial" w:hAnsi="Arial" w:cs="Arial"/>
                <w:b/>
                <w:bCs/>
                <w:color w:val="000000"/>
              </w:rPr>
              <w:t xml:space="preserve">   </w:t>
            </w:r>
            <w:r w:rsidR="00D604E5">
              <w:rPr>
                <w:rFonts w:ascii="Arial" w:hAnsi="Arial" w:cs="Arial"/>
                <w:b/>
                <w:bCs/>
                <w:color w:val="000000"/>
              </w:rPr>
              <w:t>1</w:t>
            </w:r>
            <w:r w:rsidRPr="00236E9F">
              <w:rPr>
                <w:rFonts w:ascii="Arial" w:hAnsi="Arial" w:cs="Arial"/>
                <w:b/>
                <w:bCs/>
                <w:color w:val="000000"/>
              </w:rPr>
              <w:t>.</w:t>
            </w:r>
            <w:r w:rsidR="00D604E5">
              <w:rPr>
                <w:rFonts w:ascii="Arial" w:hAnsi="Arial" w:cs="Arial"/>
                <w:b/>
                <w:bCs/>
                <w:color w:val="000000"/>
              </w:rPr>
              <w:t>049</w:t>
            </w:r>
            <w:r w:rsidRPr="00236E9F">
              <w:rPr>
                <w:rFonts w:ascii="Arial" w:hAnsi="Arial" w:cs="Arial"/>
                <w:b/>
                <w:bCs/>
                <w:color w:val="000000"/>
              </w:rPr>
              <w:t>.</w:t>
            </w:r>
            <w:r w:rsidR="00D604E5">
              <w:rPr>
                <w:rFonts w:ascii="Arial" w:hAnsi="Arial" w:cs="Arial"/>
                <w:b/>
                <w:bCs/>
                <w:color w:val="000000"/>
              </w:rPr>
              <w:t>301</w:t>
            </w:r>
            <w:r w:rsidRPr="00236E9F">
              <w:rPr>
                <w:rFonts w:ascii="Arial" w:hAnsi="Arial" w:cs="Arial"/>
                <w:b/>
                <w:bCs/>
                <w:color w:val="000000"/>
              </w:rPr>
              <w:t xml:space="preserve"> </w:t>
            </w:r>
          </w:p>
        </w:tc>
        <w:tc>
          <w:tcPr>
            <w:tcW w:w="1701" w:type="dxa"/>
            <w:tcBorders>
              <w:top w:val="single" w:sz="6" w:space="0" w:color="auto"/>
              <w:left w:val="nil"/>
              <w:bottom w:val="double" w:sz="6" w:space="0" w:color="auto"/>
              <w:right w:val="nil"/>
            </w:tcBorders>
            <w:vAlign w:val="bottom"/>
          </w:tcPr>
          <w:p w:rsidR="00D322FB" w:rsidRPr="00236E9F" w:rsidRDefault="00C7640C" w:rsidP="00C7640C">
            <w:pPr>
              <w:autoSpaceDE w:val="0"/>
              <w:autoSpaceDN w:val="0"/>
              <w:adjustRightInd w:val="0"/>
              <w:jc w:val="right"/>
              <w:rPr>
                <w:rFonts w:ascii="Arial" w:hAnsi="Arial" w:cs="Arial"/>
                <w:bCs/>
                <w:color w:val="000000"/>
              </w:rPr>
            </w:pPr>
            <w:r>
              <w:rPr>
                <w:rFonts w:ascii="Arial" w:hAnsi="Arial" w:cs="Arial"/>
                <w:bCs/>
                <w:color w:val="000000"/>
              </w:rPr>
              <w:t>387</w:t>
            </w:r>
            <w:r w:rsidR="00D322FB" w:rsidRPr="00236E9F">
              <w:rPr>
                <w:rFonts w:ascii="Arial" w:hAnsi="Arial" w:cs="Arial"/>
                <w:bCs/>
                <w:color w:val="000000"/>
              </w:rPr>
              <w:t>.</w:t>
            </w:r>
            <w:r>
              <w:rPr>
                <w:rFonts w:ascii="Arial" w:hAnsi="Arial" w:cs="Arial"/>
                <w:bCs/>
                <w:color w:val="000000"/>
              </w:rPr>
              <w:t>503</w:t>
            </w:r>
          </w:p>
        </w:tc>
      </w:tr>
    </w:tbl>
    <w:p w:rsidR="00D322FB" w:rsidRPr="00236E9F" w:rsidRDefault="00D322FB">
      <w:pPr>
        <w:rPr>
          <w:rFonts w:ascii="Arial" w:hAnsi="Arial" w:cs="Arial"/>
          <w:b/>
          <w:lang w:val="tr-TR"/>
        </w:rPr>
      </w:pPr>
    </w:p>
    <w:p w:rsidR="00D322FB" w:rsidRPr="00727376" w:rsidRDefault="00D322FB">
      <w:pPr>
        <w:rPr>
          <w:rFonts w:ascii="Arial" w:hAnsi="Arial" w:cs="Arial"/>
          <w:b/>
          <w:highlight w:val="yellow"/>
          <w:lang w:val="tr-TR"/>
        </w:rPr>
      </w:pP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t>17.</w:t>
      </w:r>
      <w:r w:rsidRPr="00284495">
        <w:rPr>
          <w:rFonts w:ascii="Arial" w:hAnsi="Arial" w:cs="Arial"/>
          <w:color w:val="auto"/>
          <w:sz w:val="20"/>
          <w:lang w:val="tr-TR"/>
        </w:rPr>
        <w:tab/>
        <w:t>Genel yönetim giderleri, pazarlama, satış ve dağıtım giderleri, araştırma ve geliştirme giderleri</w:t>
      </w:r>
    </w:p>
    <w:p w:rsidR="00D322FB" w:rsidRDefault="00D322FB" w:rsidP="00B37F4A">
      <w:pPr>
        <w:tabs>
          <w:tab w:val="right" w:pos="6660"/>
          <w:tab w:val="right" w:pos="8640"/>
        </w:tabs>
        <w:spacing w:line="230" w:lineRule="auto"/>
        <w:ind w:left="567" w:hanging="567"/>
        <w:rPr>
          <w:rFonts w:ascii="Arial" w:hAnsi="Arial" w:cs="Arial"/>
          <w:highlight w:val="yellow"/>
          <w:lang w:val="tr-TR"/>
        </w:rPr>
      </w:pPr>
    </w:p>
    <w:p w:rsidR="00D322FB" w:rsidRPr="00DF3B20" w:rsidRDefault="00D322FB" w:rsidP="00D736DA">
      <w:pPr>
        <w:ind w:right="-109"/>
        <w:rPr>
          <w:rFonts w:ascii="Arial" w:hAnsi="Arial" w:cs="Arial"/>
          <w:lang w:val="tr-TR"/>
        </w:rPr>
      </w:pPr>
      <w:r w:rsidRPr="00DF3B20">
        <w:rPr>
          <w:rFonts w:ascii="Arial" w:hAnsi="Arial" w:cs="Arial"/>
          <w:lang w:val="tr-TR"/>
        </w:rPr>
        <w:t xml:space="preserve">1 Ocak – 31 </w:t>
      </w:r>
      <w:r w:rsidR="002B063A">
        <w:rPr>
          <w:rFonts w:ascii="Arial" w:hAnsi="Arial" w:cs="Arial"/>
          <w:lang w:val="tr-TR"/>
        </w:rPr>
        <w:t>Mart</w:t>
      </w:r>
      <w:r w:rsidRPr="00DF3B20">
        <w:rPr>
          <w:rFonts w:ascii="Arial" w:hAnsi="Arial" w:cs="Arial"/>
          <w:lang w:val="tr-TR"/>
        </w:rPr>
        <w:t xml:space="preserve"> 201</w:t>
      </w:r>
      <w:r w:rsidR="002B063A">
        <w:rPr>
          <w:rFonts w:ascii="Arial" w:hAnsi="Arial" w:cs="Arial"/>
          <w:lang w:val="tr-TR"/>
        </w:rPr>
        <w:t>5</w:t>
      </w:r>
      <w:r w:rsidRPr="00DF3B20">
        <w:rPr>
          <w:rFonts w:ascii="Arial" w:hAnsi="Arial" w:cs="Arial"/>
          <w:lang w:val="tr-TR"/>
        </w:rPr>
        <w:t xml:space="preserve"> ve 201</w:t>
      </w:r>
      <w:r w:rsidR="002B063A">
        <w:rPr>
          <w:rFonts w:ascii="Arial" w:hAnsi="Arial" w:cs="Arial"/>
          <w:lang w:val="tr-TR"/>
        </w:rPr>
        <w:t>4</w:t>
      </w:r>
      <w:r w:rsidRPr="00DF3B20">
        <w:rPr>
          <w:rFonts w:ascii="Arial" w:hAnsi="Arial" w:cs="Arial"/>
          <w:lang w:val="tr-TR"/>
        </w:rPr>
        <w:t xml:space="preserve"> dönemlerine ait </w:t>
      </w:r>
      <w:r>
        <w:rPr>
          <w:rFonts w:ascii="Arial" w:hAnsi="Arial" w:cs="Arial"/>
          <w:lang w:val="tr-TR"/>
        </w:rPr>
        <w:t>genel yönetim ve p</w:t>
      </w:r>
      <w:r w:rsidRPr="00F423F3">
        <w:rPr>
          <w:rFonts w:ascii="Arial" w:hAnsi="Arial" w:cs="Arial"/>
          <w:lang w:val="tr-TR"/>
        </w:rPr>
        <w:t>azarlama, satış ve dağıtım</w:t>
      </w:r>
      <w:r>
        <w:rPr>
          <w:rFonts w:ascii="Arial" w:hAnsi="Arial" w:cs="Arial"/>
          <w:lang w:val="tr-TR"/>
        </w:rPr>
        <w:t>, araştırma ve geliştirme</w:t>
      </w:r>
      <w:r w:rsidRPr="00F423F3">
        <w:rPr>
          <w:rFonts w:ascii="Arial" w:hAnsi="Arial" w:cs="Arial"/>
          <w:lang w:val="tr-TR"/>
        </w:rPr>
        <w:t xml:space="preserve"> giderleri</w:t>
      </w:r>
      <w:r>
        <w:rPr>
          <w:rFonts w:ascii="Arial" w:hAnsi="Arial" w:cs="Arial"/>
          <w:lang w:val="tr-TR"/>
        </w:rPr>
        <w:t>nin</w:t>
      </w:r>
      <w:r w:rsidRPr="00DF3B20">
        <w:rPr>
          <w:rFonts w:ascii="Arial" w:hAnsi="Arial" w:cs="Arial"/>
          <w:lang w:val="tr-TR"/>
        </w:rPr>
        <w:t xml:space="preserve"> detayı aşağıdaki gibidir:</w:t>
      </w:r>
    </w:p>
    <w:p w:rsidR="00D322FB" w:rsidRPr="00727376" w:rsidRDefault="00D322FB" w:rsidP="00B37F4A">
      <w:pPr>
        <w:tabs>
          <w:tab w:val="right" w:pos="6660"/>
          <w:tab w:val="right" w:pos="8640"/>
        </w:tabs>
        <w:spacing w:line="230" w:lineRule="auto"/>
        <w:ind w:left="567" w:hanging="567"/>
        <w:rPr>
          <w:rFonts w:ascii="Arial" w:hAnsi="Arial" w:cs="Arial"/>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792991" w:rsidRPr="00727376" w:rsidTr="00E4669C">
        <w:trPr>
          <w:trHeight w:val="113"/>
        </w:trPr>
        <w:tc>
          <w:tcPr>
            <w:tcW w:w="6030" w:type="dxa"/>
            <w:tcBorders>
              <w:top w:val="single" w:sz="6" w:space="0" w:color="auto"/>
              <w:left w:val="nil"/>
              <w:bottom w:val="single" w:sz="6" w:space="0" w:color="auto"/>
              <w:right w:val="nil"/>
            </w:tcBorders>
          </w:tcPr>
          <w:p w:rsidR="00792991" w:rsidRPr="00842630" w:rsidRDefault="00792991" w:rsidP="00B37F4A">
            <w:pPr>
              <w:autoSpaceDE w:val="0"/>
              <w:autoSpaceDN w:val="0"/>
              <w:adjustRightInd w:val="0"/>
              <w:spacing w:line="230" w:lineRule="auto"/>
              <w:ind w:hanging="108"/>
              <w:rPr>
                <w:rFonts w:ascii="Arial" w:hAnsi="Arial" w:cs="Arial"/>
                <w:b/>
                <w:bCs/>
                <w:color w:val="000000"/>
                <w:lang w:val="tr-TR"/>
              </w:rPr>
            </w:pPr>
          </w:p>
        </w:tc>
        <w:tc>
          <w:tcPr>
            <w:tcW w:w="1710" w:type="dxa"/>
            <w:tcBorders>
              <w:top w:val="single" w:sz="6" w:space="0" w:color="auto"/>
              <w:left w:val="nil"/>
              <w:bottom w:val="single" w:sz="6" w:space="0" w:color="auto"/>
              <w:right w:val="nil"/>
            </w:tcBorders>
            <w:vAlign w:val="bottom"/>
          </w:tcPr>
          <w:p w:rsidR="00792991" w:rsidRPr="00236E9F" w:rsidRDefault="00792991" w:rsidP="00B6520D">
            <w:pPr>
              <w:autoSpaceDE w:val="0"/>
              <w:autoSpaceDN w:val="0"/>
              <w:adjustRightInd w:val="0"/>
              <w:jc w:val="right"/>
              <w:rPr>
                <w:rFonts w:ascii="Arial" w:hAnsi="Arial" w:cs="Arial"/>
                <w:b/>
                <w:bCs/>
                <w:color w:val="000000"/>
              </w:rPr>
            </w:pPr>
            <w:r w:rsidRPr="00236E9F">
              <w:rPr>
                <w:rFonts w:ascii="Arial" w:hAnsi="Arial" w:cs="Arial"/>
                <w:b/>
                <w:bCs/>
                <w:color w:val="000000"/>
              </w:rPr>
              <w:t>1 Ocak -</w:t>
            </w:r>
          </w:p>
          <w:p w:rsidR="00792991" w:rsidRPr="00236E9F" w:rsidRDefault="00792991" w:rsidP="00B6520D">
            <w:pPr>
              <w:autoSpaceDE w:val="0"/>
              <w:autoSpaceDN w:val="0"/>
              <w:adjustRightInd w:val="0"/>
              <w:jc w:val="right"/>
              <w:rPr>
                <w:rFonts w:ascii="Arial" w:hAnsi="Arial" w:cs="Arial"/>
                <w:b/>
                <w:bCs/>
                <w:color w:val="000000"/>
              </w:rPr>
            </w:pPr>
            <w:r w:rsidRPr="00236E9F">
              <w:rPr>
                <w:rFonts w:ascii="Arial" w:hAnsi="Arial" w:cs="Arial"/>
                <w:b/>
                <w:bCs/>
                <w:color w:val="000000"/>
              </w:rPr>
              <w:t xml:space="preserve">31 </w:t>
            </w:r>
            <w:r>
              <w:rPr>
                <w:rFonts w:ascii="Arial" w:hAnsi="Arial" w:cs="Arial"/>
                <w:b/>
                <w:bCs/>
                <w:color w:val="000000"/>
              </w:rPr>
              <w:t>Mart</w:t>
            </w:r>
            <w:r w:rsidRPr="00236E9F">
              <w:rPr>
                <w:rFonts w:ascii="Arial" w:hAnsi="Arial" w:cs="Arial"/>
                <w:b/>
                <w:bCs/>
                <w:color w:val="000000"/>
              </w:rPr>
              <w:t xml:space="preserve"> 201</w:t>
            </w:r>
            <w:r>
              <w:rPr>
                <w:rFonts w:ascii="Arial" w:hAnsi="Arial" w:cs="Arial"/>
                <w:b/>
                <w:bCs/>
                <w:color w:val="000000"/>
              </w:rPr>
              <w:t>5</w:t>
            </w:r>
          </w:p>
        </w:tc>
        <w:tc>
          <w:tcPr>
            <w:tcW w:w="1710" w:type="dxa"/>
            <w:tcBorders>
              <w:top w:val="single" w:sz="6" w:space="0" w:color="auto"/>
              <w:left w:val="nil"/>
              <w:bottom w:val="single" w:sz="6" w:space="0" w:color="auto"/>
              <w:right w:val="nil"/>
            </w:tcBorders>
            <w:vAlign w:val="bottom"/>
          </w:tcPr>
          <w:p w:rsidR="00792991" w:rsidRPr="00236E9F" w:rsidRDefault="00792991" w:rsidP="00B6520D">
            <w:pPr>
              <w:autoSpaceDE w:val="0"/>
              <w:autoSpaceDN w:val="0"/>
              <w:adjustRightInd w:val="0"/>
              <w:jc w:val="right"/>
              <w:rPr>
                <w:rFonts w:ascii="Arial" w:hAnsi="Arial" w:cs="Arial"/>
                <w:bCs/>
                <w:color w:val="000000"/>
              </w:rPr>
            </w:pPr>
            <w:r w:rsidRPr="00236E9F">
              <w:rPr>
                <w:rFonts w:ascii="Arial" w:hAnsi="Arial" w:cs="Arial"/>
                <w:bCs/>
                <w:color w:val="000000"/>
              </w:rPr>
              <w:t>1 Ocak -</w:t>
            </w:r>
          </w:p>
          <w:p w:rsidR="00792991" w:rsidRPr="00236E9F" w:rsidRDefault="00792991" w:rsidP="00B6520D">
            <w:pPr>
              <w:autoSpaceDE w:val="0"/>
              <w:autoSpaceDN w:val="0"/>
              <w:adjustRightInd w:val="0"/>
              <w:jc w:val="right"/>
              <w:rPr>
                <w:rFonts w:ascii="Arial" w:hAnsi="Arial" w:cs="Arial"/>
                <w:bCs/>
                <w:color w:val="000000"/>
              </w:rPr>
            </w:pPr>
            <w:r w:rsidRPr="00236E9F">
              <w:rPr>
                <w:rFonts w:ascii="Arial" w:hAnsi="Arial" w:cs="Arial"/>
                <w:bCs/>
                <w:color w:val="000000"/>
              </w:rPr>
              <w:t xml:space="preserve">31 </w:t>
            </w:r>
            <w:r>
              <w:rPr>
                <w:rFonts w:ascii="Arial" w:hAnsi="Arial" w:cs="Arial"/>
                <w:bCs/>
                <w:color w:val="000000"/>
              </w:rPr>
              <w:t>Mart</w:t>
            </w:r>
            <w:r w:rsidRPr="00236E9F">
              <w:rPr>
                <w:rFonts w:ascii="Arial" w:hAnsi="Arial" w:cs="Arial"/>
                <w:bCs/>
                <w:color w:val="000000"/>
              </w:rPr>
              <w:t xml:space="preserve"> 201</w:t>
            </w:r>
            <w:r>
              <w:rPr>
                <w:rFonts w:ascii="Arial" w:hAnsi="Arial" w:cs="Arial"/>
                <w:bCs/>
                <w:color w:val="000000"/>
              </w:rPr>
              <w:t>4</w:t>
            </w:r>
          </w:p>
        </w:tc>
      </w:tr>
      <w:tr w:rsidR="00D322FB" w:rsidRPr="00727376" w:rsidTr="00E4669C">
        <w:trPr>
          <w:trHeight w:val="113"/>
        </w:trPr>
        <w:tc>
          <w:tcPr>
            <w:tcW w:w="6030" w:type="dxa"/>
            <w:tcBorders>
              <w:top w:val="nil"/>
              <w:left w:val="nil"/>
              <w:bottom w:val="nil"/>
              <w:right w:val="nil"/>
            </w:tcBorders>
          </w:tcPr>
          <w:p w:rsidR="00D322FB" w:rsidRPr="00866CA7" w:rsidRDefault="00D322FB" w:rsidP="00B37F4A">
            <w:pPr>
              <w:autoSpaceDE w:val="0"/>
              <w:autoSpaceDN w:val="0"/>
              <w:adjustRightInd w:val="0"/>
              <w:spacing w:line="230" w:lineRule="auto"/>
              <w:ind w:hanging="108"/>
              <w:jc w:val="right"/>
              <w:rPr>
                <w:rFonts w:ascii="Arial" w:hAnsi="Arial" w:cs="Arial"/>
                <w:color w:val="000000"/>
              </w:rPr>
            </w:pPr>
          </w:p>
        </w:tc>
        <w:tc>
          <w:tcPr>
            <w:tcW w:w="1710" w:type="dxa"/>
            <w:tcBorders>
              <w:top w:val="nil"/>
              <w:left w:val="nil"/>
              <w:bottom w:val="nil"/>
              <w:right w:val="nil"/>
            </w:tcBorders>
          </w:tcPr>
          <w:p w:rsidR="00D322FB" w:rsidRPr="00866CA7" w:rsidRDefault="00D322FB" w:rsidP="001A0C62">
            <w:pPr>
              <w:autoSpaceDE w:val="0"/>
              <w:autoSpaceDN w:val="0"/>
              <w:adjustRightInd w:val="0"/>
              <w:spacing w:line="230" w:lineRule="auto"/>
              <w:jc w:val="right"/>
              <w:rPr>
                <w:rFonts w:ascii="Arial" w:hAnsi="Arial" w:cs="Arial"/>
                <w:color w:val="000000"/>
              </w:rPr>
            </w:pPr>
          </w:p>
        </w:tc>
        <w:tc>
          <w:tcPr>
            <w:tcW w:w="1710" w:type="dxa"/>
            <w:tcBorders>
              <w:top w:val="nil"/>
              <w:left w:val="nil"/>
              <w:bottom w:val="nil"/>
              <w:right w:val="nil"/>
            </w:tcBorders>
          </w:tcPr>
          <w:p w:rsidR="00D322FB" w:rsidRPr="00866CA7" w:rsidRDefault="00D322FB" w:rsidP="001A0C62">
            <w:pPr>
              <w:autoSpaceDE w:val="0"/>
              <w:autoSpaceDN w:val="0"/>
              <w:adjustRightInd w:val="0"/>
              <w:spacing w:line="230" w:lineRule="auto"/>
              <w:jc w:val="right"/>
              <w:rPr>
                <w:rFonts w:ascii="Arial" w:hAnsi="Arial" w:cs="Arial"/>
                <w:color w:val="000000"/>
              </w:rPr>
            </w:pPr>
          </w:p>
        </w:tc>
      </w:tr>
      <w:tr w:rsidR="00D322FB" w:rsidRPr="00727376" w:rsidTr="00E4669C">
        <w:trPr>
          <w:trHeight w:val="113"/>
        </w:trPr>
        <w:tc>
          <w:tcPr>
            <w:tcW w:w="6030" w:type="dxa"/>
            <w:tcBorders>
              <w:top w:val="nil"/>
              <w:left w:val="nil"/>
              <w:bottom w:val="nil"/>
              <w:right w:val="nil"/>
            </w:tcBorders>
          </w:tcPr>
          <w:p w:rsidR="00D322FB" w:rsidRPr="00866CA7" w:rsidRDefault="00D322FB" w:rsidP="003F4499">
            <w:pPr>
              <w:autoSpaceDE w:val="0"/>
              <w:autoSpaceDN w:val="0"/>
              <w:adjustRightInd w:val="0"/>
              <w:spacing w:line="230" w:lineRule="auto"/>
              <w:rPr>
                <w:rFonts w:ascii="Arial" w:hAnsi="Arial" w:cs="Arial"/>
                <w:color w:val="000000"/>
              </w:rPr>
            </w:pPr>
            <w:r w:rsidRPr="00866CA7">
              <w:rPr>
                <w:rFonts w:ascii="Arial" w:hAnsi="Arial" w:cs="Arial"/>
                <w:color w:val="000000"/>
              </w:rPr>
              <w:t>Genel yönetim giderleri</w:t>
            </w:r>
          </w:p>
        </w:tc>
        <w:tc>
          <w:tcPr>
            <w:tcW w:w="1710" w:type="dxa"/>
            <w:tcBorders>
              <w:top w:val="nil"/>
              <w:left w:val="nil"/>
              <w:bottom w:val="nil"/>
              <w:right w:val="nil"/>
            </w:tcBorders>
          </w:tcPr>
          <w:p w:rsidR="00D322FB" w:rsidRPr="00866CA7" w:rsidRDefault="00D322FB" w:rsidP="00267EF5">
            <w:pPr>
              <w:jc w:val="right"/>
              <w:rPr>
                <w:rFonts w:ascii="Arial" w:hAnsi="Arial" w:cs="Arial"/>
                <w:b/>
                <w:bCs/>
                <w:color w:val="000000"/>
              </w:rPr>
            </w:pPr>
            <w:r w:rsidRPr="00866CA7">
              <w:rPr>
                <w:rFonts w:ascii="Arial" w:hAnsi="Arial" w:cs="Arial"/>
                <w:b/>
                <w:bCs/>
                <w:color w:val="000000"/>
              </w:rPr>
              <w:t xml:space="preserve">   (</w:t>
            </w:r>
            <w:r w:rsidR="00267EF5">
              <w:rPr>
                <w:rFonts w:ascii="Arial" w:hAnsi="Arial" w:cs="Arial"/>
                <w:b/>
                <w:bCs/>
                <w:color w:val="000000"/>
              </w:rPr>
              <w:t>993</w:t>
            </w:r>
            <w:r w:rsidRPr="00866CA7">
              <w:rPr>
                <w:rFonts w:ascii="Arial" w:hAnsi="Arial" w:cs="Arial"/>
                <w:b/>
                <w:bCs/>
                <w:color w:val="000000"/>
              </w:rPr>
              <w:t>.</w:t>
            </w:r>
            <w:r w:rsidR="00267EF5">
              <w:rPr>
                <w:rFonts w:ascii="Arial" w:hAnsi="Arial" w:cs="Arial"/>
                <w:b/>
                <w:bCs/>
                <w:color w:val="000000"/>
              </w:rPr>
              <w:t>546</w:t>
            </w:r>
            <w:r w:rsidRPr="00866CA7">
              <w:rPr>
                <w:rFonts w:ascii="Arial" w:hAnsi="Arial" w:cs="Arial"/>
                <w:b/>
                <w:bCs/>
                <w:color w:val="000000"/>
              </w:rPr>
              <w:t>)</w:t>
            </w:r>
          </w:p>
        </w:tc>
        <w:tc>
          <w:tcPr>
            <w:tcW w:w="1710" w:type="dxa"/>
            <w:tcBorders>
              <w:top w:val="nil"/>
              <w:left w:val="nil"/>
              <w:bottom w:val="nil"/>
              <w:right w:val="nil"/>
            </w:tcBorders>
          </w:tcPr>
          <w:p w:rsidR="00D322FB" w:rsidRPr="00866CA7" w:rsidRDefault="00D322FB" w:rsidP="00292B21">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w:t>
            </w:r>
            <w:r w:rsidR="00292B21">
              <w:rPr>
                <w:rFonts w:ascii="Arial" w:hAnsi="Arial" w:cs="Arial"/>
                <w:bCs/>
                <w:color w:val="000000"/>
              </w:rPr>
              <w:t>697.175</w:t>
            </w:r>
            <w:r w:rsidRPr="00866CA7">
              <w:rPr>
                <w:rFonts w:ascii="Arial" w:hAnsi="Arial" w:cs="Arial"/>
                <w:bCs/>
                <w:color w:val="000000"/>
              </w:rPr>
              <w:t>)</w:t>
            </w:r>
          </w:p>
        </w:tc>
      </w:tr>
      <w:tr w:rsidR="00D322FB" w:rsidRPr="00727376" w:rsidTr="00E4669C">
        <w:trPr>
          <w:trHeight w:val="113"/>
        </w:trPr>
        <w:tc>
          <w:tcPr>
            <w:tcW w:w="6030" w:type="dxa"/>
            <w:tcBorders>
              <w:top w:val="nil"/>
              <w:left w:val="nil"/>
              <w:bottom w:val="nil"/>
              <w:right w:val="nil"/>
            </w:tcBorders>
          </w:tcPr>
          <w:p w:rsidR="00D322FB" w:rsidRPr="00866CA7" w:rsidRDefault="00D322FB" w:rsidP="00CB5525">
            <w:pPr>
              <w:autoSpaceDE w:val="0"/>
              <w:autoSpaceDN w:val="0"/>
              <w:adjustRightInd w:val="0"/>
              <w:spacing w:line="230" w:lineRule="auto"/>
              <w:rPr>
                <w:rFonts w:ascii="Arial" w:hAnsi="Arial" w:cs="Arial"/>
                <w:color w:val="000000"/>
              </w:rPr>
            </w:pPr>
            <w:r w:rsidRPr="00866CA7">
              <w:rPr>
                <w:rFonts w:ascii="Arial" w:hAnsi="Arial" w:cs="Arial"/>
                <w:color w:val="000000"/>
              </w:rPr>
              <w:t>Pazarlama, satış ve dağıtım giderleri</w:t>
            </w:r>
          </w:p>
        </w:tc>
        <w:tc>
          <w:tcPr>
            <w:tcW w:w="1710" w:type="dxa"/>
            <w:tcBorders>
              <w:top w:val="nil"/>
              <w:left w:val="nil"/>
              <w:bottom w:val="nil"/>
              <w:right w:val="nil"/>
            </w:tcBorders>
          </w:tcPr>
          <w:p w:rsidR="00D322FB" w:rsidRPr="00866CA7" w:rsidRDefault="00D322FB" w:rsidP="00267EF5">
            <w:pPr>
              <w:jc w:val="right"/>
              <w:rPr>
                <w:rFonts w:ascii="Arial" w:hAnsi="Arial" w:cs="Arial"/>
                <w:b/>
                <w:bCs/>
                <w:color w:val="000000"/>
              </w:rPr>
            </w:pPr>
            <w:r w:rsidRPr="00866CA7">
              <w:rPr>
                <w:rFonts w:ascii="Arial" w:hAnsi="Arial" w:cs="Arial"/>
                <w:b/>
                <w:bCs/>
                <w:color w:val="000000"/>
              </w:rPr>
              <w:t xml:space="preserve">         (</w:t>
            </w:r>
            <w:r w:rsidR="00267EF5">
              <w:rPr>
                <w:rFonts w:ascii="Arial" w:hAnsi="Arial" w:cs="Arial"/>
                <w:b/>
                <w:bCs/>
                <w:color w:val="000000"/>
              </w:rPr>
              <w:t>324</w:t>
            </w:r>
            <w:r w:rsidRPr="00866CA7">
              <w:rPr>
                <w:rFonts w:ascii="Arial" w:hAnsi="Arial" w:cs="Arial"/>
                <w:b/>
                <w:bCs/>
                <w:color w:val="000000"/>
              </w:rPr>
              <w:t>)</w:t>
            </w:r>
          </w:p>
        </w:tc>
        <w:tc>
          <w:tcPr>
            <w:tcW w:w="1710" w:type="dxa"/>
            <w:tcBorders>
              <w:top w:val="nil"/>
              <w:left w:val="nil"/>
              <w:bottom w:val="nil"/>
              <w:right w:val="nil"/>
            </w:tcBorders>
          </w:tcPr>
          <w:p w:rsidR="00D322FB" w:rsidRPr="00866CA7" w:rsidRDefault="00D322FB" w:rsidP="00292B21">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w:t>
            </w:r>
            <w:r w:rsidR="00292B21">
              <w:rPr>
                <w:rFonts w:ascii="Arial" w:hAnsi="Arial" w:cs="Arial"/>
                <w:bCs/>
                <w:color w:val="000000"/>
              </w:rPr>
              <w:t>366</w:t>
            </w:r>
            <w:r w:rsidRPr="00866CA7">
              <w:rPr>
                <w:rFonts w:ascii="Arial" w:hAnsi="Arial" w:cs="Arial"/>
                <w:bCs/>
                <w:color w:val="000000"/>
              </w:rPr>
              <w:t>)</w:t>
            </w:r>
          </w:p>
        </w:tc>
      </w:tr>
      <w:tr w:rsidR="00D322FB" w:rsidRPr="00727376" w:rsidTr="00E4669C">
        <w:trPr>
          <w:trHeight w:val="113"/>
        </w:trPr>
        <w:tc>
          <w:tcPr>
            <w:tcW w:w="6030" w:type="dxa"/>
            <w:tcBorders>
              <w:top w:val="nil"/>
              <w:left w:val="nil"/>
              <w:bottom w:val="nil"/>
              <w:right w:val="nil"/>
            </w:tcBorders>
          </w:tcPr>
          <w:p w:rsidR="00D322FB" w:rsidRPr="00866CA7" w:rsidRDefault="00D322FB" w:rsidP="00CB5525">
            <w:pPr>
              <w:autoSpaceDE w:val="0"/>
              <w:autoSpaceDN w:val="0"/>
              <w:adjustRightInd w:val="0"/>
              <w:spacing w:line="230" w:lineRule="auto"/>
              <w:rPr>
                <w:rFonts w:ascii="Arial" w:hAnsi="Arial" w:cs="Arial"/>
                <w:color w:val="000000"/>
              </w:rPr>
            </w:pPr>
            <w:r w:rsidRPr="00866CA7">
              <w:rPr>
                <w:rFonts w:ascii="Arial" w:hAnsi="Arial" w:cs="Arial"/>
                <w:color w:val="000000"/>
              </w:rPr>
              <w:t>Araştırma ve geliştirme giderleri</w:t>
            </w:r>
          </w:p>
        </w:tc>
        <w:tc>
          <w:tcPr>
            <w:tcW w:w="1710" w:type="dxa"/>
            <w:tcBorders>
              <w:top w:val="nil"/>
              <w:left w:val="nil"/>
              <w:bottom w:val="nil"/>
              <w:right w:val="nil"/>
            </w:tcBorders>
          </w:tcPr>
          <w:p w:rsidR="00D322FB" w:rsidRPr="00866CA7" w:rsidRDefault="00D322FB" w:rsidP="00267EF5">
            <w:pPr>
              <w:jc w:val="right"/>
              <w:rPr>
                <w:rFonts w:ascii="Arial" w:hAnsi="Arial" w:cs="Arial"/>
                <w:b/>
                <w:bCs/>
                <w:color w:val="000000"/>
              </w:rPr>
            </w:pPr>
            <w:r w:rsidRPr="00866CA7">
              <w:rPr>
                <w:rFonts w:ascii="Arial" w:hAnsi="Arial" w:cs="Arial"/>
                <w:b/>
                <w:bCs/>
                <w:color w:val="000000"/>
              </w:rPr>
              <w:t xml:space="preserve">         (</w:t>
            </w:r>
            <w:r w:rsidR="00267EF5">
              <w:rPr>
                <w:rFonts w:ascii="Arial" w:hAnsi="Arial" w:cs="Arial"/>
                <w:b/>
                <w:bCs/>
                <w:color w:val="000000"/>
              </w:rPr>
              <w:t>27</w:t>
            </w:r>
            <w:r w:rsidRPr="00866CA7">
              <w:rPr>
                <w:rFonts w:ascii="Arial" w:hAnsi="Arial" w:cs="Arial"/>
                <w:b/>
                <w:bCs/>
                <w:color w:val="000000"/>
              </w:rPr>
              <w:t>)</w:t>
            </w:r>
          </w:p>
        </w:tc>
        <w:tc>
          <w:tcPr>
            <w:tcW w:w="1710" w:type="dxa"/>
            <w:tcBorders>
              <w:top w:val="nil"/>
              <w:left w:val="nil"/>
              <w:bottom w:val="nil"/>
              <w:right w:val="nil"/>
            </w:tcBorders>
          </w:tcPr>
          <w:p w:rsidR="00D322FB" w:rsidRPr="00866CA7" w:rsidRDefault="00D322FB" w:rsidP="00292B21">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w:t>
            </w:r>
            <w:r w:rsidR="00292B21">
              <w:rPr>
                <w:rFonts w:ascii="Arial" w:hAnsi="Arial" w:cs="Arial"/>
                <w:bCs/>
                <w:color w:val="000000"/>
              </w:rPr>
              <w:t>159</w:t>
            </w:r>
            <w:r w:rsidRPr="00866CA7">
              <w:rPr>
                <w:rFonts w:ascii="Arial" w:hAnsi="Arial" w:cs="Arial"/>
                <w:bCs/>
                <w:color w:val="000000"/>
              </w:rPr>
              <w:t>)</w:t>
            </w:r>
          </w:p>
        </w:tc>
      </w:tr>
      <w:tr w:rsidR="00D322FB" w:rsidRPr="00727376" w:rsidTr="00E4669C">
        <w:trPr>
          <w:trHeight w:val="113"/>
        </w:trPr>
        <w:tc>
          <w:tcPr>
            <w:tcW w:w="6030" w:type="dxa"/>
            <w:tcBorders>
              <w:top w:val="nil"/>
              <w:left w:val="nil"/>
              <w:bottom w:val="nil"/>
              <w:right w:val="nil"/>
            </w:tcBorders>
          </w:tcPr>
          <w:p w:rsidR="00D322FB" w:rsidRPr="00866CA7" w:rsidRDefault="00D322FB" w:rsidP="00CB5525">
            <w:pPr>
              <w:autoSpaceDE w:val="0"/>
              <w:autoSpaceDN w:val="0"/>
              <w:adjustRightInd w:val="0"/>
              <w:spacing w:line="230" w:lineRule="auto"/>
              <w:rPr>
                <w:rFonts w:ascii="Arial" w:hAnsi="Arial" w:cs="Arial"/>
                <w:color w:val="000000"/>
              </w:rPr>
            </w:pPr>
          </w:p>
        </w:tc>
        <w:tc>
          <w:tcPr>
            <w:tcW w:w="1710" w:type="dxa"/>
            <w:tcBorders>
              <w:top w:val="nil"/>
              <w:left w:val="nil"/>
              <w:bottom w:val="nil"/>
              <w:right w:val="nil"/>
            </w:tcBorders>
          </w:tcPr>
          <w:p w:rsidR="00D322FB" w:rsidRPr="00866CA7" w:rsidRDefault="00D322FB" w:rsidP="00CB5525">
            <w:pPr>
              <w:jc w:val="right"/>
              <w:rPr>
                <w:rFonts w:ascii="Arial" w:hAnsi="Arial" w:cs="Arial"/>
                <w:b/>
                <w:bCs/>
                <w:color w:val="000000"/>
              </w:rPr>
            </w:pPr>
          </w:p>
        </w:tc>
        <w:tc>
          <w:tcPr>
            <w:tcW w:w="1710" w:type="dxa"/>
            <w:tcBorders>
              <w:top w:val="nil"/>
              <w:left w:val="nil"/>
              <w:bottom w:val="nil"/>
              <w:right w:val="nil"/>
            </w:tcBorders>
          </w:tcPr>
          <w:p w:rsidR="00D322FB" w:rsidRPr="00866CA7" w:rsidRDefault="00D322FB" w:rsidP="00CB5525">
            <w:pPr>
              <w:autoSpaceDE w:val="0"/>
              <w:autoSpaceDN w:val="0"/>
              <w:adjustRightInd w:val="0"/>
              <w:spacing w:line="230" w:lineRule="auto"/>
              <w:jc w:val="right"/>
              <w:rPr>
                <w:rFonts w:ascii="Arial" w:hAnsi="Arial" w:cs="Arial"/>
                <w:bCs/>
                <w:color w:val="000000"/>
              </w:rPr>
            </w:pPr>
          </w:p>
        </w:tc>
      </w:tr>
      <w:tr w:rsidR="00D322FB" w:rsidRPr="00727376" w:rsidTr="00E4669C">
        <w:trPr>
          <w:trHeight w:val="113"/>
        </w:trPr>
        <w:tc>
          <w:tcPr>
            <w:tcW w:w="6030" w:type="dxa"/>
            <w:tcBorders>
              <w:top w:val="single" w:sz="6" w:space="0" w:color="auto"/>
              <w:left w:val="nil"/>
              <w:bottom w:val="double" w:sz="6" w:space="0" w:color="auto"/>
              <w:right w:val="nil"/>
            </w:tcBorders>
          </w:tcPr>
          <w:p w:rsidR="00D322FB" w:rsidRPr="00866CA7" w:rsidRDefault="00D322FB" w:rsidP="003F4499">
            <w:pPr>
              <w:autoSpaceDE w:val="0"/>
              <w:autoSpaceDN w:val="0"/>
              <w:adjustRightInd w:val="0"/>
              <w:spacing w:line="230" w:lineRule="auto"/>
              <w:rPr>
                <w:rFonts w:ascii="Arial" w:hAnsi="Arial" w:cs="Arial"/>
                <w:color w:val="000000"/>
              </w:rPr>
            </w:pPr>
            <w:r w:rsidRPr="00866CA7">
              <w:rPr>
                <w:rFonts w:ascii="Arial" w:hAnsi="Arial" w:cs="Arial"/>
                <w:b/>
                <w:color w:val="000000"/>
              </w:rPr>
              <w:t>Toplam</w:t>
            </w:r>
          </w:p>
        </w:tc>
        <w:tc>
          <w:tcPr>
            <w:tcW w:w="1710" w:type="dxa"/>
            <w:tcBorders>
              <w:top w:val="single" w:sz="6" w:space="0" w:color="auto"/>
              <w:left w:val="nil"/>
              <w:bottom w:val="double" w:sz="6" w:space="0" w:color="auto"/>
              <w:right w:val="nil"/>
            </w:tcBorders>
          </w:tcPr>
          <w:p w:rsidR="00D322FB" w:rsidRPr="00866CA7" w:rsidRDefault="00D322FB" w:rsidP="00267EF5">
            <w:pPr>
              <w:jc w:val="right"/>
              <w:rPr>
                <w:rFonts w:ascii="Arial" w:hAnsi="Arial" w:cs="Arial"/>
                <w:b/>
                <w:bCs/>
                <w:color w:val="000000"/>
              </w:rPr>
            </w:pPr>
            <w:r w:rsidRPr="00866CA7">
              <w:rPr>
                <w:rFonts w:ascii="Arial" w:hAnsi="Arial" w:cs="Arial"/>
                <w:b/>
                <w:bCs/>
                <w:color w:val="000000"/>
              </w:rPr>
              <w:t xml:space="preserve">   (</w:t>
            </w:r>
            <w:r w:rsidR="00267EF5">
              <w:rPr>
                <w:rFonts w:ascii="Arial" w:hAnsi="Arial" w:cs="Arial"/>
                <w:b/>
                <w:bCs/>
                <w:color w:val="000000"/>
              </w:rPr>
              <w:t>993</w:t>
            </w:r>
            <w:r w:rsidRPr="00866CA7">
              <w:rPr>
                <w:rFonts w:ascii="Arial" w:hAnsi="Arial" w:cs="Arial"/>
                <w:b/>
                <w:bCs/>
                <w:color w:val="000000"/>
              </w:rPr>
              <w:t>.</w:t>
            </w:r>
            <w:r w:rsidR="00267EF5">
              <w:rPr>
                <w:rFonts w:ascii="Arial" w:hAnsi="Arial" w:cs="Arial"/>
                <w:b/>
                <w:bCs/>
                <w:color w:val="000000"/>
              </w:rPr>
              <w:t>897</w:t>
            </w:r>
            <w:r w:rsidRPr="00866CA7">
              <w:rPr>
                <w:rFonts w:ascii="Arial" w:hAnsi="Arial" w:cs="Arial"/>
                <w:b/>
                <w:bCs/>
                <w:color w:val="000000"/>
              </w:rPr>
              <w:t>)</w:t>
            </w:r>
          </w:p>
        </w:tc>
        <w:tc>
          <w:tcPr>
            <w:tcW w:w="1710" w:type="dxa"/>
            <w:tcBorders>
              <w:top w:val="single" w:sz="6" w:space="0" w:color="auto"/>
              <w:left w:val="nil"/>
              <w:bottom w:val="double" w:sz="6" w:space="0" w:color="auto"/>
              <w:right w:val="nil"/>
            </w:tcBorders>
          </w:tcPr>
          <w:p w:rsidR="00D322FB" w:rsidRPr="00866CA7" w:rsidRDefault="00D322FB" w:rsidP="00292B21">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w:t>
            </w:r>
            <w:r w:rsidR="00292B21">
              <w:rPr>
                <w:rFonts w:ascii="Arial" w:hAnsi="Arial" w:cs="Arial"/>
                <w:bCs/>
                <w:color w:val="000000"/>
              </w:rPr>
              <w:t>697.659</w:t>
            </w:r>
            <w:r w:rsidRPr="00866CA7">
              <w:rPr>
                <w:rFonts w:ascii="Arial" w:hAnsi="Arial" w:cs="Arial"/>
                <w:bCs/>
                <w:color w:val="000000"/>
              </w:rPr>
              <w:t>)</w:t>
            </w:r>
          </w:p>
        </w:tc>
      </w:tr>
    </w:tbl>
    <w:p w:rsidR="00D322FB" w:rsidRPr="00727376" w:rsidRDefault="00D322FB" w:rsidP="00B37F4A">
      <w:pPr>
        <w:tabs>
          <w:tab w:val="right" w:pos="6660"/>
          <w:tab w:val="right" w:pos="8640"/>
        </w:tabs>
        <w:spacing w:line="230" w:lineRule="auto"/>
        <w:ind w:left="567" w:hanging="567"/>
        <w:rPr>
          <w:rFonts w:ascii="Arial" w:hAnsi="Arial" w:cs="Arial"/>
          <w:b/>
          <w:highlight w:val="yellow"/>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660A69" w:rsidRDefault="00660A69" w:rsidP="00660A69">
      <w:pPr>
        <w:rPr>
          <w:lang w:val="tr-TR"/>
        </w:rPr>
      </w:pPr>
    </w:p>
    <w:p w:rsidR="00660A69" w:rsidRPr="00660A69" w:rsidRDefault="00660A69" w:rsidP="00660A69">
      <w:pPr>
        <w:rPr>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t>18.</w:t>
      </w:r>
      <w:r w:rsidRPr="00284495">
        <w:rPr>
          <w:rFonts w:ascii="Arial" w:hAnsi="Arial" w:cs="Arial"/>
          <w:color w:val="auto"/>
          <w:sz w:val="20"/>
          <w:lang w:val="tr-TR"/>
        </w:rPr>
        <w:tab/>
        <w:t>Niteliklerine göre giderler</w:t>
      </w:r>
    </w:p>
    <w:p w:rsidR="00D322FB" w:rsidRDefault="00D322FB" w:rsidP="00B37F4A">
      <w:pPr>
        <w:tabs>
          <w:tab w:val="right" w:pos="6660"/>
          <w:tab w:val="right" w:pos="8640"/>
        </w:tabs>
        <w:spacing w:line="230" w:lineRule="auto"/>
        <w:ind w:left="567" w:hanging="567"/>
        <w:rPr>
          <w:rFonts w:ascii="Arial" w:hAnsi="Arial" w:cs="Arial"/>
          <w:b/>
          <w:highlight w:val="yellow"/>
          <w:lang w:val="tr-TR"/>
        </w:rPr>
      </w:pPr>
    </w:p>
    <w:p w:rsidR="00D322FB" w:rsidRDefault="002B063A" w:rsidP="0026688C">
      <w:pPr>
        <w:rPr>
          <w:rFonts w:ascii="Arial" w:hAnsi="Arial" w:cs="Arial"/>
          <w:lang w:val="tr-TR"/>
        </w:rPr>
      </w:pPr>
      <w:r w:rsidRPr="00DF3B20">
        <w:rPr>
          <w:rFonts w:ascii="Arial" w:hAnsi="Arial" w:cs="Arial"/>
          <w:lang w:val="tr-TR"/>
        </w:rPr>
        <w:t xml:space="preserve">1 Ocak – 31 </w:t>
      </w:r>
      <w:r>
        <w:rPr>
          <w:rFonts w:ascii="Arial" w:hAnsi="Arial" w:cs="Arial"/>
          <w:lang w:val="tr-TR"/>
        </w:rPr>
        <w:t>Mart</w:t>
      </w:r>
      <w:r w:rsidRPr="00DF3B20">
        <w:rPr>
          <w:rFonts w:ascii="Arial" w:hAnsi="Arial" w:cs="Arial"/>
          <w:lang w:val="tr-TR"/>
        </w:rPr>
        <w:t xml:space="preserve"> 201</w:t>
      </w:r>
      <w:r>
        <w:rPr>
          <w:rFonts w:ascii="Arial" w:hAnsi="Arial" w:cs="Arial"/>
          <w:lang w:val="tr-TR"/>
        </w:rPr>
        <w:t>5</w:t>
      </w:r>
      <w:r w:rsidRPr="00DF3B20">
        <w:rPr>
          <w:rFonts w:ascii="Arial" w:hAnsi="Arial" w:cs="Arial"/>
          <w:lang w:val="tr-TR"/>
        </w:rPr>
        <w:t xml:space="preserve"> ve 201</w:t>
      </w:r>
      <w:r>
        <w:rPr>
          <w:rFonts w:ascii="Arial" w:hAnsi="Arial" w:cs="Arial"/>
          <w:lang w:val="tr-TR"/>
        </w:rPr>
        <w:t>4</w:t>
      </w:r>
      <w:r w:rsidRPr="00DF3B20">
        <w:rPr>
          <w:rFonts w:ascii="Arial" w:hAnsi="Arial" w:cs="Arial"/>
          <w:lang w:val="tr-TR"/>
        </w:rPr>
        <w:t xml:space="preserve"> </w:t>
      </w:r>
      <w:r w:rsidR="00D322FB" w:rsidRPr="00DF3B20">
        <w:rPr>
          <w:rFonts w:ascii="Arial" w:hAnsi="Arial" w:cs="Arial"/>
          <w:lang w:val="tr-TR"/>
        </w:rPr>
        <w:t xml:space="preserve"> dönemlerine ait </w:t>
      </w:r>
      <w:r w:rsidR="00D322FB">
        <w:rPr>
          <w:rFonts w:ascii="Arial" w:hAnsi="Arial" w:cs="Arial"/>
          <w:lang w:val="tr-TR"/>
        </w:rPr>
        <w:t>niteliklerine göre</w:t>
      </w:r>
      <w:r w:rsidR="00D322FB" w:rsidRPr="00F423F3">
        <w:rPr>
          <w:rFonts w:ascii="Arial" w:hAnsi="Arial" w:cs="Arial"/>
          <w:lang w:val="tr-TR"/>
        </w:rPr>
        <w:t xml:space="preserve"> giderleri</w:t>
      </w:r>
      <w:r w:rsidR="00D322FB">
        <w:rPr>
          <w:rFonts w:ascii="Arial" w:hAnsi="Arial" w:cs="Arial"/>
          <w:lang w:val="tr-TR"/>
        </w:rPr>
        <w:t>n</w:t>
      </w:r>
      <w:r w:rsidR="00D322FB" w:rsidRPr="00DF3B20">
        <w:rPr>
          <w:rFonts w:ascii="Arial" w:hAnsi="Arial" w:cs="Arial"/>
          <w:lang w:val="tr-TR"/>
        </w:rPr>
        <w:t xml:space="preserve"> detayı aşağıdaki gibidir:</w:t>
      </w:r>
    </w:p>
    <w:p w:rsidR="00D322FB" w:rsidRPr="00727376" w:rsidRDefault="00D322FB" w:rsidP="00B37F4A">
      <w:pPr>
        <w:tabs>
          <w:tab w:val="right" w:pos="6660"/>
          <w:tab w:val="right" w:pos="8640"/>
        </w:tabs>
        <w:spacing w:line="230" w:lineRule="auto"/>
        <w:ind w:left="567" w:hanging="567"/>
        <w:rPr>
          <w:rFonts w:ascii="Arial" w:hAnsi="Arial" w:cs="Arial"/>
          <w:b/>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792991" w:rsidRPr="00727376" w:rsidTr="00E4669C">
        <w:trPr>
          <w:trHeight w:val="113"/>
        </w:trPr>
        <w:tc>
          <w:tcPr>
            <w:tcW w:w="6030" w:type="dxa"/>
            <w:tcBorders>
              <w:top w:val="single" w:sz="6" w:space="0" w:color="auto"/>
              <w:left w:val="nil"/>
              <w:bottom w:val="single" w:sz="6" w:space="0" w:color="auto"/>
              <w:right w:val="nil"/>
            </w:tcBorders>
          </w:tcPr>
          <w:p w:rsidR="00792991" w:rsidRPr="00842630" w:rsidRDefault="00792991" w:rsidP="00B37F4A">
            <w:pPr>
              <w:autoSpaceDE w:val="0"/>
              <w:autoSpaceDN w:val="0"/>
              <w:adjustRightInd w:val="0"/>
              <w:spacing w:line="230" w:lineRule="auto"/>
              <w:rPr>
                <w:rFonts w:ascii="Arial" w:hAnsi="Arial" w:cs="Arial"/>
                <w:b/>
                <w:bCs/>
                <w:color w:val="000000"/>
                <w:lang w:val="tr-TR"/>
              </w:rPr>
            </w:pPr>
          </w:p>
        </w:tc>
        <w:tc>
          <w:tcPr>
            <w:tcW w:w="1710" w:type="dxa"/>
            <w:tcBorders>
              <w:top w:val="single" w:sz="6" w:space="0" w:color="auto"/>
              <w:left w:val="nil"/>
              <w:bottom w:val="single" w:sz="6" w:space="0" w:color="auto"/>
              <w:right w:val="nil"/>
            </w:tcBorders>
            <w:vAlign w:val="bottom"/>
          </w:tcPr>
          <w:p w:rsidR="00792991" w:rsidRPr="00236E9F" w:rsidRDefault="00792991" w:rsidP="00B6520D">
            <w:pPr>
              <w:autoSpaceDE w:val="0"/>
              <w:autoSpaceDN w:val="0"/>
              <w:adjustRightInd w:val="0"/>
              <w:jc w:val="right"/>
              <w:rPr>
                <w:rFonts w:ascii="Arial" w:hAnsi="Arial" w:cs="Arial"/>
                <w:b/>
                <w:bCs/>
                <w:color w:val="000000"/>
              </w:rPr>
            </w:pPr>
            <w:r w:rsidRPr="00236E9F">
              <w:rPr>
                <w:rFonts w:ascii="Arial" w:hAnsi="Arial" w:cs="Arial"/>
                <w:b/>
                <w:bCs/>
                <w:color w:val="000000"/>
              </w:rPr>
              <w:t>1 Ocak -</w:t>
            </w:r>
          </w:p>
          <w:p w:rsidR="00792991" w:rsidRPr="00236E9F" w:rsidRDefault="00792991" w:rsidP="00B6520D">
            <w:pPr>
              <w:autoSpaceDE w:val="0"/>
              <w:autoSpaceDN w:val="0"/>
              <w:adjustRightInd w:val="0"/>
              <w:jc w:val="right"/>
              <w:rPr>
                <w:rFonts w:ascii="Arial" w:hAnsi="Arial" w:cs="Arial"/>
                <w:b/>
                <w:bCs/>
                <w:color w:val="000000"/>
              </w:rPr>
            </w:pPr>
            <w:r w:rsidRPr="00236E9F">
              <w:rPr>
                <w:rFonts w:ascii="Arial" w:hAnsi="Arial" w:cs="Arial"/>
                <w:b/>
                <w:bCs/>
                <w:color w:val="000000"/>
              </w:rPr>
              <w:t xml:space="preserve">31 </w:t>
            </w:r>
            <w:r>
              <w:rPr>
                <w:rFonts w:ascii="Arial" w:hAnsi="Arial" w:cs="Arial"/>
                <w:b/>
                <w:bCs/>
                <w:color w:val="000000"/>
              </w:rPr>
              <w:t>Mart</w:t>
            </w:r>
            <w:r w:rsidRPr="00236E9F">
              <w:rPr>
                <w:rFonts w:ascii="Arial" w:hAnsi="Arial" w:cs="Arial"/>
                <w:b/>
                <w:bCs/>
                <w:color w:val="000000"/>
              </w:rPr>
              <w:t xml:space="preserve"> 201</w:t>
            </w:r>
            <w:r>
              <w:rPr>
                <w:rFonts w:ascii="Arial" w:hAnsi="Arial" w:cs="Arial"/>
                <w:b/>
                <w:bCs/>
                <w:color w:val="000000"/>
              </w:rPr>
              <w:t>5</w:t>
            </w:r>
          </w:p>
        </w:tc>
        <w:tc>
          <w:tcPr>
            <w:tcW w:w="1710" w:type="dxa"/>
            <w:tcBorders>
              <w:top w:val="single" w:sz="6" w:space="0" w:color="auto"/>
              <w:left w:val="nil"/>
              <w:bottom w:val="single" w:sz="6" w:space="0" w:color="auto"/>
              <w:right w:val="nil"/>
            </w:tcBorders>
            <w:vAlign w:val="bottom"/>
          </w:tcPr>
          <w:p w:rsidR="00792991" w:rsidRPr="00236E9F" w:rsidRDefault="00792991" w:rsidP="00B6520D">
            <w:pPr>
              <w:autoSpaceDE w:val="0"/>
              <w:autoSpaceDN w:val="0"/>
              <w:adjustRightInd w:val="0"/>
              <w:jc w:val="right"/>
              <w:rPr>
                <w:rFonts w:ascii="Arial" w:hAnsi="Arial" w:cs="Arial"/>
                <w:bCs/>
                <w:color w:val="000000"/>
              </w:rPr>
            </w:pPr>
            <w:r w:rsidRPr="00236E9F">
              <w:rPr>
                <w:rFonts w:ascii="Arial" w:hAnsi="Arial" w:cs="Arial"/>
                <w:bCs/>
                <w:color w:val="000000"/>
              </w:rPr>
              <w:t>1 Ocak -</w:t>
            </w:r>
          </w:p>
          <w:p w:rsidR="00792991" w:rsidRPr="00236E9F" w:rsidRDefault="00792991" w:rsidP="00B6520D">
            <w:pPr>
              <w:autoSpaceDE w:val="0"/>
              <w:autoSpaceDN w:val="0"/>
              <w:adjustRightInd w:val="0"/>
              <w:jc w:val="right"/>
              <w:rPr>
                <w:rFonts w:ascii="Arial" w:hAnsi="Arial" w:cs="Arial"/>
                <w:bCs/>
                <w:color w:val="000000"/>
              </w:rPr>
            </w:pPr>
            <w:r w:rsidRPr="00236E9F">
              <w:rPr>
                <w:rFonts w:ascii="Arial" w:hAnsi="Arial" w:cs="Arial"/>
                <w:bCs/>
                <w:color w:val="000000"/>
              </w:rPr>
              <w:t xml:space="preserve">31 </w:t>
            </w:r>
            <w:r>
              <w:rPr>
                <w:rFonts w:ascii="Arial" w:hAnsi="Arial" w:cs="Arial"/>
                <w:bCs/>
                <w:color w:val="000000"/>
              </w:rPr>
              <w:t>Mart</w:t>
            </w:r>
            <w:r w:rsidRPr="00236E9F">
              <w:rPr>
                <w:rFonts w:ascii="Arial" w:hAnsi="Arial" w:cs="Arial"/>
                <w:bCs/>
                <w:color w:val="000000"/>
              </w:rPr>
              <w:t xml:space="preserve"> 201</w:t>
            </w:r>
            <w:r>
              <w:rPr>
                <w:rFonts w:ascii="Arial" w:hAnsi="Arial" w:cs="Arial"/>
                <w:bCs/>
                <w:color w:val="000000"/>
              </w:rPr>
              <w:t>4</w:t>
            </w:r>
          </w:p>
        </w:tc>
      </w:tr>
      <w:tr w:rsidR="00792991" w:rsidRPr="00727376" w:rsidTr="00E4669C">
        <w:trPr>
          <w:trHeight w:val="113"/>
        </w:trPr>
        <w:tc>
          <w:tcPr>
            <w:tcW w:w="6030" w:type="dxa"/>
            <w:tcBorders>
              <w:top w:val="nil"/>
              <w:left w:val="nil"/>
              <w:bottom w:val="nil"/>
              <w:right w:val="nil"/>
            </w:tcBorders>
          </w:tcPr>
          <w:p w:rsidR="00792991" w:rsidRPr="00727376" w:rsidRDefault="00792991" w:rsidP="00B37F4A">
            <w:pPr>
              <w:autoSpaceDE w:val="0"/>
              <w:autoSpaceDN w:val="0"/>
              <w:adjustRightInd w:val="0"/>
              <w:spacing w:line="230" w:lineRule="auto"/>
              <w:jc w:val="right"/>
              <w:rPr>
                <w:rFonts w:ascii="Arial" w:hAnsi="Arial" w:cs="Arial"/>
                <w:color w:val="000000"/>
                <w:highlight w:val="yellow"/>
              </w:rPr>
            </w:pPr>
          </w:p>
        </w:tc>
        <w:tc>
          <w:tcPr>
            <w:tcW w:w="1710" w:type="dxa"/>
            <w:tcBorders>
              <w:top w:val="nil"/>
              <w:left w:val="nil"/>
              <w:bottom w:val="nil"/>
              <w:right w:val="nil"/>
            </w:tcBorders>
          </w:tcPr>
          <w:p w:rsidR="00792991" w:rsidRPr="00727376" w:rsidRDefault="00792991" w:rsidP="00B37F4A">
            <w:pPr>
              <w:autoSpaceDE w:val="0"/>
              <w:autoSpaceDN w:val="0"/>
              <w:adjustRightInd w:val="0"/>
              <w:spacing w:line="230" w:lineRule="auto"/>
              <w:jc w:val="right"/>
              <w:rPr>
                <w:rFonts w:ascii="Arial" w:hAnsi="Arial" w:cs="Arial"/>
                <w:b/>
                <w:bCs/>
                <w:color w:val="000000"/>
                <w:highlight w:val="yellow"/>
              </w:rPr>
            </w:pPr>
          </w:p>
        </w:tc>
        <w:tc>
          <w:tcPr>
            <w:tcW w:w="1710" w:type="dxa"/>
            <w:tcBorders>
              <w:top w:val="nil"/>
              <w:left w:val="nil"/>
              <w:bottom w:val="nil"/>
              <w:right w:val="nil"/>
            </w:tcBorders>
          </w:tcPr>
          <w:p w:rsidR="00792991" w:rsidRPr="00434F71" w:rsidRDefault="00792991" w:rsidP="00B37F4A">
            <w:pPr>
              <w:autoSpaceDE w:val="0"/>
              <w:autoSpaceDN w:val="0"/>
              <w:adjustRightInd w:val="0"/>
              <w:spacing w:line="230" w:lineRule="auto"/>
              <w:jc w:val="right"/>
              <w:rPr>
                <w:rFonts w:ascii="Arial" w:hAnsi="Arial" w:cs="Arial"/>
                <w:color w:val="000000"/>
              </w:rPr>
            </w:pPr>
          </w:p>
        </w:tc>
      </w:tr>
      <w:tr w:rsidR="00792991" w:rsidRPr="00727376" w:rsidTr="00916C6F">
        <w:trPr>
          <w:trHeight w:val="113"/>
        </w:trPr>
        <w:tc>
          <w:tcPr>
            <w:tcW w:w="6030" w:type="dxa"/>
            <w:tcBorders>
              <w:top w:val="nil"/>
              <w:left w:val="nil"/>
              <w:bottom w:val="nil"/>
              <w:right w:val="nil"/>
            </w:tcBorders>
            <w:vAlign w:val="bottom"/>
          </w:tcPr>
          <w:p w:rsidR="00792991" w:rsidRDefault="00792991">
            <w:pPr>
              <w:rPr>
                <w:rFonts w:ascii="Arial" w:hAnsi="Arial" w:cs="Arial"/>
                <w:color w:val="000000"/>
                <w:sz w:val="18"/>
                <w:szCs w:val="18"/>
              </w:rPr>
            </w:pPr>
            <w:r>
              <w:rPr>
                <w:rFonts w:ascii="Arial" w:hAnsi="Arial" w:cs="Arial"/>
                <w:color w:val="000000"/>
                <w:sz w:val="18"/>
                <w:szCs w:val="18"/>
              </w:rPr>
              <w:t>Personel maaş ve ücretleri</w:t>
            </w:r>
          </w:p>
        </w:tc>
        <w:tc>
          <w:tcPr>
            <w:tcW w:w="1710" w:type="dxa"/>
            <w:tcBorders>
              <w:top w:val="nil"/>
              <w:left w:val="nil"/>
              <w:bottom w:val="nil"/>
              <w:right w:val="nil"/>
            </w:tcBorders>
            <w:vAlign w:val="bottom"/>
          </w:tcPr>
          <w:p w:rsidR="00792991" w:rsidRDefault="00792991"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633</w:t>
            </w:r>
            <w:r>
              <w:rPr>
                <w:rFonts w:ascii="Arial" w:hAnsi="Arial" w:cs="Arial"/>
                <w:b/>
                <w:bCs/>
                <w:color w:val="000000"/>
              </w:rPr>
              <w:t>.</w:t>
            </w:r>
            <w:r w:rsidR="00267EF5">
              <w:rPr>
                <w:rFonts w:ascii="Arial" w:hAnsi="Arial" w:cs="Arial"/>
                <w:b/>
                <w:bCs/>
                <w:color w:val="000000"/>
              </w:rPr>
              <w:t>939</w:t>
            </w:r>
            <w:r>
              <w:rPr>
                <w:rFonts w:ascii="Arial" w:hAnsi="Arial" w:cs="Arial"/>
                <w:b/>
                <w:bCs/>
                <w:color w:val="000000"/>
              </w:rPr>
              <w:t>)</w:t>
            </w:r>
          </w:p>
        </w:tc>
        <w:tc>
          <w:tcPr>
            <w:tcW w:w="1710" w:type="dxa"/>
            <w:tcBorders>
              <w:top w:val="nil"/>
              <w:left w:val="nil"/>
              <w:bottom w:val="nil"/>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446</w:t>
            </w:r>
            <w:r>
              <w:rPr>
                <w:rFonts w:ascii="Arial" w:hAnsi="Arial" w:cs="Arial"/>
                <w:color w:val="000000"/>
              </w:rPr>
              <w:t>.</w:t>
            </w:r>
            <w:r w:rsidR="00292B21">
              <w:rPr>
                <w:rFonts w:ascii="Arial" w:hAnsi="Arial" w:cs="Arial"/>
                <w:color w:val="000000"/>
              </w:rPr>
              <w:t>346</w:t>
            </w:r>
            <w:r>
              <w:rPr>
                <w:rFonts w:ascii="Arial" w:hAnsi="Arial" w:cs="Arial"/>
                <w:color w:val="000000"/>
              </w:rPr>
              <w:t>)</w:t>
            </w:r>
          </w:p>
        </w:tc>
      </w:tr>
      <w:tr w:rsidR="00792991" w:rsidRPr="00727376" w:rsidTr="00916C6F">
        <w:trPr>
          <w:trHeight w:val="113"/>
        </w:trPr>
        <w:tc>
          <w:tcPr>
            <w:tcW w:w="6030" w:type="dxa"/>
            <w:tcBorders>
              <w:top w:val="nil"/>
              <w:left w:val="nil"/>
              <w:bottom w:val="nil"/>
              <w:right w:val="nil"/>
            </w:tcBorders>
            <w:vAlign w:val="bottom"/>
          </w:tcPr>
          <w:p w:rsidR="00792991" w:rsidRDefault="00792991">
            <w:pPr>
              <w:rPr>
                <w:rFonts w:ascii="Arial" w:hAnsi="Arial" w:cs="Arial"/>
                <w:color w:val="000000"/>
                <w:sz w:val="18"/>
                <w:szCs w:val="18"/>
              </w:rPr>
            </w:pPr>
            <w:r>
              <w:rPr>
                <w:rFonts w:ascii="Arial" w:hAnsi="Arial" w:cs="Arial"/>
                <w:color w:val="000000"/>
                <w:sz w:val="18"/>
                <w:szCs w:val="18"/>
              </w:rPr>
              <w:t xml:space="preserve">Bilgi işlem dağıtım ve hizmet giderleri </w:t>
            </w:r>
          </w:p>
        </w:tc>
        <w:tc>
          <w:tcPr>
            <w:tcW w:w="1710" w:type="dxa"/>
            <w:tcBorders>
              <w:top w:val="nil"/>
              <w:left w:val="nil"/>
              <w:bottom w:val="nil"/>
              <w:right w:val="nil"/>
            </w:tcBorders>
            <w:vAlign w:val="bottom"/>
          </w:tcPr>
          <w:p w:rsidR="00792991" w:rsidRDefault="00792991"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64.528</w:t>
            </w:r>
            <w:r>
              <w:rPr>
                <w:rFonts w:ascii="Arial" w:hAnsi="Arial" w:cs="Arial"/>
                <w:b/>
                <w:bCs/>
                <w:color w:val="000000"/>
              </w:rPr>
              <w:t>)</w:t>
            </w:r>
          </w:p>
        </w:tc>
        <w:tc>
          <w:tcPr>
            <w:tcW w:w="1710" w:type="dxa"/>
            <w:tcBorders>
              <w:top w:val="nil"/>
              <w:left w:val="nil"/>
              <w:bottom w:val="nil"/>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65</w:t>
            </w:r>
            <w:r>
              <w:rPr>
                <w:rFonts w:ascii="Arial" w:hAnsi="Arial" w:cs="Arial"/>
                <w:color w:val="000000"/>
              </w:rPr>
              <w:t>.</w:t>
            </w:r>
            <w:r w:rsidR="00292B21">
              <w:rPr>
                <w:rFonts w:ascii="Arial" w:hAnsi="Arial" w:cs="Arial"/>
                <w:color w:val="000000"/>
              </w:rPr>
              <w:t>501</w:t>
            </w:r>
            <w:r>
              <w:rPr>
                <w:rFonts w:ascii="Arial" w:hAnsi="Arial" w:cs="Arial"/>
                <w:color w:val="000000"/>
              </w:rPr>
              <w:t>)</w:t>
            </w:r>
          </w:p>
        </w:tc>
      </w:tr>
      <w:tr w:rsidR="00792991" w:rsidRPr="00727376" w:rsidTr="00916C6F">
        <w:trPr>
          <w:trHeight w:val="113"/>
        </w:trPr>
        <w:tc>
          <w:tcPr>
            <w:tcW w:w="6030" w:type="dxa"/>
            <w:tcBorders>
              <w:top w:val="nil"/>
              <w:left w:val="nil"/>
              <w:bottom w:val="nil"/>
              <w:right w:val="nil"/>
            </w:tcBorders>
            <w:vAlign w:val="bottom"/>
          </w:tcPr>
          <w:p w:rsidR="00792991" w:rsidRDefault="00792991">
            <w:pPr>
              <w:rPr>
                <w:rFonts w:ascii="Arial" w:hAnsi="Arial" w:cs="Arial"/>
                <w:color w:val="000000"/>
                <w:sz w:val="18"/>
                <w:szCs w:val="18"/>
              </w:rPr>
            </w:pPr>
            <w:r>
              <w:rPr>
                <w:rFonts w:ascii="Arial" w:hAnsi="Arial" w:cs="Arial"/>
                <w:color w:val="000000"/>
                <w:sz w:val="18"/>
                <w:szCs w:val="18"/>
              </w:rPr>
              <w:t>Danışmanlık ve denetim ücretleri</w:t>
            </w:r>
          </w:p>
        </w:tc>
        <w:tc>
          <w:tcPr>
            <w:tcW w:w="1710" w:type="dxa"/>
            <w:tcBorders>
              <w:top w:val="nil"/>
              <w:left w:val="nil"/>
              <w:bottom w:val="nil"/>
              <w:right w:val="nil"/>
            </w:tcBorders>
            <w:vAlign w:val="bottom"/>
          </w:tcPr>
          <w:p w:rsidR="00792991" w:rsidRDefault="00792991"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77.172</w:t>
            </w:r>
            <w:r>
              <w:rPr>
                <w:rFonts w:ascii="Arial" w:hAnsi="Arial" w:cs="Arial"/>
                <w:b/>
                <w:bCs/>
                <w:color w:val="000000"/>
              </w:rPr>
              <w:t>)</w:t>
            </w:r>
          </w:p>
        </w:tc>
        <w:tc>
          <w:tcPr>
            <w:tcW w:w="1710" w:type="dxa"/>
            <w:tcBorders>
              <w:top w:val="nil"/>
              <w:left w:val="nil"/>
              <w:bottom w:val="nil"/>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29</w:t>
            </w:r>
            <w:r>
              <w:rPr>
                <w:rFonts w:ascii="Arial" w:hAnsi="Arial" w:cs="Arial"/>
                <w:color w:val="000000"/>
              </w:rPr>
              <w:t>.</w:t>
            </w:r>
            <w:r w:rsidR="00292B21">
              <w:rPr>
                <w:rFonts w:ascii="Arial" w:hAnsi="Arial" w:cs="Arial"/>
                <w:color w:val="000000"/>
              </w:rPr>
              <w:t>323</w:t>
            </w:r>
            <w:r>
              <w:rPr>
                <w:rFonts w:ascii="Arial" w:hAnsi="Arial" w:cs="Arial"/>
                <w:color w:val="000000"/>
              </w:rPr>
              <w:t>)</w:t>
            </w:r>
          </w:p>
        </w:tc>
      </w:tr>
      <w:tr w:rsidR="00792991" w:rsidRPr="00727376" w:rsidTr="00916C6F">
        <w:trPr>
          <w:trHeight w:val="113"/>
        </w:trPr>
        <w:tc>
          <w:tcPr>
            <w:tcW w:w="6030" w:type="dxa"/>
            <w:tcBorders>
              <w:top w:val="nil"/>
              <w:left w:val="nil"/>
              <w:bottom w:val="nil"/>
              <w:right w:val="nil"/>
            </w:tcBorders>
            <w:vAlign w:val="bottom"/>
          </w:tcPr>
          <w:p w:rsidR="00792991" w:rsidRPr="00842630" w:rsidRDefault="00792991">
            <w:pPr>
              <w:rPr>
                <w:rFonts w:ascii="Arial" w:hAnsi="Arial" w:cs="Arial"/>
                <w:color w:val="000000"/>
                <w:sz w:val="18"/>
                <w:szCs w:val="18"/>
                <w:lang w:val="de-DE"/>
              </w:rPr>
            </w:pPr>
            <w:r w:rsidRPr="00842630">
              <w:rPr>
                <w:rFonts w:ascii="Arial" w:hAnsi="Arial" w:cs="Arial"/>
                <w:color w:val="000000"/>
                <w:sz w:val="18"/>
                <w:szCs w:val="18"/>
                <w:lang w:val="de-DE"/>
              </w:rPr>
              <w:t>Vergi, resim, harç ve resmi giderler</w:t>
            </w:r>
          </w:p>
        </w:tc>
        <w:tc>
          <w:tcPr>
            <w:tcW w:w="1710" w:type="dxa"/>
            <w:tcBorders>
              <w:top w:val="nil"/>
              <w:left w:val="nil"/>
              <w:bottom w:val="nil"/>
              <w:right w:val="nil"/>
            </w:tcBorders>
            <w:vAlign w:val="bottom"/>
          </w:tcPr>
          <w:p w:rsidR="00792991" w:rsidRDefault="00792991" w:rsidP="00267EF5">
            <w:pPr>
              <w:jc w:val="right"/>
              <w:rPr>
                <w:rFonts w:ascii="Arial" w:hAnsi="Arial" w:cs="Arial"/>
                <w:b/>
                <w:bCs/>
                <w:color w:val="000000"/>
              </w:rPr>
            </w:pPr>
            <w:r w:rsidRPr="00842630">
              <w:rPr>
                <w:rFonts w:ascii="Arial" w:hAnsi="Arial" w:cs="Arial"/>
                <w:b/>
                <w:bCs/>
                <w:color w:val="000000"/>
                <w:lang w:val="de-DE"/>
              </w:rPr>
              <w:t xml:space="preserve">      </w:t>
            </w:r>
            <w:r>
              <w:rPr>
                <w:rFonts w:ascii="Arial" w:hAnsi="Arial" w:cs="Arial"/>
                <w:b/>
                <w:bCs/>
                <w:color w:val="000000"/>
              </w:rPr>
              <w:t>(</w:t>
            </w:r>
            <w:r w:rsidR="00267EF5">
              <w:rPr>
                <w:rFonts w:ascii="Arial" w:hAnsi="Arial" w:cs="Arial"/>
                <w:b/>
                <w:bCs/>
                <w:color w:val="000000"/>
              </w:rPr>
              <w:t>64</w:t>
            </w:r>
            <w:r>
              <w:rPr>
                <w:rFonts w:ascii="Arial" w:hAnsi="Arial" w:cs="Arial"/>
                <w:b/>
                <w:bCs/>
                <w:color w:val="000000"/>
              </w:rPr>
              <w:t>.</w:t>
            </w:r>
            <w:r w:rsidR="00267EF5">
              <w:rPr>
                <w:rFonts w:ascii="Arial" w:hAnsi="Arial" w:cs="Arial"/>
                <w:b/>
                <w:bCs/>
                <w:color w:val="000000"/>
              </w:rPr>
              <w:t>950</w:t>
            </w:r>
            <w:r>
              <w:rPr>
                <w:rFonts w:ascii="Arial" w:hAnsi="Arial" w:cs="Arial"/>
                <w:b/>
                <w:bCs/>
                <w:color w:val="000000"/>
              </w:rPr>
              <w:t>)</w:t>
            </w:r>
          </w:p>
        </w:tc>
        <w:tc>
          <w:tcPr>
            <w:tcW w:w="1710" w:type="dxa"/>
            <w:tcBorders>
              <w:top w:val="nil"/>
              <w:left w:val="nil"/>
              <w:bottom w:val="nil"/>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30</w:t>
            </w:r>
            <w:r>
              <w:rPr>
                <w:rFonts w:ascii="Arial" w:hAnsi="Arial" w:cs="Arial"/>
                <w:color w:val="000000"/>
              </w:rPr>
              <w:t>.</w:t>
            </w:r>
            <w:r w:rsidR="00292B21">
              <w:rPr>
                <w:rFonts w:ascii="Arial" w:hAnsi="Arial" w:cs="Arial"/>
                <w:color w:val="000000"/>
              </w:rPr>
              <w:t>498</w:t>
            </w:r>
            <w:r>
              <w:rPr>
                <w:rFonts w:ascii="Arial" w:hAnsi="Arial" w:cs="Arial"/>
                <w:color w:val="000000"/>
              </w:rPr>
              <w:t>)</w:t>
            </w:r>
          </w:p>
        </w:tc>
      </w:tr>
      <w:tr w:rsidR="00792991" w:rsidRPr="00727376" w:rsidTr="00916C6F">
        <w:trPr>
          <w:trHeight w:val="113"/>
        </w:trPr>
        <w:tc>
          <w:tcPr>
            <w:tcW w:w="6030" w:type="dxa"/>
            <w:tcBorders>
              <w:top w:val="nil"/>
              <w:left w:val="nil"/>
              <w:bottom w:val="nil"/>
              <w:right w:val="nil"/>
            </w:tcBorders>
            <w:vAlign w:val="bottom"/>
          </w:tcPr>
          <w:p w:rsidR="00792991" w:rsidRDefault="00792991">
            <w:pPr>
              <w:rPr>
                <w:rFonts w:ascii="Arial" w:hAnsi="Arial" w:cs="Arial"/>
                <w:color w:val="000000"/>
                <w:sz w:val="18"/>
                <w:szCs w:val="18"/>
              </w:rPr>
            </w:pPr>
            <w:r>
              <w:rPr>
                <w:rFonts w:ascii="Arial" w:hAnsi="Arial" w:cs="Arial"/>
                <w:color w:val="000000"/>
                <w:sz w:val="18"/>
                <w:szCs w:val="18"/>
              </w:rPr>
              <w:t>Kira giderleri</w:t>
            </w:r>
          </w:p>
        </w:tc>
        <w:tc>
          <w:tcPr>
            <w:tcW w:w="1710" w:type="dxa"/>
            <w:tcBorders>
              <w:top w:val="nil"/>
              <w:left w:val="nil"/>
              <w:bottom w:val="nil"/>
              <w:right w:val="nil"/>
            </w:tcBorders>
            <w:vAlign w:val="bottom"/>
          </w:tcPr>
          <w:p w:rsidR="00792991" w:rsidRDefault="00792991"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24</w:t>
            </w:r>
            <w:r>
              <w:rPr>
                <w:rFonts w:ascii="Arial" w:hAnsi="Arial" w:cs="Arial"/>
                <w:b/>
                <w:bCs/>
                <w:color w:val="000000"/>
              </w:rPr>
              <w:t>.</w:t>
            </w:r>
            <w:r w:rsidR="00267EF5">
              <w:rPr>
                <w:rFonts w:ascii="Arial" w:hAnsi="Arial" w:cs="Arial"/>
                <w:b/>
                <w:bCs/>
                <w:color w:val="000000"/>
              </w:rPr>
              <w:t>586</w:t>
            </w:r>
            <w:r>
              <w:rPr>
                <w:rFonts w:ascii="Arial" w:hAnsi="Arial" w:cs="Arial"/>
                <w:b/>
                <w:bCs/>
                <w:color w:val="000000"/>
              </w:rPr>
              <w:t>)</w:t>
            </w:r>
          </w:p>
        </w:tc>
        <w:tc>
          <w:tcPr>
            <w:tcW w:w="1710" w:type="dxa"/>
            <w:tcBorders>
              <w:top w:val="nil"/>
              <w:left w:val="nil"/>
              <w:bottom w:val="nil"/>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22</w:t>
            </w:r>
            <w:r>
              <w:rPr>
                <w:rFonts w:ascii="Arial" w:hAnsi="Arial" w:cs="Arial"/>
                <w:color w:val="000000"/>
              </w:rPr>
              <w:t>.</w:t>
            </w:r>
            <w:r w:rsidR="00292B21">
              <w:rPr>
                <w:rFonts w:ascii="Arial" w:hAnsi="Arial" w:cs="Arial"/>
                <w:color w:val="000000"/>
              </w:rPr>
              <w:t>419</w:t>
            </w:r>
            <w:r>
              <w:rPr>
                <w:rFonts w:ascii="Arial" w:hAnsi="Arial" w:cs="Arial"/>
                <w:color w:val="000000"/>
              </w:rPr>
              <w:t>)</w:t>
            </w:r>
          </w:p>
        </w:tc>
      </w:tr>
      <w:tr w:rsidR="00792991" w:rsidRPr="00727376" w:rsidTr="00916C6F">
        <w:trPr>
          <w:trHeight w:val="113"/>
        </w:trPr>
        <w:tc>
          <w:tcPr>
            <w:tcW w:w="6030" w:type="dxa"/>
            <w:tcBorders>
              <w:top w:val="nil"/>
              <w:left w:val="nil"/>
              <w:bottom w:val="nil"/>
              <w:right w:val="nil"/>
            </w:tcBorders>
            <w:vAlign w:val="bottom"/>
          </w:tcPr>
          <w:p w:rsidR="00792991" w:rsidRDefault="00792991">
            <w:pPr>
              <w:rPr>
                <w:rFonts w:ascii="Arial" w:hAnsi="Arial" w:cs="Arial"/>
                <w:color w:val="000000"/>
                <w:sz w:val="18"/>
                <w:szCs w:val="18"/>
              </w:rPr>
            </w:pPr>
            <w:r>
              <w:rPr>
                <w:rFonts w:ascii="Arial" w:hAnsi="Arial" w:cs="Arial"/>
                <w:color w:val="000000"/>
                <w:sz w:val="18"/>
                <w:szCs w:val="18"/>
              </w:rPr>
              <w:t>Kıdem tazminatı karşılığı</w:t>
            </w:r>
          </w:p>
        </w:tc>
        <w:tc>
          <w:tcPr>
            <w:tcW w:w="1710" w:type="dxa"/>
            <w:tcBorders>
              <w:top w:val="nil"/>
              <w:left w:val="nil"/>
              <w:bottom w:val="nil"/>
              <w:right w:val="nil"/>
            </w:tcBorders>
            <w:vAlign w:val="bottom"/>
          </w:tcPr>
          <w:p w:rsidR="00792991" w:rsidRDefault="00792991"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10</w:t>
            </w:r>
            <w:r>
              <w:rPr>
                <w:rFonts w:ascii="Arial" w:hAnsi="Arial" w:cs="Arial"/>
                <w:b/>
                <w:bCs/>
                <w:color w:val="000000"/>
              </w:rPr>
              <w:t>.</w:t>
            </w:r>
            <w:r w:rsidR="00267EF5">
              <w:rPr>
                <w:rFonts w:ascii="Arial" w:hAnsi="Arial" w:cs="Arial"/>
                <w:b/>
                <w:bCs/>
                <w:color w:val="000000"/>
              </w:rPr>
              <w:t>674</w:t>
            </w:r>
            <w:r>
              <w:rPr>
                <w:rFonts w:ascii="Arial" w:hAnsi="Arial" w:cs="Arial"/>
                <w:b/>
                <w:bCs/>
                <w:color w:val="000000"/>
              </w:rPr>
              <w:t>)</w:t>
            </w:r>
          </w:p>
        </w:tc>
        <w:tc>
          <w:tcPr>
            <w:tcW w:w="1710" w:type="dxa"/>
            <w:tcBorders>
              <w:top w:val="nil"/>
              <w:left w:val="nil"/>
              <w:bottom w:val="nil"/>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16</w:t>
            </w:r>
            <w:r>
              <w:rPr>
                <w:rFonts w:ascii="Arial" w:hAnsi="Arial" w:cs="Arial"/>
                <w:color w:val="000000"/>
              </w:rPr>
              <w:t>.</w:t>
            </w:r>
            <w:r w:rsidR="00292B21">
              <w:rPr>
                <w:rFonts w:ascii="Arial" w:hAnsi="Arial" w:cs="Arial"/>
                <w:color w:val="000000"/>
              </w:rPr>
              <w:t>085</w:t>
            </w:r>
            <w:r>
              <w:rPr>
                <w:rFonts w:ascii="Arial" w:hAnsi="Arial" w:cs="Arial"/>
                <w:color w:val="000000"/>
              </w:rPr>
              <w:t>)</w:t>
            </w:r>
          </w:p>
        </w:tc>
      </w:tr>
      <w:tr w:rsidR="00792991" w:rsidRPr="00727376" w:rsidTr="00916C6F">
        <w:trPr>
          <w:trHeight w:val="113"/>
        </w:trPr>
        <w:tc>
          <w:tcPr>
            <w:tcW w:w="6030" w:type="dxa"/>
            <w:tcBorders>
              <w:top w:val="nil"/>
              <w:left w:val="nil"/>
              <w:bottom w:val="nil"/>
              <w:right w:val="nil"/>
            </w:tcBorders>
            <w:vAlign w:val="bottom"/>
          </w:tcPr>
          <w:p w:rsidR="00792991" w:rsidRDefault="00792991">
            <w:pPr>
              <w:rPr>
                <w:rFonts w:ascii="Arial" w:hAnsi="Arial" w:cs="Arial"/>
                <w:color w:val="000000"/>
                <w:sz w:val="18"/>
                <w:szCs w:val="18"/>
              </w:rPr>
            </w:pPr>
            <w:r>
              <w:rPr>
                <w:rFonts w:ascii="Arial" w:hAnsi="Arial" w:cs="Arial"/>
                <w:color w:val="000000"/>
                <w:sz w:val="18"/>
                <w:szCs w:val="18"/>
              </w:rPr>
              <w:t>Amortisman giderleri</w:t>
            </w:r>
          </w:p>
        </w:tc>
        <w:tc>
          <w:tcPr>
            <w:tcW w:w="1710" w:type="dxa"/>
            <w:tcBorders>
              <w:top w:val="nil"/>
              <w:left w:val="nil"/>
              <w:bottom w:val="nil"/>
              <w:right w:val="nil"/>
            </w:tcBorders>
            <w:vAlign w:val="bottom"/>
          </w:tcPr>
          <w:p w:rsidR="00792991" w:rsidRDefault="00792991"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5.200</w:t>
            </w:r>
            <w:r>
              <w:rPr>
                <w:rFonts w:ascii="Arial" w:hAnsi="Arial" w:cs="Arial"/>
                <w:b/>
                <w:bCs/>
                <w:color w:val="000000"/>
              </w:rPr>
              <w:t>)</w:t>
            </w:r>
          </w:p>
        </w:tc>
        <w:tc>
          <w:tcPr>
            <w:tcW w:w="1710" w:type="dxa"/>
            <w:tcBorders>
              <w:top w:val="nil"/>
              <w:left w:val="nil"/>
              <w:bottom w:val="nil"/>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6.180</w:t>
            </w:r>
            <w:r>
              <w:rPr>
                <w:rFonts w:ascii="Arial" w:hAnsi="Arial" w:cs="Arial"/>
                <w:color w:val="000000"/>
              </w:rPr>
              <w:t>)</w:t>
            </w:r>
          </w:p>
        </w:tc>
      </w:tr>
      <w:tr w:rsidR="00792991" w:rsidRPr="00727376" w:rsidTr="00916C6F">
        <w:trPr>
          <w:trHeight w:val="113"/>
        </w:trPr>
        <w:tc>
          <w:tcPr>
            <w:tcW w:w="6030" w:type="dxa"/>
            <w:tcBorders>
              <w:top w:val="nil"/>
              <w:left w:val="nil"/>
              <w:bottom w:val="nil"/>
              <w:right w:val="nil"/>
            </w:tcBorders>
            <w:vAlign w:val="bottom"/>
          </w:tcPr>
          <w:p w:rsidR="00792991" w:rsidRDefault="00792991">
            <w:pPr>
              <w:rPr>
                <w:rFonts w:ascii="Arial" w:hAnsi="Arial" w:cs="Arial"/>
                <w:color w:val="000000"/>
                <w:sz w:val="18"/>
                <w:szCs w:val="18"/>
              </w:rPr>
            </w:pPr>
            <w:r>
              <w:rPr>
                <w:rFonts w:ascii="Arial" w:hAnsi="Arial" w:cs="Arial"/>
                <w:color w:val="000000"/>
                <w:sz w:val="18"/>
                <w:szCs w:val="18"/>
              </w:rPr>
              <w:t xml:space="preserve">Kullanılmamış izin karşılıkları </w:t>
            </w:r>
          </w:p>
        </w:tc>
        <w:tc>
          <w:tcPr>
            <w:tcW w:w="1710" w:type="dxa"/>
            <w:tcBorders>
              <w:top w:val="nil"/>
              <w:left w:val="nil"/>
              <w:bottom w:val="nil"/>
              <w:right w:val="nil"/>
            </w:tcBorders>
            <w:vAlign w:val="bottom"/>
          </w:tcPr>
          <w:p w:rsidR="00792991" w:rsidRDefault="00792991" w:rsidP="00267EF5">
            <w:pPr>
              <w:jc w:val="right"/>
              <w:rPr>
                <w:rFonts w:ascii="Arial" w:hAnsi="Arial" w:cs="Arial"/>
                <w:b/>
                <w:bCs/>
                <w:color w:val="000000"/>
              </w:rPr>
            </w:pPr>
            <w:r>
              <w:rPr>
                <w:rFonts w:ascii="Arial" w:hAnsi="Arial" w:cs="Arial"/>
                <w:b/>
                <w:bCs/>
                <w:color w:val="000000"/>
              </w:rPr>
              <w:t xml:space="preserve">         (2</w:t>
            </w:r>
            <w:r w:rsidR="00267EF5">
              <w:rPr>
                <w:rFonts w:ascii="Arial" w:hAnsi="Arial" w:cs="Arial"/>
                <w:b/>
                <w:bCs/>
                <w:color w:val="000000"/>
              </w:rPr>
              <w:t>2</w:t>
            </w:r>
            <w:r>
              <w:rPr>
                <w:rFonts w:ascii="Arial" w:hAnsi="Arial" w:cs="Arial"/>
                <w:b/>
                <w:bCs/>
                <w:color w:val="000000"/>
              </w:rPr>
              <w:t>.</w:t>
            </w:r>
            <w:r w:rsidR="00267EF5">
              <w:rPr>
                <w:rFonts w:ascii="Arial" w:hAnsi="Arial" w:cs="Arial"/>
                <w:b/>
                <w:bCs/>
                <w:color w:val="000000"/>
              </w:rPr>
              <w:t>666</w:t>
            </w:r>
            <w:r>
              <w:rPr>
                <w:rFonts w:ascii="Arial" w:hAnsi="Arial" w:cs="Arial"/>
                <w:b/>
                <w:bCs/>
                <w:color w:val="000000"/>
              </w:rPr>
              <w:t>)</w:t>
            </w:r>
          </w:p>
        </w:tc>
        <w:tc>
          <w:tcPr>
            <w:tcW w:w="1710" w:type="dxa"/>
            <w:tcBorders>
              <w:top w:val="nil"/>
              <w:left w:val="nil"/>
              <w:bottom w:val="nil"/>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56</w:t>
            </w:r>
            <w:r>
              <w:rPr>
                <w:rFonts w:ascii="Arial" w:hAnsi="Arial" w:cs="Arial"/>
                <w:color w:val="000000"/>
              </w:rPr>
              <w:t>.</w:t>
            </w:r>
            <w:r w:rsidR="00292B21">
              <w:rPr>
                <w:rFonts w:ascii="Arial" w:hAnsi="Arial" w:cs="Arial"/>
                <w:color w:val="000000"/>
              </w:rPr>
              <w:t>855</w:t>
            </w:r>
            <w:r>
              <w:rPr>
                <w:rFonts w:ascii="Arial" w:hAnsi="Arial" w:cs="Arial"/>
                <w:color w:val="000000"/>
              </w:rPr>
              <w:t>)</w:t>
            </w:r>
          </w:p>
        </w:tc>
      </w:tr>
      <w:tr w:rsidR="00792991" w:rsidRPr="00727376" w:rsidTr="00916C6F">
        <w:trPr>
          <w:trHeight w:val="113"/>
        </w:trPr>
        <w:tc>
          <w:tcPr>
            <w:tcW w:w="6030" w:type="dxa"/>
            <w:tcBorders>
              <w:top w:val="nil"/>
              <w:left w:val="nil"/>
              <w:bottom w:val="nil"/>
              <w:right w:val="nil"/>
            </w:tcBorders>
            <w:vAlign w:val="bottom"/>
          </w:tcPr>
          <w:p w:rsidR="00792991" w:rsidRDefault="00792991">
            <w:pPr>
              <w:rPr>
                <w:rFonts w:ascii="Arial" w:hAnsi="Arial" w:cs="Arial"/>
                <w:color w:val="000000"/>
                <w:sz w:val="18"/>
                <w:szCs w:val="18"/>
              </w:rPr>
            </w:pPr>
            <w:r>
              <w:rPr>
                <w:rFonts w:ascii="Arial" w:hAnsi="Arial" w:cs="Arial"/>
                <w:color w:val="000000"/>
                <w:sz w:val="18"/>
                <w:szCs w:val="18"/>
              </w:rPr>
              <w:t>Diğer(*)</w:t>
            </w:r>
          </w:p>
        </w:tc>
        <w:tc>
          <w:tcPr>
            <w:tcW w:w="1710" w:type="dxa"/>
            <w:tcBorders>
              <w:top w:val="nil"/>
              <w:left w:val="nil"/>
              <w:bottom w:val="nil"/>
              <w:right w:val="nil"/>
            </w:tcBorders>
            <w:vAlign w:val="bottom"/>
          </w:tcPr>
          <w:p w:rsidR="00792991" w:rsidRDefault="00792991"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90</w:t>
            </w:r>
            <w:r>
              <w:rPr>
                <w:rFonts w:ascii="Arial" w:hAnsi="Arial" w:cs="Arial"/>
                <w:b/>
                <w:bCs/>
                <w:color w:val="000000"/>
              </w:rPr>
              <w:t>.</w:t>
            </w:r>
            <w:r w:rsidR="00267EF5">
              <w:rPr>
                <w:rFonts w:ascii="Arial" w:hAnsi="Arial" w:cs="Arial"/>
                <w:b/>
                <w:bCs/>
                <w:color w:val="000000"/>
              </w:rPr>
              <w:t>154</w:t>
            </w:r>
            <w:r>
              <w:rPr>
                <w:rFonts w:ascii="Arial" w:hAnsi="Arial" w:cs="Arial"/>
                <w:b/>
                <w:bCs/>
                <w:color w:val="000000"/>
              </w:rPr>
              <w:t>)</w:t>
            </w:r>
          </w:p>
        </w:tc>
        <w:tc>
          <w:tcPr>
            <w:tcW w:w="1710" w:type="dxa"/>
            <w:tcBorders>
              <w:top w:val="nil"/>
              <w:left w:val="nil"/>
              <w:bottom w:val="nil"/>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24</w:t>
            </w:r>
            <w:r>
              <w:rPr>
                <w:rFonts w:ascii="Arial" w:hAnsi="Arial" w:cs="Arial"/>
                <w:color w:val="000000"/>
              </w:rPr>
              <w:t>.</w:t>
            </w:r>
            <w:r w:rsidR="00292B21">
              <w:rPr>
                <w:rFonts w:ascii="Arial" w:hAnsi="Arial" w:cs="Arial"/>
                <w:color w:val="000000"/>
              </w:rPr>
              <w:t>452</w:t>
            </w:r>
            <w:r>
              <w:rPr>
                <w:rFonts w:ascii="Arial" w:hAnsi="Arial" w:cs="Arial"/>
                <w:color w:val="000000"/>
              </w:rPr>
              <w:t>)</w:t>
            </w:r>
          </w:p>
        </w:tc>
      </w:tr>
      <w:tr w:rsidR="00792991" w:rsidRPr="00727376" w:rsidTr="00916C6F">
        <w:trPr>
          <w:trHeight w:val="113"/>
        </w:trPr>
        <w:tc>
          <w:tcPr>
            <w:tcW w:w="6030" w:type="dxa"/>
            <w:tcBorders>
              <w:top w:val="nil"/>
              <w:left w:val="nil"/>
              <w:bottom w:val="nil"/>
              <w:right w:val="nil"/>
            </w:tcBorders>
          </w:tcPr>
          <w:p w:rsidR="00792991" w:rsidRPr="00727376" w:rsidRDefault="00792991" w:rsidP="00B37F4A">
            <w:pPr>
              <w:autoSpaceDE w:val="0"/>
              <w:autoSpaceDN w:val="0"/>
              <w:adjustRightInd w:val="0"/>
              <w:spacing w:line="230" w:lineRule="auto"/>
              <w:jc w:val="right"/>
              <w:rPr>
                <w:rFonts w:ascii="Arial" w:hAnsi="Arial" w:cs="Arial"/>
                <w:color w:val="000000"/>
                <w:highlight w:val="yellow"/>
              </w:rPr>
            </w:pPr>
          </w:p>
        </w:tc>
        <w:tc>
          <w:tcPr>
            <w:tcW w:w="1710" w:type="dxa"/>
            <w:tcBorders>
              <w:top w:val="nil"/>
              <w:left w:val="nil"/>
              <w:bottom w:val="nil"/>
              <w:right w:val="nil"/>
            </w:tcBorders>
            <w:vAlign w:val="bottom"/>
          </w:tcPr>
          <w:p w:rsidR="00792991" w:rsidRPr="00434F71" w:rsidRDefault="00792991" w:rsidP="00916C6F">
            <w:pPr>
              <w:autoSpaceDE w:val="0"/>
              <w:autoSpaceDN w:val="0"/>
              <w:adjustRightInd w:val="0"/>
              <w:spacing w:line="230" w:lineRule="auto"/>
              <w:jc w:val="right"/>
              <w:rPr>
                <w:rFonts w:ascii="Arial" w:hAnsi="Arial" w:cs="Arial"/>
                <w:bCs/>
                <w:color w:val="000000"/>
              </w:rPr>
            </w:pPr>
          </w:p>
        </w:tc>
        <w:tc>
          <w:tcPr>
            <w:tcW w:w="1710" w:type="dxa"/>
            <w:tcBorders>
              <w:top w:val="nil"/>
              <w:left w:val="nil"/>
              <w:bottom w:val="nil"/>
              <w:right w:val="nil"/>
            </w:tcBorders>
            <w:vAlign w:val="bottom"/>
          </w:tcPr>
          <w:p w:rsidR="00792991" w:rsidRPr="00434F71" w:rsidRDefault="00792991" w:rsidP="00916C6F">
            <w:pPr>
              <w:autoSpaceDE w:val="0"/>
              <w:autoSpaceDN w:val="0"/>
              <w:adjustRightInd w:val="0"/>
              <w:spacing w:line="230" w:lineRule="auto"/>
              <w:jc w:val="right"/>
              <w:rPr>
                <w:rFonts w:ascii="Arial" w:hAnsi="Arial" w:cs="Arial"/>
                <w:bCs/>
                <w:color w:val="000000"/>
              </w:rPr>
            </w:pPr>
          </w:p>
        </w:tc>
      </w:tr>
      <w:tr w:rsidR="00792991" w:rsidRPr="00727376" w:rsidTr="00916C6F">
        <w:trPr>
          <w:trHeight w:val="113"/>
        </w:trPr>
        <w:tc>
          <w:tcPr>
            <w:tcW w:w="6030" w:type="dxa"/>
            <w:tcBorders>
              <w:top w:val="single" w:sz="6" w:space="0" w:color="auto"/>
              <w:left w:val="nil"/>
              <w:bottom w:val="double" w:sz="6" w:space="0" w:color="auto"/>
              <w:right w:val="nil"/>
            </w:tcBorders>
          </w:tcPr>
          <w:p w:rsidR="00792991" w:rsidRPr="00727376" w:rsidRDefault="00792991" w:rsidP="003F4499">
            <w:pPr>
              <w:autoSpaceDE w:val="0"/>
              <w:autoSpaceDN w:val="0"/>
              <w:adjustRightInd w:val="0"/>
              <w:spacing w:line="230" w:lineRule="auto"/>
              <w:rPr>
                <w:rFonts w:ascii="Arial" w:hAnsi="Arial" w:cs="Arial"/>
                <w:color w:val="000000"/>
                <w:highlight w:val="yellow"/>
              </w:rPr>
            </w:pPr>
            <w:r w:rsidRPr="00280F15">
              <w:rPr>
                <w:rFonts w:ascii="Arial" w:hAnsi="Arial" w:cs="Arial"/>
                <w:b/>
                <w:color w:val="000000"/>
              </w:rPr>
              <w:t>Toplam</w:t>
            </w:r>
          </w:p>
        </w:tc>
        <w:tc>
          <w:tcPr>
            <w:tcW w:w="1710" w:type="dxa"/>
            <w:tcBorders>
              <w:top w:val="single" w:sz="6" w:space="0" w:color="auto"/>
              <w:left w:val="nil"/>
              <w:bottom w:val="double" w:sz="6" w:space="0" w:color="auto"/>
              <w:right w:val="nil"/>
            </w:tcBorders>
            <w:vAlign w:val="bottom"/>
          </w:tcPr>
          <w:p w:rsidR="00792991" w:rsidRDefault="00792991"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993.870</w:t>
            </w:r>
            <w:r>
              <w:rPr>
                <w:rFonts w:ascii="Arial" w:hAnsi="Arial" w:cs="Arial"/>
                <w:b/>
                <w:bCs/>
                <w:color w:val="000000"/>
              </w:rPr>
              <w:t>)</w:t>
            </w:r>
          </w:p>
        </w:tc>
        <w:tc>
          <w:tcPr>
            <w:tcW w:w="1710" w:type="dxa"/>
            <w:tcBorders>
              <w:top w:val="single" w:sz="6" w:space="0" w:color="auto"/>
              <w:left w:val="nil"/>
              <w:bottom w:val="double" w:sz="6" w:space="0" w:color="auto"/>
              <w:right w:val="nil"/>
            </w:tcBorders>
            <w:vAlign w:val="bottom"/>
          </w:tcPr>
          <w:p w:rsidR="00792991" w:rsidRDefault="00792991" w:rsidP="00292B21">
            <w:pPr>
              <w:jc w:val="right"/>
              <w:rPr>
                <w:rFonts w:ascii="Arial" w:hAnsi="Arial" w:cs="Arial"/>
                <w:color w:val="000000"/>
              </w:rPr>
            </w:pPr>
            <w:r>
              <w:rPr>
                <w:rFonts w:ascii="Arial" w:hAnsi="Arial" w:cs="Arial"/>
                <w:color w:val="000000"/>
              </w:rPr>
              <w:t xml:space="preserve">   (</w:t>
            </w:r>
            <w:r w:rsidR="00292B21">
              <w:rPr>
                <w:rFonts w:ascii="Arial" w:hAnsi="Arial" w:cs="Arial"/>
                <w:color w:val="000000"/>
              </w:rPr>
              <w:t>697</w:t>
            </w:r>
            <w:r>
              <w:rPr>
                <w:rFonts w:ascii="Arial" w:hAnsi="Arial" w:cs="Arial"/>
                <w:color w:val="000000"/>
              </w:rPr>
              <w:t>.</w:t>
            </w:r>
            <w:r w:rsidR="00292B21">
              <w:rPr>
                <w:rFonts w:ascii="Arial" w:hAnsi="Arial" w:cs="Arial"/>
                <w:color w:val="000000"/>
              </w:rPr>
              <w:t>659</w:t>
            </w:r>
            <w:r>
              <w:rPr>
                <w:rFonts w:ascii="Arial" w:hAnsi="Arial" w:cs="Arial"/>
                <w:color w:val="000000"/>
              </w:rPr>
              <w:t>)</w:t>
            </w:r>
          </w:p>
        </w:tc>
      </w:tr>
    </w:tbl>
    <w:p w:rsidR="00D322FB" w:rsidRPr="00727376" w:rsidRDefault="00D322FB" w:rsidP="00B37F4A">
      <w:pPr>
        <w:tabs>
          <w:tab w:val="right" w:pos="6660"/>
          <w:tab w:val="right" w:pos="8640"/>
        </w:tabs>
        <w:spacing w:line="230" w:lineRule="auto"/>
        <w:ind w:left="567" w:hanging="567"/>
        <w:rPr>
          <w:rFonts w:ascii="Arial" w:hAnsi="Arial" w:cs="Arial"/>
          <w:highlight w:val="yellow"/>
          <w:lang w:val="tr-TR"/>
        </w:rPr>
      </w:pPr>
    </w:p>
    <w:p w:rsidR="00D322FB" w:rsidRPr="00727376" w:rsidRDefault="00D322FB" w:rsidP="008E79A5">
      <w:pPr>
        <w:tabs>
          <w:tab w:val="right" w:pos="6660"/>
          <w:tab w:val="right" w:pos="8640"/>
        </w:tabs>
        <w:spacing w:line="230" w:lineRule="auto"/>
        <w:ind w:left="567" w:hanging="567"/>
        <w:rPr>
          <w:rFonts w:ascii="Arial" w:hAnsi="Arial" w:cs="Arial"/>
          <w:b/>
          <w:highlight w:val="yellow"/>
          <w:lang w:val="tr-TR"/>
        </w:rPr>
      </w:pPr>
      <w:r w:rsidRPr="00434F71">
        <w:rPr>
          <w:rFonts w:ascii="Arial" w:hAnsi="Arial" w:cs="Arial"/>
          <w:lang w:val="tr-TR"/>
        </w:rPr>
        <w:t>(*)</w:t>
      </w:r>
      <w:r w:rsidRPr="00434F71">
        <w:rPr>
          <w:rFonts w:ascii="Arial" w:hAnsi="Arial" w:cs="Arial"/>
          <w:lang w:val="tr-TR"/>
        </w:rPr>
        <w:tab/>
        <w:t>1 Ocak -</w:t>
      </w:r>
      <w:r w:rsidRPr="00434F71">
        <w:rPr>
          <w:rFonts w:ascii="Arial" w:hAnsi="Arial" w:cs="Arial"/>
          <w:b/>
          <w:lang w:val="tr-TR"/>
        </w:rPr>
        <w:t xml:space="preserve"> </w:t>
      </w:r>
      <w:r w:rsidRPr="00434F71">
        <w:rPr>
          <w:rFonts w:ascii="Arial" w:hAnsi="Arial" w:cs="Arial"/>
          <w:lang w:val="tr-TR"/>
        </w:rPr>
        <w:t xml:space="preserve">31 </w:t>
      </w:r>
      <w:r w:rsidR="00D86D3E">
        <w:rPr>
          <w:rFonts w:ascii="Arial" w:hAnsi="Arial" w:cs="Arial"/>
          <w:lang w:val="tr-TR"/>
        </w:rPr>
        <w:t>Mart</w:t>
      </w:r>
      <w:r w:rsidRPr="00434F71">
        <w:rPr>
          <w:rFonts w:ascii="Arial" w:hAnsi="Arial" w:cs="Arial"/>
          <w:lang w:val="tr-TR"/>
        </w:rPr>
        <w:t xml:space="preserve"> 201</w:t>
      </w:r>
      <w:r w:rsidR="00D86D3E">
        <w:rPr>
          <w:rFonts w:ascii="Arial" w:hAnsi="Arial" w:cs="Arial"/>
          <w:lang w:val="tr-TR"/>
        </w:rPr>
        <w:t>5</w:t>
      </w:r>
      <w:r w:rsidRPr="00434F71">
        <w:rPr>
          <w:rFonts w:ascii="Arial" w:hAnsi="Arial" w:cs="Arial"/>
          <w:lang w:val="tr-TR"/>
        </w:rPr>
        <w:t xml:space="preserve"> dönemine ait</w:t>
      </w:r>
      <w:r w:rsidRPr="00434F71">
        <w:rPr>
          <w:rFonts w:ascii="Arial" w:hAnsi="Arial" w:cs="Arial"/>
          <w:b/>
          <w:lang w:val="tr-TR"/>
        </w:rPr>
        <w:t xml:space="preserve"> </w:t>
      </w:r>
      <w:r w:rsidRPr="00434F71">
        <w:rPr>
          <w:rFonts w:ascii="Arial" w:hAnsi="Arial" w:cs="Arial"/>
          <w:lang w:val="tr-TR"/>
        </w:rPr>
        <w:t xml:space="preserve">diğer hesabının bakiyesi gazete, dergi vb yayınların abonelik ücretleri, kanunen kabul edilmeyen giderler, telefon, kargo </w:t>
      </w:r>
      <w:r>
        <w:rPr>
          <w:rFonts w:ascii="Arial" w:hAnsi="Arial" w:cs="Arial"/>
          <w:lang w:val="tr-TR"/>
        </w:rPr>
        <w:t>ücretleri, reklam ilan ve temsil giderleri</w:t>
      </w:r>
      <w:r w:rsidRPr="00434F71">
        <w:rPr>
          <w:rFonts w:ascii="Arial" w:hAnsi="Arial" w:cs="Arial"/>
          <w:lang w:val="tr-TR"/>
        </w:rPr>
        <w:t xml:space="preserve"> ve bina idari giderleri vb. giderlerden oluşmaktadır.</w:t>
      </w:r>
      <w:r w:rsidRPr="00727376">
        <w:rPr>
          <w:rFonts w:ascii="Arial" w:hAnsi="Arial" w:cs="Arial"/>
          <w:b/>
          <w:highlight w:val="yellow"/>
          <w:lang w:val="tr-TR"/>
        </w:rPr>
        <w:br w:type="page"/>
      </w: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lastRenderedPageBreak/>
        <w:t>19.</w:t>
      </w:r>
      <w:r w:rsidRPr="00284495">
        <w:rPr>
          <w:rFonts w:ascii="Arial" w:hAnsi="Arial" w:cs="Arial"/>
          <w:color w:val="auto"/>
          <w:sz w:val="20"/>
          <w:lang w:val="tr-TR"/>
        </w:rPr>
        <w:tab/>
        <w:t>Esas faaliyetlerden diğer gelirler</w:t>
      </w:r>
    </w:p>
    <w:p w:rsidR="00D322FB" w:rsidRPr="00E03630" w:rsidRDefault="00D322FB" w:rsidP="00B37F4A">
      <w:pPr>
        <w:tabs>
          <w:tab w:val="right" w:pos="567"/>
          <w:tab w:val="right" w:pos="1276"/>
        </w:tabs>
        <w:spacing w:line="230" w:lineRule="auto"/>
        <w:ind w:right="-1"/>
        <w:rPr>
          <w:rFonts w:ascii="Arial" w:hAnsi="Arial" w:cs="Arial"/>
          <w:b/>
          <w:sz w:val="18"/>
          <w:lang w:val="tr-TR"/>
        </w:rPr>
      </w:pPr>
    </w:p>
    <w:p w:rsidR="00D322FB" w:rsidRPr="00DF3B20" w:rsidRDefault="002B063A" w:rsidP="005A6321">
      <w:pPr>
        <w:ind w:right="-109"/>
        <w:rPr>
          <w:rFonts w:ascii="Arial" w:hAnsi="Arial" w:cs="Arial"/>
          <w:lang w:val="tr-TR"/>
        </w:rPr>
      </w:pPr>
      <w:r w:rsidRPr="00DF3B20">
        <w:rPr>
          <w:rFonts w:ascii="Arial" w:hAnsi="Arial" w:cs="Arial"/>
          <w:lang w:val="tr-TR"/>
        </w:rPr>
        <w:t xml:space="preserve">1 Ocak – 31 </w:t>
      </w:r>
      <w:r>
        <w:rPr>
          <w:rFonts w:ascii="Arial" w:hAnsi="Arial" w:cs="Arial"/>
          <w:lang w:val="tr-TR"/>
        </w:rPr>
        <w:t>Mart</w:t>
      </w:r>
      <w:r w:rsidRPr="00DF3B20">
        <w:rPr>
          <w:rFonts w:ascii="Arial" w:hAnsi="Arial" w:cs="Arial"/>
          <w:lang w:val="tr-TR"/>
        </w:rPr>
        <w:t xml:space="preserve"> 201</w:t>
      </w:r>
      <w:r>
        <w:rPr>
          <w:rFonts w:ascii="Arial" w:hAnsi="Arial" w:cs="Arial"/>
          <w:lang w:val="tr-TR"/>
        </w:rPr>
        <w:t>5</w:t>
      </w:r>
      <w:r w:rsidRPr="00DF3B20">
        <w:rPr>
          <w:rFonts w:ascii="Arial" w:hAnsi="Arial" w:cs="Arial"/>
          <w:lang w:val="tr-TR"/>
        </w:rPr>
        <w:t xml:space="preserve"> ve 201</w:t>
      </w:r>
      <w:r>
        <w:rPr>
          <w:rFonts w:ascii="Arial" w:hAnsi="Arial" w:cs="Arial"/>
          <w:lang w:val="tr-TR"/>
        </w:rPr>
        <w:t>4</w:t>
      </w:r>
      <w:r w:rsidRPr="00DF3B20">
        <w:rPr>
          <w:rFonts w:ascii="Arial" w:hAnsi="Arial" w:cs="Arial"/>
          <w:lang w:val="tr-TR"/>
        </w:rPr>
        <w:t xml:space="preserve"> </w:t>
      </w:r>
      <w:r w:rsidR="00D322FB" w:rsidRPr="00E03630">
        <w:rPr>
          <w:rFonts w:ascii="Arial" w:hAnsi="Arial" w:cs="Arial"/>
          <w:lang w:val="tr-TR"/>
        </w:rPr>
        <w:t xml:space="preserve"> dönemlerine ait esas faaliyetlerden diğer gelirlerin detayı aşağıdaki gibidir:</w:t>
      </w:r>
    </w:p>
    <w:p w:rsidR="00D322FB" w:rsidRPr="00727376" w:rsidRDefault="00D322FB" w:rsidP="00B37F4A">
      <w:pPr>
        <w:tabs>
          <w:tab w:val="right" w:pos="567"/>
          <w:tab w:val="right" w:pos="1276"/>
        </w:tabs>
        <w:spacing w:line="230" w:lineRule="auto"/>
        <w:ind w:right="-1"/>
        <w:rPr>
          <w:rFonts w:ascii="Arial" w:hAnsi="Arial" w:cs="Arial"/>
          <w:b/>
          <w:sz w:val="18"/>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792991" w:rsidRPr="00727376" w:rsidTr="00E4669C">
        <w:trPr>
          <w:trHeight w:val="113"/>
        </w:trPr>
        <w:tc>
          <w:tcPr>
            <w:tcW w:w="6030" w:type="dxa"/>
            <w:tcBorders>
              <w:top w:val="single" w:sz="6" w:space="0" w:color="auto"/>
              <w:left w:val="nil"/>
              <w:bottom w:val="single" w:sz="6" w:space="0" w:color="auto"/>
              <w:right w:val="nil"/>
            </w:tcBorders>
          </w:tcPr>
          <w:p w:rsidR="00792991" w:rsidRPr="00842630" w:rsidRDefault="00792991" w:rsidP="00B37F4A">
            <w:pPr>
              <w:autoSpaceDE w:val="0"/>
              <w:autoSpaceDN w:val="0"/>
              <w:adjustRightInd w:val="0"/>
              <w:spacing w:line="230" w:lineRule="auto"/>
              <w:ind w:hanging="108"/>
              <w:rPr>
                <w:rFonts w:ascii="Arial" w:hAnsi="Arial" w:cs="Arial"/>
                <w:b/>
                <w:bCs/>
                <w:color w:val="000000"/>
                <w:lang w:val="tr-TR"/>
              </w:rPr>
            </w:pPr>
          </w:p>
        </w:tc>
        <w:tc>
          <w:tcPr>
            <w:tcW w:w="1710" w:type="dxa"/>
            <w:tcBorders>
              <w:top w:val="single" w:sz="6" w:space="0" w:color="auto"/>
              <w:left w:val="nil"/>
              <w:bottom w:val="single" w:sz="6" w:space="0" w:color="auto"/>
              <w:right w:val="nil"/>
            </w:tcBorders>
            <w:vAlign w:val="bottom"/>
          </w:tcPr>
          <w:p w:rsidR="00792991" w:rsidRPr="00236E9F" w:rsidRDefault="00792991" w:rsidP="00B6520D">
            <w:pPr>
              <w:autoSpaceDE w:val="0"/>
              <w:autoSpaceDN w:val="0"/>
              <w:adjustRightInd w:val="0"/>
              <w:jc w:val="right"/>
              <w:rPr>
                <w:rFonts w:ascii="Arial" w:hAnsi="Arial" w:cs="Arial"/>
                <w:b/>
                <w:bCs/>
                <w:color w:val="000000"/>
              </w:rPr>
            </w:pPr>
            <w:r w:rsidRPr="00236E9F">
              <w:rPr>
                <w:rFonts w:ascii="Arial" w:hAnsi="Arial" w:cs="Arial"/>
                <w:b/>
                <w:bCs/>
                <w:color w:val="000000"/>
              </w:rPr>
              <w:t>1 Ocak -</w:t>
            </w:r>
          </w:p>
          <w:p w:rsidR="00792991" w:rsidRPr="00236E9F" w:rsidRDefault="00792991" w:rsidP="00B6520D">
            <w:pPr>
              <w:autoSpaceDE w:val="0"/>
              <w:autoSpaceDN w:val="0"/>
              <w:adjustRightInd w:val="0"/>
              <w:jc w:val="right"/>
              <w:rPr>
                <w:rFonts w:ascii="Arial" w:hAnsi="Arial" w:cs="Arial"/>
                <w:b/>
                <w:bCs/>
                <w:color w:val="000000"/>
              </w:rPr>
            </w:pPr>
            <w:r w:rsidRPr="00236E9F">
              <w:rPr>
                <w:rFonts w:ascii="Arial" w:hAnsi="Arial" w:cs="Arial"/>
                <w:b/>
                <w:bCs/>
                <w:color w:val="000000"/>
              </w:rPr>
              <w:t xml:space="preserve">31 </w:t>
            </w:r>
            <w:r>
              <w:rPr>
                <w:rFonts w:ascii="Arial" w:hAnsi="Arial" w:cs="Arial"/>
                <w:b/>
                <w:bCs/>
                <w:color w:val="000000"/>
              </w:rPr>
              <w:t>Mart</w:t>
            </w:r>
            <w:r w:rsidRPr="00236E9F">
              <w:rPr>
                <w:rFonts w:ascii="Arial" w:hAnsi="Arial" w:cs="Arial"/>
                <w:b/>
                <w:bCs/>
                <w:color w:val="000000"/>
              </w:rPr>
              <w:t xml:space="preserve"> 201</w:t>
            </w:r>
            <w:r>
              <w:rPr>
                <w:rFonts w:ascii="Arial" w:hAnsi="Arial" w:cs="Arial"/>
                <w:b/>
                <w:bCs/>
                <w:color w:val="000000"/>
              </w:rPr>
              <w:t>5</w:t>
            </w:r>
          </w:p>
        </w:tc>
        <w:tc>
          <w:tcPr>
            <w:tcW w:w="1710" w:type="dxa"/>
            <w:tcBorders>
              <w:top w:val="single" w:sz="6" w:space="0" w:color="auto"/>
              <w:left w:val="nil"/>
              <w:bottom w:val="single" w:sz="6" w:space="0" w:color="auto"/>
              <w:right w:val="nil"/>
            </w:tcBorders>
            <w:vAlign w:val="bottom"/>
          </w:tcPr>
          <w:p w:rsidR="00792991" w:rsidRPr="00236E9F" w:rsidRDefault="00792991" w:rsidP="00B6520D">
            <w:pPr>
              <w:autoSpaceDE w:val="0"/>
              <w:autoSpaceDN w:val="0"/>
              <w:adjustRightInd w:val="0"/>
              <w:jc w:val="right"/>
              <w:rPr>
                <w:rFonts w:ascii="Arial" w:hAnsi="Arial" w:cs="Arial"/>
                <w:bCs/>
                <w:color w:val="000000"/>
              </w:rPr>
            </w:pPr>
            <w:r w:rsidRPr="00236E9F">
              <w:rPr>
                <w:rFonts w:ascii="Arial" w:hAnsi="Arial" w:cs="Arial"/>
                <w:bCs/>
                <w:color w:val="000000"/>
              </w:rPr>
              <w:t>1 Ocak -</w:t>
            </w:r>
          </w:p>
          <w:p w:rsidR="00792991" w:rsidRPr="00236E9F" w:rsidRDefault="00792991" w:rsidP="00B6520D">
            <w:pPr>
              <w:autoSpaceDE w:val="0"/>
              <w:autoSpaceDN w:val="0"/>
              <w:adjustRightInd w:val="0"/>
              <w:jc w:val="right"/>
              <w:rPr>
                <w:rFonts w:ascii="Arial" w:hAnsi="Arial" w:cs="Arial"/>
                <w:bCs/>
                <w:color w:val="000000"/>
              </w:rPr>
            </w:pPr>
            <w:r w:rsidRPr="00236E9F">
              <w:rPr>
                <w:rFonts w:ascii="Arial" w:hAnsi="Arial" w:cs="Arial"/>
                <w:bCs/>
                <w:color w:val="000000"/>
              </w:rPr>
              <w:t xml:space="preserve">31 </w:t>
            </w:r>
            <w:r>
              <w:rPr>
                <w:rFonts w:ascii="Arial" w:hAnsi="Arial" w:cs="Arial"/>
                <w:bCs/>
                <w:color w:val="000000"/>
              </w:rPr>
              <w:t>Mart</w:t>
            </w:r>
            <w:r w:rsidRPr="00236E9F">
              <w:rPr>
                <w:rFonts w:ascii="Arial" w:hAnsi="Arial" w:cs="Arial"/>
                <w:bCs/>
                <w:color w:val="000000"/>
              </w:rPr>
              <w:t xml:space="preserve"> 201</w:t>
            </w:r>
            <w:r>
              <w:rPr>
                <w:rFonts w:ascii="Arial" w:hAnsi="Arial" w:cs="Arial"/>
                <w:bCs/>
                <w:color w:val="000000"/>
              </w:rPr>
              <w:t>4</w:t>
            </w:r>
          </w:p>
        </w:tc>
      </w:tr>
      <w:tr w:rsidR="00792991" w:rsidRPr="00727376" w:rsidTr="00E4669C">
        <w:trPr>
          <w:trHeight w:val="113"/>
        </w:trPr>
        <w:tc>
          <w:tcPr>
            <w:tcW w:w="6030" w:type="dxa"/>
            <w:tcBorders>
              <w:top w:val="nil"/>
              <w:left w:val="nil"/>
              <w:bottom w:val="nil"/>
              <w:right w:val="nil"/>
            </w:tcBorders>
          </w:tcPr>
          <w:p w:rsidR="00792991" w:rsidRPr="006E6CB5" w:rsidRDefault="00792991" w:rsidP="00B37F4A">
            <w:pPr>
              <w:autoSpaceDE w:val="0"/>
              <w:autoSpaceDN w:val="0"/>
              <w:adjustRightInd w:val="0"/>
              <w:spacing w:line="230" w:lineRule="auto"/>
              <w:ind w:hanging="108"/>
              <w:jc w:val="right"/>
              <w:rPr>
                <w:rFonts w:ascii="Arial" w:hAnsi="Arial" w:cs="Arial"/>
                <w:color w:val="000000"/>
              </w:rPr>
            </w:pPr>
          </w:p>
        </w:tc>
        <w:tc>
          <w:tcPr>
            <w:tcW w:w="1710" w:type="dxa"/>
            <w:tcBorders>
              <w:top w:val="nil"/>
              <w:left w:val="nil"/>
              <w:bottom w:val="nil"/>
              <w:right w:val="nil"/>
            </w:tcBorders>
          </w:tcPr>
          <w:p w:rsidR="00792991" w:rsidRPr="006E6CB5" w:rsidRDefault="00792991" w:rsidP="00B37F4A">
            <w:pPr>
              <w:autoSpaceDE w:val="0"/>
              <w:autoSpaceDN w:val="0"/>
              <w:adjustRightInd w:val="0"/>
              <w:spacing w:line="230" w:lineRule="auto"/>
              <w:jc w:val="right"/>
              <w:rPr>
                <w:rFonts w:ascii="Arial" w:hAnsi="Arial" w:cs="Arial"/>
                <w:color w:val="000000"/>
              </w:rPr>
            </w:pPr>
          </w:p>
        </w:tc>
        <w:tc>
          <w:tcPr>
            <w:tcW w:w="1710" w:type="dxa"/>
            <w:tcBorders>
              <w:top w:val="nil"/>
              <w:left w:val="nil"/>
              <w:bottom w:val="nil"/>
              <w:right w:val="nil"/>
            </w:tcBorders>
          </w:tcPr>
          <w:p w:rsidR="00792991" w:rsidRPr="006E6CB5" w:rsidRDefault="00792991" w:rsidP="00B37F4A">
            <w:pPr>
              <w:autoSpaceDE w:val="0"/>
              <w:autoSpaceDN w:val="0"/>
              <w:adjustRightInd w:val="0"/>
              <w:spacing w:line="230" w:lineRule="auto"/>
              <w:jc w:val="right"/>
              <w:rPr>
                <w:rFonts w:ascii="Arial" w:hAnsi="Arial" w:cs="Arial"/>
                <w:color w:val="000000"/>
              </w:rPr>
            </w:pPr>
          </w:p>
        </w:tc>
      </w:tr>
      <w:tr w:rsidR="00792991" w:rsidRPr="00727376" w:rsidTr="00121AF9">
        <w:trPr>
          <w:trHeight w:val="113"/>
        </w:trPr>
        <w:tc>
          <w:tcPr>
            <w:tcW w:w="6030" w:type="dxa"/>
            <w:tcBorders>
              <w:top w:val="nil"/>
              <w:left w:val="nil"/>
              <w:bottom w:val="nil"/>
              <w:right w:val="nil"/>
            </w:tcBorders>
            <w:vAlign w:val="bottom"/>
          </w:tcPr>
          <w:p w:rsidR="00792991" w:rsidRPr="006E6CB5" w:rsidRDefault="0079299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Faiz gelirleri;</w:t>
            </w:r>
          </w:p>
        </w:tc>
        <w:tc>
          <w:tcPr>
            <w:tcW w:w="1710" w:type="dxa"/>
            <w:tcBorders>
              <w:top w:val="nil"/>
              <w:left w:val="nil"/>
              <w:bottom w:val="nil"/>
              <w:right w:val="nil"/>
            </w:tcBorders>
          </w:tcPr>
          <w:p w:rsidR="00792991" w:rsidRPr="006E6CB5" w:rsidRDefault="00792991" w:rsidP="00B37F4A">
            <w:pPr>
              <w:autoSpaceDE w:val="0"/>
              <w:autoSpaceDN w:val="0"/>
              <w:adjustRightInd w:val="0"/>
              <w:spacing w:line="230" w:lineRule="auto"/>
              <w:jc w:val="right"/>
              <w:rPr>
                <w:rFonts w:ascii="Arial" w:hAnsi="Arial" w:cs="Arial"/>
                <w:b/>
                <w:bCs/>
                <w:color w:val="000000"/>
              </w:rPr>
            </w:pPr>
          </w:p>
        </w:tc>
        <w:tc>
          <w:tcPr>
            <w:tcW w:w="1710" w:type="dxa"/>
            <w:tcBorders>
              <w:top w:val="nil"/>
              <w:left w:val="nil"/>
              <w:bottom w:val="nil"/>
              <w:right w:val="nil"/>
            </w:tcBorders>
          </w:tcPr>
          <w:p w:rsidR="00792991" w:rsidRPr="006E6CB5" w:rsidRDefault="00792991" w:rsidP="002E27C3">
            <w:pPr>
              <w:autoSpaceDE w:val="0"/>
              <w:autoSpaceDN w:val="0"/>
              <w:adjustRightInd w:val="0"/>
              <w:spacing w:line="230" w:lineRule="auto"/>
              <w:jc w:val="right"/>
              <w:rPr>
                <w:rFonts w:ascii="Arial" w:hAnsi="Arial" w:cs="Arial"/>
                <w:bCs/>
                <w:color w:val="000000"/>
              </w:rPr>
            </w:pPr>
          </w:p>
        </w:tc>
      </w:tr>
      <w:tr w:rsidR="00792991" w:rsidRPr="00727376" w:rsidTr="00121AF9">
        <w:trPr>
          <w:trHeight w:val="113"/>
        </w:trPr>
        <w:tc>
          <w:tcPr>
            <w:tcW w:w="6030" w:type="dxa"/>
            <w:tcBorders>
              <w:top w:val="nil"/>
              <w:left w:val="nil"/>
              <w:bottom w:val="nil"/>
              <w:right w:val="nil"/>
            </w:tcBorders>
            <w:vAlign w:val="bottom"/>
          </w:tcPr>
          <w:p w:rsidR="00792991" w:rsidRPr="006E6CB5" w:rsidRDefault="0079299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 Mevduat faiz gelirleri</w:t>
            </w:r>
          </w:p>
        </w:tc>
        <w:tc>
          <w:tcPr>
            <w:tcW w:w="1710" w:type="dxa"/>
            <w:tcBorders>
              <w:top w:val="nil"/>
              <w:left w:val="nil"/>
              <w:bottom w:val="nil"/>
              <w:right w:val="nil"/>
            </w:tcBorders>
            <w:vAlign w:val="bottom"/>
          </w:tcPr>
          <w:p w:rsidR="00792991" w:rsidRPr="006E6CB5" w:rsidRDefault="00792991" w:rsidP="00267EF5">
            <w:pPr>
              <w:jc w:val="right"/>
              <w:rPr>
                <w:rFonts w:ascii="Arial" w:hAnsi="Arial" w:cs="Arial"/>
                <w:b/>
                <w:bCs/>
                <w:color w:val="000000"/>
              </w:rPr>
            </w:pPr>
            <w:r w:rsidRPr="006E6CB5">
              <w:rPr>
                <w:rFonts w:ascii="Arial" w:hAnsi="Arial" w:cs="Arial"/>
                <w:b/>
                <w:bCs/>
                <w:color w:val="000000"/>
              </w:rPr>
              <w:t xml:space="preserve">    </w:t>
            </w:r>
            <w:r w:rsidR="00267EF5">
              <w:rPr>
                <w:rFonts w:ascii="Arial" w:hAnsi="Arial" w:cs="Arial"/>
                <w:b/>
                <w:bCs/>
                <w:color w:val="000000"/>
              </w:rPr>
              <w:t>16.944</w:t>
            </w:r>
            <w:r w:rsidRPr="006E6CB5">
              <w:rPr>
                <w:rFonts w:ascii="Arial" w:hAnsi="Arial" w:cs="Arial"/>
                <w:b/>
                <w:bCs/>
                <w:color w:val="000000"/>
              </w:rPr>
              <w:t xml:space="preserve"> </w:t>
            </w:r>
          </w:p>
        </w:tc>
        <w:tc>
          <w:tcPr>
            <w:tcW w:w="1710" w:type="dxa"/>
            <w:tcBorders>
              <w:top w:val="nil"/>
              <w:left w:val="nil"/>
              <w:bottom w:val="nil"/>
              <w:right w:val="nil"/>
            </w:tcBorders>
            <w:vAlign w:val="bottom"/>
          </w:tcPr>
          <w:p w:rsidR="00792991" w:rsidRPr="006E6CB5" w:rsidRDefault="00292B21" w:rsidP="00292B21">
            <w:pPr>
              <w:autoSpaceDE w:val="0"/>
              <w:autoSpaceDN w:val="0"/>
              <w:adjustRightInd w:val="0"/>
              <w:spacing w:line="230" w:lineRule="auto"/>
              <w:jc w:val="right"/>
              <w:rPr>
                <w:rFonts w:ascii="Arial" w:hAnsi="Arial" w:cs="Arial"/>
                <w:bCs/>
                <w:color w:val="000000"/>
              </w:rPr>
            </w:pPr>
            <w:r>
              <w:rPr>
                <w:rFonts w:ascii="Arial" w:hAnsi="Arial" w:cs="Arial"/>
                <w:bCs/>
                <w:color w:val="000000"/>
              </w:rPr>
              <w:t>9.761</w:t>
            </w:r>
          </w:p>
        </w:tc>
      </w:tr>
      <w:tr w:rsidR="00792991" w:rsidRPr="00727376" w:rsidTr="00121AF9">
        <w:trPr>
          <w:trHeight w:val="113"/>
        </w:trPr>
        <w:tc>
          <w:tcPr>
            <w:tcW w:w="6030" w:type="dxa"/>
            <w:tcBorders>
              <w:top w:val="nil"/>
              <w:left w:val="nil"/>
              <w:bottom w:val="nil"/>
              <w:right w:val="nil"/>
            </w:tcBorders>
            <w:vAlign w:val="bottom"/>
          </w:tcPr>
          <w:p w:rsidR="00792991" w:rsidRPr="006E6CB5" w:rsidRDefault="0079299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 BPP faiz gelirleri</w:t>
            </w:r>
          </w:p>
        </w:tc>
        <w:tc>
          <w:tcPr>
            <w:tcW w:w="1710" w:type="dxa"/>
            <w:tcBorders>
              <w:top w:val="nil"/>
              <w:left w:val="nil"/>
              <w:bottom w:val="nil"/>
              <w:right w:val="nil"/>
            </w:tcBorders>
            <w:vAlign w:val="bottom"/>
          </w:tcPr>
          <w:p w:rsidR="00792991" w:rsidRPr="006E6CB5" w:rsidRDefault="00792991" w:rsidP="00267EF5">
            <w:pPr>
              <w:jc w:val="right"/>
              <w:rPr>
                <w:rFonts w:ascii="Arial" w:hAnsi="Arial" w:cs="Arial"/>
                <w:b/>
                <w:bCs/>
                <w:color w:val="000000"/>
              </w:rPr>
            </w:pPr>
            <w:r w:rsidRPr="006E6CB5">
              <w:rPr>
                <w:rFonts w:ascii="Arial" w:hAnsi="Arial" w:cs="Arial"/>
                <w:b/>
                <w:bCs/>
                <w:color w:val="000000"/>
              </w:rPr>
              <w:t xml:space="preserve">    </w:t>
            </w:r>
            <w:r w:rsidR="00267EF5">
              <w:rPr>
                <w:rFonts w:ascii="Arial" w:hAnsi="Arial" w:cs="Arial"/>
                <w:b/>
                <w:bCs/>
                <w:color w:val="000000"/>
              </w:rPr>
              <w:t>9.146</w:t>
            </w:r>
            <w:r w:rsidRPr="006E6CB5">
              <w:rPr>
                <w:rFonts w:ascii="Arial" w:hAnsi="Arial" w:cs="Arial"/>
                <w:b/>
                <w:bCs/>
                <w:color w:val="000000"/>
              </w:rPr>
              <w:t xml:space="preserve"> </w:t>
            </w:r>
          </w:p>
        </w:tc>
        <w:tc>
          <w:tcPr>
            <w:tcW w:w="1710" w:type="dxa"/>
            <w:tcBorders>
              <w:top w:val="nil"/>
              <w:left w:val="nil"/>
              <w:bottom w:val="nil"/>
              <w:right w:val="nil"/>
            </w:tcBorders>
            <w:vAlign w:val="bottom"/>
          </w:tcPr>
          <w:p w:rsidR="00792991" w:rsidRPr="006E6CB5" w:rsidRDefault="00292B21" w:rsidP="00292B21">
            <w:pPr>
              <w:autoSpaceDE w:val="0"/>
              <w:autoSpaceDN w:val="0"/>
              <w:adjustRightInd w:val="0"/>
              <w:spacing w:line="230" w:lineRule="auto"/>
              <w:jc w:val="right"/>
              <w:rPr>
                <w:rFonts w:ascii="Arial" w:hAnsi="Arial" w:cs="Arial"/>
                <w:bCs/>
                <w:color w:val="000000"/>
              </w:rPr>
            </w:pPr>
            <w:r>
              <w:rPr>
                <w:rFonts w:ascii="Arial" w:hAnsi="Arial" w:cs="Arial"/>
                <w:bCs/>
                <w:color w:val="000000"/>
              </w:rPr>
              <w:t>8.561</w:t>
            </w:r>
          </w:p>
        </w:tc>
      </w:tr>
      <w:tr w:rsidR="00792991" w:rsidRPr="00727376" w:rsidTr="00121AF9">
        <w:trPr>
          <w:trHeight w:val="113"/>
        </w:trPr>
        <w:tc>
          <w:tcPr>
            <w:tcW w:w="6030" w:type="dxa"/>
            <w:tcBorders>
              <w:top w:val="nil"/>
              <w:left w:val="nil"/>
              <w:bottom w:val="nil"/>
              <w:right w:val="nil"/>
            </w:tcBorders>
            <w:vAlign w:val="bottom"/>
          </w:tcPr>
          <w:p w:rsidR="00792991" w:rsidRPr="006E6CB5" w:rsidRDefault="0079299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 DİBS faiz gelirleri</w:t>
            </w:r>
          </w:p>
        </w:tc>
        <w:tc>
          <w:tcPr>
            <w:tcW w:w="1710" w:type="dxa"/>
            <w:tcBorders>
              <w:top w:val="nil"/>
              <w:left w:val="nil"/>
              <w:bottom w:val="nil"/>
              <w:right w:val="nil"/>
            </w:tcBorders>
            <w:vAlign w:val="bottom"/>
          </w:tcPr>
          <w:p w:rsidR="00792991" w:rsidRPr="006E6CB5" w:rsidRDefault="00792991" w:rsidP="00267EF5">
            <w:pPr>
              <w:jc w:val="right"/>
              <w:rPr>
                <w:rFonts w:ascii="Arial" w:hAnsi="Arial" w:cs="Arial"/>
                <w:b/>
                <w:bCs/>
                <w:color w:val="000000"/>
              </w:rPr>
            </w:pPr>
            <w:r w:rsidRPr="006E6CB5">
              <w:rPr>
                <w:rFonts w:ascii="Arial" w:hAnsi="Arial" w:cs="Arial"/>
                <w:b/>
                <w:bCs/>
                <w:color w:val="000000"/>
              </w:rPr>
              <w:t xml:space="preserve">     </w:t>
            </w:r>
            <w:r w:rsidR="00267EF5">
              <w:rPr>
                <w:rFonts w:ascii="Arial" w:hAnsi="Arial" w:cs="Arial"/>
                <w:b/>
                <w:bCs/>
                <w:color w:val="000000"/>
              </w:rPr>
              <w:t>-</w:t>
            </w:r>
            <w:r w:rsidRPr="006E6CB5">
              <w:rPr>
                <w:rFonts w:ascii="Arial" w:hAnsi="Arial" w:cs="Arial"/>
                <w:b/>
                <w:bCs/>
                <w:color w:val="000000"/>
              </w:rPr>
              <w:t xml:space="preserve"> </w:t>
            </w:r>
          </w:p>
        </w:tc>
        <w:tc>
          <w:tcPr>
            <w:tcW w:w="1710" w:type="dxa"/>
            <w:tcBorders>
              <w:top w:val="nil"/>
              <w:left w:val="nil"/>
              <w:bottom w:val="nil"/>
              <w:right w:val="nil"/>
            </w:tcBorders>
            <w:vAlign w:val="bottom"/>
          </w:tcPr>
          <w:p w:rsidR="00792991" w:rsidRPr="006E6CB5" w:rsidRDefault="00292B21" w:rsidP="009F1C23">
            <w:pPr>
              <w:autoSpaceDE w:val="0"/>
              <w:autoSpaceDN w:val="0"/>
              <w:adjustRightInd w:val="0"/>
              <w:spacing w:line="230" w:lineRule="auto"/>
              <w:jc w:val="right"/>
              <w:rPr>
                <w:rFonts w:ascii="Arial" w:hAnsi="Arial" w:cs="Arial"/>
                <w:bCs/>
                <w:color w:val="000000"/>
              </w:rPr>
            </w:pPr>
            <w:r>
              <w:rPr>
                <w:rFonts w:ascii="Arial" w:hAnsi="Arial" w:cs="Arial"/>
                <w:bCs/>
                <w:color w:val="000000"/>
              </w:rPr>
              <w:t>2.447</w:t>
            </w:r>
          </w:p>
        </w:tc>
      </w:tr>
      <w:tr w:rsidR="00792991" w:rsidRPr="00727376" w:rsidTr="00121AF9">
        <w:trPr>
          <w:trHeight w:val="113"/>
        </w:trPr>
        <w:tc>
          <w:tcPr>
            <w:tcW w:w="6030" w:type="dxa"/>
            <w:tcBorders>
              <w:top w:val="nil"/>
              <w:left w:val="nil"/>
              <w:bottom w:val="nil"/>
              <w:right w:val="nil"/>
            </w:tcBorders>
            <w:vAlign w:val="bottom"/>
          </w:tcPr>
          <w:p w:rsidR="00792991" w:rsidRPr="006E6CB5" w:rsidRDefault="0079299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Finansal varlıklar reeskont geliri</w:t>
            </w:r>
          </w:p>
        </w:tc>
        <w:tc>
          <w:tcPr>
            <w:tcW w:w="1710" w:type="dxa"/>
            <w:tcBorders>
              <w:top w:val="nil"/>
              <w:left w:val="nil"/>
              <w:bottom w:val="nil"/>
              <w:right w:val="nil"/>
            </w:tcBorders>
            <w:vAlign w:val="bottom"/>
          </w:tcPr>
          <w:p w:rsidR="00792991" w:rsidRPr="006E6CB5" w:rsidRDefault="00792991" w:rsidP="00267EF5">
            <w:pPr>
              <w:jc w:val="right"/>
              <w:rPr>
                <w:rFonts w:ascii="Arial" w:hAnsi="Arial" w:cs="Arial"/>
                <w:b/>
                <w:bCs/>
                <w:color w:val="000000"/>
              </w:rPr>
            </w:pPr>
            <w:r w:rsidRPr="006E6CB5">
              <w:rPr>
                <w:rFonts w:ascii="Arial" w:hAnsi="Arial" w:cs="Arial"/>
                <w:b/>
                <w:bCs/>
                <w:color w:val="000000"/>
              </w:rPr>
              <w:t xml:space="preserve">      </w:t>
            </w:r>
            <w:r w:rsidR="00267EF5">
              <w:rPr>
                <w:rFonts w:ascii="Arial" w:hAnsi="Arial" w:cs="Arial"/>
                <w:b/>
                <w:bCs/>
                <w:color w:val="000000"/>
              </w:rPr>
              <w:t>1.434</w:t>
            </w:r>
            <w:r w:rsidRPr="006E6CB5">
              <w:rPr>
                <w:rFonts w:ascii="Arial" w:hAnsi="Arial" w:cs="Arial"/>
                <w:b/>
                <w:bCs/>
                <w:color w:val="000000"/>
              </w:rPr>
              <w:t xml:space="preserve"> </w:t>
            </w:r>
          </w:p>
        </w:tc>
        <w:tc>
          <w:tcPr>
            <w:tcW w:w="1710" w:type="dxa"/>
            <w:tcBorders>
              <w:top w:val="nil"/>
              <w:left w:val="nil"/>
              <w:bottom w:val="nil"/>
              <w:right w:val="nil"/>
            </w:tcBorders>
            <w:vAlign w:val="bottom"/>
          </w:tcPr>
          <w:p w:rsidR="00792991" w:rsidRPr="006E6CB5" w:rsidRDefault="00292B21" w:rsidP="009F1C23">
            <w:pPr>
              <w:autoSpaceDE w:val="0"/>
              <w:autoSpaceDN w:val="0"/>
              <w:adjustRightInd w:val="0"/>
              <w:spacing w:line="230" w:lineRule="auto"/>
              <w:jc w:val="right"/>
              <w:rPr>
                <w:rFonts w:ascii="Arial" w:hAnsi="Arial" w:cs="Arial"/>
                <w:bCs/>
                <w:color w:val="000000"/>
              </w:rPr>
            </w:pPr>
            <w:r>
              <w:rPr>
                <w:rFonts w:ascii="Arial" w:hAnsi="Arial" w:cs="Arial"/>
                <w:bCs/>
                <w:color w:val="000000"/>
              </w:rPr>
              <w:t>14</w:t>
            </w:r>
          </w:p>
        </w:tc>
      </w:tr>
      <w:tr w:rsidR="00792991" w:rsidRPr="00727376" w:rsidTr="00121AF9">
        <w:trPr>
          <w:trHeight w:val="113"/>
        </w:trPr>
        <w:tc>
          <w:tcPr>
            <w:tcW w:w="6030" w:type="dxa"/>
            <w:tcBorders>
              <w:top w:val="nil"/>
              <w:left w:val="nil"/>
              <w:bottom w:val="nil"/>
              <w:right w:val="nil"/>
            </w:tcBorders>
            <w:vAlign w:val="bottom"/>
          </w:tcPr>
          <w:p w:rsidR="00792991" w:rsidRPr="006E6CB5" w:rsidRDefault="0079299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Menkul kıymet alım satım karı</w:t>
            </w:r>
          </w:p>
        </w:tc>
        <w:tc>
          <w:tcPr>
            <w:tcW w:w="1710" w:type="dxa"/>
            <w:tcBorders>
              <w:top w:val="nil"/>
              <w:left w:val="nil"/>
              <w:bottom w:val="nil"/>
              <w:right w:val="nil"/>
            </w:tcBorders>
            <w:vAlign w:val="bottom"/>
          </w:tcPr>
          <w:p w:rsidR="00792991" w:rsidRPr="009F1C23" w:rsidRDefault="00792991" w:rsidP="00267EF5">
            <w:pPr>
              <w:jc w:val="right"/>
              <w:rPr>
                <w:rFonts w:ascii="Arial" w:hAnsi="Arial" w:cs="Arial"/>
                <w:b/>
                <w:bCs/>
                <w:color w:val="000000"/>
              </w:rPr>
            </w:pPr>
            <w:r w:rsidRPr="009F1C23">
              <w:rPr>
                <w:rFonts w:ascii="Arial" w:hAnsi="Arial" w:cs="Arial"/>
                <w:b/>
                <w:bCs/>
                <w:color w:val="000000"/>
              </w:rPr>
              <w:t xml:space="preserve">            </w:t>
            </w:r>
            <w:r w:rsidR="00267EF5">
              <w:rPr>
                <w:rFonts w:ascii="Arial" w:hAnsi="Arial" w:cs="Arial"/>
                <w:b/>
                <w:bCs/>
                <w:color w:val="000000"/>
              </w:rPr>
              <w:t>302</w:t>
            </w:r>
          </w:p>
        </w:tc>
        <w:tc>
          <w:tcPr>
            <w:tcW w:w="1710" w:type="dxa"/>
            <w:tcBorders>
              <w:top w:val="nil"/>
              <w:left w:val="nil"/>
              <w:bottom w:val="nil"/>
              <w:right w:val="nil"/>
            </w:tcBorders>
            <w:vAlign w:val="bottom"/>
          </w:tcPr>
          <w:p w:rsidR="00792991" w:rsidRPr="009F1C23" w:rsidRDefault="00292B21" w:rsidP="009F1C23">
            <w:pPr>
              <w:autoSpaceDE w:val="0"/>
              <w:autoSpaceDN w:val="0"/>
              <w:adjustRightInd w:val="0"/>
              <w:spacing w:line="230" w:lineRule="auto"/>
              <w:jc w:val="right"/>
              <w:rPr>
                <w:rFonts w:ascii="Arial" w:hAnsi="Arial" w:cs="Arial"/>
                <w:bCs/>
                <w:color w:val="000000"/>
              </w:rPr>
            </w:pPr>
            <w:r>
              <w:rPr>
                <w:rFonts w:ascii="Arial" w:hAnsi="Arial" w:cs="Arial"/>
                <w:bCs/>
                <w:color w:val="000000"/>
              </w:rPr>
              <w:t>1.254</w:t>
            </w:r>
          </w:p>
        </w:tc>
      </w:tr>
      <w:tr w:rsidR="00792991" w:rsidRPr="00727376" w:rsidTr="00121AF9">
        <w:trPr>
          <w:trHeight w:val="113"/>
        </w:trPr>
        <w:tc>
          <w:tcPr>
            <w:tcW w:w="6030" w:type="dxa"/>
            <w:tcBorders>
              <w:top w:val="nil"/>
              <w:left w:val="nil"/>
              <w:bottom w:val="nil"/>
              <w:right w:val="nil"/>
            </w:tcBorders>
            <w:vAlign w:val="bottom"/>
          </w:tcPr>
          <w:p w:rsidR="00792991" w:rsidRPr="006E6CB5" w:rsidRDefault="0079299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Diğer</w:t>
            </w:r>
          </w:p>
        </w:tc>
        <w:tc>
          <w:tcPr>
            <w:tcW w:w="1710" w:type="dxa"/>
            <w:tcBorders>
              <w:top w:val="nil"/>
              <w:left w:val="nil"/>
              <w:bottom w:val="nil"/>
              <w:right w:val="nil"/>
            </w:tcBorders>
            <w:vAlign w:val="bottom"/>
          </w:tcPr>
          <w:p w:rsidR="00792991" w:rsidRPr="000B6AEB" w:rsidRDefault="00792991" w:rsidP="00267EF5">
            <w:pPr>
              <w:jc w:val="right"/>
              <w:rPr>
                <w:rFonts w:ascii="Arial" w:hAnsi="Arial" w:cs="Arial"/>
                <w:b/>
                <w:bCs/>
                <w:color w:val="000000"/>
                <w:highlight w:val="yellow"/>
              </w:rPr>
            </w:pPr>
            <w:r w:rsidRPr="00155F70">
              <w:rPr>
                <w:rFonts w:ascii="Arial" w:hAnsi="Arial" w:cs="Arial"/>
                <w:b/>
                <w:bCs/>
                <w:color w:val="000000"/>
              </w:rPr>
              <w:t xml:space="preserve">   </w:t>
            </w:r>
            <w:r w:rsidR="00267EF5">
              <w:rPr>
                <w:rFonts w:ascii="Arial" w:hAnsi="Arial" w:cs="Arial"/>
                <w:b/>
                <w:bCs/>
                <w:color w:val="000000"/>
              </w:rPr>
              <w:t>673</w:t>
            </w:r>
            <w:r w:rsidRPr="00155F70">
              <w:rPr>
                <w:rFonts w:ascii="Arial" w:hAnsi="Arial" w:cs="Arial"/>
                <w:b/>
                <w:bCs/>
                <w:color w:val="000000"/>
              </w:rPr>
              <w:t xml:space="preserve"> </w:t>
            </w:r>
          </w:p>
        </w:tc>
        <w:tc>
          <w:tcPr>
            <w:tcW w:w="1710" w:type="dxa"/>
            <w:tcBorders>
              <w:top w:val="nil"/>
              <w:left w:val="nil"/>
              <w:bottom w:val="nil"/>
              <w:right w:val="nil"/>
            </w:tcBorders>
            <w:vAlign w:val="bottom"/>
          </w:tcPr>
          <w:p w:rsidR="00792991" w:rsidRPr="006E6CB5" w:rsidRDefault="00792991" w:rsidP="009F1C23">
            <w:pPr>
              <w:autoSpaceDE w:val="0"/>
              <w:autoSpaceDN w:val="0"/>
              <w:adjustRightInd w:val="0"/>
              <w:spacing w:line="230" w:lineRule="auto"/>
              <w:jc w:val="right"/>
              <w:rPr>
                <w:rFonts w:ascii="Arial" w:hAnsi="Arial" w:cs="Arial"/>
                <w:bCs/>
                <w:color w:val="000000"/>
              </w:rPr>
            </w:pPr>
          </w:p>
        </w:tc>
      </w:tr>
      <w:tr w:rsidR="00792991" w:rsidRPr="00727376" w:rsidTr="009F1C23">
        <w:trPr>
          <w:trHeight w:val="113"/>
        </w:trPr>
        <w:tc>
          <w:tcPr>
            <w:tcW w:w="6030" w:type="dxa"/>
            <w:tcBorders>
              <w:top w:val="nil"/>
              <w:left w:val="nil"/>
              <w:bottom w:val="nil"/>
              <w:right w:val="nil"/>
            </w:tcBorders>
          </w:tcPr>
          <w:p w:rsidR="00792991" w:rsidRPr="006E6CB5" w:rsidRDefault="00792991" w:rsidP="003F4499">
            <w:pPr>
              <w:autoSpaceDE w:val="0"/>
              <w:autoSpaceDN w:val="0"/>
              <w:adjustRightInd w:val="0"/>
              <w:spacing w:line="230" w:lineRule="auto"/>
              <w:ind w:hanging="18"/>
              <w:jc w:val="right"/>
              <w:rPr>
                <w:rFonts w:ascii="Arial" w:hAnsi="Arial" w:cs="Arial"/>
                <w:color w:val="000000"/>
              </w:rPr>
            </w:pPr>
          </w:p>
        </w:tc>
        <w:tc>
          <w:tcPr>
            <w:tcW w:w="1710" w:type="dxa"/>
            <w:tcBorders>
              <w:top w:val="nil"/>
              <w:left w:val="nil"/>
              <w:bottom w:val="nil"/>
              <w:right w:val="nil"/>
            </w:tcBorders>
            <w:vAlign w:val="bottom"/>
          </w:tcPr>
          <w:p w:rsidR="00792991" w:rsidRPr="006E6CB5" w:rsidRDefault="00792991" w:rsidP="009F1C23">
            <w:pPr>
              <w:autoSpaceDE w:val="0"/>
              <w:autoSpaceDN w:val="0"/>
              <w:adjustRightInd w:val="0"/>
              <w:spacing w:line="230" w:lineRule="auto"/>
              <w:jc w:val="right"/>
              <w:rPr>
                <w:rFonts w:ascii="Arial" w:hAnsi="Arial" w:cs="Arial"/>
                <w:color w:val="000000"/>
              </w:rPr>
            </w:pPr>
          </w:p>
        </w:tc>
        <w:tc>
          <w:tcPr>
            <w:tcW w:w="1710" w:type="dxa"/>
            <w:tcBorders>
              <w:top w:val="nil"/>
              <w:left w:val="nil"/>
              <w:bottom w:val="nil"/>
              <w:right w:val="nil"/>
            </w:tcBorders>
            <w:vAlign w:val="bottom"/>
          </w:tcPr>
          <w:p w:rsidR="00792991" w:rsidRPr="006E6CB5" w:rsidRDefault="00792991" w:rsidP="009F1C23">
            <w:pPr>
              <w:autoSpaceDE w:val="0"/>
              <w:autoSpaceDN w:val="0"/>
              <w:adjustRightInd w:val="0"/>
              <w:spacing w:line="230" w:lineRule="auto"/>
              <w:jc w:val="right"/>
              <w:rPr>
                <w:rFonts w:ascii="Arial" w:hAnsi="Arial" w:cs="Arial"/>
                <w:color w:val="000000"/>
              </w:rPr>
            </w:pPr>
          </w:p>
        </w:tc>
      </w:tr>
      <w:tr w:rsidR="00792991" w:rsidRPr="00727376" w:rsidTr="009F1C23">
        <w:trPr>
          <w:trHeight w:val="113"/>
        </w:trPr>
        <w:tc>
          <w:tcPr>
            <w:tcW w:w="6030" w:type="dxa"/>
            <w:tcBorders>
              <w:top w:val="single" w:sz="6" w:space="0" w:color="auto"/>
              <w:left w:val="nil"/>
              <w:bottom w:val="double" w:sz="6" w:space="0" w:color="auto"/>
              <w:right w:val="nil"/>
            </w:tcBorders>
          </w:tcPr>
          <w:p w:rsidR="00792991" w:rsidRPr="006E6CB5" w:rsidRDefault="00792991" w:rsidP="003F4499">
            <w:pPr>
              <w:autoSpaceDE w:val="0"/>
              <w:autoSpaceDN w:val="0"/>
              <w:adjustRightInd w:val="0"/>
              <w:spacing w:line="230" w:lineRule="auto"/>
              <w:ind w:hanging="18"/>
              <w:rPr>
                <w:rFonts w:ascii="Arial" w:hAnsi="Arial" w:cs="Arial"/>
                <w:color w:val="000000"/>
              </w:rPr>
            </w:pPr>
            <w:r w:rsidRPr="006E6CB5">
              <w:rPr>
                <w:rFonts w:ascii="Arial" w:hAnsi="Arial" w:cs="Arial"/>
                <w:b/>
                <w:color w:val="000000"/>
              </w:rPr>
              <w:t>Toplam</w:t>
            </w:r>
          </w:p>
        </w:tc>
        <w:tc>
          <w:tcPr>
            <w:tcW w:w="1710" w:type="dxa"/>
            <w:tcBorders>
              <w:top w:val="single" w:sz="6" w:space="0" w:color="auto"/>
              <w:left w:val="nil"/>
              <w:bottom w:val="double" w:sz="6" w:space="0" w:color="auto"/>
              <w:right w:val="nil"/>
            </w:tcBorders>
            <w:vAlign w:val="bottom"/>
          </w:tcPr>
          <w:p w:rsidR="00792991" w:rsidRPr="006E6CB5" w:rsidRDefault="00792991" w:rsidP="00267EF5">
            <w:pPr>
              <w:jc w:val="right"/>
              <w:rPr>
                <w:rFonts w:ascii="Arial" w:hAnsi="Arial" w:cs="Arial"/>
                <w:b/>
                <w:bCs/>
                <w:color w:val="000000"/>
              </w:rPr>
            </w:pPr>
            <w:r w:rsidRPr="006E6CB5">
              <w:rPr>
                <w:rFonts w:ascii="Arial" w:hAnsi="Arial" w:cs="Arial"/>
                <w:b/>
                <w:bCs/>
                <w:color w:val="000000"/>
              </w:rPr>
              <w:t xml:space="preserve">   28.</w:t>
            </w:r>
            <w:r w:rsidR="00267EF5">
              <w:rPr>
                <w:rFonts w:ascii="Arial" w:hAnsi="Arial" w:cs="Arial"/>
                <w:b/>
                <w:bCs/>
                <w:color w:val="000000"/>
              </w:rPr>
              <w:t>499</w:t>
            </w:r>
            <w:r w:rsidRPr="006E6CB5">
              <w:rPr>
                <w:rFonts w:ascii="Arial" w:hAnsi="Arial" w:cs="Arial"/>
                <w:b/>
                <w:bCs/>
                <w:color w:val="000000"/>
              </w:rPr>
              <w:t xml:space="preserve"> </w:t>
            </w:r>
          </w:p>
        </w:tc>
        <w:tc>
          <w:tcPr>
            <w:tcW w:w="1710" w:type="dxa"/>
            <w:tcBorders>
              <w:top w:val="single" w:sz="6" w:space="0" w:color="auto"/>
              <w:left w:val="nil"/>
              <w:bottom w:val="double" w:sz="6" w:space="0" w:color="auto"/>
              <w:right w:val="nil"/>
            </w:tcBorders>
            <w:vAlign w:val="bottom"/>
          </w:tcPr>
          <w:p w:rsidR="00792991" w:rsidRPr="006E6CB5" w:rsidRDefault="00292B21" w:rsidP="00292B21">
            <w:pPr>
              <w:autoSpaceDE w:val="0"/>
              <w:autoSpaceDN w:val="0"/>
              <w:adjustRightInd w:val="0"/>
              <w:spacing w:line="230" w:lineRule="auto"/>
              <w:jc w:val="right"/>
              <w:rPr>
                <w:rFonts w:ascii="Arial" w:hAnsi="Arial" w:cs="Arial"/>
                <w:bCs/>
                <w:color w:val="000000"/>
              </w:rPr>
            </w:pPr>
            <w:r>
              <w:rPr>
                <w:rFonts w:ascii="Arial" w:hAnsi="Arial" w:cs="Arial"/>
                <w:bCs/>
                <w:color w:val="000000"/>
              </w:rPr>
              <w:t>22</w:t>
            </w:r>
            <w:r w:rsidR="00792991" w:rsidRPr="006E6CB5">
              <w:rPr>
                <w:rFonts w:ascii="Arial" w:hAnsi="Arial" w:cs="Arial"/>
                <w:bCs/>
                <w:color w:val="000000"/>
              </w:rPr>
              <w:t>.</w:t>
            </w:r>
            <w:r>
              <w:rPr>
                <w:rFonts w:ascii="Arial" w:hAnsi="Arial" w:cs="Arial"/>
                <w:bCs/>
                <w:color w:val="000000"/>
              </w:rPr>
              <w:t>037</w:t>
            </w:r>
          </w:p>
        </w:tc>
      </w:tr>
    </w:tbl>
    <w:p w:rsidR="00D322FB" w:rsidRPr="00E86F85" w:rsidRDefault="00D322FB">
      <w:pPr>
        <w:rPr>
          <w:rFonts w:ascii="Arial" w:hAnsi="Arial" w:cs="Arial"/>
          <w:b/>
          <w:highlight w:val="yellow"/>
          <w:lang w:val="tr-TR"/>
        </w:rPr>
      </w:pP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t>20.</w:t>
      </w:r>
      <w:r w:rsidRPr="00284495">
        <w:rPr>
          <w:rFonts w:ascii="Arial" w:hAnsi="Arial" w:cs="Arial"/>
          <w:color w:val="auto"/>
          <w:sz w:val="20"/>
          <w:lang w:val="tr-TR"/>
        </w:rPr>
        <w:tab/>
        <w:t>Esas faaliyetlerden diğer giderler</w:t>
      </w:r>
    </w:p>
    <w:p w:rsidR="00D322FB" w:rsidRPr="00E03630" w:rsidRDefault="00D322FB" w:rsidP="0099593D">
      <w:pPr>
        <w:tabs>
          <w:tab w:val="right" w:pos="6660"/>
          <w:tab w:val="right" w:pos="8640"/>
        </w:tabs>
        <w:ind w:left="567" w:hanging="567"/>
        <w:rPr>
          <w:rFonts w:ascii="Arial" w:hAnsi="Arial" w:cs="Arial"/>
          <w:b/>
          <w:sz w:val="18"/>
          <w:lang w:val="tr-TR"/>
        </w:rPr>
      </w:pPr>
    </w:p>
    <w:p w:rsidR="00D322FB" w:rsidRPr="00DF3B20" w:rsidRDefault="002B063A" w:rsidP="00E03630">
      <w:pPr>
        <w:ind w:right="-109"/>
        <w:rPr>
          <w:rFonts w:ascii="Arial" w:hAnsi="Arial" w:cs="Arial"/>
          <w:lang w:val="tr-TR"/>
        </w:rPr>
      </w:pPr>
      <w:r w:rsidRPr="00DF3B20">
        <w:rPr>
          <w:rFonts w:ascii="Arial" w:hAnsi="Arial" w:cs="Arial"/>
          <w:lang w:val="tr-TR"/>
        </w:rPr>
        <w:t xml:space="preserve">1 Ocak – 31 </w:t>
      </w:r>
      <w:r>
        <w:rPr>
          <w:rFonts w:ascii="Arial" w:hAnsi="Arial" w:cs="Arial"/>
          <w:lang w:val="tr-TR"/>
        </w:rPr>
        <w:t>Mart</w:t>
      </w:r>
      <w:r w:rsidRPr="00DF3B20">
        <w:rPr>
          <w:rFonts w:ascii="Arial" w:hAnsi="Arial" w:cs="Arial"/>
          <w:lang w:val="tr-TR"/>
        </w:rPr>
        <w:t xml:space="preserve"> 201</w:t>
      </w:r>
      <w:r>
        <w:rPr>
          <w:rFonts w:ascii="Arial" w:hAnsi="Arial" w:cs="Arial"/>
          <w:lang w:val="tr-TR"/>
        </w:rPr>
        <w:t>5</w:t>
      </w:r>
      <w:r w:rsidRPr="00DF3B20">
        <w:rPr>
          <w:rFonts w:ascii="Arial" w:hAnsi="Arial" w:cs="Arial"/>
          <w:lang w:val="tr-TR"/>
        </w:rPr>
        <w:t xml:space="preserve"> ve 201</w:t>
      </w:r>
      <w:r>
        <w:rPr>
          <w:rFonts w:ascii="Arial" w:hAnsi="Arial" w:cs="Arial"/>
          <w:lang w:val="tr-TR"/>
        </w:rPr>
        <w:t>4</w:t>
      </w:r>
      <w:r w:rsidRPr="00DF3B20">
        <w:rPr>
          <w:rFonts w:ascii="Arial" w:hAnsi="Arial" w:cs="Arial"/>
          <w:lang w:val="tr-TR"/>
        </w:rPr>
        <w:t xml:space="preserve"> </w:t>
      </w:r>
      <w:r w:rsidR="00D322FB" w:rsidRPr="00E03630">
        <w:rPr>
          <w:rFonts w:ascii="Arial" w:hAnsi="Arial" w:cs="Arial"/>
          <w:lang w:val="tr-TR"/>
        </w:rPr>
        <w:t xml:space="preserve"> dönemlerine ait esas faaliyetlerden diğer giderlerin detayı aşağıdaki gibidir:</w:t>
      </w:r>
    </w:p>
    <w:p w:rsidR="00D322FB" w:rsidRPr="00727376" w:rsidRDefault="00D322FB" w:rsidP="0099593D">
      <w:pPr>
        <w:tabs>
          <w:tab w:val="right" w:pos="6660"/>
          <w:tab w:val="right" w:pos="8640"/>
        </w:tabs>
        <w:ind w:left="567" w:hanging="567"/>
        <w:rPr>
          <w:rFonts w:ascii="Arial" w:hAnsi="Arial" w:cs="Arial"/>
          <w:b/>
          <w:sz w:val="18"/>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792991" w:rsidRPr="00727376" w:rsidTr="00E4669C">
        <w:trPr>
          <w:trHeight w:val="113"/>
        </w:trPr>
        <w:tc>
          <w:tcPr>
            <w:tcW w:w="6030" w:type="dxa"/>
            <w:tcBorders>
              <w:top w:val="single" w:sz="6" w:space="0" w:color="auto"/>
              <w:left w:val="nil"/>
              <w:bottom w:val="single" w:sz="6" w:space="0" w:color="auto"/>
              <w:right w:val="nil"/>
            </w:tcBorders>
          </w:tcPr>
          <w:p w:rsidR="00792991" w:rsidRPr="00842630" w:rsidRDefault="00792991" w:rsidP="006B2665">
            <w:pPr>
              <w:autoSpaceDE w:val="0"/>
              <w:autoSpaceDN w:val="0"/>
              <w:adjustRightInd w:val="0"/>
              <w:ind w:left="-108"/>
              <w:rPr>
                <w:rFonts w:ascii="Arial" w:hAnsi="Arial" w:cs="Arial"/>
                <w:b/>
                <w:bCs/>
                <w:color w:val="000000"/>
                <w:highlight w:val="yellow"/>
                <w:lang w:val="tr-TR"/>
              </w:rPr>
            </w:pPr>
          </w:p>
        </w:tc>
        <w:tc>
          <w:tcPr>
            <w:tcW w:w="1710" w:type="dxa"/>
            <w:tcBorders>
              <w:top w:val="single" w:sz="6" w:space="0" w:color="auto"/>
              <w:left w:val="nil"/>
              <w:bottom w:val="single" w:sz="6" w:space="0" w:color="auto"/>
              <w:right w:val="nil"/>
            </w:tcBorders>
            <w:vAlign w:val="bottom"/>
          </w:tcPr>
          <w:p w:rsidR="00792991" w:rsidRPr="00236E9F" w:rsidRDefault="00792991" w:rsidP="00B6520D">
            <w:pPr>
              <w:autoSpaceDE w:val="0"/>
              <w:autoSpaceDN w:val="0"/>
              <w:adjustRightInd w:val="0"/>
              <w:jc w:val="right"/>
              <w:rPr>
                <w:rFonts w:ascii="Arial" w:hAnsi="Arial" w:cs="Arial"/>
                <w:b/>
                <w:bCs/>
                <w:color w:val="000000"/>
              </w:rPr>
            </w:pPr>
            <w:r w:rsidRPr="00236E9F">
              <w:rPr>
                <w:rFonts w:ascii="Arial" w:hAnsi="Arial" w:cs="Arial"/>
                <w:b/>
                <w:bCs/>
                <w:color w:val="000000"/>
              </w:rPr>
              <w:t>1 Ocak -</w:t>
            </w:r>
          </w:p>
          <w:p w:rsidR="00792991" w:rsidRPr="00236E9F" w:rsidRDefault="00792991" w:rsidP="00B6520D">
            <w:pPr>
              <w:autoSpaceDE w:val="0"/>
              <w:autoSpaceDN w:val="0"/>
              <w:adjustRightInd w:val="0"/>
              <w:jc w:val="right"/>
              <w:rPr>
                <w:rFonts w:ascii="Arial" w:hAnsi="Arial" w:cs="Arial"/>
                <w:b/>
                <w:bCs/>
                <w:color w:val="000000"/>
              </w:rPr>
            </w:pPr>
            <w:r w:rsidRPr="00236E9F">
              <w:rPr>
                <w:rFonts w:ascii="Arial" w:hAnsi="Arial" w:cs="Arial"/>
                <w:b/>
                <w:bCs/>
                <w:color w:val="000000"/>
              </w:rPr>
              <w:t xml:space="preserve">31 </w:t>
            </w:r>
            <w:r>
              <w:rPr>
                <w:rFonts w:ascii="Arial" w:hAnsi="Arial" w:cs="Arial"/>
                <w:b/>
                <w:bCs/>
                <w:color w:val="000000"/>
              </w:rPr>
              <w:t>Mart</w:t>
            </w:r>
            <w:r w:rsidRPr="00236E9F">
              <w:rPr>
                <w:rFonts w:ascii="Arial" w:hAnsi="Arial" w:cs="Arial"/>
                <w:b/>
                <w:bCs/>
                <w:color w:val="000000"/>
              </w:rPr>
              <w:t xml:space="preserve"> 201</w:t>
            </w:r>
            <w:r>
              <w:rPr>
                <w:rFonts w:ascii="Arial" w:hAnsi="Arial" w:cs="Arial"/>
                <w:b/>
                <w:bCs/>
                <w:color w:val="000000"/>
              </w:rPr>
              <w:t>5</w:t>
            </w:r>
          </w:p>
        </w:tc>
        <w:tc>
          <w:tcPr>
            <w:tcW w:w="1710" w:type="dxa"/>
            <w:tcBorders>
              <w:top w:val="single" w:sz="6" w:space="0" w:color="auto"/>
              <w:left w:val="nil"/>
              <w:bottom w:val="single" w:sz="6" w:space="0" w:color="auto"/>
              <w:right w:val="nil"/>
            </w:tcBorders>
            <w:vAlign w:val="bottom"/>
          </w:tcPr>
          <w:p w:rsidR="00792991" w:rsidRPr="00236E9F" w:rsidRDefault="00792991" w:rsidP="00B6520D">
            <w:pPr>
              <w:autoSpaceDE w:val="0"/>
              <w:autoSpaceDN w:val="0"/>
              <w:adjustRightInd w:val="0"/>
              <w:jc w:val="right"/>
              <w:rPr>
                <w:rFonts w:ascii="Arial" w:hAnsi="Arial" w:cs="Arial"/>
                <w:bCs/>
                <w:color w:val="000000"/>
              </w:rPr>
            </w:pPr>
            <w:r w:rsidRPr="00236E9F">
              <w:rPr>
                <w:rFonts w:ascii="Arial" w:hAnsi="Arial" w:cs="Arial"/>
                <w:bCs/>
                <w:color w:val="000000"/>
              </w:rPr>
              <w:t>1 Ocak -</w:t>
            </w:r>
          </w:p>
          <w:p w:rsidR="00792991" w:rsidRPr="00236E9F" w:rsidRDefault="00792991" w:rsidP="00B6520D">
            <w:pPr>
              <w:autoSpaceDE w:val="0"/>
              <w:autoSpaceDN w:val="0"/>
              <w:adjustRightInd w:val="0"/>
              <w:jc w:val="right"/>
              <w:rPr>
                <w:rFonts w:ascii="Arial" w:hAnsi="Arial" w:cs="Arial"/>
                <w:bCs/>
                <w:color w:val="000000"/>
              </w:rPr>
            </w:pPr>
            <w:r w:rsidRPr="00236E9F">
              <w:rPr>
                <w:rFonts w:ascii="Arial" w:hAnsi="Arial" w:cs="Arial"/>
                <w:bCs/>
                <w:color w:val="000000"/>
              </w:rPr>
              <w:t xml:space="preserve">31 </w:t>
            </w:r>
            <w:r>
              <w:rPr>
                <w:rFonts w:ascii="Arial" w:hAnsi="Arial" w:cs="Arial"/>
                <w:bCs/>
                <w:color w:val="000000"/>
              </w:rPr>
              <w:t>Mart</w:t>
            </w:r>
            <w:r w:rsidRPr="00236E9F">
              <w:rPr>
                <w:rFonts w:ascii="Arial" w:hAnsi="Arial" w:cs="Arial"/>
                <w:bCs/>
                <w:color w:val="000000"/>
              </w:rPr>
              <w:t xml:space="preserve"> 201</w:t>
            </w:r>
            <w:r>
              <w:rPr>
                <w:rFonts w:ascii="Arial" w:hAnsi="Arial" w:cs="Arial"/>
                <w:bCs/>
                <w:color w:val="000000"/>
              </w:rPr>
              <w:t>4</w:t>
            </w:r>
          </w:p>
        </w:tc>
      </w:tr>
      <w:tr w:rsidR="00792991" w:rsidRPr="00727376" w:rsidTr="00E4669C">
        <w:trPr>
          <w:trHeight w:val="113"/>
        </w:trPr>
        <w:tc>
          <w:tcPr>
            <w:tcW w:w="6030" w:type="dxa"/>
            <w:tcBorders>
              <w:top w:val="nil"/>
              <w:left w:val="nil"/>
              <w:bottom w:val="nil"/>
              <w:right w:val="nil"/>
            </w:tcBorders>
          </w:tcPr>
          <w:p w:rsidR="00792991" w:rsidRPr="00727376" w:rsidRDefault="00792991" w:rsidP="006B2665">
            <w:pPr>
              <w:autoSpaceDE w:val="0"/>
              <w:autoSpaceDN w:val="0"/>
              <w:adjustRightInd w:val="0"/>
              <w:ind w:left="-108"/>
              <w:jc w:val="right"/>
              <w:rPr>
                <w:rFonts w:ascii="Arial" w:hAnsi="Arial" w:cs="Arial"/>
                <w:color w:val="000000"/>
                <w:highlight w:val="yellow"/>
              </w:rPr>
            </w:pPr>
          </w:p>
        </w:tc>
        <w:tc>
          <w:tcPr>
            <w:tcW w:w="1710" w:type="dxa"/>
            <w:tcBorders>
              <w:top w:val="nil"/>
              <w:left w:val="nil"/>
              <w:bottom w:val="nil"/>
              <w:right w:val="nil"/>
            </w:tcBorders>
          </w:tcPr>
          <w:p w:rsidR="00792991" w:rsidRPr="00DE50D0" w:rsidRDefault="00792991" w:rsidP="00E83219">
            <w:pPr>
              <w:autoSpaceDE w:val="0"/>
              <w:autoSpaceDN w:val="0"/>
              <w:adjustRightInd w:val="0"/>
              <w:jc w:val="right"/>
              <w:rPr>
                <w:rFonts w:ascii="Arial" w:hAnsi="Arial" w:cs="Arial"/>
                <w:color w:val="000000"/>
              </w:rPr>
            </w:pPr>
          </w:p>
        </w:tc>
        <w:tc>
          <w:tcPr>
            <w:tcW w:w="1710" w:type="dxa"/>
            <w:tcBorders>
              <w:top w:val="nil"/>
              <w:left w:val="nil"/>
              <w:bottom w:val="nil"/>
              <w:right w:val="nil"/>
            </w:tcBorders>
          </w:tcPr>
          <w:p w:rsidR="00792991" w:rsidRPr="00DE50D0" w:rsidRDefault="00792991" w:rsidP="00E83219">
            <w:pPr>
              <w:autoSpaceDE w:val="0"/>
              <w:autoSpaceDN w:val="0"/>
              <w:adjustRightInd w:val="0"/>
              <w:jc w:val="right"/>
              <w:rPr>
                <w:rFonts w:ascii="Arial" w:hAnsi="Arial" w:cs="Arial"/>
                <w:color w:val="000000"/>
              </w:rPr>
            </w:pPr>
          </w:p>
        </w:tc>
      </w:tr>
      <w:tr w:rsidR="00792991" w:rsidRPr="00727376" w:rsidTr="00DE50D0">
        <w:trPr>
          <w:trHeight w:val="113"/>
        </w:trPr>
        <w:tc>
          <w:tcPr>
            <w:tcW w:w="6030" w:type="dxa"/>
            <w:tcBorders>
              <w:top w:val="nil"/>
              <w:left w:val="nil"/>
              <w:bottom w:val="nil"/>
              <w:right w:val="nil"/>
            </w:tcBorders>
          </w:tcPr>
          <w:p w:rsidR="00792991" w:rsidRPr="00DE50D0" w:rsidRDefault="00792991" w:rsidP="003F4499">
            <w:pPr>
              <w:autoSpaceDE w:val="0"/>
              <w:autoSpaceDN w:val="0"/>
              <w:adjustRightInd w:val="0"/>
              <w:ind w:left="-18"/>
              <w:rPr>
                <w:rFonts w:ascii="Arial" w:hAnsi="Arial" w:cs="Arial"/>
                <w:color w:val="000000"/>
              </w:rPr>
            </w:pPr>
            <w:r w:rsidRPr="00DE50D0">
              <w:rPr>
                <w:rFonts w:ascii="Arial" w:hAnsi="Arial" w:cs="Arial"/>
                <w:color w:val="000000"/>
              </w:rPr>
              <w:t>Menkul kıymet alım-satım zararı</w:t>
            </w:r>
          </w:p>
        </w:tc>
        <w:tc>
          <w:tcPr>
            <w:tcW w:w="1710" w:type="dxa"/>
            <w:tcBorders>
              <w:top w:val="nil"/>
              <w:left w:val="nil"/>
              <w:bottom w:val="nil"/>
              <w:right w:val="nil"/>
            </w:tcBorders>
            <w:vAlign w:val="bottom"/>
          </w:tcPr>
          <w:p w:rsidR="00792991" w:rsidRPr="00DE50D0" w:rsidRDefault="00792991" w:rsidP="00DE50D0">
            <w:pPr>
              <w:jc w:val="right"/>
              <w:rPr>
                <w:rFonts w:ascii="Arial" w:hAnsi="Arial" w:cs="Arial"/>
                <w:b/>
                <w:bCs/>
                <w:color w:val="000000"/>
              </w:rPr>
            </w:pPr>
            <w:r w:rsidRPr="00DE50D0">
              <w:rPr>
                <w:rFonts w:ascii="Arial" w:hAnsi="Arial" w:cs="Arial"/>
                <w:b/>
                <w:bCs/>
                <w:color w:val="000000"/>
              </w:rPr>
              <w:t xml:space="preserve">             - </w:t>
            </w:r>
          </w:p>
        </w:tc>
        <w:tc>
          <w:tcPr>
            <w:tcW w:w="1710" w:type="dxa"/>
            <w:tcBorders>
              <w:top w:val="nil"/>
              <w:left w:val="nil"/>
              <w:bottom w:val="nil"/>
              <w:right w:val="nil"/>
            </w:tcBorders>
            <w:vAlign w:val="bottom"/>
          </w:tcPr>
          <w:p w:rsidR="00792991" w:rsidRPr="00DE50D0" w:rsidRDefault="00292B21" w:rsidP="00DE50D0">
            <w:pPr>
              <w:autoSpaceDE w:val="0"/>
              <w:autoSpaceDN w:val="0"/>
              <w:adjustRightInd w:val="0"/>
              <w:jc w:val="right"/>
              <w:rPr>
                <w:rFonts w:ascii="Arial" w:hAnsi="Arial" w:cs="Arial"/>
                <w:bCs/>
                <w:color w:val="000000"/>
              </w:rPr>
            </w:pPr>
            <w:r>
              <w:rPr>
                <w:rFonts w:ascii="Arial" w:hAnsi="Arial" w:cs="Arial"/>
                <w:bCs/>
                <w:color w:val="000000"/>
              </w:rPr>
              <w:t>-</w:t>
            </w:r>
          </w:p>
        </w:tc>
      </w:tr>
      <w:tr w:rsidR="00792991" w:rsidRPr="00727376" w:rsidTr="00DE50D0">
        <w:trPr>
          <w:trHeight w:val="113"/>
        </w:trPr>
        <w:tc>
          <w:tcPr>
            <w:tcW w:w="6030" w:type="dxa"/>
            <w:tcBorders>
              <w:top w:val="nil"/>
              <w:left w:val="nil"/>
              <w:bottom w:val="nil"/>
              <w:right w:val="nil"/>
            </w:tcBorders>
          </w:tcPr>
          <w:p w:rsidR="00792991" w:rsidRPr="00DE50D0" w:rsidRDefault="00792991" w:rsidP="003F4499">
            <w:pPr>
              <w:autoSpaceDE w:val="0"/>
              <w:autoSpaceDN w:val="0"/>
              <w:adjustRightInd w:val="0"/>
              <w:ind w:left="-18"/>
              <w:rPr>
                <w:rFonts w:ascii="Arial" w:hAnsi="Arial" w:cs="Arial"/>
                <w:color w:val="000000"/>
              </w:rPr>
            </w:pPr>
            <w:r w:rsidRPr="00DE50D0">
              <w:rPr>
                <w:rFonts w:ascii="Arial" w:hAnsi="Arial" w:cs="Arial"/>
                <w:color w:val="000000"/>
              </w:rPr>
              <w:t>Finansal varlıklar reeskont gideri</w:t>
            </w:r>
          </w:p>
        </w:tc>
        <w:tc>
          <w:tcPr>
            <w:tcW w:w="1710" w:type="dxa"/>
            <w:tcBorders>
              <w:top w:val="nil"/>
              <w:left w:val="nil"/>
              <w:bottom w:val="nil"/>
              <w:right w:val="nil"/>
            </w:tcBorders>
            <w:vAlign w:val="bottom"/>
          </w:tcPr>
          <w:p w:rsidR="00792991" w:rsidRPr="00DE50D0" w:rsidRDefault="00792991" w:rsidP="00267EF5">
            <w:pPr>
              <w:jc w:val="right"/>
              <w:rPr>
                <w:rFonts w:ascii="Arial" w:hAnsi="Arial" w:cs="Arial"/>
                <w:b/>
                <w:bCs/>
                <w:color w:val="000000"/>
              </w:rPr>
            </w:pPr>
            <w:r w:rsidRPr="00DE50D0">
              <w:rPr>
                <w:rFonts w:ascii="Arial" w:hAnsi="Arial" w:cs="Arial"/>
                <w:b/>
                <w:bCs/>
                <w:color w:val="000000"/>
              </w:rPr>
              <w:t xml:space="preserve">             </w:t>
            </w:r>
            <w:r w:rsidR="00267EF5">
              <w:rPr>
                <w:rFonts w:ascii="Arial" w:hAnsi="Arial" w:cs="Arial"/>
                <w:b/>
                <w:bCs/>
                <w:color w:val="000000"/>
              </w:rPr>
              <w:t>(13)</w:t>
            </w:r>
            <w:r w:rsidRPr="00DE50D0">
              <w:rPr>
                <w:rFonts w:ascii="Arial" w:hAnsi="Arial" w:cs="Arial"/>
                <w:b/>
                <w:bCs/>
                <w:color w:val="000000"/>
              </w:rPr>
              <w:t xml:space="preserve"> </w:t>
            </w:r>
          </w:p>
        </w:tc>
        <w:tc>
          <w:tcPr>
            <w:tcW w:w="1710" w:type="dxa"/>
            <w:tcBorders>
              <w:top w:val="nil"/>
              <w:left w:val="nil"/>
              <w:bottom w:val="nil"/>
              <w:right w:val="nil"/>
            </w:tcBorders>
            <w:vAlign w:val="bottom"/>
          </w:tcPr>
          <w:p w:rsidR="00792991" w:rsidRPr="00DE50D0" w:rsidRDefault="00292B21" w:rsidP="00292B21">
            <w:pPr>
              <w:autoSpaceDE w:val="0"/>
              <w:autoSpaceDN w:val="0"/>
              <w:adjustRightInd w:val="0"/>
              <w:jc w:val="right"/>
              <w:rPr>
                <w:rFonts w:ascii="Arial" w:hAnsi="Arial" w:cs="Arial"/>
                <w:bCs/>
                <w:color w:val="000000"/>
              </w:rPr>
            </w:pPr>
            <w:r>
              <w:rPr>
                <w:rFonts w:ascii="Arial" w:hAnsi="Arial" w:cs="Arial"/>
                <w:bCs/>
                <w:color w:val="000000"/>
              </w:rPr>
              <w:t>(1.543</w:t>
            </w:r>
            <w:r w:rsidR="00792991" w:rsidRPr="00DE50D0">
              <w:rPr>
                <w:rFonts w:ascii="Arial" w:hAnsi="Arial" w:cs="Arial"/>
                <w:bCs/>
                <w:color w:val="000000"/>
              </w:rPr>
              <w:t>)</w:t>
            </w:r>
          </w:p>
        </w:tc>
      </w:tr>
      <w:tr w:rsidR="00792991" w:rsidRPr="00727376" w:rsidTr="00DE50D0">
        <w:trPr>
          <w:trHeight w:val="113"/>
        </w:trPr>
        <w:tc>
          <w:tcPr>
            <w:tcW w:w="6030" w:type="dxa"/>
            <w:tcBorders>
              <w:top w:val="nil"/>
              <w:left w:val="nil"/>
              <w:bottom w:val="nil"/>
              <w:right w:val="nil"/>
            </w:tcBorders>
          </w:tcPr>
          <w:p w:rsidR="00792991" w:rsidRPr="00DE50D0" w:rsidRDefault="00792991" w:rsidP="003F4499">
            <w:pPr>
              <w:autoSpaceDE w:val="0"/>
              <w:autoSpaceDN w:val="0"/>
              <w:adjustRightInd w:val="0"/>
              <w:ind w:left="-18"/>
              <w:rPr>
                <w:rFonts w:ascii="Arial" w:hAnsi="Arial" w:cs="Arial"/>
                <w:color w:val="000000"/>
              </w:rPr>
            </w:pPr>
            <w:r w:rsidRPr="00DE50D0">
              <w:rPr>
                <w:rFonts w:ascii="Arial" w:hAnsi="Arial" w:cs="Arial"/>
                <w:color w:val="000000"/>
              </w:rPr>
              <w:t>Diğer</w:t>
            </w:r>
          </w:p>
        </w:tc>
        <w:tc>
          <w:tcPr>
            <w:tcW w:w="1710" w:type="dxa"/>
            <w:tcBorders>
              <w:top w:val="nil"/>
              <w:left w:val="nil"/>
              <w:bottom w:val="nil"/>
              <w:right w:val="nil"/>
            </w:tcBorders>
            <w:vAlign w:val="bottom"/>
          </w:tcPr>
          <w:p w:rsidR="00792991" w:rsidRPr="00155F70" w:rsidRDefault="00792991" w:rsidP="00267EF5">
            <w:pPr>
              <w:jc w:val="right"/>
              <w:rPr>
                <w:rFonts w:ascii="Arial" w:hAnsi="Arial" w:cs="Arial"/>
                <w:b/>
                <w:bCs/>
                <w:color w:val="000000"/>
              </w:rPr>
            </w:pPr>
            <w:r w:rsidRPr="00155F70">
              <w:rPr>
                <w:rFonts w:ascii="Arial" w:hAnsi="Arial" w:cs="Arial"/>
                <w:b/>
                <w:bCs/>
                <w:color w:val="000000"/>
              </w:rPr>
              <w:t xml:space="preserve">     (</w:t>
            </w:r>
            <w:r w:rsidR="00267EF5">
              <w:rPr>
                <w:rFonts w:ascii="Arial" w:hAnsi="Arial" w:cs="Arial"/>
                <w:b/>
                <w:bCs/>
                <w:color w:val="000000"/>
              </w:rPr>
              <w:t>1.639</w:t>
            </w:r>
            <w:r w:rsidRPr="00155F70">
              <w:rPr>
                <w:rFonts w:ascii="Arial" w:hAnsi="Arial" w:cs="Arial"/>
                <w:b/>
                <w:bCs/>
                <w:color w:val="000000"/>
              </w:rPr>
              <w:t>)</w:t>
            </w:r>
          </w:p>
        </w:tc>
        <w:tc>
          <w:tcPr>
            <w:tcW w:w="1710" w:type="dxa"/>
            <w:tcBorders>
              <w:top w:val="nil"/>
              <w:left w:val="nil"/>
              <w:bottom w:val="nil"/>
              <w:right w:val="nil"/>
            </w:tcBorders>
            <w:vAlign w:val="bottom"/>
          </w:tcPr>
          <w:p w:rsidR="00792991" w:rsidRPr="00DE50D0" w:rsidRDefault="00792991" w:rsidP="00292B21">
            <w:pPr>
              <w:autoSpaceDE w:val="0"/>
              <w:autoSpaceDN w:val="0"/>
              <w:adjustRightInd w:val="0"/>
              <w:jc w:val="right"/>
              <w:rPr>
                <w:rFonts w:ascii="Arial" w:hAnsi="Arial" w:cs="Arial"/>
                <w:bCs/>
                <w:color w:val="000000"/>
              </w:rPr>
            </w:pPr>
            <w:r w:rsidRPr="00DE50D0">
              <w:rPr>
                <w:rFonts w:ascii="Arial" w:hAnsi="Arial" w:cs="Arial"/>
                <w:bCs/>
                <w:color w:val="000000"/>
              </w:rPr>
              <w:t>(</w:t>
            </w:r>
            <w:r w:rsidR="00292B21">
              <w:rPr>
                <w:rFonts w:ascii="Arial" w:hAnsi="Arial" w:cs="Arial"/>
                <w:bCs/>
                <w:color w:val="000000"/>
              </w:rPr>
              <w:t>165</w:t>
            </w:r>
            <w:r w:rsidRPr="00DE50D0">
              <w:rPr>
                <w:rFonts w:ascii="Arial" w:hAnsi="Arial" w:cs="Arial"/>
                <w:bCs/>
                <w:color w:val="000000"/>
              </w:rPr>
              <w:t>)</w:t>
            </w:r>
          </w:p>
        </w:tc>
      </w:tr>
      <w:tr w:rsidR="00792991" w:rsidRPr="00727376" w:rsidTr="00DE50D0">
        <w:trPr>
          <w:trHeight w:val="113"/>
        </w:trPr>
        <w:tc>
          <w:tcPr>
            <w:tcW w:w="6030" w:type="dxa"/>
            <w:tcBorders>
              <w:top w:val="nil"/>
              <w:left w:val="nil"/>
              <w:bottom w:val="nil"/>
              <w:right w:val="nil"/>
            </w:tcBorders>
          </w:tcPr>
          <w:p w:rsidR="00792991" w:rsidRPr="00DE50D0" w:rsidRDefault="00792991" w:rsidP="003F4499">
            <w:pPr>
              <w:autoSpaceDE w:val="0"/>
              <w:autoSpaceDN w:val="0"/>
              <w:adjustRightInd w:val="0"/>
              <w:ind w:left="-18"/>
              <w:jc w:val="right"/>
              <w:rPr>
                <w:rFonts w:ascii="Arial" w:hAnsi="Arial" w:cs="Arial"/>
                <w:color w:val="000000"/>
              </w:rPr>
            </w:pPr>
          </w:p>
        </w:tc>
        <w:tc>
          <w:tcPr>
            <w:tcW w:w="1710" w:type="dxa"/>
            <w:tcBorders>
              <w:top w:val="nil"/>
              <w:left w:val="nil"/>
              <w:bottom w:val="nil"/>
              <w:right w:val="nil"/>
            </w:tcBorders>
            <w:vAlign w:val="bottom"/>
          </w:tcPr>
          <w:p w:rsidR="00792991" w:rsidRPr="00155F70" w:rsidRDefault="00792991" w:rsidP="00DE50D0">
            <w:pPr>
              <w:autoSpaceDE w:val="0"/>
              <w:autoSpaceDN w:val="0"/>
              <w:adjustRightInd w:val="0"/>
              <w:jc w:val="right"/>
              <w:rPr>
                <w:rFonts w:ascii="Arial" w:hAnsi="Arial" w:cs="Arial"/>
                <w:color w:val="000000"/>
              </w:rPr>
            </w:pPr>
          </w:p>
        </w:tc>
        <w:tc>
          <w:tcPr>
            <w:tcW w:w="1710" w:type="dxa"/>
            <w:tcBorders>
              <w:top w:val="nil"/>
              <w:left w:val="nil"/>
              <w:bottom w:val="nil"/>
              <w:right w:val="nil"/>
            </w:tcBorders>
            <w:vAlign w:val="bottom"/>
          </w:tcPr>
          <w:p w:rsidR="00792991" w:rsidRPr="00DE50D0" w:rsidRDefault="00792991" w:rsidP="00DE50D0">
            <w:pPr>
              <w:autoSpaceDE w:val="0"/>
              <w:autoSpaceDN w:val="0"/>
              <w:adjustRightInd w:val="0"/>
              <w:jc w:val="right"/>
              <w:rPr>
                <w:rFonts w:ascii="Arial" w:hAnsi="Arial" w:cs="Arial"/>
                <w:color w:val="000000"/>
              </w:rPr>
            </w:pPr>
          </w:p>
        </w:tc>
      </w:tr>
      <w:tr w:rsidR="00792991" w:rsidRPr="00727376" w:rsidTr="00DE50D0">
        <w:trPr>
          <w:trHeight w:val="113"/>
        </w:trPr>
        <w:tc>
          <w:tcPr>
            <w:tcW w:w="6030" w:type="dxa"/>
            <w:tcBorders>
              <w:top w:val="single" w:sz="6" w:space="0" w:color="auto"/>
              <w:left w:val="nil"/>
              <w:bottom w:val="double" w:sz="6" w:space="0" w:color="auto"/>
              <w:right w:val="nil"/>
            </w:tcBorders>
          </w:tcPr>
          <w:p w:rsidR="00792991" w:rsidRPr="00DE50D0" w:rsidRDefault="00792991" w:rsidP="003F4499">
            <w:pPr>
              <w:autoSpaceDE w:val="0"/>
              <w:autoSpaceDN w:val="0"/>
              <w:adjustRightInd w:val="0"/>
              <w:ind w:left="-18"/>
              <w:rPr>
                <w:rFonts w:ascii="Arial" w:hAnsi="Arial" w:cs="Arial"/>
                <w:color w:val="000000"/>
              </w:rPr>
            </w:pPr>
            <w:r w:rsidRPr="00DE50D0">
              <w:rPr>
                <w:rFonts w:ascii="Arial" w:hAnsi="Arial" w:cs="Arial"/>
                <w:b/>
                <w:color w:val="000000"/>
              </w:rPr>
              <w:t>Toplam</w:t>
            </w:r>
          </w:p>
        </w:tc>
        <w:tc>
          <w:tcPr>
            <w:tcW w:w="1710" w:type="dxa"/>
            <w:tcBorders>
              <w:top w:val="single" w:sz="6" w:space="0" w:color="auto"/>
              <w:left w:val="nil"/>
              <w:bottom w:val="double" w:sz="6" w:space="0" w:color="auto"/>
              <w:right w:val="nil"/>
            </w:tcBorders>
            <w:vAlign w:val="bottom"/>
          </w:tcPr>
          <w:p w:rsidR="00792991" w:rsidRPr="00155F70" w:rsidRDefault="00792991" w:rsidP="00267EF5">
            <w:pPr>
              <w:jc w:val="right"/>
              <w:rPr>
                <w:rFonts w:ascii="Arial" w:hAnsi="Arial" w:cs="Arial"/>
                <w:b/>
                <w:bCs/>
                <w:color w:val="000000"/>
              </w:rPr>
            </w:pPr>
            <w:r w:rsidRPr="00155F70">
              <w:rPr>
                <w:rFonts w:ascii="Arial" w:hAnsi="Arial" w:cs="Arial"/>
                <w:b/>
                <w:bCs/>
                <w:color w:val="000000"/>
              </w:rPr>
              <w:t xml:space="preserve">     (</w:t>
            </w:r>
            <w:r w:rsidR="00267EF5">
              <w:rPr>
                <w:rFonts w:ascii="Arial" w:hAnsi="Arial" w:cs="Arial"/>
                <w:b/>
                <w:bCs/>
                <w:color w:val="000000"/>
              </w:rPr>
              <w:t>1.652</w:t>
            </w:r>
            <w:r w:rsidRPr="00155F70">
              <w:rPr>
                <w:rFonts w:ascii="Arial" w:hAnsi="Arial" w:cs="Arial"/>
                <w:b/>
                <w:bCs/>
                <w:color w:val="000000"/>
              </w:rPr>
              <w:t>)</w:t>
            </w:r>
          </w:p>
        </w:tc>
        <w:tc>
          <w:tcPr>
            <w:tcW w:w="1710" w:type="dxa"/>
            <w:tcBorders>
              <w:top w:val="single" w:sz="6" w:space="0" w:color="auto"/>
              <w:left w:val="nil"/>
              <w:bottom w:val="double" w:sz="6" w:space="0" w:color="auto"/>
              <w:right w:val="nil"/>
            </w:tcBorders>
            <w:vAlign w:val="bottom"/>
          </w:tcPr>
          <w:p w:rsidR="00792991" w:rsidRPr="00DE50D0" w:rsidRDefault="00792991" w:rsidP="00292B21">
            <w:pPr>
              <w:autoSpaceDE w:val="0"/>
              <w:autoSpaceDN w:val="0"/>
              <w:adjustRightInd w:val="0"/>
              <w:jc w:val="right"/>
              <w:rPr>
                <w:rFonts w:ascii="Arial" w:hAnsi="Arial" w:cs="Arial"/>
                <w:bCs/>
                <w:color w:val="000000"/>
              </w:rPr>
            </w:pPr>
            <w:r w:rsidRPr="00DE50D0">
              <w:rPr>
                <w:rFonts w:ascii="Arial" w:hAnsi="Arial" w:cs="Arial"/>
                <w:bCs/>
                <w:color w:val="000000"/>
              </w:rPr>
              <w:t>(</w:t>
            </w:r>
            <w:r w:rsidR="00292B21">
              <w:rPr>
                <w:rFonts w:ascii="Arial" w:hAnsi="Arial" w:cs="Arial"/>
                <w:bCs/>
                <w:color w:val="000000"/>
              </w:rPr>
              <w:t>1.708</w:t>
            </w:r>
            <w:r w:rsidRPr="00DE50D0">
              <w:rPr>
                <w:rFonts w:ascii="Arial" w:hAnsi="Arial" w:cs="Arial"/>
                <w:bCs/>
                <w:color w:val="000000"/>
              </w:rPr>
              <w:t>)</w:t>
            </w:r>
          </w:p>
        </w:tc>
      </w:tr>
    </w:tbl>
    <w:p w:rsidR="00D322FB" w:rsidRPr="00727376" w:rsidRDefault="00D322FB" w:rsidP="0099593D">
      <w:pPr>
        <w:tabs>
          <w:tab w:val="right" w:pos="6660"/>
          <w:tab w:val="right" w:pos="8640"/>
        </w:tabs>
        <w:ind w:left="567" w:hanging="567"/>
        <w:rPr>
          <w:rFonts w:ascii="Arial" w:hAnsi="Arial" w:cs="Arial"/>
          <w:b/>
          <w:highlight w:val="yellow"/>
          <w:lang w:val="tr-TR"/>
        </w:rPr>
      </w:pP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t>21.</w:t>
      </w:r>
      <w:r w:rsidRPr="00284495">
        <w:rPr>
          <w:rFonts w:ascii="Arial" w:hAnsi="Arial" w:cs="Arial"/>
          <w:color w:val="auto"/>
          <w:sz w:val="20"/>
          <w:lang w:val="tr-TR"/>
        </w:rPr>
        <w:tab/>
        <w:t>Vergi varlık ve yükümlülükleri (ertelenmiş varlık ve yükümlülükler dahil)</w:t>
      </w:r>
    </w:p>
    <w:p w:rsidR="00D322FB" w:rsidRPr="00CD1F0F" w:rsidRDefault="00D322FB" w:rsidP="0090567F">
      <w:pPr>
        <w:ind w:left="567" w:hanging="567"/>
        <w:rPr>
          <w:rFonts w:ascii="Arial" w:hAnsi="Arial" w:cs="Arial"/>
          <w:lang w:val="tr-TR"/>
        </w:rPr>
      </w:pPr>
    </w:p>
    <w:p w:rsidR="00D322FB" w:rsidRPr="00842630" w:rsidRDefault="00D322FB" w:rsidP="00A70AB8">
      <w:pPr>
        <w:suppressAutoHyphens/>
        <w:rPr>
          <w:rFonts w:ascii="Arial" w:hAnsi="Arial" w:cs="Arial"/>
          <w:lang w:val="tr-TR"/>
        </w:rPr>
      </w:pPr>
      <w:r w:rsidRPr="00842630">
        <w:rPr>
          <w:rFonts w:ascii="Arial" w:hAnsi="Arial" w:cs="Arial"/>
          <w:lang w:val="tr-TR"/>
        </w:rPr>
        <w:t>31 Aralık 2014 ve 2013 tarihleri itibariyle peşin ödenen kurumlar vergisi tutarı kurumlar vergisi karşılığı tutarından mahsup edilerek aşağıda gösterilmiştir:</w:t>
      </w:r>
    </w:p>
    <w:p w:rsidR="00D322FB" w:rsidRPr="00727376" w:rsidRDefault="00D322FB" w:rsidP="0090567F">
      <w:pPr>
        <w:ind w:left="567" w:hanging="567"/>
        <w:rPr>
          <w:rFonts w:ascii="Arial" w:hAnsi="Arial" w:cs="Arial"/>
          <w:b/>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D322FB" w:rsidRPr="00A70AB8" w:rsidTr="00E4669C">
        <w:trPr>
          <w:trHeight w:val="113"/>
        </w:trPr>
        <w:tc>
          <w:tcPr>
            <w:tcW w:w="6030" w:type="dxa"/>
            <w:tcBorders>
              <w:top w:val="single" w:sz="6" w:space="0" w:color="auto"/>
              <w:left w:val="nil"/>
              <w:bottom w:val="single" w:sz="6" w:space="0" w:color="auto"/>
              <w:right w:val="nil"/>
            </w:tcBorders>
            <w:vAlign w:val="bottom"/>
          </w:tcPr>
          <w:p w:rsidR="00D322FB" w:rsidRPr="00842630" w:rsidRDefault="00D322FB" w:rsidP="00B22984">
            <w:pPr>
              <w:autoSpaceDE w:val="0"/>
              <w:autoSpaceDN w:val="0"/>
              <w:adjustRightInd w:val="0"/>
              <w:ind w:left="-108"/>
              <w:rPr>
                <w:rFonts w:ascii="Arial" w:hAnsi="Arial" w:cs="Arial"/>
                <w:b/>
                <w:bCs/>
                <w:color w:val="000000"/>
                <w:highlight w:val="yellow"/>
                <w:lang w:val="tr-TR"/>
              </w:rPr>
            </w:pPr>
          </w:p>
        </w:tc>
        <w:tc>
          <w:tcPr>
            <w:tcW w:w="1710" w:type="dxa"/>
            <w:tcBorders>
              <w:top w:val="single" w:sz="6" w:space="0" w:color="auto"/>
              <w:left w:val="nil"/>
              <w:bottom w:val="single" w:sz="6" w:space="0" w:color="auto"/>
              <w:right w:val="nil"/>
            </w:tcBorders>
            <w:vAlign w:val="bottom"/>
          </w:tcPr>
          <w:p w:rsidR="00D322FB" w:rsidRPr="002D50CA" w:rsidRDefault="00D322FB" w:rsidP="00292B21">
            <w:pPr>
              <w:jc w:val="right"/>
              <w:rPr>
                <w:rFonts w:ascii="Arial" w:hAnsi="Arial" w:cs="Arial"/>
                <w:b/>
                <w:bCs/>
                <w:lang w:val="tr-TR" w:eastAsia="tr-TR"/>
              </w:rPr>
            </w:pPr>
            <w:r w:rsidRPr="002D50CA">
              <w:rPr>
                <w:rFonts w:ascii="Arial" w:hAnsi="Arial" w:cs="Arial"/>
                <w:b/>
                <w:bCs/>
                <w:lang w:val="tr-TR" w:eastAsia="tr-TR"/>
              </w:rPr>
              <w:t xml:space="preserve">31 </w:t>
            </w:r>
            <w:r w:rsidR="00292B21">
              <w:rPr>
                <w:rFonts w:ascii="Arial" w:hAnsi="Arial" w:cs="Arial"/>
                <w:b/>
                <w:bCs/>
                <w:lang w:val="tr-TR" w:eastAsia="tr-TR"/>
              </w:rPr>
              <w:t>Mart</w:t>
            </w:r>
            <w:r w:rsidRPr="002D50CA">
              <w:rPr>
                <w:rFonts w:ascii="Arial" w:hAnsi="Arial" w:cs="Arial"/>
                <w:b/>
                <w:bCs/>
                <w:lang w:val="tr-TR" w:eastAsia="tr-TR"/>
              </w:rPr>
              <w:t xml:space="preserve"> 201</w:t>
            </w:r>
            <w:r w:rsidR="00292B21">
              <w:rPr>
                <w:rFonts w:ascii="Arial" w:hAnsi="Arial" w:cs="Arial"/>
                <w:b/>
                <w:bCs/>
                <w:lang w:val="tr-TR" w:eastAsia="tr-TR"/>
              </w:rPr>
              <w:t>5</w:t>
            </w:r>
          </w:p>
        </w:tc>
        <w:tc>
          <w:tcPr>
            <w:tcW w:w="1710" w:type="dxa"/>
            <w:tcBorders>
              <w:top w:val="single" w:sz="6" w:space="0" w:color="auto"/>
              <w:left w:val="nil"/>
              <w:bottom w:val="single" w:sz="6" w:space="0" w:color="auto"/>
              <w:right w:val="nil"/>
            </w:tcBorders>
            <w:vAlign w:val="bottom"/>
          </w:tcPr>
          <w:p w:rsidR="00D322FB" w:rsidRPr="002D50CA" w:rsidRDefault="00D322FB" w:rsidP="00292B21">
            <w:pPr>
              <w:jc w:val="right"/>
              <w:rPr>
                <w:rFonts w:ascii="Arial" w:hAnsi="Arial" w:cs="Arial"/>
                <w:bCs/>
                <w:lang w:val="tr-TR" w:eastAsia="tr-TR"/>
              </w:rPr>
            </w:pPr>
            <w:r w:rsidRPr="002D50CA">
              <w:rPr>
                <w:rFonts w:ascii="Arial" w:hAnsi="Arial" w:cs="Arial"/>
                <w:bCs/>
                <w:lang w:val="tr-TR" w:eastAsia="tr-TR"/>
              </w:rPr>
              <w:t>31 Aralık 201</w:t>
            </w:r>
            <w:r w:rsidR="00292B21">
              <w:rPr>
                <w:rFonts w:ascii="Arial" w:hAnsi="Arial" w:cs="Arial"/>
                <w:bCs/>
                <w:lang w:val="tr-TR" w:eastAsia="tr-TR"/>
              </w:rPr>
              <w:t>4</w:t>
            </w:r>
          </w:p>
        </w:tc>
      </w:tr>
      <w:tr w:rsidR="00D322FB" w:rsidRPr="00A70AB8" w:rsidTr="00E4669C">
        <w:trPr>
          <w:trHeight w:val="113"/>
        </w:trPr>
        <w:tc>
          <w:tcPr>
            <w:tcW w:w="6030" w:type="dxa"/>
            <w:tcBorders>
              <w:top w:val="nil"/>
              <w:left w:val="nil"/>
              <w:bottom w:val="nil"/>
              <w:right w:val="nil"/>
            </w:tcBorders>
            <w:vAlign w:val="bottom"/>
          </w:tcPr>
          <w:p w:rsidR="00D322FB" w:rsidRPr="00A70AB8" w:rsidRDefault="00D322FB" w:rsidP="00B22984">
            <w:pPr>
              <w:autoSpaceDE w:val="0"/>
              <w:autoSpaceDN w:val="0"/>
              <w:adjustRightInd w:val="0"/>
              <w:ind w:left="-108"/>
              <w:rPr>
                <w:rFonts w:ascii="Arial" w:hAnsi="Arial" w:cs="Arial"/>
                <w:color w:val="000000"/>
                <w:highlight w:val="yellow"/>
              </w:rPr>
            </w:pPr>
          </w:p>
        </w:tc>
        <w:tc>
          <w:tcPr>
            <w:tcW w:w="1710" w:type="dxa"/>
            <w:tcBorders>
              <w:top w:val="nil"/>
              <w:left w:val="nil"/>
              <w:bottom w:val="nil"/>
              <w:right w:val="nil"/>
            </w:tcBorders>
          </w:tcPr>
          <w:p w:rsidR="00D322FB" w:rsidRPr="002D50CA" w:rsidRDefault="00D322FB" w:rsidP="00B22984">
            <w:pPr>
              <w:autoSpaceDE w:val="0"/>
              <w:autoSpaceDN w:val="0"/>
              <w:adjustRightInd w:val="0"/>
              <w:jc w:val="right"/>
              <w:rPr>
                <w:rFonts w:ascii="Arial" w:hAnsi="Arial" w:cs="Arial"/>
                <w:color w:val="000000"/>
              </w:rPr>
            </w:pPr>
          </w:p>
        </w:tc>
        <w:tc>
          <w:tcPr>
            <w:tcW w:w="1710" w:type="dxa"/>
            <w:tcBorders>
              <w:top w:val="nil"/>
              <w:left w:val="nil"/>
              <w:bottom w:val="nil"/>
              <w:right w:val="nil"/>
            </w:tcBorders>
          </w:tcPr>
          <w:p w:rsidR="00D322FB" w:rsidRPr="002D50CA" w:rsidRDefault="00D322FB" w:rsidP="00B22984">
            <w:pPr>
              <w:autoSpaceDE w:val="0"/>
              <w:autoSpaceDN w:val="0"/>
              <w:adjustRightInd w:val="0"/>
              <w:jc w:val="right"/>
              <w:rPr>
                <w:rFonts w:ascii="Arial" w:hAnsi="Arial" w:cs="Arial"/>
                <w:color w:val="000000"/>
              </w:rPr>
            </w:pPr>
          </w:p>
        </w:tc>
      </w:tr>
      <w:tr w:rsidR="00D322FB" w:rsidRPr="00A70AB8" w:rsidTr="002D50CA">
        <w:trPr>
          <w:trHeight w:val="113"/>
        </w:trPr>
        <w:tc>
          <w:tcPr>
            <w:tcW w:w="6030" w:type="dxa"/>
            <w:tcBorders>
              <w:top w:val="nil"/>
              <w:left w:val="nil"/>
              <w:bottom w:val="nil"/>
              <w:right w:val="nil"/>
            </w:tcBorders>
          </w:tcPr>
          <w:p w:rsidR="00D322FB" w:rsidRPr="00A70AB8" w:rsidRDefault="00D322FB" w:rsidP="00100C02">
            <w:pPr>
              <w:snapToGrid w:val="0"/>
              <w:jc w:val="both"/>
              <w:rPr>
                <w:rFonts w:ascii="Arial" w:hAnsi="Arial" w:cs="Arial"/>
              </w:rPr>
            </w:pPr>
            <w:r>
              <w:rPr>
                <w:rFonts w:ascii="Arial" w:hAnsi="Arial" w:cs="Arial"/>
              </w:rPr>
              <w:t>Cari k</w:t>
            </w:r>
            <w:r w:rsidRPr="00A70AB8">
              <w:rPr>
                <w:rFonts w:ascii="Arial" w:hAnsi="Arial" w:cs="Arial"/>
              </w:rPr>
              <w:t>urumlar vergisi karşılığı</w:t>
            </w:r>
          </w:p>
        </w:tc>
        <w:tc>
          <w:tcPr>
            <w:tcW w:w="1710" w:type="dxa"/>
            <w:tcBorders>
              <w:top w:val="nil"/>
              <w:left w:val="nil"/>
              <w:bottom w:val="nil"/>
              <w:right w:val="nil"/>
            </w:tcBorders>
            <w:vAlign w:val="bottom"/>
          </w:tcPr>
          <w:p w:rsidR="00D322FB" w:rsidRPr="002D50CA" w:rsidRDefault="00D322FB" w:rsidP="002D50CA">
            <w:pPr>
              <w:jc w:val="right"/>
              <w:rPr>
                <w:rFonts w:ascii="Arial" w:hAnsi="Arial" w:cs="Arial"/>
                <w:b/>
                <w:bCs/>
                <w:color w:val="000000"/>
              </w:rPr>
            </w:pPr>
            <w:r w:rsidRPr="002D50CA">
              <w:rPr>
                <w:rFonts w:ascii="Arial" w:hAnsi="Arial" w:cs="Arial"/>
                <w:b/>
                <w:bCs/>
                <w:color w:val="000000"/>
              </w:rPr>
              <w:t xml:space="preserve"> - </w:t>
            </w:r>
          </w:p>
        </w:tc>
        <w:tc>
          <w:tcPr>
            <w:tcW w:w="1710" w:type="dxa"/>
            <w:tcBorders>
              <w:top w:val="nil"/>
              <w:left w:val="nil"/>
              <w:bottom w:val="nil"/>
              <w:right w:val="nil"/>
            </w:tcBorders>
            <w:vAlign w:val="bottom"/>
          </w:tcPr>
          <w:p w:rsidR="00D322FB" w:rsidRPr="002D50CA" w:rsidRDefault="00D322FB" w:rsidP="002D50CA">
            <w:pPr>
              <w:autoSpaceDE w:val="0"/>
              <w:autoSpaceDN w:val="0"/>
              <w:adjustRightInd w:val="0"/>
              <w:jc w:val="right"/>
              <w:rPr>
                <w:rFonts w:ascii="Arial" w:hAnsi="Arial" w:cs="Arial"/>
                <w:bCs/>
                <w:color w:val="000000"/>
              </w:rPr>
            </w:pPr>
            <w:r w:rsidRPr="002D50CA">
              <w:rPr>
                <w:rFonts w:ascii="Arial" w:hAnsi="Arial" w:cs="Arial"/>
                <w:bCs/>
                <w:color w:val="000000"/>
              </w:rPr>
              <w:t>-</w:t>
            </w:r>
          </w:p>
        </w:tc>
      </w:tr>
      <w:tr w:rsidR="00D322FB" w:rsidRPr="00A70AB8" w:rsidTr="002D50CA">
        <w:trPr>
          <w:trHeight w:val="113"/>
        </w:trPr>
        <w:tc>
          <w:tcPr>
            <w:tcW w:w="6030" w:type="dxa"/>
            <w:tcBorders>
              <w:top w:val="nil"/>
              <w:left w:val="nil"/>
              <w:bottom w:val="nil"/>
              <w:right w:val="nil"/>
            </w:tcBorders>
          </w:tcPr>
          <w:p w:rsidR="00D322FB" w:rsidRPr="00A70AB8" w:rsidRDefault="00D322FB" w:rsidP="001A0C62">
            <w:pPr>
              <w:snapToGrid w:val="0"/>
              <w:jc w:val="both"/>
              <w:rPr>
                <w:rFonts w:ascii="Arial" w:hAnsi="Arial" w:cs="Arial"/>
              </w:rPr>
            </w:pPr>
            <w:r w:rsidRPr="00A70AB8">
              <w:rPr>
                <w:rFonts w:ascii="Arial" w:hAnsi="Arial" w:cs="Arial"/>
              </w:rPr>
              <w:t>Peşin ödenen kurumlar vergisi</w:t>
            </w:r>
          </w:p>
        </w:tc>
        <w:tc>
          <w:tcPr>
            <w:tcW w:w="1710" w:type="dxa"/>
            <w:tcBorders>
              <w:top w:val="nil"/>
              <w:left w:val="nil"/>
              <w:bottom w:val="nil"/>
              <w:right w:val="nil"/>
            </w:tcBorders>
            <w:vAlign w:val="bottom"/>
          </w:tcPr>
          <w:p w:rsidR="00D322FB" w:rsidRPr="002D50CA" w:rsidRDefault="00D322FB" w:rsidP="00267EF5">
            <w:pPr>
              <w:jc w:val="right"/>
              <w:rPr>
                <w:rFonts w:ascii="Arial" w:hAnsi="Arial" w:cs="Arial"/>
                <w:b/>
                <w:bCs/>
                <w:color w:val="000000"/>
              </w:rPr>
            </w:pPr>
            <w:r w:rsidRPr="002D50CA">
              <w:rPr>
                <w:rFonts w:ascii="Arial" w:hAnsi="Arial" w:cs="Arial"/>
                <w:b/>
                <w:bCs/>
                <w:color w:val="000000"/>
              </w:rPr>
              <w:t xml:space="preserve">             (</w:t>
            </w:r>
            <w:r w:rsidR="00267EF5">
              <w:rPr>
                <w:rFonts w:ascii="Arial" w:hAnsi="Arial" w:cs="Arial"/>
                <w:b/>
                <w:bCs/>
                <w:color w:val="000000"/>
              </w:rPr>
              <w:t>3.877</w:t>
            </w:r>
            <w:r w:rsidRPr="002D50CA">
              <w:rPr>
                <w:rFonts w:ascii="Arial" w:hAnsi="Arial" w:cs="Arial"/>
                <w:b/>
                <w:bCs/>
                <w:color w:val="000000"/>
              </w:rPr>
              <w:t xml:space="preserve">) </w:t>
            </w:r>
          </w:p>
        </w:tc>
        <w:tc>
          <w:tcPr>
            <w:tcW w:w="1710" w:type="dxa"/>
            <w:tcBorders>
              <w:top w:val="nil"/>
              <w:left w:val="nil"/>
              <w:bottom w:val="nil"/>
              <w:right w:val="nil"/>
            </w:tcBorders>
            <w:vAlign w:val="bottom"/>
          </w:tcPr>
          <w:p w:rsidR="00D322FB" w:rsidRPr="002D50CA" w:rsidRDefault="00D322FB" w:rsidP="00292B21">
            <w:pPr>
              <w:autoSpaceDE w:val="0"/>
              <w:autoSpaceDN w:val="0"/>
              <w:adjustRightInd w:val="0"/>
              <w:jc w:val="right"/>
              <w:rPr>
                <w:rFonts w:ascii="Arial" w:hAnsi="Arial" w:cs="Arial"/>
                <w:bCs/>
                <w:color w:val="000000"/>
              </w:rPr>
            </w:pPr>
            <w:r w:rsidRPr="002D50CA">
              <w:rPr>
                <w:rFonts w:ascii="Arial" w:hAnsi="Arial" w:cs="Arial"/>
                <w:bCs/>
                <w:color w:val="000000"/>
              </w:rPr>
              <w:t>(</w:t>
            </w:r>
            <w:r w:rsidR="00292B21">
              <w:rPr>
                <w:rFonts w:ascii="Arial" w:hAnsi="Arial" w:cs="Arial"/>
                <w:bCs/>
                <w:color w:val="000000"/>
              </w:rPr>
              <w:t>14.332</w:t>
            </w:r>
            <w:r w:rsidRPr="002D50CA">
              <w:rPr>
                <w:rFonts w:ascii="Arial" w:hAnsi="Arial" w:cs="Arial"/>
                <w:bCs/>
                <w:color w:val="000000"/>
              </w:rPr>
              <w:t>)</w:t>
            </w:r>
          </w:p>
        </w:tc>
      </w:tr>
      <w:tr w:rsidR="00D322FB" w:rsidRPr="00A70AB8" w:rsidTr="002D50CA">
        <w:trPr>
          <w:trHeight w:val="113"/>
        </w:trPr>
        <w:tc>
          <w:tcPr>
            <w:tcW w:w="6030" w:type="dxa"/>
            <w:tcBorders>
              <w:top w:val="nil"/>
              <w:left w:val="nil"/>
              <w:bottom w:val="nil"/>
              <w:right w:val="nil"/>
            </w:tcBorders>
            <w:vAlign w:val="bottom"/>
          </w:tcPr>
          <w:p w:rsidR="00D322FB" w:rsidRPr="00A70AB8" w:rsidRDefault="00D322FB" w:rsidP="001A0C62">
            <w:pPr>
              <w:rPr>
                <w:rFonts w:ascii="Arial" w:hAnsi="Arial" w:cs="Arial"/>
                <w:lang w:val="tr-TR" w:eastAsia="tr-TR"/>
              </w:rPr>
            </w:pPr>
            <w:r w:rsidRPr="00A70AB8">
              <w:rPr>
                <w:rFonts w:ascii="Arial" w:hAnsi="Arial" w:cs="Arial"/>
                <w:lang w:val="tr-TR" w:eastAsia="tr-TR"/>
              </w:rPr>
              <w:t> </w:t>
            </w:r>
          </w:p>
        </w:tc>
        <w:tc>
          <w:tcPr>
            <w:tcW w:w="1710" w:type="dxa"/>
            <w:tcBorders>
              <w:top w:val="nil"/>
              <w:left w:val="nil"/>
              <w:bottom w:val="nil"/>
              <w:right w:val="nil"/>
            </w:tcBorders>
            <w:vAlign w:val="bottom"/>
          </w:tcPr>
          <w:p w:rsidR="00D322FB" w:rsidRPr="002D50CA" w:rsidRDefault="00D322FB" w:rsidP="002D50CA">
            <w:pPr>
              <w:autoSpaceDE w:val="0"/>
              <w:autoSpaceDN w:val="0"/>
              <w:adjustRightInd w:val="0"/>
              <w:jc w:val="right"/>
              <w:rPr>
                <w:rFonts w:ascii="Arial" w:hAnsi="Arial" w:cs="Arial"/>
                <w:bCs/>
                <w:color w:val="000000"/>
              </w:rPr>
            </w:pPr>
          </w:p>
        </w:tc>
        <w:tc>
          <w:tcPr>
            <w:tcW w:w="1710" w:type="dxa"/>
            <w:tcBorders>
              <w:top w:val="nil"/>
              <w:left w:val="nil"/>
              <w:bottom w:val="nil"/>
              <w:right w:val="nil"/>
            </w:tcBorders>
            <w:vAlign w:val="bottom"/>
          </w:tcPr>
          <w:p w:rsidR="00D322FB" w:rsidRPr="002D50CA" w:rsidRDefault="00D322FB" w:rsidP="002D50CA">
            <w:pPr>
              <w:autoSpaceDE w:val="0"/>
              <w:autoSpaceDN w:val="0"/>
              <w:adjustRightInd w:val="0"/>
              <w:jc w:val="right"/>
              <w:rPr>
                <w:rFonts w:ascii="Arial" w:hAnsi="Arial" w:cs="Arial"/>
                <w:bCs/>
                <w:color w:val="000000"/>
              </w:rPr>
            </w:pPr>
          </w:p>
        </w:tc>
      </w:tr>
      <w:tr w:rsidR="00D322FB" w:rsidRPr="00BA06F6" w:rsidTr="002D50CA">
        <w:trPr>
          <w:trHeight w:val="113"/>
        </w:trPr>
        <w:tc>
          <w:tcPr>
            <w:tcW w:w="6030" w:type="dxa"/>
            <w:tcBorders>
              <w:top w:val="single" w:sz="6" w:space="0" w:color="auto"/>
              <w:left w:val="nil"/>
              <w:bottom w:val="double" w:sz="6" w:space="0" w:color="auto"/>
              <w:right w:val="nil"/>
            </w:tcBorders>
            <w:vAlign w:val="bottom"/>
          </w:tcPr>
          <w:p w:rsidR="00D322FB" w:rsidRPr="00BA06F6" w:rsidRDefault="00D322FB" w:rsidP="001A0C62">
            <w:pPr>
              <w:rPr>
                <w:rFonts w:ascii="Arial" w:hAnsi="Arial" w:cs="Arial"/>
                <w:b/>
                <w:bCs/>
                <w:lang w:val="tr-TR" w:eastAsia="tr-TR"/>
              </w:rPr>
            </w:pPr>
            <w:r w:rsidRPr="00BA06F6">
              <w:rPr>
                <w:rFonts w:ascii="Arial" w:hAnsi="Arial" w:cs="Arial"/>
                <w:b/>
                <w:bCs/>
                <w:lang w:val="tr-TR" w:eastAsia="tr-TR"/>
              </w:rPr>
              <w:t>Dönem karı vergi yükümlülüğü (*)</w:t>
            </w:r>
          </w:p>
        </w:tc>
        <w:tc>
          <w:tcPr>
            <w:tcW w:w="1710" w:type="dxa"/>
            <w:tcBorders>
              <w:top w:val="single" w:sz="6" w:space="0" w:color="auto"/>
              <w:left w:val="nil"/>
              <w:bottom w:val="double" w:sz="6" w:space="0" w:color="auto"/>
              <w:right w:val="nil"/>
            </w:tcBorders>
            <w:vAlign w:val="bottom"/>
          </w:tcPr>
          <w:p w:rsidR="00D322FB" w:rsidRPr="002D50CA" w:rsidRDefault="00D322FB"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3.877</w:t>
            </w:r>
            <w:r>
              <w:rPr>
                <w:rFonts w:ascii="Arial" w:hAnsi="Arial" w:cs="Arial"/>
                <w:b/>
                <w:bCs/>
                <w:color w:val="000000"/>
              </w:rPr>
              <w:t xml:space="preserve">) </w:t>
            </w:r>
          </w:p>
        </w:tc>
        <w:tc>
          <w:tcPr>
            <w:tcW w:w="1710" w:type="dxa"/>
            <w:tcBorders>
              <w:top w:val="single" w:sz="6" w:space="0" w:color="auto"/>
              <w:left w:val="nil"/>
              <w:bottom w:val="double" w:sz="6" w:space="0" w:color="auto"/>
              <w:right w:val="nil"/>
            </w:tcBorders>
            <w:vAlign w:val="bottom"/>
          </w:tcPr>
          <w:p w:rsidR="00D322FB" w:rsidRPr="00BA06F6" w:rsidRDefault="00D322FB" w:rsidP="00292B21">
            <w:pPr>
              <w:autoSpaceDE w:val="0"/>
              <w:autoSpaceDN w:val="0"/>
              <w:adjustRightInd w:val="0"/>
              <w:jc w:val="right"/>
              <w:rPr>
                <w:rFonts w:ascii="Arial" w:hAnsi="Arial" w:cs="Arial"/>
                <w:bCs/>
                <w:color w:val="000000"/>
              </w:rPr>
            </w:pPr>
            <w:r w:rsidRPr="00BA06F6">
              <w:rPr>
                <w:rFonts w:ascii="Arial" w:hAnsi="Arial" w:cs="Arial"/>
                <w:bCs/>
                <w:color w:val="000000"/>
              </w:rPr>
              <w:t>(</w:t>
            </w:r>
            <w:r w:rsidR="00292B21">
              <w:rPr>
                <w:rFonts w:ascii="Arial" w:hAnsi="Arial" w:cs="Arial"/>
                <w:bCs/>
                <w:color w:val="000000"/>
              </w:rPr>
              <w:t>14</w:t>
            </w:r>
            <w:r w:rsidRPr="00BA06F6">
              <w:rPr>
                <w:rFonts w:ascii="Arial" w:hAnsi="Arial" w:cs="Arial"/>
                <w:bCs/>
                <w:color w:val="000000"/>
              </w:rPr>
              <w:t>.</w:t>
            </w:r>
            <w:r w:rsidR="00292B21">
              <w:rPr>
                <w:rFonts w:ascii="Arial" w:hAnsi="Arial" w:cs="Arial"/>
                <w:bCs/>
                <w:color w:val="000000"/>
              </w:rPr>
              <w:t>332</w:t>
            </w:r>
            <w:r w:rsidRPr="00BA06F6">
              <w:rPr>
                <w:rFonts w:ascii="Arial" w:hAnsi="Arial" w:cs="Arial"/>
                <w:bCs/>
                <w:color w:val="000000"/>
              </w:rPr>
              <w:t>)</w:t>
            </w:r>
          </w:p>
        </w:tc>
      </w:tr>
    </w:tbl>
    <w:p w:rsidR="00D322FB" w:rsidRPr="00BA06F6" w:rsidRDefault="00D322FB" w:rsidP="0090567F">
      <w:pPr>
        <w:ind w:left="567" w:hanging="567"/>
        <w:rPr>
          <w:rFonts w:ascii="Arial" w:hAnsi="Arial" w:cs="Arial"/>
          <w:lang w:val="tr-TR"/>
        </w:rPr>
      </w:pPr>
    </w:p>
    <w:p w:rsidR="00D322FB" w:rsidRPr="00BA06F6" w:rsidRDefault="00D322FB" w:rsidP="006E13E5">
      <w:pPr>
        <w:ind w:left="567" w:hanging="567"/>
        <w:rPr>
          <w:rFonts w:ascii="Arial" w:hAnsi="Arial" w:cs="Arial"/>
          <w:lang w:val="tr-TR"/>
        </w:rPr>
      </w:pPr>
      <w:r w:rsidRPr="00BA06F6">
        <w:rPr>
          <w:rFonts w:ascii="Arial" w:hAnsi="Arial" w:cs="Arial"/>
          <w:lang w:val="tr-TR"/>
        </w:rPr>
        <w:t>(*)</w:t>
      </w:r>
      <w:r w:rsidRPr="00BA06F6">
        <w:rPr>
          <w:rFonts w:ascii="Arial" w:hAnsi="Arial" w:cs="Arial"/>
          <w:lang w:val="tr-TR"/>
        </w:rPr>
        <w:tab/>
        <w:t xml:space="preserve">Finansal tablolarda </w:t>
      </w:r>
      <w:r>
        <w:rPr>
          <w:rFonts w:ascii="Arial" w:hAnsi="Arial" w:cs="Arial"/>
          <w:lang w:val="tr-TR"/>
        </w:rPr>
        <w:t>cari dönem vergisi ile ilgili varlıklar</w:t>
      </w:r>
      <w:r w:rsidRPr="00BA06F6">
        <w:rPr>
          <w:rFonts w:ascii="Arial" w:hAnsi="Arial" w:cs="Arial"/>
          <w:lang w:val="tr-TR"/>
        </w:rPr>
        <w:t xml:space="preserve"> içerisinde yer almaktadır.</w:t>
      </w:r>
    </w:p>
    <w:p w:rsidR="00D322FB" w:rsidRPr="00BA06F6" w:rsidRDefault="00D322FB" w:rsidP="00BA06F6">
      <w:pPr>
        <w:rPr>
          <w:rFonts w:ascii="Arial" w:hAnsi="Arial" w:cs="Arial"/>
          <w:b/>
          <w:lang w:val="tr-TR"/>
        </w:rPr>
      </w:pPr>
    </w:p>
    <w:p w:rsidR="00D322FB" w:rsidRPr="00946981" w:rsidRDefault="00D322FB" w:rsidP="00BA06F6">
      <w:pPr>
        <w:pStyle w:val="000normal"/>
        <w:autoSpaceDE w:val="0"/>
        <w:autoSpaceDN w:val="0"/>
        <w:adjustRightInd w:val="0"/>
        <w:spacing w:before="0" w:after="0" w:afterAutospacing="0" w:line="221" w:lineRule="auto"/>
        <w:jc w:val="left"/>
        <w:rPr>
          <w:rFonts w:eastAsia="Times New Roman"/>
          <w:lang w:val="tr-TR"/>
        </w:rPr>
      </w:pPr>
      <w:r w:rsidRPr="00BA06F6">
        <w:rPr>
          <w:rFonts w:eastAsia="Times New Roman"/>
          <w:lang w:val="tr-TR"/>
        </w:rPr>
        <w:t>31 Aralık 2014 ve 2013 tarihinde sona eren yıllara ait vergi gelir/(gideri)’nin detayı aşağıdaki gibidir:</w:t>
      </w:r>
    </w:p>
    <w:p w:rsidR="00D322FB" w:rsidRPr="00727376" w:rsidRDefault="00D322FB" w:rsidP="00EC7963">
      <w:pPr>
        <w:rPr>
          <w:rFonts w:ascii="Arial" w:hAnsi="Arial" w:cs="Arial"/>
          <w:b/>
          <w:highlight w:val="yellow"/>
          <w:lang w:val="tr-TR"/>
        </w:rPr>
      </w:pPr>
    </w:p>
    <w:tbl>
      <w:tblPr>
        <w:tblW w:w="9464" w:type="dxa"/>
        <w:tblInd w:w="108" w:type="dxa"/>
        <w:tblLayout w:type="fixed"/>
        <w:tblLook w:val="0000" w:firstRow="0" w:lastRow="0" w:firstColumn="0" w:lastColumn="0" w:noHBand="0" w:noVBand="0"/>
      </w:tblPr>
      <w:tblGrid>
        <w:gridCol w:w="6030"/>
        <w:gridCol w:w="1710"/>
        <w:gridCol w:w="1724"/>
      </w:tblGrid>
      <w:tr w:rsidR="00D322FB" w:rsidRPr="00727376" w:rsidTr="00E4669C">
        <w:trPr>
          <w:trHeight w:val="113"/>
        </w:trPr>
        <w:tc>
          <w:tcPr>
            <w:tcW w:w="6030" w:type="dxa"/>
            <w:tcBorders>
              <w:top w:val="single" w:sz="6" w:space="0" w:color="auto"/>
              <w:left w:val="nil"/>
              <w:bottom w:val="single" w:sz="6" w:space="0" w:color="auto"/>
              <w:right w:val="nil"/>
            </w:tcBorders>
            <w:vAlign w:val="bottom"/>
          </w:tcPr>
          <w:p w:rsidR="00D322FB" w:rsidRPr="00842630" w:rsidRDefault="00D322FB" w:rsidP="006B2665">
            <w:pPr>
              <w:autoSpaceDE w:val="0"/>
              <w:autoSpaceDN w:val="0"/>
              <w:adjustRightInd w:val="0"/>
              <w:ind w:left="-108"/>
              <w:rPr>
                <w:rFonts w:ascii="Arial" w:hAnsi="Arial" w:cs="Arial"/>
                <w:b/>
                <w:bCs/>
                <w:color w:val="000000"/>
                <w:highlight w:val="yellow"/>
                <w:lang w:val="tr-TR"/>
              </w:rPr>
            </w:pPr>
          </w:p>
        </w:tc>
        <w:tc>
          <w:tcPr>
            <w:tcW w:w="1710" w:type="dxa"/>
            <w:tcBorders>
              <w:top w:val="single" w:sz="6" w:space="0" w:color="auto"/>
              <w:left w:val="nil"/>
              <w:bottom w:val="single" w:sz="6" w:space="0" w:color="auto"/>
              <w:right w:val="nil"/>
            </w:tcBorders>
            <w:vAlign w:val="bottom"/>
          </w:tcPr>
          <w:p w:rsidR="00D322FB" w:rsidRPr="005E1D99" w:rsidRDefault="005E1D99" w:rsidP="005E1D99">
            <w:pPr>
              <w:autoSpaceDE w:val="0"/>
              <w:autoSpaceDN w:val="0"/>
              <w:adjustRightInd w:val="0"/>
              <w:jc w:val="right"/>
              <w:rPr>
                <w:rFonts w:ascii="Arial" w:hAnsi="Arial" w:cs="Arial"/>
                <w:b/>
                <w:bCs/>
                <w:color w:val="000000"/>
              </w:rPr>
            </w:pPr>
            <w:r w:rsidRPr="005E1D99">
              <w:rPr>
                <w:rFonts w:ascii="Arial" w:hAnsi="Arial" w:cs="Arial"/>
                <w:b/>
                <w:bCs/>
                <w:color w:val="000000"/>
              </w:rPr>
              <w:t>31 Mart 2015</w:t>
            </w:r>
          </w:p>
        </w:tc>
        <w:tc>
          <w:tcPr>
            <w:tcW w:w="1724" w:type="dxa"/>
            <w:tcBorders>
              <w:top w:val="single" w:sz="6" w:space="0" w:color="auto"/>
              <w:left w:val="nil"/>
              <w:bottom w:val="single" w:sz="6" w:space="0" w:color="auto"/>
              <w:right w:val="nil"/>
            </w:tcBorders>
            <w:vAlign w:val="bottom"/>
          </w:tcPr>
          <w:p w:rsidR="00D322FB" w:rsidRPr="005E1D99" w:rsidRDefault="005E1D99" w:rsidP="005E1D99">
            <w:pPr>
              <w:autoSpaceDE w:val="0"/>
              <w:autoSpaceDN w:val="0"/>
              <w:adjustRightInd w:val="0"/>
              <w:rPr>
                <w:rFonts w:ascii="Arial" w:hAnsi="Arial" w:cs="Arial"/>
                <w:b/>
                <w:bCs/>
                <w:color w:val="000000"/>
              </w:rPr>
            </w:pPr>
            <w:r w:rsidRPr="005E1D99">
              <w:rPr>
                <w:rFonts w:ascii="Arial" w:hAnsi="Arial" w:cs="Arial"/>
                <w:b/>
                <w:bCs/>
                <w:color w:val="000000"/>
              </w:rPr>
              <w:t>31 Mart 2014</w:t>
            </w:r>
          </w:p>
        </w:tc>
      </w:tr>
      <w:tr w:rsidR="00D322FB" w:rsidRPr="00727376" w:rsidTr="00E4669C">
        <w:trPr>
          <w:trHeight w:val="113"/>
        </w:trPr>
        <w:tc>
          <w:tcPr>
            <w:tcW w:w="6030" w:type="dxa"/>
            <w:tcBorders>
              <w:top w:val="nil"/>
              <w:left w:val="nil"/>
              <w:bottom w:val="nil"/>
              <w:right w:val="nil"/>
            </w:tcBorders>
            <w:vAlign w:val="bottom"/>
          </w:tcPr>
          <w:p w:rsidR="00D322FB" w:rsidRPr="00DB39F1" w:rsidRDefault="00D322FB" w:rsidP="006B2665">
            <w:pPr>
              <w:autoSpaceDE w:val="0"/>
              <w:autoSpaceDN w:val="0"/>
              <w:adjustRightInd w:val="0"/>
              <w:ind w:left="-108"/>
              <w:rPr>
                <w:rFonts w:ascii="Arial" w:hAnsi="Arial" w:cs="Arial"/>
                <w:color w:val="000000"/>
              </w:rPr>
            </w:pPr>
          </w:p>
        </w:tc>
        <w:tc>
          <w:tcPr>
            <w:tcW w:w="1710" w:type="dxa"/>
            <w:tcBorders>
              <w:top w:val="nil"/>
              <w:left w:val="nil"/>
              <w:bottom w:val="nil"/>
              <w:right w:val="nil"/>
            </w:tcBorders>
          </w:tcPr>
          <w:p w:rsidR="00D322FB" w:rsidRPr="00095013" w:rsidRDefault="00D322FB" w:rsidP="00E83219">
            <w:pPr>
              <w:autoSpaceDE w:val="0"/>
              <w:autoSpaceDN w:val="0"/>
              <w:adjustRightInd w:val="0"/>
              <w:jc w:val="right"/>
              <w:rPr>
                <w:rFonts w:ascii="Arial" w:hAnsi="Arial" w:cs="Arial"/>
                <w:color w:val="000000"/>
              </w:rPr>
            </w:pPr>
          </w:p>
        </w:tc>
        <w:tc>
          <w:tcPr>
            <w:tcW w:w="1724" w:type="dxa"/>
            <w:tcBorders>
              <w:top w:val="nil"/>
              <w:left w:val="nil"/>
              <w:bottom w:val="nil"/>
              <w:right w:val="nil"/>
            </w:tcBorders>
          </w:tcPr>
          <w:p w:rsidR="00D322FB" w:rsidRPr="00095013" w:rsidRDefault="00D322FB" w:rsidP="00E83219">
            <w:pPr>
              <w:autoSpaceDE w:val="0"/>
              <w:autoSpaceDN w:val="0"/>
              <w:adjustRightInd w:val="0"/>
              <w:jc w:val="right"/>
              <w:rPr>
                <w:rFonts w:ascii="Arial" w:hAnsi="Arial" w:cs="Arial"/>
                <w:color w:val="000000"/>
              </w:rPr>
            </w:pPr>
          </w:p>
        </w:tc>
      </w:tr>
      <w:tr w:rsidR="00D322FB" w:rsidRPr="00842630" w:rsidTr="00E4669C">
        <w:trPr>
          <w:trHeight w:val="113"/>
        </w:trPr>
        <w:tc>
          <w:tcPr>
            <w:tcW w:w="6030" w:type="dxa"/>
            <w:tcBorders>
              <w:top w:val="nil"/>
              <w:left w:val="nil"/>
              <w:bottom w:val="nil"/>
              <w:right w:val="nil"/>
            </w:tcBorders>
          </w:tcPr>
          <w:p w:rsidR="00D322FB" w:rsidRPr="00DB39F1" w:rsidRDefault="00D322FB" w:rsidP="001A0C62">
            <w:pPr>
              <w:pStyle w:val="001normalbold"/>
              <w:autoSpaceDE w:val="0"/>
              <w:autoSpaceDN w:val="0"/>
              <w:adjustRightInd w:val="0"/>
              <w:spacing w:before="0" w:after="0"/>
              <w:ind w:left="-108"/>
              <w:jc w:val="left"/>
              <w:rPr>
                <w:rFonts w:eastAsia="Times New Roman"/>
                <w:bCs w:val="0"/>
                <w:lang w:val="tr-TR"/>
              </w:rPr>
            </w:pPr>
            <w:r w:rsidRPr="00DB39F1">
              <w:rPr>
                <w:bCs w:val="0"/>
                <w:lang w:val="tr-TR"/>
              </w:rPr>
              <w:t>Kar veya zarar tablosunda raporlanan toplam vergi gideri</w:t>
            </w:r>
          </w:p>
        </w:tc>
        <w:tc>
          <w:tcPr>
            <w:tcW w:w="1710" w:type="dxa"/>
            <w:tcBorders>
              <w:top w:val="nil"/>
              <w:left w:val="nil"/>
              <w:bottom w:val="nil"/>
              <w:right w:val="nil"/>
            </w:tcBorders>
          </w:tcPr>
          <w:p w:rsidR="00D322FB" w:rsidRPr="00842630" w:rsidRDefault="00D322FB" w:rsidP="00E83219">
            <w:pPr>
              <w:autoSpaceDE w:val="0"/>
              <w:autoSpaceDN w:val="0"/>
              <w:adjustRightInd w:val="0"/>
              <w:jc w:val="right"/>
              <w:rPr>
                <w:rFonts w:ascii="Arial" w:hAnsi="Arial" w:cs="Arial"/>
                <w:b/>
                <w:bCs/>
                <w:color w:val="000000"/>
                <w:highlight w:val="yellow"/>
                <w:lang w:val="de-DE"/>
              </w:rPr>
            </w:pPr>
          </w:p>
        </w:tc>
        <w:tc>
          <w:tcPr>
            <w:tcW w:w="1724" w:type="dxa"/>
            <w:tcBorders>
              <w:top w:val="nil"/>
              <w:left w:val="nil"/>
              <w:bottom w:val="nil"/>
              <w:right w:val="nil"/>
            </w:tcBorders>
          </w:tcPr>
          <w:p w:rsidR="00D322FB" w:rsidRPr="00842630" w:rsidRDefault="00D322FB" w:rsidP="001A0C62">
            <w:pPr>
              <w:autoSpaceDE w:val="0"/>
              <w:autoSpaceDN w:val="0"/>
              <w:adjustRightInd w:val="0"/>
              <w:jc w:val="right"/>
              <w:rPr>
                <w:rFonts w:ascii="Arial" w:hAnsi="Arial" w:cs="Arial"/>
                <w:bCs/>
                <w:color w:val="000000"/>
                <w:lang w:val="de-DE"/>
              </w:rPr>
            </w:pPr>
          </w:p>
        </w:tc>
      </w:tr>
      <w:tr w:rsidR="00D322FB" w:rsidRPr="00727376" w:rsidTr="00CB5525">
        <w:trPr>
          <w:trHeight w:val="113"/>
        </w:trPr>
        <w:tc>
          <w:tcPr>
            <w:tcW w:w="6030" w:type="dxa"/>
            <w:tcBorders>
              <w:top w:val="nil"/>
              <w:left w:val="nil"/>
              <w:bottom w:val="nil"/>
              <w:right w:val="nil"/>
            </w:tcBorders>
          </w:tcPr>
          <w:p w:rsidR="00D322FB" w:rsidRPr="00DB39F1" w:rsidRDefault="00D322FB" w:rsidP="00311F57">
            <w:pPr>
              <w:pStyle w:val="001normalbold"/>
              <w:numPr>
                <w:ilvl w:val="0"/>
                <w:numId w:val="32"/>
              </w:numPr>
              <w:autoSpaceDE w:val="0"/>
              <w:autoSpaceDN w:val="0"/>
              <w:adjustRightInd w:val="0"/>
              <w:spacing w:before="0" w:after="0"/>
              <w:jc w:val="left"/>
              <w:rPr>
                <w:rFonts w:eastAsia="Times New Roman"/>
                <w:b w:val="0"/>
                <w:bCs w:val="0"/>
                <w:lang w:val="tr-TR"/>
              </w:rPr>
            </w:pPr>
            <w:r w:rsidRPr="00DB39F1">
              <w:rPr>
                <w:rFonts w:eastAsia="Times New Roman"/>
                <w:b w:val="0"/>
                <w:bCs w:val="0"/>
                <w:lang w:val="tr-TR"/>
              </w:rPr>
              <w:t>Kurumlar vergisi gideri</w:t>
            </w:r>
          </w:p>
        </w:tc>
        <w:tc>
          <w:tcPr>
            <w:tcW w:w="1710" w:type="dxa"/>
            <w:tcBorders>
              <w:top w:val="nil"/>
              <w:left w:val="nil"/>
              <w:bottom w:val="nil"/>
              <w:right w:val="nil"/>
            </w:tcBorders>
            <w:vAlign w:val="bottom"/>
          </w:tcPr>
          <w:p w:rsidR="00D322FB" w:rsidRDefault="00D322FB">
            <w:pPr>
              <w:jc w:val="right"/>
              <w:rPr>
                <w:rFonts w:ascii="Arial" w:hAnsi="Arial" w:cs="Arial"/>
                <w:b/>
                <w:bCs/>
                <w:color w:val="000000"/>
              </w:rPr>
            </w:pPr>
            <w:r>
              <w:rPr>
                <w:rFonts w:ascii="Arial" w:hAnsi="Arial" w:cs="Arial"/>
                <w:b/>
                <w:bCs/>
                <w:color w:val="000000"/>
              </w:rPr>
              <w:t xml:space="preserve">                      - </w:t>
            </w:r>
          </w:p>
        </w:tc>
        <w:tc>
          <w:tcPr>
            <w:tcW w:w="1724" w:type="dxa"/>
            <w:tcBorders>
              <w:top w:val="nil"/>
              <w:left w:val="nil"/>
              <w:bottom w:val="nil"/>
              <w:right w:val="nil"/>
            </w:tcBorders>
          </w:tcPr>
          <w:p w:rsidR="00D322FB" w:rsidRPr="00311F57" w:rsidRDefault="00D322FB" w:rsidP="001A0C62">
            <w:pPr>
              <w:autoSpaceDE w:val="0"/>
              <w:autoSpaceDN w:val="0"/>
              <w:adjustRightInd w:val="0"/>
              <w:jc w:val="right"/>
              <w:rPr>
                <w:rFonts w:ascii="Arial" w:hAnsi="Arial" w:cs="Arial"/>
                <w:bCs/>
                <w:color w:val="000000"/>
              </w:rPr>
            </w:pPr>
            <w:r w:rsidRPr="00311F57">
              <w:rPr>
                <w:rFonts w:ascii="Arial" w:hAnsi="Arial" w:cs="Arial"/>
                <w:bCs/>
                <w:color w:val="000000"/>
              </w:rPr>
              <w:t>-</w:t>
            </w:r>
          </w:p>
        </w:tc>
      </w:tr>
      <w:tr w:rsidR="00D322FB" w:rsidRPr="00727376" w:rsidTr="00CB5525">
        <w:trPr>
          <w:trHeight w:val="113"/>
        </w:trPr>
        <w:tc>
          <w:tcPr>
            <w:tcW w:w="6030" w:type="dxa"/>
            <w:tcBorders>
              <w:top w:val="nil"/>
              <w:left w:val="nil"/>
              <w:bottom w:val="nil"/>
              <w:right w:val="nil"/>
            </w:tcBorders>
          </w:tcPr>
          <w:p w:rsidR="00D322FB" w:rsidRPr="00DB39F1" w:rsidRDefault="00D322FB" w:rsidP="00311F57">
            <w:pPr>
              <w:pStyle w:val="001normalbold"/>
              <w:numPr>
                <w:ilvl w:val="0"/>
                <w:numId w:val="32"/>
              </w:numPr>
              <w:autoSpaceDE w:val="0"/>
              <w:autoSpaceDN w:val="0"/>
              <w:adjustRightInd w:val="0"/>
              <w:spacing w:before="0" w:after="0"/>
              <w:jc w:val="left"/>
              <w:rPr>
                <w:rFonts w:eastAsia="Times New Roman"/>
                <w:b w:val="0"/>
                <w:bCs w:val="0"/>
                <w:lang w:val="tr-TR"/>
              </w:rPr>
            </w:pPr>
            <w:r w:rsidRPr="00DB39F1">
              <w:rPr>
                <w:rFonts w:eastAsia="Times New Roman"/>
                <w:b w:val="0"/>
                <w:bCs w:val="0"/>
                <w:lang w:val="tr-TR"/>
              </w:rPr>
              <w:t>Ertelenmiş vergi geliri/(gideri)</w:t>
            </w:r>
          </w:p>
        </w:tc>
        <w:tc>
          <w:tcPr>
            <w:tcW w:w="1710" w:type="dxa"/>
            <w:tcBorders>
              <w:top w:val="nil"/>
              <w:left w:val="nil"/>
              <w:bottom w:val="nil"/>
              <w:right w:val="nil"/>
            </w:tcBorders>
            <w:vAlign w:val="bottom"/>
          </w:tcPr>
          <w:p w:rsidR="00D322FB" w:rsidRDefault="00D322FB"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(16.792)</w:t>
            </w:r>
            <w:r>
              <w:rPr>
                <w:rFonts w:ascii="Arial" w:hAnsi="Arial" w:cs="Arial"/>
                <w:b/>
                <w:bCs/>
                <w:color w:val="000000"/>
              </w:rPr>
              <w:t xml:space="preserve"> </w:t>
            </w:r>
          </w:p>
        </w:tc>
        <w:tc>
          <w:tcPr>
            <w:tcW w:w="1724" w:type="dxa"/>
            <w:tcBorders>
              <w:top w:val="nil"/>
              <w:left w:val="nil"/>
              <w:bottom w:val="nil"/>
              <w:right w:val="nil"/>
            </w:tcBorders>
          </w:tcPr>
          <w:p w:rsidR="00D322FB" w:rsidRPr="00311F57" w:rsidRDefault="00292B21" w:rsidP="00292B21">
            <w:pPr>
              <w:autoSpaceDE w:val="0"/>
              <w:autoSpaceDN w:val="0"/>
              <w:adjustRightInd w:val="0"/>
              <w:jc w:val="right"/>
              <w:rPr>
                <w:rFonts w:ascii="Arial" w:hAnsi="Arial" w:cs="Arial"/>
                <w:bCs/>
                <w:color w:val="000000"/>
              </w:rPr>
            </w:pPr>
            <w:r>
              <w:rPr>
                <w:rFonts w:ascii="Arial" w:hAnsi="Arial" w:cs="Arial"/>
                <w:bCs/>
                <w:color w:val="000000"/>
              </w:rPr>
              <w:t>57.801</w:t>
            </w:r>
          </w:p>
        </w:tc>
      </w:tr>
      <w:tr w:rsidR="00D322FB" w:rsidRPr="00727376" w:rsidTr="00E4669C">
        <w:trPr>
          <w:trHeight w:val="113"/>
        </w:trPr>
        <w:tc>
          <w:tcPr>
            <w:tcW w:w="6030" w:type="dxa"/>
            <w:tcBorders>
              <w:top w:val="nil"/>
              <w:left w:val="nil"/>
              <w:bottom w:val="nil"/>
              <w:right w:val="nil"/>
            </w:tcBorders>
          </w:tcPr>
          <w:p w:rsidR="00D322FB" w:rsidRPr="00DB39F1" w:rsidRDefault="00D322FB" w:rsidP="001A0C62">
            <w:pPr>
              <w:autoSpaceDE w:val="0"/>
              <w:autoSpaceDN w:val="0"/>
              <w:adjustRightInd w:val="0"/>
              <w:ind w:left="-108"/>
              <w:rPr>
                <w:rFonts w:ascii="Arial" w:hAnsi="Arial" w:cs="Arial"/>
                <w:lang w:val="tr-TR"/>
              </w:rPr>
            </w:pPr>
          </w:p>
        </w:tc>
        <w:tc>
          <w:tcPr>
            <w:tcW w:w="1710" w:type="dxa"/>
            <w:tcBorders>
              <w:top w:val="nil"/>
              <w:left w:val="nil"/>
              <w:bottom w:val="nil"/>
              <w:right w:val="nil"/>
            </w:tcBorders>
          </w:tcPr>
          <w:p w:rsidR="00D322FB" w:rsidRPr="00727376" w:rsidRDefault="00D322FB" w:rsidP="00E83219">
            <w:pPr>
              <w:autoSpaceDE w:val="0"/>
              <w:autoSpaceDN w:val="0"/>
              <w:adjustRightInd w:val="0"/>
              <w:jc w:val="right"/>
              <w:rPr>
                <w:rFonts w:ascii="Arial" w:hAnsi="Arial" w:cs="Arial"/>
                <w:b/>
                <w:bCs/>
                <w:color w:val="000000"/>
                <w:highlight w:val="yellow"/>
              </w:rPr>
            </w:pPr>
          </w:p>
        </w:tc>
        <w:tc>
          <w:tcPr>
            <w:tcW w:w="1724" w:type="dxa"/>
            <w:tcBorders>
              <w:top w:val="nil"/>
              <w:left w:val="nil"/>
              <w:bottom w:val="nil"/>
              <w:right w:val="nil"/>
            </w:tcBorders>
          </w:tcPr>
          <w:p w:rsidR="00D322FB" w:rsidRPr="00311F57" w:rsidRDefault="00D322FB" w:rsidP="001A0C62">
            <w:pPr>
              <w:autoSpaceDE w:val="0"/>
              <w:autoSpaceDN w:val="0"/>
              <w:adjustRightInd w:val="0"/>
              <w:jc w:val="right"/>
              <w:rPr>
                <w:rFonts w:ascii="Arial" w:hAnsi="Arial" w:cs="Arial"/>
                <w:bCs/>
                <w:color w:val="000000"/>
              </w:rPr>
            </w:pPr>
          </w:p>
        </w:tc>
      </w:tr>
      <w:tr w:rsidR="00D322FB" w:rsidRPr="00727376" w:rsidTr="00E4669C">
        <w:trPr>
          <w:trHeight w:val="113"/>
        </w:trPr>
        <w:tc>
          <w:tcPr>
            <w:tcW w:w="6030" w:type="dxa"/>
            <w:tcBorders>
              <w:top w:val="single" w:sz="6" w:space="0" w:color="auto"/>
              <w:left w:val="nil"/>
              <w:bottom w:val="double" w:sz="6" w:space="0" w:color="auto"/>
              <w:right w:val="nil"/>
            </w:tcBorders>
          </w:tcPr>
          <w:p w:rsidR="00D322FB" w:rsidRPr="00DB39F1" w:rsidRDefault="00D322FB" w:rsidP="001A0C62">
            <w:pPr>
              <w:autoSpaceDE w:val="0"/>
              <w:autoSpaceDN w:val="0"/>
              <w:adjustRightInd w:val="0"/>
              <w:ind w:left="-108"/>
              <w:rPr>
                <w:rFonts w:ascii="Arial" w:hAnsi="Arial" w:cs="Arial"/>
                <w:lang w:val="tr-TR"/>
              </w:rPr>
            </w:pPr>
            <w:r w:rsidRPr="00DB39F1">
              <w:rPr>
                <w:rFonts w:ascii="Arial" w:hAnsi="Arial" w:cs="Arial"/>
                <w:b/>
                <w:bCs/>
                <w:color w:val="000000"/>
              </w:rPr>
              <w:t>Dönem vergi gelir/(gideri)</w:t>
            </w:r>
          </w:p>
        </w:tc>
        <w:tc>
          <w:tcPr>
            <w:tcW w:w="1710" w:type="dxa"/>
            <w:tcBorders>
              <w:top w:val="single" w:sz="6" w:space="0" w:color="auto"/>
              <w:left w:val="nil"/>
              <w:bottom w:val="double" w:sz="6" w:space="0" w:color="auto"/>
              <w:right w:val="nil"/>
            </w:tcBorders>
          </w:tcPr>
          <w:p w:rsidR="00D322FB" w:rsidRPr="00095013" w:rsidRDefault="00D322FB" w:rsidP="00267EF5">
            <w:pPr>
              <w:jc w:val="right"/>
              <w:rPr>
                <w:rFonts w:ascii="Arial" w:hAnsi="Arial" w:cs="Arial"/>
                <w:b/>
                <w:bCs/>
                <w:color w:val="000000"/>
              </w:rPr>
            </w:pPr>
            <w:r>
              <w:rPr>
                <w:rFonts w:ascii="Arial" w:hAnsi="Arial" w:cs="Arial"/>
                <w:b/>
                <w:bCs/>
                <w:color w:val="000000"/>
              </w:rPr>
              <w:t xml:space="preserve">           </w:t>
            </w:r>
            <w:r w:rsidR="00267EF5">
              <w:rPr>
                <w:rFonts w:ascii="Arial" w:hAnsi="Arial" w:cs="Arial"/>
                <w:b/>
                <w:bCs/>
                <w:color w:val="000000"/>
              </w:rPr>
              <w:t>(16</w:t>
            </w:r>
            <w:r>
              <w:rPr>
                <w:rFonts w:ascii="Arial" w:hAnsi="Arial" w:cs="Arial"/>
                <w:b/>
                <w:bCs/>
                <w:color w:val="000000"/>
              </w:rPr>
              <w:t>.</w:t>
            </w:r>
            <w:r w:rsidR="00267EF5">
              <w:rPr>
                <w:rFonts w:ascii="Arial" w:hAnsi="Arial" w:cs="Arial"/>
                <w:b/>
                <w:bCs/>
                <w:color w:val="000000"/>
              </w:rPr>
              <w:t>792)</w:t>
            </w:r>
            <w:r>
              <w:rPr>
                <w:rFonts w:ascii="Arial" w:hAnsi="Arial" w:cs="Arial"/>
                <w:b/>
                <w:bCs/>
                <w:color w:val="000000"/>
              </w:rPr>
              <w:t xml:space="preserve"> </w:t>
            </w:r>
          </w:p>
        </w:tc>
        <w:tc>
          <w:tcPr>
            <w:tcW w:w="1724" w:type="dxa"/>
            <w:tcBorders>
              <w:top w:val="single" w:sz="6" w:space="0" w:color="auto"/>
              <w:left w:val="nil"/>
              <w:bottom w:val="double" w:sz="6" w:space="0" w:color="auto"/>
              <w:right w:val="nil"/>
            </w:tcBorders>
          </w:tcPr>
          <w:p w:rsidR="00D322FB" w:rsidRPr="00311F57" w:rsidRDefault="00292B21" w:rsidP="00292B21">
            <w:pPr>
              <w:autoSpaceDE w:val="0"/>
              <w:autoSpaceDN w:val="0"/>
              <w:adjustRightInd w:val="0"/>
              <w:jc w:val="right"/>
              <w:rPr>
                <w:rFonts w:ascii="Arial" w:hAnsi="Arial" w:cs="Arial"/>
                <w:bCs/>
                <w:color w:val="000000"/>
              </w:rPr>
            </w:pPr>
            <w:r>
              <w:rPr>
                <w:rFonts w:ascii="Arial" w:hAnsi="Arial" w:cs="Arial"/>
                <w:bCs/>
                <w:color w:val="000000"/>
              </w:rPr>
              <w:t>57.801</w:t>
            </w:r>
          </w:p>
        </w:tc>
      </w:tr>
    </w:tbl>
    <w:p w:rsidR="00D322FB" w:rsidRDefault="00D322FB" w:rsidP="005713F9">
      <w:pPr>
        <w:ind w:right="-23"/>
        <w:rPr>
          <w:rFonts w:ascii="Arial" w:hAnsi="Arial" w:cs="Arial"/>
          <w:b/>
          <w:lang w:val="tr-TR"/>
        </w:rPr>
      </w:pPr>
      <w:r>
        <w:rPr>
          <w:rFonts w:ascii="Arial" w:hAnsi="Arial" w:cs="Arial"/>
          <w:b/>
          <w:lang w:val="tr-TR"/>
        </w:rPr>
        <w:br w:type="page"/>
      </w:r>
    </w:p>
    <w:p w:rsidR="00D322FB" w:rsidRPr="00053C0A" w:rsidRDefault="00D322FB" w:rsidP="005713F9">
      <w:pPr>
        <w:ind w:right="-23"/>
        <w:rPr>
          <w:rFonts w:ascii="Arial" w:hAnsi="Arial" w:cs="Arial"/>
          <w:lang w:val="tr-TR"/>
        </w:rPr>
      </w:pPr>
      <w:r w:rsidRPr="00053C0A">
        <w:rPr>
          <w:rFonts w:ascii="Arial" w:hAnsi="Arial" w:cs="Arial"/>
          <w:b/>
          <w:lang w:val="tr-TR"/>
        </w:rPr>
        <w:lastRenderedPageBreak/>
        <w:t>21.</w:t>
      </w:r>
      <w:r w:rsidRPr="00053C0A">
        <w:rPr>
          <w:rFonts w:ascii="Arial" w:hAnsi="Arial" w:cs="Arial"/>
          <w:b/>
          <w:lang w:val="tr-TR"/>
        </w:rPr>
        <w:tab/>
        <w:t>Vergi varlık ve yükümlülükleri (ertelenmiş varlık ve yükümlülükler dahil) (devamı)</w:t>
      </w:r>
    </w:p>
    <w:p w:rsidR="00D322FB" w:rsidRPr="00053C0A" w:rsidRDefault="00D322FB" w:rsidP="0090567F">
      <w:pPr>
        <w:ind w:right="-23"/>
        <w:rPr>
          <w:rFonts w:ascii="Arial" w:hAnsi="Arial" w:cs="Arial"/>
          <w:b/>
          <w:lang w:val="tr-TR"/>
        </w:rPr>
      </w:pPr>
    </w:p>
    <w:p w:rsidR="00D322FB" w:rsidRPr="00053C0A" w:rsidRDefault="00D322FB" w:rsidP="0090567F">
      <w:pPr>
        <w:ind w:right="-23"/>
        <w:rPr>
          <w:rFonts w:ascii="Arial" w:hAnsi="Arial" w:cs="Arial"/>
          <w:i/>
          <w:lang w:val="tr-TR"/>
        </w:rPr>
      </w:pPr>
      <w:r w:rsidRPr="00053C0A">
        <w:rPr>
          <w:rFonts w:ascii="Arial" w:hAnsi="Arial" w:cs="Arial"/>
          <w:i/>
          <w:lang w:val="tr-TR"/>
        </w:rPr>
        <w:t>Kurumlar vergisi</w:t>
      </w:r>
    </w:p>
    <w:p w:rsidR="00D322FB" w:rsidRPr="00053C0A" w:rsidRDefault="00D322FB" w:rsidP="0090567F">
      <w:pPr>
        <w:ind w:right="-23"/>
        <w:rPr>
          <w:rFonts w:ascii="Arial" w:hAnsi="Arial" w:cs="Arial"/>
          <w:lang w:val="tr-TR"/>
        </w:rPr>
      </w:pPr>
    </w:p>
    <w:p w:rsidR="00D322FB" w:rsidRPr="00053C0A" w:rsidRDefault="00D322FB" w:rsidP="0090567F">
      <w:pPr>
        <w:ind w:right="-23"/>
        <w:rPr>
          <w:rFonts w:ascii="Arial" w:hAnsi="Arial" w:cs="Arial"/>
          <w:lang w:val="tr-TR"/>
        </w:rPr>
      </w:pPr>
      <w:r w:rsidRPr="00053C0A">
        <w:rPr>
          <w:rFonts w:ascii="Arial" w:hAnsi="Arial" w:cs="Arial"/>
          <w:lang w:val="tr-TR"/>
        </w:rPr>
        <w:t xml:space="preserve">Şirket, Türkiye’de geçerli olan kurumlar vergisine tabidir. Şirket’in cari dönem faaliyet sonuçlarına ilişkin tahmini vergi yükümlülükleri için ekli finansal tablolarda gerekli karşılıklar ayrılmıştır. </w:t>
      </w:r>
    </w:p>
    <w:p w:rsidR="00D322FB" w:rsidRPr="00053C0A" w:rsidRDefault="00D322FB" w:rsidP="0090567F">
      <w:pPr>
        <w:ind w:right="-732"/>
        <w:rPr>
          <w:rFonts w:ascii="Arial" w:hAnsi="Arial" w:cs="Arial"/>
          <w:lang w:val="tr-TR"/>
        </w:rPr>
      </w:pPr>
    </w:p>
    <w:p w:rsidR="00D322FB" w:rsidRPr="00053C0A" w:rsidRDefault="00D322FB" w:rsidP="0090567F">
      <w:pPr>
        <w:ind w:right="-23"/>
        <w:rPr>
          <w:rFonts w:ascii="Arial" w:hAnsi="Arial" w:cs="Arial"/>
          <w:lang w:val="tr-TR"/>
        </w:rPr>
      </w:pPr>
      <w:r w:rsidRPr="00053C0A">
        <w:rPr>
          <w:rFonts w:ascii="Arial" w:hAnsi="Arial" w:cs="Arial"/>
          <w:lang w:val="tr-TR"/>
        </w:rPr>
        <w:t>Vergiye tabi kurum kazancı üzerinden tahakkuk ettirilecek kurumlar vergisi oranı ticari kazancın tespitinde gider yazılan vergi matrahından indirilemeyen giderlerin eklenmesi ve vergiden istisna kazançlar, vergiye tabi olmayan gelirler ve diğer indirimler (varsa geçmiş yıl zararları ve tercih edildiği takdirde kullanılan yatırım indirimleri) düşüldükten sonra kalan matrah üzerinden hesaplanmaktadır.</w:t>
      </w:r>
    </w:p>
    <w:p w:rsidR="00D322FB" w:rsidRPr="00053C0A" w:rsidRDefault="00D322FB" w:rsidP="0090567F">
      <w:pPr>
        <w:ind w:right="-23"/>
        <w:rPr>
          <w:rFonts w:ascii="Arial" w:hAnsi="Arial" w:cs="Arial"/>
          <w:lang w:val="tr-TR"/>
        </w:rPr>
      </w:pPr>
    </w:p>
    <w:p w:rsidR="00D322FB" w:rsidRPr="00053C0A" w:rsidRDefault="00D322FB" w:rsidP="0090567F">
      <w:pPr>
        <w:ind w:right="-23"/>
        <w:rPr>
          <w:rFonts w:ascii="Arial" w:hAnsi="Arial" w:cs="Arial"/>
          <w:lang w:val="tr-TR"/>
        </w:rPr>
      </w:pPr>
      <w:r w:rsidRPr="00053C0A">
        <w:rPr>
          <w:rFonts w:ascii="Arial" w:hAnsi="Arial" w:cs="Arial"/>
          <w:lang w:val="tr-TR"/>
        </w:rPr>
        <w:t>201</w:t>
      </w:r>
      <w:r w:rsidR="00D86D3E">
        <w:rPr>
          <w:rFonts w:ascii="Arial" w:hAnsi="Arial" w:cs="Arial"/>
          <w:lang w:val="tr-TR"/>
        </w:rPr>
        <w:t>5</w:t>
      </w:r>
      <w:r w:rsidRPr="00053C0A">
        <w:rPr>
          <w:rFonts w:ascii="Arial" w:hAnsi="Arial" w:cs="Arial"/>
          <w:lang w:val="tr-TR"/>
        </w:rPr>
        <w:t xml:space="preserve"> yılında uygulanan efektif vergi oranı %20’dir (201</w:t>
      </w:r>
      <w:r w:rsidR="00D86D3E">
        <w:rPr>
          <w:rFonts w:ascii="Arial" w:hAnsi="Arial" w:cs="Arial"/>
          <w:lang w:val="tr-TR"/>
        </w:rPr>
        <w:t>4</w:t>
      </w:r>
      <w:r w:rsidRPr="00053C0A">
        <w:rPr>
          <w:rFonts w:ascii="Arial" w:hAnsi="Arial" w:cs="Arial"/>
          <w:lang w:val="tr-TR"/>
        </w:rPr>
        <w:t xml:space="preserve"> – %20).</w:t>
      </w:r>
    </w:p>
    <w:p w:rsidR="00D322FB" w:rsidRPr="00053C0A" w:rsidRDefault="00D322FB" w:rsidP="00D0765E">
      <w:pPr>
        <w:rPr>
          <w:rFonts w:ascii="Arial" w:hAnsi="Arial" w:cs="Arial"/>
          <w:lang w:val="tr-TR"/>
        </w:rPr>
      </w:pPr>
    </w:p>
    <w:p w:rsidR="00D322FB" w:rsidRPr="00053C0A" w:rsidRDefault="00D322FB" w:rsidP="00B37F4A">
      <w:pPr>
        <w:ind w:right="-23"/>
        <w:rPr>
          <w:rFonts w:ascii="Arial" w:hAnsi="Arial" w:cs="Arial"/>
          <w:lang w:val="tr-TR"/>
        </w:rPr>
      </w:pPr>
      <w:r w:rsidRPr="00053C0A">
        <w:rPr>
          <w:rFonts w:ascii="Arial" w:hAnsi="Arial" w:cs="Arial"/>
          <w:lang w:val="tr-TR"/>
        </w:rPr>
        <w:t>Türkiye’de geçici vergi üçer aylık dönemler itibariyle hesaplanmakta ve tahakkuk ettirilmektedir. 2012 yılı kurum kazançlarının geçici vergi dönemleri itibariyle vergilendirilmesi aşamasında kurum kazançları üzerinden hesaplanması gereken geçici vergi oranı %20’dir (2012 – %20). Zararlar, gelecek yıllarda oluşacak vergilendirilebilir kardan düşülmek üzere, maksimum 5 yıl taşınabilir. Ancak oluşan zararlar geriye dönük olarak, önceki yıllarda oluşan karlardan düşülemez.</w:t>
      </w:r>
    </w:p>
    <w:p w:rsidR="00D322FB" w:rsidRPr="00053C0A" w:rsidRDefault="00D322FB" w:rsidP="00B37F4A">
      <w:pPr>
        <w:ind w:right="-23"/>
        <w:rPr>
          <w:rFonts w:ascii="Arial" w:hAnsi="Arial" w:cs="Arial"/>
          <w:b/>
          <w:lang w:val="tr-TR"/>
        </w:rPr>
      </w:pPr>
    </w:p>
    <w:p w:rsidR="00D322FB" w:rsidRPr="009A48D4" w:rsidRDefault="00D322FB" w:rsidP="0090567F">
      <w:pPr>
        <w:ind w:right="-23"/>
        <w:rPr>
          <w:rFonts w:ascii="Arial" w:hAnsi="Arial" w:cs="Arial"/>
          <w:lang w:val="tr-TR"/>
        </w:rPr>
      </w:pPr>
      <w:r w:rsidRPr="00053C0A">
        <w:rPr>
          <w:rFonts w:ascii="Arial" w:hAnsi="Arial" w:cs="Arial"/>
          <w:lang w:val="tr-TR"/>
        </w:rPr>
        <w:t xml:space="preserve">Türkiye’de vergi değerlendirmesiyle ilgili kesin ve kati bir mutabakatlaşma prosedürü bulunmamaktadır. Şirketler ilgili yılın hesap kapama dönemini takip eden yılın 1-25 Nisan tarihleri arasında vergi beyannamelerini hazırlamaktadır. Vergi Dairesi tarafından bu beyannameler ve buna baz olan muhasebe </w:t>
      </w:r>
      <w:r w:rsidRPr="009A48D4">
        <w:rPr>
          <w:rFonts w:ascii="Arial" w:hAnsi="Arial" w:cs="Arial"/>
          <w:lang w:val="tr-TR"/>
        </w:rPr>
        <w:t>kayıtları 5 yıl içerisinde incelenerek değiştirilebilir.</w:t>
      </w:r>
    </w:p>
    <w:p w:rsidR="00D322FB" w:rsidRDefault="00D322FB" w:rsidP="001B6380">
      <w:pPr>
        <w:ind w:right="-23"/>
        <w:rPr>
          <w:rFonts w:ascii="Arial" w:hAnsi="Arial" w:cs="Arial"/>
          <w:i/>
          <w:lang w:val="tr-TR"/>
        </w:rPr>
      </w:pPr>
    </w:p>
    <w:p w:rsidR="00D322FB" w:rsidRPr="00FE63F2" w:rsidRDefault="00D322FB" w:rsidP="001A0C62">
      <w:pPr>
        <w:autoSpaceDE w:val="0"/>
        <w:autoSpaceDN w:val="0"/>
        <w:adjustRightInd w:val="0"/>
        <w:spacing w:line="221" w:lineRule="auto"/>
        <w:rPr>
          <w:rFonts w:ascii="Arial" w:hAnsi="Arial" w:cs="Arial"/>
          <w:lang w:val="tr-TR"/>
        </w:rPr>
      </w:pPr>
      <w:r w:rsidRPr="00C96907">
        <w:rPr>
          <w:rFonts w:ascii="Arial" w:hAnsi="Arial" w:cs="Arial"/>
          <w:lang w:val="tr-TR"/>
        </w:rPr>
        <w:t xml:space="preserve">Vergi öncesi kar’a yasal vergi oranı uygulanıp bulunan kurumlar vergisi gideri ile 31 </w:t>
      </w:r>
      <w:r w:rsidR="00C96907" w:rsidRPr="00C96907">
        <w:rPr>
          <w:rFonts w:ascii="Arial" w:hAnsi="Arial" w:cs="Arial"/>
          <w:lang w:val="tr-TR"/>
        </w:rPr>
        <w:t>Mart</w:t>
      </w:r>
      <w:r w:rsidRPr="00C96907">
        <w:rPr>
          <w:rFonts w:ascii="Arial" w:hAnsi="Arial" w:cs="Arial"/>
          <w:lang w:val="tr-TR"/>
        </w:rPr>
        <w:t xml:space="preserve"> 201</w:t>
      </w:r>
      <w:r w:rsidR="00C96907" w:rsidRPr="00C96907">
        <w:rPr>
          <w:rFonts w:ascii="Arial" w:hAnsi="Arial" w:cs="Arial"/>
          <w:lang w:val="tr-TR"/>
        </w:rPr>
        <w:t>5</w:t>
      </w:r>
      <w:r w:rsidRPr="00C96907">
        <w:rPr>
          <w:rFonts w:ascii="Arial" w:hAnsi="Arial" w:cs="Arial"/>
          <w:lang w:val="tr-TR"/>
        </w:rPr>
        <w:t xml:space="preserve"> ve </w:t>
      </w:r>
      <w:r w:rsidR="00C96907" w:rsidRPr="00C96907">
        <w:rPr>
          <w:rFonts w:ascii="Arial" w:hAnsi="Arial" w:cs="Arial"/>
          <w:lang w:val="tr-TR"/>
        </w:rPr>
        <w:t>31 Aralık 2014</w:t>
      </w:r>
      <w:r w:rsidRPr="00C96907">
        <w:rPr>
          <w:rFonts w:ascii="Arial" w:hAnsi="Arial" w:cs="Arial"/>
          <w:lang w:val="tr-TR"/>
        </w:rPr>
        <w:t>tarihleri itibariyle sona eren yıllara ait kar veya zarar tablosunda gösterilen kurumlar vergisi gideri arasındaki mutabakat aşağıdaki gibidir:</w:t>
      </w:r>
    </w:p>
    <w:p w:rsidR="00D322FB" w:rsidRPr="00727376" w:rsidRDefault="00D322FB" w:rsidP="001A0C62">
      <w:pPr>
        <w:spacing w:line="200" w:lineRule="exact"/>
        <w:rPr>
          <w:rFonts w:ascii="Arial" w:hAnsi="Arial" w:cs="Arial"/>
          <w:highlight w:val="yellow"/>
          <w:lang w:val="tr-TR"/>
        </w:rPr>
      </w:pPr>
    </w:p>
    <w:tbl>
      <w:tblPr>
        <w:tblW w:w="9072" w:type="dxa"/>
        <w:tblInd w:w="108" w:type="dxa"/>
        <w:tblLayout w:type="fixed"/>
        <w:tblLook w:val="0000" w:firstRow="0" w:lastRow="0" w:firstColumn="0" w:lastColumn="0" w:noHBand="0" w:noVBand="0"/>
      </w:tblPr>
      <w:tblGrid>
        <w:gridCol w:w="5670"/>
        <w:gridCol w:w="1701"/>
        <w:gridCol w:w="1701"/>
      </w:tblGrid>
      <w:tr w:rsidR="00D322FB" w:rsidRPr="00727376" w:rsidTr="001A0C62">
        <w:trPr>
          <w:trHeight w:val="113"/>
        </w:trPr>
        <w:tc>
          <w:tcPr>
            <w:tcW w:w="5670" w:type="dxa"/>
            <w:tcBorders>
              <w:top w:val="single" w:sz="6" w:space="0" w:color="auto"/>
              <w:left w:val="nil"/>
              <w:bottom w:val="single" w:sz="6" w:space="0" w:color="auto"/>
              <w:right w:val="nil"/>
            </w:tcBorders>
          </w:tcPr>
          <w:p w:rsidR="00D322FB" w:rsidRPr="00842630" w:rsidRDefault="00D322FB" w:rsidP="001A0C62">
            <w:pPr>
              <w:autoSpaceDE w:val="0"/>
              <w:autoSpaceDN w:val="0"/>
              <w:adjustRightInd w:val="0"/>
              <w:jc w:val="right"/>
              <w:rPr>
                <w:rFonts w:ascii="Arial" w:hAnsi="Arial" w:cs="Arial"/>
                <w:b/>
                <w:bCs/>
                <w:color w:val="000000"/>
                <w:lang w:val="tr-TR"/>
              </w:rPr>
            </w:pPr>
          </w:p>
        </w:tc>
        <w:tc>
          <w:tcPr>
            <w:tcW w:w="1701" w:type="dxa"/>
            <w:tcBorders>
              <w:top w:val="single" w:sz="6" w:space="0" w:color="auto"/>
              <w:left w:val="nil"/>
              <w:bottom w:val="single" w:sz="6" w:space="0" w:color="auto"/>
              <w:right w:val="nil"/>
            </w:tcBorders>
            <w:vAlign w:val="bottom"/>
          </w:tcPr>
          <w:p w:rsidR="00D322FB" w:rsidRPr="00CE0C5B" w:rsidRDefault="00C96907" w:rsidP="00C96907">
            <w:pPr>
              <w:autoSpaceDE w:val="0"/>
              <w:autoSpaceDN w:val="0"/>
              <w:adjustRightInd w:val="0"/>
              <w:jc w:val="right"/>
              <w:rPr>
                <w:rFonts w:ascii="Arial" w:hAnsi="Arial" w:cs="Arial"/>
                <w:b/>
                <w:bCs/>
                <w:color w:val="000000"/>
              </w:rPr>
            </w:pPr>
            <w:r>
              <w:rPr>
                <w:rFonts w:ascii="Arial" w:hAnsi="Arial" w:cs="Arial"/>
                <w:b/>
                <w:bCs/>
                <w:color w:val="000000"/>
              </w:rPr>
              <w:t xml:space="preserve">Mart </w:t>
            </w:r>
            <w:r w:rsidR="00414356">
              <w:rPr>
                <w:rFonts w:ascii="Arial" w:hAnsi="Arial" w:cs="Arial"/>
                <w:b/>
                <w:bCs/>
                <w:color w:val="000000"/>
              </w:rPr>
              <w:t>2015</w:t>
            </w:r>
          </w:p>
        </w:tc>
        <w:tc>
          <w:tcPr>
            <w:tcW w:w="1701" w:type="dxa"/>
            <w:tcBorders>
              <w:top w:val="single" w:sz="6" w:space="0" w:color="auto"/>
              <w:left w:val="nil"/>
              <w:bottom w:val="single" w:sz="6" w:space="0" w:color="auto"/>
              <w:right w:val="nil"/>
            </w:tcBorders>
            <w:vAlign w:val="bottom"/>
          </w:tcPr>
          <w:p w:rsidR="00D322FB" w:rsidRPr="00CE0C5B" w:rsidRDefault="00414356" w:rsidP="00414356">
            <w:pPr>
              <w:autoSpaceDE w:val="0"/>
              <w:autoSpaceDN w:val="0"/>
              <w:adjustRightInd w:val="0"/>
              <w:jc w:val="right"/>
              <w:rPr>
                <w:rFonts w:ascii="Arial" w:hAnsi="Arial" w:cs="Arial"/>
                <w:bCs/>
                <w:color w:val="000000"/>
              </w:rPr>
            </w:pPr>
            <w:r>
              <w:rPr>
                <w:rFonts w:ascii="Arial" w:hAnsi="Arial" w:cs="Arial"/>
                <w:bCs/>
                <w:color w:val="000000"/>
              </w:rPr>
              <w:t xml:space="preserve">Aralık </w:t>
            </w:r>
            <w:r w:rsidR="00D322FB" w:rsidRPr="00CE0C5B">
              <w:rPr>
                <w:rFonts w:ascii="Arial" w:hAnsi="Arial" w:cs="Arial"/>
                <w:bCs/>
                <w:color w:val="000000"/>
              </w:rPr>
              <w:t>201</w:t>
            </w:r>
            <w:r>
              <w:rPr>
                <w:rFonts w:ascii="Arial" w:hAnsi="Arial" w:cs="Arial"/>
                <w:bCs/>
                <w:color w:val="000000"/>
              </w:rPr>
              <w:t>4</w:t>
            </w:r>
          </w:p>
        </w:tc>
      </w:tr>
      <w:tr w:rsidR="00D322FB" w:rsidRPr="00727376" w:rsidTr="001A0C62">
        <w:trPr>
          <w:trHeight w:val="113"/>
        </w:trPr>
        <w:tc>
          <w:tcPr>
            <w:tcW w:w="5670" w:type="dxa"/>
            <w:tcBorders>
              <w:top w:val="nil"/>
              <w:left w:val="nil"/>
              <w:bottom w:val="nil"/>
              <w:right w:val="nil"/>
            </w:tcBorders>
          </w:tcPr>
          <w:p w:rsidR="00D322FB" w:rsidRPr="00CE0C5B" w:rsidRDefault="00D322FB" w:rsidP="001A0C62">
            <w:pPr>
              <w:autoSpaceDE w:val="0"/>
              <w:autoSpaceDN w:val="0"/>
              <w:adjustRightInd w:val="0"/>
              <w:rPr>
                <w:rFonts w:ascii="Arial" w:hAnsi="Arial" w:cs="Arial"/>
                <w:color w:val="000000"/>
              </w:rPr>
            </w:pPr>
          </w:p>
        </w:tc>
        <w:tc>
          <w:tcPr>
            <w:tcW w:w="1701" w:type="dxa"/>
            <w:tcBorders>
              <w:top w:val="nil"/>
              <w:left w:val="nil"/>
              <w:bottom w:val="nil"/>
              <w:right w:val="nil"/>
            </w:tcBorders>
          </w:tcPr>
          <w:p w:rsidR="00D322FB" w:rsidRPr="00CE0C5B" w:rsidRDefault="00D322FB" w:rsidP="001A0C62">
            <w:pPr>
              <w:autoSpaceDE w:val="0"/>
              <w:autoSpaceDN w:val="0"/>
              <w:adjustRightInd w:val="0"/>
              <w:jc w:val="right"/>
              <w:rPr>
                <w:rFonts w:ascii="Arial" w:hAnsi="Arial" w:cs="Arial"/>
                <w:b/>
                <w:bCs/>
                <w:color w:val="000000"/>
              </w:rPr>
            </w:pPr>
          </w:p>
        </w:tc>
        <w:tc>
          <w:tcPr>
            <w:tcW w:w="1701" w:type="dxa"/>
            <w:tcBorders>
              <w:top w:val="nil"/>
              <w:left w:val="nil"/>
              <w:bottom w:val="nil"/>
              <w:right w:val="nil"/>
            </w:tcBorders>
          </w:tcPr>
          <w:p w:rsidR="00D322FB" w:rsidRPr="00CE0C5B" w:rsidRDefault="00D322FB" w:rsidP="001A0C62">
            <w:pPr>
              <w:autoSpaceDE w:val="0"/>
              <w:autoSpaceDN w:val="0"/>
              <w:adjustRightInd w:val="0"/>
              <w:jc w:val="right"/>
              <w:rPr>
                <w:rFonts w:ascii="Arial" w:hAnsi="Arial" w:cs="Arial"/>
                <w:color w:val="000000"/>
              </w:rPr>
            </w:pPr>
          </w:p>
        </w:tc>
      </w:tr>
      <w:tr w:rsidR="00414356" w:rsidRPr="00727376" w:rsidTr="00E35C87">
        <w:trPr>
          <w:trHeight w:val="113"/>
        </w:trPr>
        <w:tc>
          <w:tcPr>
            <w:tcW w:w="5670" w:type="dxa"/>
            <w:tcBorders>
              <w:top w:val="nil"/>
              <w:left w:val="nil"/>
              <w:right w:val="nil"/>
            </w:tcBorders>
          </w:tcPr>
          <w:p w:rsidR="00414356" w:rsidRPr="00CE0C5B" w:rsidRDefault="00414356" w:rsidP="001A0C62">
            <w:pPr>
              <w:autoSpaceDE w:val="0"/>
              <w:autoSpaceDN w:val="0"/>
              <w:adjustRightInd w:val="0"/>
              <w:ind w:left="-108"/>
              <w:rPr>
                <w:rFonts w:ascii="Arial" w:hAnsi="Arial" w:cs="Arial"/>
                <w:color w:val="000000"/>
              </w:rPr>
            </w:pPr>
            <w:r w:rsidRPr="00CE0C5B">
              <w:rPr>
                <w:rFonts w:ascii="Arial" w:hAnsi="Arial" w:cs="Arial"/>
                <w:color w:val="000000"/>
              </w:rPr>
              <w:t>Vergi öncesi zarar</w:t>
            </w:r>
          </w:p>
        </w:tc>
        <w:tc>
          <w:tcPr>
            <w:tcW w:w="1701" w:type="dxa"/>
            <w:tcBorders>
              <w:top w:val="nil"/>
              <w:left w:val="nil"/>
              <w:right w:val="nil"/>
            </w:tcBorders>
            <w:vAlign w:val="bottom"/>
          </w:tcPr>
          <w:p w:rsidR="00414356" w:rsidRPr="00CE0C5B" w:rsidRDefault="00414356" w:rsidP="00007DEC">
            <w:pPr>
              <w:jc w:val="right"/>
              <w:rPr>
                <w:rFonts w:ascii="Arial" w:hAnsi="Arial" w:cs="Arial"/>
                <w:b/>
                <w:bCs/>
                <w:color w:val="000000"/>
              </w:rPr>
            </w:pPr>
            <w:r w:rsidRPr="00CE0C5B">
              <w:rPr>
                <w:rFonts w:ascii="Arial" w:hAnsi="Arial" w:cs="Arial"/>
                <w:b/>
                <w:bCs/>
                <w:color w:val="000000"/>
              </w:rPr>
              <w:t xml:space="preserve">          </w:t>
            </w:r>
            <w:r w:rsidR="00007DEC">
              <w:rPr>
                <w:rFonts w:ascii="Arial" w:hAnsi="Arial" w:cs="Arial"/>
                <w:b/>
                <w:bCs/>
                <w:color w:val="000000"/>
              </w:rPr>
              <w:t>82.251</w:t>
            </w:r>
          </w:p>
        </w:tc>
        <w:tc>
          <w:tcPr>
            <w:tcW w:w="1701" w:type="dxa"/>
            <w:tcBorders>
              <w:top w:val="nil"/>
              <w:left w:val="nil"/>
              <w:right w:val="nil"/>
            </w:tcBorders>
            <w:vAlign w:val="bottom"/>
          </w:tcPr>
          <w:p w:rsidR="00414356" w:rsidRPr="00CE0C5B" w:rsidRDefault="00414356" w:rsidP="00B6520D">
            <w:pPr>
              <w:jc w:val="right"/>
              <w:rPr>
                <w:rFonts w:ascii="Arial" w:hAnsi="Arial" w:cs="Arial"/>
                <w:b/>
                <w:bCs/>
                <w:color w:val="000000"/>
              </w:rPr>
            </w:pPr>
            <w:r w:rsidRPr="00CE0C5B">
              <w:rPr>
                <w:rFonts w:ascii="Arial" w:hAnsi="Arial" w:cs="Arial"/>
                <w:b/>
                <w:bCs/>
                <w:color w:val="000000"/>
              </w:rPr>
              <w:t xml:space="preserve">          (899.313)</w:t>
            </w:r>
          </w:p>
        </w:tc>
      </w:tr>
      <w:tr w:rsidR="00414356" w:rsidRPr="00727376" w:rsidTr="00E35C87">
        <w:trPr>
          <w:trHeight w:val="113"/>
        </w:trPr>
        <w:tc>
          <w:tcPr>
            <w:tcW w:w="5670" w:type="dxa"/>
            <w:tcBorders>
              <w:top w:val="nil"/>
              <w:left w:val="nil"/>
              <w:bottom w:val="single" w:sz="4" w:space="0" w:color="auto"/>
              <w:right w:val="nil"/>
            </w:tcBorders>
          </w:tcPr>
          <w:p w:rsidR="00414356" w:rsidRPr="00CE0C5B" w:rsidRDefault="00414356" w:rsidP="001A0C62">
            <w:pPr>
              <w:autoSpaceDE w:val="0"/>
              <w:autoSpaceDN w:val="0"/>
              <w:adjustRightInd w:val="0"/>
              <w:ind w:left="-108"/>
              <w:rPr>
                <w:rFonts w:ascii="Arial" w:hAnsi="Arial" w:cs="Arial"/>
                <w:color w:val="000000"/>
              </w:rPr>
            </w:pPr>
            <w:r w:rsidRPr="00CE0C5B">
              <w:rPr>
                <w:rFonts w:ascii="Arial" w:hAnsi="Arial" w:cs="Arial"/>
                <w:color w:val="000000"/>
              </w:rPr>
              <w:t>Beklenen vergi (%20)</w:t>
            </w:r>
          </w:p>
        </w:tc>
        <w:tc>
          <w:tcPr>
            <w:tcW w:w="1701" w:type="dxa"/>
            <w:tcBorders>
              <w:top w:val="nil"/>
              <w:left w:val="nil"/>
              <w:bottom w:val="single" w:sz="4" w:space="0" w:color="auto"/>
              <w:right w:val="nil"/>
            </w:tcBorders>
            <w:vAlign w:val="bottom"/>
          </w:tcPr>
          <w:p w:rsidR="00414356" w:rsidRPr="00CE0C5B" w:rsidRDefault="00007DEC" w:rsidP="00E35C87">
            <w:pPr>
              <w:jc w:val="right"/>
              <w:rPr>
                <w:rFonts w:ascii="Arial" w:hAnsi="Arial" w:cs="Arial"/>
                <w:b/>
                <w:bCs/>
                <w:color w:val="000000"/>
              </w:rPr>
            </w:pPr>
            <w:r>
              <w:rPr>
                <w:rFonts w:ascii="Arial" w:hAnsi="Arial" w:cs="Arial"/>
                <w:b/>
                <w:bCs/>
                <w:color w:val="000000"/>
              </w:rPr>
              <w:t xml:space="preserve">           (16.450)</w:t>
            </w:r>
            <w:r w:rsidR="00414356" w:rsidRPr="00CE0C5B">
              <w:rPr>
                <w:rFonts w:ascii="Arial" w:hAnsi="Arial" w:cs="Arial"/>
                <w:b/>
                <w:bCs/>
                <w:color w:val="000000"/>
              </w:rPr>
              <w:t xml:space="preserve"> </w:t>
            </w:r>
          </w:p>
        </w:tc>
        <w:tc>
          <w:tcPr>
            <w:tcW w:w="1701" w:type="dxa"/>
            <w:tcBorders>
              <w:top w:val="nil"/>
              <w:left w:val="nil"/>
              <w:bottom w:val="single" w:sz="4" w:space="0" w:color="auto"/>
              <w:right w:val="nil"/>
            </w:tcBorders>
            <w:vAlign w:val="bottom"/>
          </w:tcPr>
          <w:p w:rsidR="00414356" w:rsidRPr="00CE0C5B" w:rsidRDefault="00414356" w:rsidP="00B6520D">
            <w:pPr>
              <w:jc w:val="right"/>
              <w:rPr>
                <w:rFonts w:ascii="Arial" w:hAnsi="Arial" w:cs="Arial"/>
                <w:b/>
                <w:bCs/>
                <w:color w:val="000000"/>
              </w:rPr>
            </w:pPr>
            <w:r w:rsidRPr="00CE0C5B">
              <w:rPr>
                <w:rFonts w:ascii="Arial" w:hAnsi="Arial" w:cs="Arial"/>
                <w:b/>
                <w:bCs/>
                <w:color w:val="000000"/>
              </w:rPr>
              <w:t xml:space="preserve">           179.863 </w:t>
            </w:r>
          </w:p>
        </w:tc>
      </w:tr>
      <w:tr w:rsidR="00414356" w:rsidRPr="00727376" w:rsidTr="00E35C87">
        <w:trPr>
          <w:trHeight w:val="113"/>
        </w:trPr>
        <w:tc>
          <w:tcPr>
            <w:tcW w:w="5670" w:type="dxa"/>
            <w:tcBorders>
              <w:top w:val="single" w:sz="4" w:space="0" w:color="auto"/>
              <w:left w:val="nil"/>
              <w:right w:val="nil"/>
            </w:tcBorders>
          </w:tcPr>
          <w:p w:rsidR="00414356" w:rsidRPr="00842630" w:rsidRDefault="00414356" w:rsidP="001A0C62">
            <w:pPr>
              <w:autoSpaceDE w:val="0"/>
              <w:autoSpaceDN w:val="0"/>
              <w:adjustRightInd w:val="0"/>
              <w:ind w:left="-108"/>
              <w:rPr>
                <w:rFonts w:ascii="Arial" w:hAnsi="Arial" w:cs="Arial"/>
                <w:color w:val="000000"/>
                <w:lang w:val="de-DE"/>
              </w:rPr>
            </w:pPr>
            <w:r w:rsidRPr="00842630">
              <w:rPr>
                <w:rFonts w:ascii="Arial" w:hAnsi="Arial" w:cs="Arial"/>
                <w:color w:val="000000"/>
                <w:lang w:val="de-DE"/>
              </w:rPr>
              <w:t>Kanunen kabul edilmeyen giderlerin etkisi</w:t>
            </w:r>
          </w:p>
        </w:tc>
        <w:tc>
          <w:tcPr>
            <w:tcW w:w="1701" w:type="dxa"/>
            <w:tcBorders>
              <w:top w:val="single" w:sz="4" w:space="0" w:color="auto"/>
              <w:left w:val="nil"/>
              <w:right w:val="nil"/>
            </w:tcBorders>
            <w:vAlign w:val="bottom"/>
          </w:tcPr>
          <w:p w:rsidR="00414356" w:rsidRPr="00CE0C5B" w:rsidRDefault="00414356" w:rsidP="00007DEC">
            <w:pPr>
              <w:jc w:val="right"/>
              <w:rPr>
                <w:rFonts w:ascii="Arial" w:hAnsi="Arial" w:cs="Arial"/>
                <w:b/>
                <w:bCs/>
                <w:color w:val="000000"/>
              </w:rPr>
            </w:pPr>
            <w:r w:rsidRPr="00842630">
              <w:rPr>
                <w:rFonts w:ascii="Arial" w:hAnsi="Arial" w:cs="Arial"/>
                <w:b/>
                <w:bCs/>
                <w:color w:val="000000"/>
                <w:lang w:val="de-DE"/>
              </w:rPr>
              <w:t xml:space="preserve">             </w:t>
            </w:r>
            <w:r w:rsidR="00007DEC">
              <w:rPr>
                <w:rFonts w:ascii="Arial" w:hAnsi="Arial" w:cs="Arial"/>
                <w:b/>
                <w:bCs/>
                <w:color w:val="000000"/>
                <w:lang w:val="de-DE"/>
              </w:rPr>
              <w:t>4</w:t>
            </w:r>
            <w:r w:rsidRPr="00CE0C5B">
              <w:rPr>
                <w:rFonts w:ascii="Arial" w:hAnsi="Arial" w:cs="Arial"/>
                <w:b/>
                <w:bCs/>
                <w:color w:val="000000"/>
              </w:rPr>
              <w:t>.</w:t>
            </w:r>
            <w:r w:rsidR="00007DEC">
              <w:rPr>
                <w:rFonts w:ascii="Arial" w:hAnsi="Arial" w:cs="Arial"/>
                <w:b/>
                <w:bCs/>
                <w:color w:val="000000"/>
              </w:rPr>
              <w:t>012</w:t>
            </w:r>
            <w:r w:rsidRPr="00CE0C5B">
              <w:rPr>
                <w:rFonts w:ascii="Arial" w:hAnsi="Arial" w:cs="Arial"/>
                <w:b/>
                <w:bCs/>
                <w:color w:val="000000"/>
              </w:rPr>
              <w:t xml:space="preserve"> </w:t>
            </w:r>
          </w:p>
        </w:tc>
        <w:tc>
          <w:tcPr>
            <w:tcW w:w="1701" w:type="dxa"/>
            <w:tcBorders>
              <w:top w:val="single" w:sz="4" w:space="0" w:color="auto"/>
              <w:left w:val="nil"/>
              <w:right w:val="nil"/>
            </w:tcBorders>
            <w:vAlign w:val="bottom"/>
          </w:tcPr>
          <w:p w:rsidR="00414356" w:rsidRPr="00CE0C5B" w:rsidRDefault="00414356" w:rsidP="00B6520D">
            <w:pPr>
              <w:jc w:val="right"/>
              <w:rPr>
                <w:rFonts w:ascii="Arial" w:hAnsi="Arial" w:cs="Arial"/>
                <w:b/>
                <w:bCs/>
                <w:color w:val="000000"/>
              </w:rPr>
            </w:pPr>
            <w:r w:rsidRPr="00842630">
              <w:rPr>
                <w:rFonts w:ascii="Arial" w:hAnsi="Arial" w:cs="Arial"/>
                <w:b/>
                <w:bCs/>
                <w:color w:val="000000"/>
                <w:lang w:val="de-DE"/>
              </w:rPr>
              <w:t xml:space="preserve">             </w:t>
            </w:r>
            <w:r w:rsidRPr="00CE0C5B">
              <w:rPr>
                <w:rFonts w:ascii="Arial" w:hAnsi="Arial" w:cs="Arial"/>
                <w:b/>
                <w:bCs/>
                <w:color w:val="000000"/>
              </w:rPr>
              <w:t xml:space="preserve">10.944 </w:t>
            </w:r>
          </w:p>
        </w:tc>
      </w:tr>
      <w:tr w:rsidR="00414356" w:rsidRPr="00727376" w:rsidTr="00E35C87">
        <w:trPr>
          <w:trHeight w:val="113"/>
        </w:trPr>
        <w:tc>
          <w:tcPr>
            <w:tcW w:w="5670" w:type="dxa"/>
            <w:tcBorders>
              <w:left w:val="nil"/>
              <w:bottom w:val="nil"/>
              <w:right w:val="nil"/>
            </w:tcBorders>
          </w:tcPr>
          <w:p w:rsidR="00414356" w:rsidRPr="00CE0C5B" w:rsidRDefault="00414356" w:rsidP="001A0C62">
            <w:pPr>
              <w:autoSpaceDE w:val="0"/>
              <w:autoSpaceDN w:val="0"/>
              <w:adjustRightInd w:val="0"/>
              <w:ind w:left="-108"/>
              <w:rPr>
                <w:rFonts w:ascii="Arial" w:hAnsi="Arial" w:cs="Arial"/>
                <w:color w:val="000000"/>
              </w:rPr>
            </w:pPr>
            <w:r w:rsidRPr="00CE0C5B">
              <w:rPr>
                <w:rFonts w:ascii="Arial" w:hAnsi="Arial" w:cs="Arial"/>
                <w:color w:val="000000"/>
              </w:rPr>
              <w:t>Geçmiş yıl zararlarına nakit ilavelerin etkisi</w:t>
            </w:r>
          </w:p>
        </w:tc>
        <w:tc>
          <w:tcPr>
            <w:tcW w:w="1701" w:type="dxa"/>
            <w:tcBorders>
              <w:left w:val="nil"/>
              <w:bottom w:val="nil"/>
              <w:right w:val="nil"/>
            </w:tcBorders>
            <w:vAlign w:val="bottom"/>
          </w:tcPr>
          <w:p w:rsidR="00414356" w:rsidRPr="00CE0C5B" w:rsidRDefault="00414356" w:rsidP="00E35C87">
            <w:pPr>
              <w:jc w:val="right"/>
              <w:rPr>
                <w:rFonts w:ascii="Arial" w:hAnsi="Arial" w:cs="Arial"/>
                <w:b/>
                <w:bCs/>
                <w:color w:val="000000"/>
              </w:rPr>
            </w:pPr>
            <w:r w:rsidRPr="00CE0C5B">
              <w:rPr>
                <w:rFonts w:ascii="Arial" w:hAnsi="Arial" w:cs="Arial"/>
                <w:b/>
                <w:bCs/>
                <w:color w:val="000000"/>
              </w:rPr>
              <w:t xml:space="preserve">                      - </w:t>
            </w:r>
          </w:p>
        </w:tc>
        <w:tc>
          <w:tcPr>
            <w:tcW w:w="1701" w:type="dxa"/>
            <w:tcBorders>
              <w:left w:val="nil"/>
              <w:bottom w:val="nil"/>
              <w:right w:val="nil"/>
            </w:tcBorders>
            <w:vAlign w:val="bottom"/>
          </w:tcPr>
          <w:p w:rsidR="00414356" w:rsidRPr="00CE0C5B" w:rsidRDefault="00414356" w:rsidP="00B6520D">
            <w:pPr>
              <w:jc w:val="right"/>
              <w:rPr>
                <w:rFonts w:ascii="Arial" w:hAnsi="Arial" w:cs="Arial"/>
                <w:b/>
                <w:bCs/>
                <w:color w:val="000000"/>
              </w:rPr>
            </w:pPr>
            <w:r w:rsidRPr="00CE0C5B">
              <w:rPr>
                <w:rFonts w:ascii="Arial" w:hAnsi="Arial" w:cs="Arial"/>
                <w:b/>
                <w:bCs/>
                <w:color w:val="000000"/>
              </w:rPr>
              <w:t xml:space="preserve">                      - </w:t>
            </w:r>
          </w:p>
        </w:tc>
      </w:tr>
      <w:tr w:rsidR="00414356" w:rsidRPr="00727376" w:rsidTr="00E35C87">
        <w:trPr>
          <w:trHeight w:val="113"/>
        </w:trPr>
        <w:tc>
          <w:tcPr>
            <w:tcW w:w="5670" w:type="dxa"/>
            <w:tcBorders>
              <w:top w:val="nil"/>
              <w:left w:val="nil"/>
              <w:bottom w:val="nil"/>
              <w:right w:val="nil"/>
            </w:tcBorders>
          </w:tcPr>
          <w:p w:rsidR="00414356" w:rsidRPr="00CE0C5B" w:rsidRDefault="00414356" w:rsidP="001A0C62">
            <w:pPr>
              <w:autoSpaceDE w:val="0"/>
              <w:autoSpaceDN w:val="0"/>
              <w:adjustRightInd w:val="0"/>
              <w:ind w:left="-108"/>
              <w:rPr>
                <w:rFonts w:ascii="Arial" w:hAnsi="Arial" w:cs="Arial"/>
                <w:color w:val="000000"/>
              </w:rPr>
            </w:pPr>
            <w:r w:rsidRPr="00CE0C5B">
              <w:rPr>
                <w:rFonts w:ascii="Arial" w:hAnsi="Arial" w:cs="Arial"/>
                <w:color w:val="000000"/>
              </w:rPr>
              <w:t>Diğer</w:t>
            </w:r>
          </w:p>
        </w:tc>
        <w:tc>
          <w:tcPr>
            <w:tcW w:w="1701" w:type="dxa"/>
            <w:tcBorders>
              <w:top w:val="nil"/>
              <w:left w:val="nil"/>
              <w:bottom w:val="nil"/>
              <w:right w:val="nil"/>
            </w:tcBorders>
            <w:vAlign w:val="bottom"/>
          </w:tcPr>
          <w:p w:rsidR="00414356" w:rsidRPr="00CE0C5B" w:rsidRDefault="00414356" w:rsidP="00007DEC">
            <w:pPr>
              <w:jc w:val="right"/>
              <w:rPr>
                <w:rFonts w:ascii="Arial" w:hAnsi="Arial" w:cs="Arial"/>
                <w:b/>
                <w:bCs/>
                <w:color w:val="000000"/>
              </w:rPr>
            </w:pPr>
            <w:r w:rsidRPr="00CE0C5B">
              <w:rPr>
                <w:rFonts w:ascii="Arial" w:hAnsi="Arial" w:cs="Arial"/>
                <w:b/>
                <w:bCs/>
                <w:color w:val="000000"/>
              </w:rPr>
              <w:t xml:space="preserve">            (</w:t>
            </w:r>
            <w:r w:rsidR="00007DEC">
              <w:rPr>
                <w:rFonts w:ascii="Arial" w:hAnsi="Arial" w:cs="Arial"/>
                <w:b/>
                <w:bCs/>
                <w:color w:val="000000"/>
              </w:rPr>
              <w:t>4.354</w:t>
            </w:r>
            <w:r w:rsidRPr="00CE0C5B">
              <w:rPr>
                <w:rFonts w:ascii="Arial" w:hAnsi="Arial" w:cs="Arial"/>
                <w:b/>
                <w:bCs/>
                <w:color w:val="000000"/>
              </w:rPr>
              <w:t>)</w:t>
            </w:r>
          </w:p>
        </w:tc>
        <w:tc>
          <w:tcPr>
            <w:tcW w:w="1701" w:type="dxa"/>
            <w:tcBorders>
              <w:top w:val="nil"/>
              <w:left w:val="nil"/>
              <w:bottom w:val="nil"/>
              <w:right w:val="nil"/>
            </w:tcBorders>
            <w:vAlign w:val="bottom"/>
          </w:tcPr>
          <w:p w:rsidR="00414356" w:rsidRPr="00CE0C5B" w:rsidRDefault="00414356" w:rsidP="00B6520D">
            <w:pPr>
              <w:jc w:val="right"/>
              <w:rPr>
                <w:rFonts w:ascii="Arial" w:hAnsi="Arial" w:cs="Arial"/>
                <w:b/>
                <w:bCs/>
                <w:color w:val="000000"/>
              </w:rPr>
            </w:pPr>
            <w:r w:rsidRPr="00CE0C5B">
              <w:rPr>
                <w:rFonts w:ascii="Arial" w:hAnsi="Arial" w:cs="Arial"/>
                <w:b/>
                <w:bCs/>
                <w:color w:val="000000"/>
              </w:rPr>
              <w:t xml:space="preserve">            (11.718)</w:t>
            </w:r>
          </w:p>
        </w:tc>
      </w:tr>
      <w:tr w:rsidR="00414356" w:rsidRPr="00727376" w:rsidTr="00E35C87">
        <w:trPr>
          <w:trHeight w:val="113"/>
        </w:trPr>
        <w:tc>
          <w:tcPr>
            <w:tcW w:w="5670" w:type="dxa"/>
            <w:tcBorders>
              <w:top w:val="nil"/>
              <w:left w:val="nil"/>
              <w:bottom w:val="nil"/>
              <w:right w:val="nil"/>
            </w:tcBorders>
          </w:tcPr>
          <w:p w:rsidR="00414356" w:rsidRPr="00CE0C5B" w:rsidRDefault="00414356" w:rsidP="001A0C62">
            <w:pPr>
              <w:autoSpaceDE w:val="0"/>
              <w:autoSpaceDN w:val="0"/>
              <w:adjustRightInd w:val="0"/>
              <w:ind w:left="-108"/>
              <w:jc w:val="right"/>
              <w:rPr>
                <w:rFonts w:ascii="Arial" w:hAnsi="Arial" w:cs="Arial"/>
                <w:color w:val="000000"/>
              </w:rPr>
            </w:pPr>
          </w:p>
        </w:tc>
        <w:tc>
          <w:tcPr>
            <w:tcW w:w="1701" w:type="dxa"/>
            <w:tcBorders>
              <w:top w:val="nil"/>
              <w:left w:val="nil"/>
              <w:bottom w:val="nil"/>
              <w:right w:val="nil"/>
            </w:tcBorders>
            <w:vAlign w:val="bottom"/>
          </w:tcPr>
          <w:p w:rsidR="00414356" w:rsidRPr="00CE0C5B" w:rsidRDefault="00414356" w:rsidP="00E35C87">
            <w:pPr>
              <w:autoSpaceDE w:val="0"/>
              <w:autoSpaceDN w:val="0"/>
              <w:adjustRightInd w:val="0"/>
              <w:jc w:val="right"/>
              <w:rPr>
                <w:rFonts w:ascii="Arial" w:hAnsi="Arial" w:cs="Arial"/>
                <w:bCs/>
                <w:color w:val="000000"/>
              </w:rPr>
            </w:pPr>
          </w:p>
        </w:tc>
        <w:tc>
          <w:tcPr>
            <w:tcW w:w="1701" w:type="dxa"/>
            <w:tcBorders>
              <w:top w:val="nil"/>
              <w:left w:val="nil"/>
              <w:bottom w:val="nil"/>
              <w:right w:val="nil"/>
            </w:tcBorders>
            <w:vAlign w:val="bottom"/>
          </w:tcPr>
          <w:p w:rsidR="00414356" w:rsidRPr="00CE0C5B" w:rsidRDefault="00414356" w:rsidP="00B6520D">
            <w:pPr>
              <w:autoSpaceDE w:val="0"/>
              <w:autoSpaceDN w:val="0"/>
              <w:adjustRightInd w:val="0"/>
              <w:jc w:val="right"/>
              <w:rPr>
                <w:rFonts w:ascii="Arial" w:hAnsi="Arial" w:cs="Arial"/>
                <w:bCs/>
                <w:color w:val="000000"/>
              </w:rPr>
            </w:pPr>
          </w:p>
        </w:tc>
      </w:tr>
      <w:tr w:rsidR="00414356" w:rsidRPr="00727376" w:rsidTr="00E35C87">
        <w:trPr>
          <w:trHeight w:val="113"/>
        </w:trPr>
        <w:tc>
          <w:tcPr>
            <w:tcW w:w="5670" w:type="dxa"/>
            <w:tcBorders>
              <w:top w:val="single" w:sz="6" w:space="0" w:color="auto"/>
              <w:left w:val="nil"/>
              <w:bottom w:val="double" w:sz="6" w:space="0" w:color="auto"/>
              <w:right w:val="nil"/>
            </w:tcBorders>
          </w:tcPr>
          <w:p w:rsidR="00414356" w:rsidRPr="00CE0C5B" w:rsidRDefault="00414356" w:rsidP="001A0C62">
            <w:pPr>
              <w:autoSpaceDE w:val="0"/>
              <w:autoSpaceDN w:val="0"/>
              <w:adjustRightInd w:val="0"/>
              <w:ind w:left="-108"/>
              <w:rPr>
                <w:rFonts w:ascii="Arial" w:hAnsi="Arial" w:cs="Arial"/>
                <w:b/>
                <w:bCs/>
                <w:color w:val="000000"/>
              </w:rPr>
            </w:pPr>
            <w:r w:rsidRPr="00CE0C5B">
              <w:rPr>
                <w:rFonts w:ascii="Arial" w:hAnsi="Arial" w:cs="Arial"/>
                <w:b/>
                <w:bCs/>
                <w:color w:val="000000"/>
              </w:rPr>
              <w:t>Vergi geliri/(gideri)</w:t>
            </w:r>
          </w:p>
        </w:tc>
        <w:tc>
          <w:tcPr>
            <w:tcW w:w="1701" w:type="dxa"/>
            <w:tcBorders>
              <w:top w:val="single" w:sz="6" w:space="0" w:color="auto"/>
              <w:left w:val="nil"/>
              <w:bottom w:val="double" w:sz="6" w:space="0" w:color="auto"/>
              <w:right w:val="nil"/>
            </w:tcBorders>
            <w:vAlign w:val="bottom"/>
          </w:tcPr>
          <w:p w:rsidR="00414356" w:rsidRPr="00CE0C5B" w:rsidRDefault="00414356" w:rsidP="00007DEC">
            <w:pPr>
              <w:jc w:val="right"/>
              <w:rPr>
                <w:rFonts w:ascii="Arial" w:hAnsi="Arial" w:cs="Arial"/>
                <w:b/>
                <w:bCs/>
                <w:color w:val="000000"/>
              </w:rPr>
            </w:pPr>
            <w:r w:rsidRPr="00CE0C5B">
              <w:rPr>
                <w:rFonts w:ascii="Arial" w:hAnsi="Arial" w:cs="Arial"/>
                <w:b/>
                <w:bCs/>
                <w:color w:val="000000"/>
              </w:rPr>
              <w:t xml:space="preserve">           </w:t>
            </w:r>
            <w:r w:rsidR="00007DEC">
              <w:rPr>
                <w:rFonts w:ascii="Arial" w:hAnsi="Arial" w:cs="Arial"/>
                <w:b/>
                <w:bCs/>
                <w:color w:val="000000"/>
              </w:rPr>
              <w:t>(16</w:t>
            </w:r>
            <w:r w:rsidRPr="00CE0C5B">
              <w:rPr>
                <w:rFonts w:ascii="Arial" w:hAnsi="Arial" w:cs="Arial"/>
                <w:b/>
                <w:bCs/>
                <w:color w:val="000000"/>
              </w:rPr>
              <w:t>.</w:t>
            </w:r>
            <w:r w:rsidR="00007DEC">
              <w:rPr>
                <w:rFonts w:ascii="Arial" w:hAnsi="Arial" w:cs="Arial"/>
                <w:b/>
                <w:bCs/>
                <w:color w:val="000000"/>
              </w:rPr>
              <w:t>792)</w:t>
            </w:r>
            <w:r w:rsidRPr="00CE0C5B">
              <w:rPr>
                <w:rFonts w:ascii="Arial" w:hAnsi="Arial" w:cs="Arial"/>
                <w:b/>
                <w:bCs/>
                <w:color w:val="000000"/>
              </w:rPr>
              <w:t xml:space="preserve"> </w:t>
            </w:r>
          </w:p>
        </w:tc>
        <w:tc>
          <w:tcPr>
            <w:tcW w:w="1701" w:type="dxa"/>
            <w:tcBorders>
              <w:top w:val="single" w:sz="6" w:space="0" w:color="auto"/>
              <w:left w:val="nil"/>
              <w:bottom w:val="double" w:sz="6" w:space="0" w:color="auto"/>
              <w:right w:val="nil"/>
            </w:tcBorders>
            <w:vAlign w:val="bottom"/>
          </w:tcPr>
          <w:p w:rsidR="00414356" w:rsidRPr="00CE0C5B" w:rsidRDefault="00414356" w:rsidP="00B6520D">
            <w:pPr>
              <w:jc w:val="right"/>
              <w:rPr>
                <w:rFonts w:ascii="Arial" w:hAnsi="Arial" w:cs="Arial"/>
                <w:b/>
                <w:bCs/>
                <w:color w:val="000000"/>
              </w:rPr>
            </w:pPr>
            <w:r w:rsidRPr="00CE0C5B">
              <w:rPr>
                <w:rFonts w:ascii="Arial" w:hAnsi="Arial" w:cs="Arial"/>
                <w:b/>
                <w:bCs/>
                <w:color w:val="000000"/>
              </w:rPr>
              <w:t xml:space="preserve">           179.089 </w:t>
            </w:r>
          </w:p>
        </w:tc>
      </w:tr>
    </w:tbl>
    <w:p w:rsidR="00D322FB" w:rsidRDefault="00D322FB" w:rsidP="001A0C62">
      <w:pPr>
        <w:rPr>
          <w:rFonts w:ascii="Arial" w:hAnsi="Arial" w:cs="Arial"/>
          <w:highlight w:val="yellow"/>
          <w:lang w:val="tr-TR"/>
        </w:rPr>
      </w:pPr>
      <w:r>
        <w:rPr>
          <w:rFonts w:ascii="Arial" w:hAnsi="Arial" w:cs="Arial"/>
          <w:highlight w:val="yellow"/>
          <w:lang w:val="tr-TR"/>
        </w:rPr>
        <w:br w:type="page"/>
      </w:r>
    </w:p>
    <w:p w:rsidR="00D322FB" w:rsidRPr="00053C0A" w:rsidRDefault="00D322FB" w:rsidP="00116EC1">
      <w:pPr>
        <w:ind w:right="-23"/>
        <w:rPr>
          <w:rFonts w:ascii="Arial" w:hAnsi="Arial" w:cs="Arial"/>
          <w:lang w:val="tr-TR"/>
        </w:rPr>
      </w:pPr>
      <w:r w:rsidRPr="00053C0A">
        <w:rPr>
          <w:rFonts w:ascii="Arial" w:hAnsi="Arial" w:cs="Arial"/>
          <w:b/>
          <w:lang w:val="tr-TR"/>
        </w:rPr>
        <w:lastRenderedPageBreak/>
        <w:t>21.</w:t>
      </w:r>
      <w:r w:rsidRPr="00053C0A">
        <w:rPr>
          <w:rFonts w:ascii="Arial" w:hAnsi="Arial" w:cs="Arial"/>
          <w:b/>
          <w:lang w:val="tr-TR"/>
        </w:rPr>
        <w:tab/>
        <w:t>Vergi varlık ve yükümlülükleri (ertelenmiş varlık ve yükümlülükler dahil) (devamı)</w:t>
      </w:r>
    </w:p>
    <w:p w:rsidR="00D322FB" w:rsidRDefault="00D322FB" w:rsidP="001A0C62">
      <w:pPr>
        <w:rPr>
          <w:rFonts w:ascii="Arial" w:hAnsi="Arial" w:cs="Arial"/>
          <w:highlight w:val="yellow"/>
          <w:lang w:val="tr-TR"/>
        </w:rPr>
      </w:pPr>
    </w:p>
    <w:p w:rsidR="00D322FB" w:rsidRPr="00486DFE" w:rsidRDefault="00D322FB" w:rsidP="001A0C62">
      <w:pPr>
        <w:rPr>
          <w:rFonts w:ascii="Arial" w:hAnsi="Arial" w:cs="Arial"/>
          <w:lang w:val="tr-TR"/>
        </w:rPr>
      </w:pPr>
      <w:r w:rsidRPr="00486DFE">
        <w:rPr>
          <w:rFonts w:ascii="Arial" w:hAnsi="Arial" w:cs="Arial"/>
          <w:lang w:val="tr-TR"/>
        </w:rPr>
        <w:t>Şirket’in yıllar itibariyle taşıdığı vergi zararı aşağıdaki gibidir;</w:t>
      </w:r>
    </w:p>
    <w:p w:rsidR="00D322FB" w:rsidRPr="00727376" w:rsidRDefault="00D322FB" w:rsidP="001A0C62">
      <w:pPr>
        <w:rPr>
          <w:rFonts w:ascii="Arial" w:hAnsi="Arial" w:cs="Arial"/>
          <w:highlight w:val="yellow"/>
          <w:lang w:val="tr-TR"/>
        </w:rPr>
      </w:pPr>
    </w:p>
    <w:tbl>
      <w:tblPr>
        <w:tblW w:w="9360" w:type="dxa"/>
        <w:tblInd w:w="108" w:type="dxa"/>
        <w:tblLayout w:type="fixed"/>
        <w:tblLook w:val="01E0" w:firstRow="1" w:lastRow="1" w:firstColumn="1" w:lastColumn="1" w:noHBand="0" w:noVBand="0"/>
      </w:tblPr>
      <w:tblGrid>
        <w:gridCol w:w="6750"/>
        <w:gridCol w:w="2610"/>
      </w:tblGrid>
      <w:tr w:rsidR="00D322FB" w:rsidRPr="00727376" w:rsidTr="00F6606B">
        <w:tc>
          <w:tcPr>
            <w:tcW w:w="6750" w:type="dxa"/>
            <w:tcBorders>
              <w:top w:val="single" w:sz="4" w:space="0" w:color="auto"/>
              <w:bottom w:val="single" w:sz="4" w:space="0" w:color="auto"/>
            </w:tcBorders>
          </w:tcPr>
          <w:p w:rsidR="00D322FB" w:rsidRPr="00020594" w:rsidRDefault="00D322FB" w:rsidP="001A0C62">
            <w:pPr>
              <w:autoSpaceDE w:val="0"/>
              <w:autoSpaceDN w:val="0"/>
              <w:adjustRightInd w:val="0"/>
              <w:jc w:val="both"/>
              <w:rPr>
                <w:rFonts w:ascii="Arial" w:hAnsi="Arial" w:cs="Arial"/>
                <w:u w:val="single"/>
                <w:lang w:val="tr-TR"/>
              </w:rPr>
            </w:pPr>
          </w:p>
        </w:tc>
        <w:tc>
          <w:tcPr>
            <w:tcW w:w="2610" w:type="dxa"/>
            <w:tcBorders>
              <w:top w:val="single" w:sz="4" w:space="0" w:color="auto"/>
              <w:bottom w:val="single" w:sz="4" w:space="0" w:color="auto"/>
            </w:tcBorders>
            <w:vAlign w:val="bottom"/>
          </w:tcPr>
          <w:p w:rsidR="00D322FB" w:rsidRPr="00020594" w:rsidRDefault="00D322FB" w:rsidP="001A0C62">
            <w:pPr>
              <w:autoSpaceDE w:val="0"/>
              <w:autoSpaceDN w:val="0"/>
              <w:adjustRightInd w:val="0"/>
              <w:jc w:val="right"/>
              <w:rPr>
                <w:rFonts w:ascii="Arial" w:hAnsi="Arial" w:cs="Arial"/>
                <w:b/>
                <w:lang w:val="tr-TR"/>
              </w:rPr>
            </w:pPr>
            <w:r w:rsidRPr="00020594">
              <w:rPr>
                <w:rFonts w:ascii="Arial" w:hAnsi="Arial" w:cs="Arial"/>
                <w:b/>
                <w:lang w:val="tr-TR"/>
              </w:rPr>
              <w:t>Taşınan mali zarar</w:t>
            </w:r>
          </w:p>
        </w:tc>
      </w:tr>
      <w:tr w:rsidR="00D322FB" w:rsidRPr="00727376" w:rsidTr="00F6606B">
        <w:tc>
          <w:tcPr>
            <w:tcW w:w="6750" w:type="dxa"/>
            <w:tcBorders>
              <w:top w:val="single" w:sz="4" w:space="0" w:color="auto"/>
            </w:tcBorders>
          </w:tcPr>
          <w:p w:rsidR="00D322FB" w:rsidRPr="00020594" w:rsidRDefault="00D322FB" w:rsidP="001A0C62">
            <w:pPr>
              <w:autoSpaceDE w:val="0"/>
              <w:autoSpaceDN w:val="0"/>
              <w:adjustRightInd w:val="0"/>
              <w:jc w:val="both"/>
              <w:rPr>
                <w:rFonts w:ascii="Arial" w:hAnsi="Arial" w:cs="Arial"/>
                <w:lang w:val="tr-TR"/>
              </w:rPr>
            </w:pPr>
          </w:p>
        </w:tc>
        <w:tc>
          <w:tcPr>
            <w:tcW w:w="2610" w:type="dxa"/>
            <w:tcBorders>
              <w:top w:val="single" w:sz="4" w:space="0" w:color="auto"/>
            </w:tcBorders>
            <w:vAlign w:val="center"/>
          </w:tcPr>
          <w:p w:rsidR="00D322FB" w:rsidRPr="00020594" w:rsidRDefault="00D322FB" w:rsidP="001A0C62">
            <w:pPr>
              <w:autoSpaceDE w:val="0"/>
              <w:autoSpaceDN w:val="0"/>
              <w:adjustRightInd w:val="0"/>
              <w:jc w:val="right"/>
              <w:rPr>
                <w:rFonts w:ascii="Arial" w:hAnsi="Arial" w:cs="Arial"/>
                <w:lang w:val="tr-TR"/>
              </w:rPr>
            </w:pPr>
          </w:p>
        </w:tc>
      </w:tr>
      <w:tr w:rsidR="00D322FB" w:rsidRPr="00727376" w:rsidTr="00F6606B">
        <w:tc>
          <w:tcPr>
            <w:tcW w:w="6750" w:type="dxa"/>
          </w:tcPr>
          <w:p w:rsidR="00D322FB" w:rsidRPr="00020594" w:rsidRDefault="00D322FB" w:rsidP="00E53350">
            <w:pPr>
              <w:autoSpaceDE w:val="0"/>
              <w:autoSpaceDN w:val="0"/>
              <w:adjustRightInd w:val="0"/>
              <w:ind w:left="-18"/>
              <w:jc w:val="both"/>
              <w:rPr>
                <w:rFonts w:ascii="Arial" w:hAnsi="Arial" w:cs="Arial"/>
                <w:lang w:val="tr-TR"/>
              </w:rPr>
            </w:pPr>
            <w:r w:rsidRPr="00020594">
              <w:rPr>
                <w:rFonts w:ascii="Arial" w:hAnsi="Arial" w:cs="Arial"/>
                <w:lang w:val="tr-TR"/>
              </w:rPr>
              <w:t>2010</w:t>
            </w:r>
          </w:p>
        </w:tc>
        <w:tc>
          <w:tcPr>
            <w:tcW w:w="2610" w:type="dxa"/>
            <w:vAlign w:val="bottom"/>
          </w:tcPr>
          <w:p w:rsidR="00D322FB" w:rsidRPr="00020594" w:rsidRDefault="00D322FB" w:rsidP="001A0C62">
            <w:pPr>
              <w:autoSpaceDE w:val="0"/>
              <w:autoSpaceDN w:val="0"/>
              <w:adjustRightInd w:val="0"/>
              <w:jc w:val="right"/>
              <w:rPr>
                <w:rFonts w:ascii="Arial" w:hAnsi="Arial" w:cs="Arial"/>
                <w:color w:val="000000"/>
              </w:rPr>
            </w:pPr>
            <w:r w:rsidRPr="00020594">
              <w:rPr>
                <w:rFonts w:ascii="Arial" w:hAnsi="Arial" w:cs="Arial"/>
                <w:color w:val="000000"/>
              </w:rPr>
              <w:t>(67.078)</w:t>
            </w:r>
          </w:p>
        </w:tc>
      </w:tr>
      <w:tr w:rsidR="00D322FB" w:rsidRPr="00727376" w:rsidTr="00F6606B">
        <w:tc>
          <w:tcPr>
            <w:tcW w:w="6750" w:type="dxa"/>
          </w:tcPr>
          <w:p w:rsidR="00D322FB" w:rsidRPr="00020594" w:rsidRDefault="00D322FB" w:rsidP="00E53350">
            <w:pPr>
              <w:autoSpaceDE w:val="0"/>
              <w:autoSpaceDN w:val="0"/>
              <w:adjustRightInd w:val="0"/>
              <w:ind w:left="-18"/>
              <w:jc w:val="both"/>
              <w:rPr>
                <w:rFonts w:ascii="Arial" w:hAnsi="Arial" w:cs="Arial"/>
                <w:lang w:val="tr-TR"/>
              </w:rPr>
            </w:pPr>
            <w:r w:rsidRPr="00020594">
              <w:rPr>
                <w:rFonts w:ascii="Arial" w:hAnsi="Arial" w:cs="Arial"/>
                <w:lang w:val="tr-TR"/>
              </w:rPr>
              <w:t>2011</w:t>
            </w:r>
          </w:p>
        </w:tc>
        <w:tc>
          <w:tcPr>
            <w:tcW w:w="2610" w:type="dxa"/>
            <w:vAlign w:val="bottom"/>
          </w:tcPr>
          <w:p w:rsidR="00D322FB" w:rsidRPr="00020594" w:rsidRDefault="00D322FB" w:rsidP="001A0C62">
            <w:pPr>
              <w:autoSpaceDE w:val="0"/>
              <w:autoSpaceDN w:val="0"/>
              <w:adjustRightInd w:val="0"/>
              <w:jc w:val="right"/>
              <w:rPr>
                <w:rFonts w:ascii="Arial" w:hAnsi="Arial" w:cs="Arial"/>
                <w:lang w:val="tr-TR"/>
              </w:rPr>
            </w:pPr>
            <w:r w:rsidRPr="00020594">
              <w:rPr>
                <w:rFonts w:ascii="Arial" w:hAnsi="Arial" w:cs="Arial"/>
                <w:color w:val="000000"/>
              </w:rPr>
              <w:t>(918.151)</w:t>
            </w:r>
          </w:p>
        </w:tc>
      </w:tr>
      <w:tr w:rsidR="00D322FB" w:rsidRPr="00727376" w:rsidTr="00F6606B">
        <w:tc>
          <w:tcPr>
            <w:tcW w:w="6750" w:type="dxa"/>
          </w:tcPr>
          <w:p w:rsidR="00D322FB" w:rsidRPr="00020594" w:rsidRDefault="00D322FB" w:rsidP="00E53350">
            <w:pPr>
              <w:autoSpaceDE w:val="0"/>
              <w:autoSpaceDN w:val="0"/>
              <w:adjustRightInd w:val="0"/>
              <w:ind w:left="-18"/>
              <w:jc w:val="both"/>
              <w:rPr>
                <w:rFonts w:ascii="Arial" w:hAnsi="Arial" w:cs="Arial"/>
                <w:lang w:val="tr-TR"/>
              </w:rPr>
            </w:pPr>
            <w:r w:rsidRPr="00020594">
              <w:rPr>
                <w:rFonts w:ascii="Arial" w:hAnsi="Arial" w:cs="Arial"/>
                <w:lang w:val="tr-TR"/>
              </w:rPr>
              <w:t>2013</w:t>
            </w:r>
          </w:p>
        </w:tc>
        <w:tc>
          <w:tcPr>
            <w:tcW w:w="2610" w:type="dxa"/>
            <w:vAlign w:val="bottom"/>
          </w:tcPr>
          <w:p w:rsidR="00D322FB" w:rsidRPr="00020594" w:rsidRDefault="00D322FB" w:rsidP="001A0C62">
            <w:pPr>
              <w:autoSpaceDE w:val="0"/>
              <w:autoSpaceDN w:val="0"/>
              <w:adjustRightInd w:val="0"/>
              <w:jc w:val="right"/>
              <w:rPr>
                <w:rFonts w:ascii="Arial" w:hAnsi="Arial" w:cs="Arial"/>
                <w:lang w:val="tr-TR"/>
              </w:rPr>
            </w:pPr>
            <w:r w:rsidRPr="00020594">
              <w:rPr>
                <w:rFonts w:ascii="Arial" w:hAnsi="Arial" w:cs="Arial"/>
                <w:lang w:val="tr-TR"/>
              </w:rPr>
              <w:t>(405.830)</w:t>
            </w:r>
          </w:p>
        </w:tc>
      </w:tr>
      <w:tr w:rsidR="00D322FB" w:rsidRPr="00727376" w:rsidTr="00F6606B">
        <w:tc>
          <w:tcPr>
            <w:tcW w:w="6750" w:type="dxa"/>
          </w:tcPr>
          <w:p w:rsidR="00D322FB" w:rsidRPr="00020594" w:rsidRDefault="00D322FB" w:rsidP="00E53350">
            <w:pPr>
              <w:autoSpaceDE w:val="0"/>
              <w:autoSpaceDN w:val="0"/>
              <w:adjustRightInd w:val="0"/>
              <w:ind w:left="-18"/>
              <w:jc w:val="both"/>
              <w:rPr>
                <w:rFonts w:ascii="Arial" w:hAnsi="Arial" w:cs="Arial"/>
                <w:lang w:val="tr-TR"/>
              </w:rPr>
            </w:pPr>
            <w:r w:rsidRPr="00020594">
              <w:rPr>
                <w:rFonts w:ascii="Arial" w:hAnsi="Arial" w:cs="Arial"/>
                <w:lang w:val="tr-TR"/>
              </w:rPr>
              <w:t>2014</w:t>
            </w:r>
          </w:p>
        </w:tc>
        <w:tc>
          <w:tcPr>
            <w:tcW w:w="2610" w:type="dxa"/>
            <w:vAlign w:val="bottom"/>
          </w:tcPr>
          <w:p w:rsidR="00D322FB" w:rsidRPr="00020594" w:rsidRDefault="00D322FB" w:rsidP="001A0C62">
            <w:pPr>
              <w:autoSpaceDE w:val="0"/>
              <w:autoSpaceDN w:val="0"/>
              <w:adjustRightInd w:val="0"/>
              <w:jc w:val="right"/>
              <w:rPr>
                <w:rFonts w:ascii="Arial" w:hAnsi="Arial" w:cs="Arial"/>
                <w:lang w:val="tr-TR"/>
              </w:rPr>
            </w:pPr>
            <w:r>
              <w:rPr>
                <w:rFonts w:ascii="Arial" w:hAnsi="Arial" w:cs="Arial"/>
                <w:lang w:val="tr-TR"/>
              </w:rPr>
              <w:t>(844.540)</w:t>
            </w:r>
          </w:p>
        </w:tc>
      </w:tr>
      <w:tr w:rsidR="00D322FB" w:rsidRPr="00727376" w:rsidTr="00F6606B">
        <w:tc>
          <w:tcPr>
            <w:tcW w:w="6750" w:type="dxa"/>
            <w:tcBorders>
              <w:bottom w:val="single" w:sz="4" w:space="0" w:color="auto"/>
            </w:tcBorders>
          </w:tcPr>
          <w:p w:rsidR="00D322FB" w:rsidRPr="00020594" w:rsidRDefault="00D322FB" w:rsidP="001A0C62">
            <w:pPr>
              <w:autoSpaceDE w:val="0"/>
              <w:autoSpaceDN w:val="0"/>
              <w:adjustRightInd w:val="0"/>
              <w:jc w:val="both"/>
              <w:rPr>
                <w:rFonts w:ascii="Arial" w:hAnsi="Arial" w:cs="Arial"/>
                <w:lang w:val="tr-TR"/>
              </w:rPr>
            </w:pPr>
          </w:p>
        </w:tc>
        <w:tc>
          <w:tcPr>
            <w:tcW w:w="2610" w:type="dxa"/>
            <w:tcBorders>
              <w:bottom w:val="single" w:sz="4" w:space="0" w:color="auto"/>
            </w:tcBorders>
            <w:vAlign w:val="bottom"/>
          </w:tcPr>
          <w:p w:rsidR="00D322FB" w:rsidRPr="00020594" w:rsidRDefault="00D322FB" w:rsidP="001A0C62">
            <w:pPr>
              <w:autoSpaceDE w:val="0"/>
              <w:autoSpaceDN w:val="0"/>
              <w:adjustRightInd w:val="0"/>
              <w:jc w:val="right"/>
              <w:rPr>
                <w:rFonts w:ascii="Arial" w:hAnsi="Arial" w:cs="Arial"/>
                <w:b/>
                <w:lang w:val="tr-TR"/>
              </w:rPr>
            </w:pPr>
          </w:p>
        </w:tc>
      </w:tr>
      <w:tr w:rsidR="00D322FB" w:rsidRPr="00727376" w:rsidTr="00F6606B">
        <w:tc>
          <w:tcPr>
            <w:tcW w:w="6750" w:type="dxa"/>
            <w:tcBorders>
              <w:top w:val="single" w:sz="4" w:space="0" w:color="auto"/>
              <w:bottom w:val="double" w:sz="4" w:space="0" w:color="auto"/>
            </w:tcBorders>
          </w:tcPr>
          <w:p w:rsidR="00D322FB" w:rsidRPr="00020594" w:rsidRDefault="00D322FB" w:rsidP="001A0C62">
            <w:pPr>
              <w:autoSpaceDE w:val="0"/>
              <w:autoSpaceDN w:val="0"/>
              <w:adjustRightInd w:val="0"/>
              <w:jc w:val="both"/>
              <w:rPr>
                <w:rFonts w:ascii="Arial" w:hAnsi="Arial" w:cs="Arial"/>
                <w:b/>
                <w:spacing w:val="-3"/>
                <w:lang w:val="tr-TR"/>
              </w:rPr>
            </w:pPr>
            <w:r w:rsidRPr="00020594">
              <w:rPr>
                <w:rFonts w:ascii="Arial" w:hAnsi="Arial" w:cs="Arial"/>
                <w:b/>
                <w:spacing w:val="-3"/>
                <w:lang w:val="tr-TR"/>
              </w:rPr>
              <w:t>Toplam</w:t>
            </w:r>
          </w:p>
        </w:tc>
        <w:tc>
          <w:tcPr>
            <w:tcW w:w="2610" w:type="dxa"/>
            <w:tcBorders>
              <w:top w:val="single" w:sz="4" w:space="0" w:color="auto"/>
              <w:bottom w:val="double" w:sz="4" w:space="0" w:color="auto"/>
            </w:tcBorders>
            <w:vAlign w:val="center"/>
          </w:tcPr>
          <w:p w:rsidR="00D322FB" w:rsidRPr="00020594" w:rsidRDefault="00D322FB" w:rsidP="001A0C62">
            <w:pPr>
              <w:autoSpaceDE w:val="0"/>
              <w:autoSpaceDN w:val="0"/>
              <w:adjustRightInd w:val="0"/>
              <w:jc w:val="right"/>
              <w:rPr>
                <w:rFonts w:ascii="Arial" w:hAnsi="Arial" w:cs="Arial"/>
                <w:b/>
                <w:lang w:val="tr-TR"/>
              </w:rPr>
            </w:pPr>
            <w:r>
              <w:rPr>
                <w:rFonts w:ascii="Arial" w:hAnsi="Arial" w:cs="Arial"/>
                <w:b/>
                <w:lang w:val="tr-TR"/>
              </w:rPr>
              <w:t>(2.235.599</w:t>
            </w:r>
            <w:r w:rsidRPr="00020594">
              <w:rPr>
                <w:rFonts w:ascii="Arial" w:hAnsi="Arial" w:cs="Arial"/>
                <w:b/>
                <w:lang w:val="tr-TR"/>
              </w:rPr>
              <w:t>)</w:t>
            </w:r>
          </w:p>
        </w:tc>
      </w:tr>
    </w:tbl>
    <w:p w:rsidR="00D322FB" w:rsidRPr="00727376" w:rsidRDefault="00D322FB" w:rsidP="001A0C62">
      <w:pPr>
        <w:ind w:left="567" w:hanging="567"/>
        <w:rPr>
          <w:rFonts w:ascii="Arial" w:hAnsi="Arial" w:cs="Arial"/>
          <w:b/>
          <w:highlight w:val="yellow"/>
          <w:lang w:val="tr-TR"/>
        </w:rPr>
      </w:pPr>
    </w:p>
    <w:p w:rsidR="00D322FB" w:rsidRPr="009A48D4" w:rsidRDefault="00D322FB" w:rsidP="001A0C62">
      <w:pPr>
        <w:rPr>
          <w:rFonts w:ascii="Arial" w:hAnsi="Arial" w:cs="Arial"/>
          <w:i/>
          <w:lang w:val="tr-TR"/>
        </w:rPr>
      </w:pPr>
      <w:r w:rsidRPr="009A48D4">
        <w:rPr>
          <w:rFonts w:ascii="Arial" w:hAnsi="Arial" w:cs="Arial"/>
          <w:i/>
          <w:lang w:val="tr-TR"/>
        </w:rPr>
        <w:t>Ertelenmiş vergi</w:t>
      </w:r>
    </w:p>
    <w:p w:rsidR="00D322FB" w:rsidRPr="009A48D4" w:rsidRDefault="00D322FB" w:rsidP="001A0C62">
      <w:pPr>
        <w:rPr>
          <w:rFonts w:ascii="Arial" w:hAnsi="Arial" w:cs="Arial"/>
          <w:lang w:val="tr-TR"/>
        </w:rPr>
      </w:pPr>
    </w:p>
    <w:p w:rsidR="00D322FB" w:rsidRPr="009A48D4" w:rsidRDefault="00D322FB" w:rsidP="001A0C62">
      <w:pPr>
        <w:ind w:right="-23"/>
        <w:rPr>
          <w:rFonts w:ascii="Arial" w:hAnsi="Arial" w:cs="Arial"/>
          <w:lang w:val="tr-TR"/>
        </w:rPr>
      </w:pPr>
      <w:r w:rsidRPr="009A48D4">
        <w:rPr>
          <w:rFonts w:ascii="Arial" w:hAnsi="Arial" w:cs="Arial"/>
          <w:lang w:val="tr-TR"/>
        </w:rPr>
        <w:t>Şirket vergiye esas yasal finansal tabloları ile TFRS’ye göre hazırlanmış finansal tabloları arasındaki farklılıklardan kaynaklanan geçici zamanlama farkları için ertelenmiş vergi varlığını ve yükümlülüğünü muhasebeleştirmektedir. Söz konusu farklılıklar genellikle bazı gelir ve gider kalemlerinin vergiye esas tutarları ile TFRS’ye göre hazırlanan finansal tablolarda farklı dönemlerde yer almasından kaynaklanmakta olup aşağıda açıklanmaktadır. Ertelenmiş vergi varlığı ve yükümlülüğünün hesaplanmasında kullanılan vergi oranı %20’dir (201</w:t>
      </w:r>
      <w:r w:rsidR="00D86D3E">
        <w:rPr>
          <w:rFonts w:ascii="Arial" w:hAnsi="Arial" w:cs="Arial"/>
          <w:lang w:val="tr-TR"/>
        </w:rPr>
        <w:t>4</w:t>
      </w:r>
      <w:r w:rsidRPr="009A48D4">
        <w:rPr>
          <w:rFonts w:ascii="Arial" w:hAnsi="Arial" w:cs="Arial"/>
          <w:lang w:val="tr-TR"/>
        </w:rPr>
        <w:t xml:space="preserve"> – %20).</w:t>
      </w:r>
    </w:p>
    <w:p w:rsidR="00D322FB" w:rsidRDefault="00D322FB" w:rsidP="0090567F">
      <w:pPr>
        <w:rPr>
          <w:rFonts w:ascii="Arial" w:hAnsi="Arial" w:cs="Arial"/>
          <w:highlight w:val="yellow"/>
          <w:lang w:val="tr-TR"/>
        </w:rPr>
      </w:pPr>
    </w:p>
    <w:p w:rsidR="00D322FB" w:rsidRPr="00FE63F2" w:rsidRDefault="00D322FB" w:rsidP="00A245B2">
      <w:pPr>
        <w:pStyle w:val="BodyText2"/>
        <w:spacing w:line="221" w:lineRule="auto"/>
        <w:jc w:val="left"/>
        <w:rPr>
          <w:rFonts w:ascii="Arial" w:hAnsi="Arial" w:cs="Arial"/>
          <w:b/>
          <w:bCs/>
          <w:sz w:val="20"/>
          <w:highlight w:val="yellow"/>
          <w:lang w:val="tr-TR"/>
        </w:rPr>
      </w:pPr>
      <w:r w:rsidRPr="00842630">
        <w:rPr>
          <w:rFonts w:ascii="Arial" w:hAnsi="Arial" w:cs="Arial"/>
          <w:sz w:val="20"/>
          <w:szCs w:val="22"/>
          <w:lang w:val="tr-TR" w:eastAsia="tr-TR"/>
        </w:rPr>
        <w:t>31 Aralık 2014 ve 2013 tarihleri itibariyle ertelenmiş vergi hesaplarının detayı aşağıda gösterilmiştir:</w:t>
      </w:r>
    </w:p>
    <w:p w:rsidR="005318D9" w:rsidRDefault="005318D9" w:rsidP="00075EE7">
      <w:pPr>
        <w:pStyle w:val="BodyText2"/>
        <w:spacing w:line="221" w:lineRule="auto"/>
        <w:jc w:val="left"/>
        <w:rPr>
          <w:rFonts w:ascii="Arial" w:hAnsi="Arial" w:cs="Arial"/>
          <w:sz w:val="20"/>
          <w:lang w:val="tr-TR"/>
        </w:rPr>
      </w:pPr>
    </w:p>
    <w:p w:rsidR="001E32D9" w:rsidRDefault="001E32D9" w:rsidP="00075EE7">
      <w:pPr>
        <w:pStyle w:val="BodyText2"/>
        <w:spacing w:line="221" w:lineRule="auto"/>
        <w:jc w:val="left"/>
        <w:rPr>
          <w:rFonts w:ascii="Arial" w:hAnsi="Arial" w:cs="Arial"/>
          <w:sz w:val="20"/>
          <w:lang w:val="tr-TR"/>
        </w:rPr>
      </w:pPr>
    </w:p>
    <w:p w:rsidR="00E13C2A" w:rsidRPr="00E13C2A" w:rsidRDefault="00E13C2A" w:rsidP="00E13C2A">
      <w:pPr>
        <w:ind w:right="238"/>
        <w:rPr>
          <w:rFonts w:ascii="Arial" w:hAnsi="Arial" w:cs="Arial"/>
          <w:b/>
          <w:lang w:val="tr-TR"/>
        </w:rPr>
      </w:pPr>
      <w:r w:rsidRPr="00E13C2A">
        <w:rPr>
          <w:rFonts w:ascii="Arial" w:hAnsi="Arial" w:cs="Arial"/>
          <w:b/>
          <w:lang w:val="tr-TR"/>
        </w:rPr>
        <w:t>Ertelenmiş vergi varlığı</w:t>
      </w:r>
    </w:p>
    <w:p w:rsidR="00E13C2A" w:rsidRPr="00E13C2A" w:rsidRDefault="00E13C2A" w:rsidP="00E13C2A">
      <w:pPr>
        <w:ind w:right="238"/>
        <w:rPr>
          <w:rFonts w:ascii="Arial" w:hAnsi="Arial" w:cs="Arial"/>
          <w:highlight w:val="yellow"/>
          <w:lang w:val="tr-TR"/>
        </w:rPr>
      </w:pPr>
    </w:p>
    <w:tbl>
      <w:tblPr>
        <w:tblW w:w="9057" w:type="dxa"/>
        <w:tblInd w:w="108" w:type="dxa"/>
        <w:tblLayout w:type="fixed"/>
        <w:tblLook w:val="01E0" w:firstRow="1" w:lastRow="1" w:firstColumn="1" w:lastColumn="1" w:noHBand="0" w:noVBand="0"/>
      </w:tblPr>
      <w:tblGrid>
        <w:gridCol w:w="5670"/>
        <w:gridCol w:w="1701"/>
        <w:gridCol w:w="1686"/>
      </w:tblGrid>
      <w:tr w:rsidR="00E13C2A" w:rsidRPr="00E13C2A" w:rsidTr="008863E9">
        <w:tc>
          <w:tcPr>
            <w:tcW w:w="5670" w:type="dxa"/>
            <w:tcBorders>
              <w:top w:val="single" w:sz="4" w:space="0" w:color="auto"/>
              <w:bottom w:val="single" w:sz="4" w:space="0" w:color="auto"/>
            </w:tcBorders>
          </w:tcPr>
          <w:p w:rsidR="00E13C2A" w:rsidRPr="00E13C2A" w:rsidRDefault="00E13C2A" w:rsidP="00E13C2A">
            <w:pPr>
              <w:autoSpaceDE w:val="0"/>
              <w:autoSpaceDN w:val="0"/>
              <w:adjustRightInd w:val="0"/>
              <w:jc w:val="both"/>
              <w:rPr>
                <w:rFonts w:ascii="Arial" w:hAnsi="Arial" w:cs="Arial"/>
                <w:lang w:val="tr-TR"/>
              </w:rPr>
            </w:pPr>
          </w:p>
        </w:tc>
        <w:tc>
          <w:tcPr>
            <w:tcW w:w="1701" w:type="dxa"/>
            <w:tcBorders>
              <w:top w:val="single" w:sz="4" w:space="0" w:color="auto"/>
              <w:bottom w:val="single" w:sz="4" w:space="0" w:color="auto"/>
            </w:tcBorders>
            <w:vAlign w:val="bottom"/>
          </w:tcPr>
          <w:p w:rsidR="00E13C2A" w:rsidRPr="00E13C2A" w:rsidRDefault="00E13C2A" w:rsidP="00E13C2A">
            <w:pPr>
              <w:autoSpaceDE w:val="0"/>
              <w:autoSpaceDN w:val="0"/>
              <w:adjustRightInd w:val="0"/>
              <w:jc w:val="right"/>
              <w:rPr>
                <w:rFonts w:ascii="Arial" w:hAnsi="Arial" w:cs="Arial"/>
                <w:b/>
                <w:lang w:val="tr-TR"/>
              </w:rPr>
            </w:pPr>
            <w:r w:rsidRPr="00E13C2A">
              <w:rPr>
                <w:rFonts w:ascii="Arial" w:hAnsi="Arial" w:cs="Arial"/>
                <w:b/>
                <w:lang w:val="tr-TR"/>
              </w:rPr>
              <w:t>31 Mart 201</w:t>
            </w:r>
            <w:r>
              <w:rPr>
                <w:rFonts w:ascii="Arial" w:hAnsi="Arial" w:cs="Arial"/>
                <w:b/>
                <w:lang w:val="tr-TR"/>
              </w:rPr>
              <w:t>5</w:t>
            </w:r>
          </w:p>
        </w:tc>
        <w:tc>
          <w:tcPr>
            <w:tcW w:w="1686" w:type="dxa"/>
            <w:tcBorders>
              <w:top w:val="single" w:sz="4" w:space="0" w:color="auto"/>
              <w:bottom w:val="single" w:sz="4" w:space="0" w:color="auto"/>
            </w:tcBorders>
            <w:vAlign w:val="bottom"/>
          </w:tcPr>
          <w:p w:rsidR="00E13C2A" w:rsidRPr="00E13C2A" w:rsidRDefault="00E13C2A" w:rsidP="00E13C2A">
            <w:pPr>
              <w:autoSpaceDE w:val="0"/>
              <w:autoSpaceDN w:val="0"/>
              <w:adjustRightInd w:val="0"/>
              <w:jc w:val="right"/>
              <w:rPr>
                <w:rFonts w:ascii="Arial" w:hAnsi="Arial" w:cs="Arial"/>
                <w:lang w:val="tr-TR"/>
              </w:rPr>
            </w:pPr>
            <w:r w:rsidRPr="00E13C2A">
              <w:rPr>
                <w:rFonts w:ascii="Arial" w:hAnsi="Arial" w:cs="Arial"/>
                <w:lang w:val="tr-TR"/>
              </w:rPr>
              <w:t>31 Aralık 201</w:t>
            </w:r>
            <w:r>
              <w:rPr>
                <w:rFonts w:ascii="Arial" w:hAnsi="Arial" w:cs="Arial"/>
                <w:lang w:val="tr-TR"/>
              </w:rPr>
              <w:t>4</w:t>
            </w:r>
          </w:p>
        </w:tc>
      </w:tr>
      <w:tr w:rsidR="00E13C2A" w:rsidRPr="00E13C2A" w:rsidTr="008863E9">
        <w:tc>
          <w:tcPr>
            <w:tcW w:w="5670" w:type="dxa"/>
            <w:tcBorders>
              <w:top w:val="single" w:sz="4" w:space="0" w:color="auto"/>
            </w:tcBorders>
          </w:tcPr>
          <w:p w:rsidR="00E13C2A" w:rsidRPr="00E13C2A" w:rsidRDefault="00E13C2A" w:rsidP="00E13C2A">
            <w:pPr>
              <w:autoSpaceDE w:val="0"/>
              <w:autoSpaceDN w:val="0"/>
              <w:adjustRightInd w:val="0"/>
              <w:jc w:val="both"/>
              <w:rPr>
                <w:rFonts w:ascii="Arial" w:hAnsi="Arial" w:cs="Arial"/>
                <w:lang w:val="tr-TR"/>
              </w:rPr>
            </w:pPr>
          </w:p>
        </w:tc>
        <w:tc>
          <w:tcPr>
            <w:tcW w:w="1701" w:type="dxa"/>
            <w:tcBorders>
              <w:top w:val="single" w:sz="4" w:space="0" w:color="auto"/>
            </w:tcBorders>
            <w:vAlign w:val="bottom"/>
          </w:tcPr>
          <w:p w:rsidR="00E13C2A" w:rsidRPr="00E13C2A" w:rsidRDefault="00E13C2A" w:rsidP="00E13C2A">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E13C2A" w:rsidRPr="00E13C2A" w:rsidRDefault="00E13C2A" w:rsidP="00E13C2A">
            <w:pPr>
              <w:autoSpaceDE w:val="0"/>
              <w:autoSpaceDN w:val="0"/>
              <w:adjustRightInd w:val="0"/>
              <w:jc w:val="right"/>
              <w:rPr>
                <w:rFonts w:ascii="Arial" w:hAnsi="Arial" w:cs="Arial"/>
                <w:lang w:val="tr-TR"/>
              </w:rPr>
            </w:pPr>
          </w:p>
        </w:tc>
      </w:tr>
      <w:tr w:rsidR="00E13C2A" w:rsidRPr="00E13C2A" w:rsidTr="008863E9">
        <w:tc>
          <w:tcPr>
            <w:tcW w:w="5670" w:type="dxa"/>
          </w:tcPr>
          <w:p w:rsidR="00E13C2A" w:rsidRPr="00E13C2A" w:rsidRDefault="00E13C2A" w:rsidP="00E13C2A">
            <w:pPr>
              <w:autoSpaceDE w:val="0"/>
              <w:autoSpaceDN w:val="0"/>
              <w:adjustRightInd w:val="0"/>
              <w:jc w:val="both"/>
              <w:rPr>
                <w:rFonts w:ascii="Arial" w:hAnsi="Arial" w:cs="Arial"/>
                <w:lang w:val="tr-TR"/>
              </w:rPr>
            </w:pPr>
            <w:r w:rsidRPr="00E13C2A">
              <w:rPr>
                <w:rFonts w:ascii="Arial" w:hAnsi="Arial" w:cs="Arial"/>
                <w:lang w:val="tr-TR"/>
              </w:rPr>
              <w:t>Devreden mali zarar</w:t>
            </w:r>
          </w:p>
        </w:tc>
        <w:tc>
          <w:tcPr>
            <w:tcW w:w="1701" w:type="dxa"/>
            <w:vAlign w:val="bottom"/>
          </w:tcPr>
          <w:p w:rsidR="00E13C2A" w:rsidRPr="00E13C2A" w:rsidRDefault="00E13C2A" w:rsidP="001E32D9">
            <w:pPr>
              <w:autoSpaceDE w:val="0"/>
              <w:autoSpaceDN w:val="0"/>
              <w:adjustRightInd w:val="0"/>
              <w:jc w:val="right"/>
              <w:rPr>
                <w:rFonts w:ascii="Arial" w:hAnsi="Arial" w:cs="Arial"/>
                <w:b/>
                <w:lang w:val="tr-TR"/>
              </w:rPr>
            </w:pPr>
            <w:r>
              <w:rPr>
                <w:rFonts w:ascii="Arial" w:hAnsi="Arial" w:cs="Arial"/>
                <w:b/>
                <w:lang w:val="tr-TR"/>
              </w:rPr>
              <w:t>423.39</w:t>
            </w:r>
            <w:r w:rsidR="001E32D9">
              <w:rPr>
                <w:rFonts w:ascii="Arial" w:hAnsi="Arial" w:cs="Arial"/>
                <w:b/>
                <w:lang w:val="tr-TR"/>
              </w:rPr>
              <w:t>3</w:t>
            </w:r>
          </w:p>
        </w:tc>
        <w:tc>
          <w:tcPr>
            <w:tcW w:w="1686" w:type="dxa"/>
            <w:vAlign w:val="bottom"/>
          </w:tcPr>
          <w:p w:rsidR="00E13C2A" w:rsidRPr="00E13C2A" w:rsidRDefault="00E13C2A" w:rsidP="00E13C2A">
            <w:pPr>
              <w:autoSpaceDE w:val="0"/>
              <w:autoSpaceDN w:val="0"/>
              <w:adjustRightInd w:val="0"/>
              <w:jc w:val="right"/>
              <w:rPr>
                <w:rFonts w:ascii="Arial" w:hAnsi="Arial" w:cs="Arial"/>
                <w:lang w:val="tr-TR"/>
              </w:rPr>
            </w:pPr>
            <w:r>
              <w:rPr>
                <w:rFonts w:ascii="Arial" w:hAnsi="Arial" w:cs="Arial"/>
                <w:lang w:val="tr-TR"/>
              </w:rPr>
              <w:t>168.908</w:t>
            </w:r>
          </w:p>
        </w:tc>
      </w:tr>
      <w:tr w:rsidR="00E13C2A" w:rsidRPr="00E13C2A" w:rsidTr="008863E9">
        <w:tc>
          <w:tcPr>
            <w:tcW w:w="5670" w:type="dxa"/>
          </w:tcPr>
          <w:p w:rsidR="00E13C2A" w:rsidRPr="00E13C2A" w:rsidRDefault="00E13C2A" w:rsidP="00E13C2A">
            <w:pPr>
              <w:autoSpaceDE w:val="0"/>
              <w:autoSpaceDN w:val="0"/>
              <w:adjustRightInd w:val="0"/>
              <w:jc w:val="both"/>
              <w:rPr>
                <w:rFonts w:ascii="Arial" w:hAnsi="Arial" w:cs="Arial"/>
                <w:lang w:val="tr-TR"/>
              </w:rPr>
            </w:pPr>
            <w:r w:rsidRPr="00E13C2A">
              <w:rPr>
                <w:rFonts w:ascii="Arial" w:hAnsi="Arial" w:cs="Arial"/>
                <w:lang w:val="tr-TR"/>
              </w:rPr>
              <w:t>Kıdem tazminatı karşılığı</w:t>
            </w:r>
          </w:p>
        </w:tc>
        <w:tc>
          <w:tcPr>
            <w:tcW w:w="1701" w:type="dxa"/>
            <w:vAlign w:val="bottom"/>
          </w:tcPr>
          <w:p w:rsidR="00E13C2A" w:rsidRPr="00E13C2A" w:rsidRDefault="00E13C2A" w:rsidP="00E13C2A">
            <w:pPr>
              <w:autoSpaceDE w:val="0"/>
              <w:autoSpaceDN w:val="0"/>
              <w:adjustRightInd w:val="0"/>
              <w:jc w:val="right"/>
              <w:rPr>
                <w:rFonts w:ascii="Arial" w:hAnsi="Arial" w:cs="Arial"/>
                <w:b/>
                <w:lang w:val="tr-TR"/>
              </w:rPr>
            </w:pPr>
            <w:r>
              <w:rPr>
                <w:rFonts w:ascii="Arial" w:hAnsi="Arial" w:cs="Arial"/>
                <w:b/>
                <w:lang w:val="tr-TR"/>
              </w:rPr>
              <w:t>28.287</w:t>
            </w:r>
          </w:p>
        </w:tc>
        <w:tc>
          <w:tcPr>
            <w:tcW w:w="1686" w:type="dxa"/>
            <w:vAlign w:val="bottom"/>
          </w:tcPr>
          <w:p w:rsidR="00E13C2A" w:rsidRPr="00E13C2A" w:rsidRDefault="00E13C2A" w:rsidP="00E13C2A">
            <w:pPr>
              <w:autoSpaceDE w:val="0"/>
              <w:autoSpaceDN w:val="0"/>
              <w:adjustRightInd w:val="0"/>
              <w:jc w:val="right"/>
              <w:rPr>
                <w:rFonts w:ascii="Arial" w:hAnsi="Arial" w:cs="Arial"/>
                <w:lang w:val="tr-TR"/>
              </w:rPr>
            </w:pPr>
            <w:r>
              <w:rPr>
                <w:rFonts w:ascii="Arial" w:hAnsi="Arial" w:cs="Arial"/>
                <w:lang w:val="tr-TR"/>
              </w:rPr>
              <w:t>10.753</w:t>
            </w:r>
          </w:p>
        </w:tc>
      </w:tr>
      <w:tr w:rsidR="00E13C2A" w:rsidRPr="00E13C2A" w:rsidTr="008863E9">
        <w:tc>
          <w:tcPr>
            <w:tcW w:w="5670" w:type="dxa"/>
          </w:tcPr>
          <w:p w:rsidR="00E13C2A" w:rsidRPr="00E13C2A" w:rsidRDefault="00E13C2A" w:rsidP="00E13C2A">
            <w:pPr>
              <w:autoSpaceDE w:val="0"/>
              <w:autoSpaceDN w:val="0"/>
              <w:adjustRightInd w:val="0"/>
              <w:jc w:val="both"/>
              <w:rPr>
                <w:rFonts w:ascii="Arial" w:hAnsi="Arial" w:cs="Arial"/>
                <w:lang w:val="tr-TR"/>
              </w:rPr>
            </w:pPr>
            <w:r w:rsidRPr="00E13C2A">
              <w:rPr>
                <w:rFonts w:ascii="Arial" w:hAnsi="Arial" w:cs="Arial"/>
                <w:lang w:val="tr-TR"/>
              </w:rPr>
              <w:t>Kullanılmamış izin karşılığı</w:t>
            </w:r>
          </w:p>
        </w:tc>
        <w:tc>
          <w:tcPr>
            <w:tcW w:w="1701" w:type="dxa"/>
            <w:vAlign w:val="bottom"/>
          </w:tcPr>
          <w:p w:rsidR="00E13C2A" w:rsidRPr="00E13C2A" w:rsidRDefault="00E13C2A" w:rsidP="00E13C2A">
            <w:pPr>
              <w:autoSpaceDE w:val="0"/>
              <w:autoSpaceDN w:val="0"/>
              <w:adjustRightInd w:val="0"/>
              <w:jc w:val="right"/>
              <w:rPr>
                <w:rFonts w:ascii="Arial" w:hAnsi="Arial" w:cs="Arial"/>
                <w:b/>
                <w:lang w:val="tr-TR"/>
              </w:rPr>
            </w:pPr>
            <w:r>
              <w:rPr>
                <w:rFonts w:ascii="Arial" w:hAnsi="Arial" w:cs="Arial"/>
                <w:b/>
                <w:lang w:val="tr-TR"/>
              </w:rPr>
              <w:t>15.871</w:t>
            </w:r>
          </w:p>
        </w:tc>
        <w:tc>
          <w:tcPr>
            <w:tcW w:w="1686" w:type="dxa"/>
            <w:vAlign w:val="bottom"/>
          </w:tcPr>
          <w:p w:rsidR="00E13C2A" w:rsidRPr="00E13C2A" w:rsidRDefault="00E13C2A" w:rsidP="00E13C2A">
            <w:pPr>
              <w:autoSpaceDE w:val="0"/>
              <w:autoSpaceDN w:val="0"/>
              <w:adjustRightInd w:val="0"/>
              <w:jc w:val="right"/>
              <w:rPr>
                <w:rFonts w:ascii="Arial" w:hAnsi="Arial" w:cs="Arial"/>
                <w:lang w:val="tr-TR"/>
              </w:rPr>
            </w:pPr>
            <w:r>
              <w:rPr>
                <w:rFonts w:ascii="Arial" w:hAnsi="Arial" w:cs="Arial"/>
                <w:lang w:val="tr-TR"/>
              </w:rPr>
              <w:t>524</w:t>
            </w:r>
          </w:p>
        </w:tc>
      </w:tr>
      <w:tr w:rsidR="00E13C2A" w:rsidRPr="00E13C2A" w:rsidTr="008863E9">
        <w:tc>
          <w:tcPr>
            <w:tcW w:w="5670" w:type="dxa"/>
          </w:tcPr>
          <w:p w:rsidR="00E13C2A" w:rsidRPr="00E13C2A" w:rsidRDefault="00E13C2A" w:rsidP="00E13C2A">
            <w:pPr>
              <w:autoSpaceDE w:val="0"/>
              <w:autoSpaceDN w:val="0"/>
              <w:adjustRightInd w:val="0"/>
              <w:jc w:val="both"/>
              <w:rPr>
                <w:rFonts w:ascii="Arial" w:hAnsi="Arial" w:cs="Arial"/>
                <w:lang w:val="tr-TR"/>
              </w:rPr>
            </w:pPr>
            <w:r w:rsidRPr="00E13C2A">
              <w:rPr>
                <w:rFonts w:ascii="Arial" w:hAnsi="Arial" w:cs="Arial"/>
                <w:lang w:val="tr-TR"/>
              </w:rPr>
              <w:t>Finansal varlık değerleme farkı</w:t>
            </w:r>
          </w:p>
        </w:tc>
        <w:tc>
          <w:tcPr>
            <w:tcW w:w="1701" w:type="dxa"/>
            <w:vAlign w:val="bottom"/>
          </w:tcPr>
          <w:p w:rsidR="00E13C2A" w:rsidRPr="00E13C2A" w:rsidRDefault="00E13C2A" w:rsidP="00E13C2A">
            <w:pPr>
              <w:autoSpaceDE w:val="0"/>
              <w:autoSpaceDN w:val="0"/>
              <w:adjustRightInd w:val="0"/>
              <w:jc w:val="right"/>
              <w:rPr>
                <w:rFonts w:ascii="Arial" w:hAnsi="Arial" w:cs="Arial"/>
                <w:b/>
                <w:lang w:val="tr-TR"/>
              </w:rPr>
            </w:pPr>
            <w:r>
              <w:rPr>
                <w:rFonts w:ascii="Arial" w:hAnsi="Arial" w:cs="Arial"/>
                <w:b/>
                <w:lang w:val="tr-TR"/>
              </w:rPr>
              <w:t>(</w:t>
            </w:r>
            <w:r w:rsidRPr="00E13C2A">
              <w:rPr>
                <w:rFonts w:ascii="Arial" w:hAnsi="Arial" w:cs="Arial"/>
                <w:b/>
                <w:lang w:val="tr-TR"/>
              </w:rPr>
              <w:t>2</w:t>
            </w:r>
            <w:r>
              <w:rPr>
                <w:rFonts w:ascii="Arial" w:hAnsi="Arial" w:cs="Arial"/>
                <w:b/>
                <w:lang w:val="tr-TR"/>
              </w:rPr>
              <w:t>)</w:t>
            </w:r>
          </w:p>
        </w:tc>
        <w:tc>
          <w:tcPr>
            <w:tcW w:w="1686" w:type="dxa"/>
            <w:vAlign w:val="bottom"/>
          </w:tcPr>
          <w:p w:rsidR="00E13C2A" w:rsidRPr="00E13C2A" w:rsidRDefault="00E13C2A" w:rsidP="00E13C2A">
            <w:pPr>
              <w:autoSpaceDE w:val="0"/>
              <w:autoSpaceDN w:val="0"/>
              <w:adjustRightInd w:val="0"/>
              <w:jc w:val="right"/>
              <w:rPr>
                <w:rFonts w:ascii="Arial" w:hAnsi="Arial" w:cs="Arial"/>
                <w:lang w:val="tr-TR"/>
              </w:rPr>
            </w:pPr>
            <w:r>
              <w:rPr>
                <w:rFonts w:ascii="Arial" w:hAnsi="Arial" w:cs="Arial"/>
                <w:lang w:val="tr-TR"/>
              </w:rPr>
              <w:t>2</w:t>
            </w:r>
          </w:p>
        </w:tc>
      </w:tr>
      <w:tr w:rsidR="00E13C2A" w:rsidRPr="00E13C2A" w:rsidTr="008863E9">
        <w:tc>
          <w:tcPr>
            <w:tcW w:w="5670" w:type="dxa"/>
          </w:tcPr>
          <w:p w:rsidR="00E13C2A" w:rsidRPr="00E13C2A" w:rsidRDefault="00E13C2A" w:rsidP="00E13C2A">
            <w:pPr>
              <w:autoSpaceDE w:val="0"/>
              <w:autoSpaceDN w:val="0"/>
              <w:adjustRightInd w:val="0"/>
              <w:jc w:val="both"/>
              <w:rPr>
                <w:rFonts w:ascii="Arial" w:hAnsi="Arial" w:cs="Arial"/>
                <w:lang w:val="tr-TR"/>
              </w:rPr>
            </w:pPr>
            <w:r w:rsidRPr="00E13C2A">
              <w:rPr>
                <w:rFonts w:ascii="Arial" w:hAnsi="Arial" w:cs="Arial"/>
                <w:lang w:val="tr-TR"/>
              </w:rPr>
              <w:t>Maddi duran varlıklar ekonomik ömür farkları</w:t>
            </w:r>
          </w:p>
        </w:tc>
        <w:tc>
          <w:tcPr>
            <w:tcW w:w="1701" w:type="dxa"/>
            <w:vAlign w:val="bottom"/>
          </w:tcPr>
          <w:p w:rsidR="00E13C2A" w:rsidRPr="00E13C2A" w:rsidRDefault="00E13C2A" w:rsidP="00E13C2A">
            <w:pPr>
              <w:autoSpaceDE w:val="0"/>
              <w:autoSpaceDN w:val="0"/>
              <w:adjustRightInd w:val="0"/>
              <w:jc w:val="right"/>
              <w:rPr>
                <w:rFonts w:ascii="Arial" w:hAnsi="Arial" w:cs="Arial"/>
                <w:b/>
                <w:lang w:val="tr-TR"/>
              </w:rPr>
            </w:pPr>
            <w:r>
              <w:rPr>
                <w:rFonts w:ascii="Arial" w:hAnsi="Arial" w:cs="Arial"/>
                <w:b/>
                <w:lang w:val="tr-TR"/>
              </w:rPr>
              <w:t>(4.801)</w:t>
            </w:r>
          </w:p>
        </w:tc>
        <w:tc>
          <w:tcPr>
            <w:tcW w:w="1686" w:type="dxa"/>
            <w:vAlign w:val="bottom"/>
          </w:tcPr>
          <w:p w:rsidR="00E13C2A" w:rsidRPr="00E13C2A" w:rsidRDefault="00E13C2A" w:rsidP="00E13C2A">
            <w:pPr>
              <w:autoSpaceDE w:val="0"/>
              <w:autoSpaceDN w:val="0"/>
              <w:adjustRightInd w:val="0"/>
              <w:jc w:val="right"/>
              <w:rPr>
                <w:rFonts w:ascii="Arial" w:hAnsi="Arial" w:cs="Arial"/>
                <w:lang w:val="tr-TR"/>
              </w:rPr>
            </w:pPr>
            <w:r>
              <w:rPr>
                <w:rFonts w:ascii="Arial" w:hAnsi="Arial" w:cs="Arial"/>
                <w:lang w:val="tr-TR"/>
              </w:rPr>
              <w:t>(1.098)</w:t>
            </w:r>
          </w:p>
        </w:tc>
      </w:tr>
      <w:tr w:rsidR="00E13C2A" w:rsidRPr="00E13C2A" w:rsidTr="008863E9">
        <w:tc>
          <w:tcPr>
            <w:tcW w:w="5670" w:type="dxa"/>
            <w:tcBorders>
              <w:bottom w:val="single" w:sz="4" w:space="0" w:color="auto"/>
            </w:tcBorders>
          </w:tcPr>
          <w:p w:rsidR="00E13C2A" w:rsidRPr="00E13C2A" w:rsidRDefault="00E13C2A" w:rsidP="00E13C2A">
            <w:pPr>
              <w:autoSpaceDE w:val="0"/>
              <w:autoSpaceDN w:val="0"/>
              <w:adjustRightInd w:val="0"/>
              <w:jc w:val="both"/>
              <w:rPr>
                <w:rFonts w:ascii="Arial" w:hAnsi="Arial" w:cs="Arial"/>
                <w:lang w:val="tr-TR"/>
              </w:rPr>
            </w:pPr>
          </w:p>
        </w:tc>
        <w:tc>
          <w:tcPr>
            <w:tcW w:w="1701" w:type="dxa"/>
            <w:tcBorders>
              <w:bottom w:val="single" w:sz="4" w:space="0" w:color="auto"/>
            </w:tcBorders>
            <w:vAlign w:val="bottom"/>
          </w:tcPr>
          <w:p w:rsidR="00E13C2A" w:rsidRPr="00E13C2A" w:rsidRDefault="00E13C2A" w:rsidP="00E13C2A">
            <w:pPr>
              <w:autoSpaceDE w:val="0"/>
              <w:autoSpaceDN w:val="0"/>
              <w:adjustRightInd w:val="0"/>
              <w:jc w:val="right"/>
              <w:rPr>
                <w:rFonts w:ascii="Arial" w:hAnsi="Arial" w:cs="Arial"/>
                <w:lang w:val="tr-TR"/>
              </w:rPr>
            </w:pPr>
          </w:p>
        </w:tc>
        <w:tc>
          <w:tcPr>
            <w:tcW w:w="1686" w:type="dxa"/>
            <w:tcBorders>
              <w:bottom w:val="single" w:sz="4" w:space="0" w:color="auto"/>
            </w:tcBorders>
            <w:vAlign w:val="bottom"/>
          </w:tcPr>
          <w:p w:rsidR="00E13C2A" w:rsidRPr="00E13C2A" w:rsidRDefault="00E13C2A" w:rsidP="00E13C2A">
            <w:pPr>
              <w:autoSpaceDE w:val="0"/>
              <w:autoSpaceDN w:val="0"/>
              <w:adjustRightInd w:val="0"/>
              <w:jc w:val="right"/>
              <w:rPr>
                <w:rFonts w:ascii="Arial" w:hAnsi="Arial" w:cs="Arial"/>
                <w:lang w:val="tr-TR"/>
              </w:rPr>
            </w:pPr>
          </w:p>
        </w:tc>
      </w:tr>
      <w:tr w:rsidR="00E13C2A" w:rsidRPr="00E13C2A" w:rsidTr="008863E9">
        <w:tc>
          <w:tcPr>
            <w:tcW w:w="5670" w:type="dxa"/>
            <w:tcBorders>
              <w:top w:val="single" w:sz="4" w:space="0" w:color="auto"/>
              <w:bottom w:val="double" w:sz="4" w:space="0" w:color="auto"/>
            </w:tcBorders>
          </w:tcPr>
          <w:p w:rsidR="00E13C2A" w:rsidRPr="00E13C2A" w:rsidRDefault="00E13C2A" w:rsidP="00E13C2A">
            <w:pPr>
              <w:autoSpaceDE w:val="0"/>
              <w:autoSpaceDN w:val="0"/>
              <w:adjustRightInd w:val="0"/>
              <w:jc w:val="both"/>
              <w:rPr>
                <w:rFonts w:ascii="Arial" w:hAnsi="Arial" w:cs="Arial"/>
                <w:spacing w:val="-3"/>
                <w:lang w:val="tr-TR"/>
              </w:rPr>
            </w:pPr>
          </w:p>
        </w:tc>
        <w:tc>
          <w:tcPr>
            <w:tcW w:w="1701" w:type="dxa"/>
            <w:tcBorders>
              <w:top w:val="single" w:sz="4" w:space="0" w:color="auto"/>
              <w:bottom w:val="double" w:sz="4" w:space="0" w:color="auto"/>
            </w:tcBorders>
            <w:vAlign w:val="bottom"/>
          </w:tcPr>
          <w:p w:rsidR="00E13C2A" w:rsidRPr="00E13C2A" w:rsidRDefault="001E32D9" w:rsidP="001E32D9">
            <w:pPr>
              <w:autoSpaceDE w:val="0"/>
              <w:autoSpaceDN w:val="0"/>
              <w:adjustRightInd w:val="0"/>
              <w:jc w:val="right"/>
              <w:rPr>
                <w:rFonts w:ascii="Arial" w:hAnsi="Arial" w:cs="Arial"/>
                <w:b/>
                <w:lang w:val="tr-TR"/>
              </w:rPr>
            </w:pPr>
            <w:r>
              <w:rPr>
                <w:rFonts w:ascii="Arial" w:hAnsi="Arial" w:cs="Arial"/>
                <w:b/>
                <w:lang w:val="tr-TR"/>
              </w:rPr>
              <w:t>462.749</w:t>
            </w:r>
          </w:p>
        </w:tc>
        <w:tc>
          <w:tcPr>
            <w:tcW w:w="1686" w:type="dxa"/>
            <w:tcBorders>
              <w:top w:val="single" w:sz="4" w:space="0" w:color="auto"/>
              <w:bottom w:val="double" w:sz="4" w:space="0" w:color="auto"/>
            </w:tcBorders>
            <w:vAlign w:val="bottom"/>
          </w:tcPr>
          <w:p w:rsidR="00E13C2A" w:rsidRPr="00E13C2A" w:rsidRDefault="00E13C2A" w:rsidP="00E13C2A">
            <w:pPr>
              <w:autoSpaceDE w:val="0"/>
              <w:autoSpaceDN w:val="0"/>
              <w:adjustRightInd w:val="0"/>
              <w:jc w:val="right"/>
              <w:rPr>
                <w:rFonts w:ascii="Arial" w:hAnsi="Arial" w:cs="Arial"/>
                <w:lang w:val="tr-TR"/>
              </w:rPr>
            </w:pPr>
            <w:r>
              <w:rPr>
                <w:rFonts w:ascii="Arial" w:hAnsi="Arial" w:cs="Arial"/>
                <w:lang w:val="tr-TR"/>
              </w:rPr>
              <w:t>179.089</w:t>
            </w:r>
          </w:p>
        </w:tc>
      </w:tr>
    </w:tbl>
    <w:p w:rsidR="00E13C2A" w:rsidRDefault="00E13C2A" w:rsidP="00075EE7">
      <w:pPr>
        <w:pStyle w:val="BodyText2"/>
        <w:spacing w:line="221" w:lineRule="auto"/>
        <w:jc w:val="left"/>
        <w:rPr>
          <w:rFonts w:ascii="Arial" w:hAnsi="Arial" w:cs="Arial"/>
          <w:sz w:val="20"/>
          <w:lang w:val="tr-TR"/>
        </w:rPr>
      </w:pPr>
    </w:p>
    <w:p w:rsidR="005318D9" w:rsidRDefault="005318D9" w:rsidP="00075EE7">
      <w:pPr>
        <w:pStyle w:val="BodyText2"/>
        <w:spacing w:line="221" w:lineRule="auto"/>
        <w:jc w:val="left"/>
        <w:rPr>
          <w:rFonts w:ascii="Arial" w:hAnsi="Arial" w:cs="Arial"/>
          <w:sz w:val="20"/>
          <w:lang w:val="tr-TR"/>
        </w:rPr>
      </w:pPr>
    </w:p>
    <w:p w:rsidR="00D322FB" w:rsidRPr="00946981" w:rsidRDefault="00D322FB" w:rsidP="00075EE7">
      <w:pPr>
        <w:pStyle w:val="BodyText2"/>
        <w:spacing w:line="221" w:lineRule="auto"/>
        <w:jc w:val="left"/>
        <w:rPr>
          <w:rFonts w:ascii="Arial" w:hAnsi="Arial" w:cs="Arial"/>
          <w:sz w:val="20"/>
          <w:highlight w:val="yellow"/>
          <w:lang w:val="tr-TR"/>
        </w:rPr>
      </w:pPr>
      <w:r w:rsidRPr="00946981">
        <w:rPr>
          <w:rFonts w:ascii="Arial" w:hAnsi="Arial" w:cs="Arial"/>
          <w:sz w:val="20"/>
          <w:lang w:val="tr-TR"/>
        </w:rPr>
        <w:t>31 Aralık 2014 ve 2013 tarihleri itibariyle ertelenmiş vergi varlık/(yükümlülüğü) hareket tablosu aşağıdaki gibidir:</w:t>
      </w:r>
    </w:p>
    <w:p w:rsidR="00D322FB" w:rsidRPr="00727376" w:rsidRDefault="00D322FB" w:rsidP="005A000A">
      <w:pPr>
        <w:ind w:right="238"/>
        <w:jc w:val="both"/>
        <w:rPr>
          <w:rFonts w:ascii="Arial" w:hAnsi="Arial" w:cs="Arial"/>
          <w:highlight w:val="yellow"/>
          <w:lang w:val="tr-TR"/>
        </w:rPr>
      </w:pPr>
    </w:p>
    <w:tbl>
      <w:tblPr>
        <w:tblW w:w="9057" w:type="dxa"/>
        <w:tblInd w:w="108" w:type="dxa"/>
        <w:tblLayout w:type="fixed"/>
        <w:tblLook w:val="01E0" w:firstRow="1" w:lastRow="1" w:firstColumn="1" w:lastColumn="1" w:noHBand="0" w:noVBand="0"/>
      </w:tblPr>
      <w:tblGrid>
        <w:gridCol w:w="5670"/>
        <w:gridCol w:w="1701"/>
        <w:gridCol w:w="1686"/>
      </w:tblGrid>
      <w:tr w:rsidR="00D322FB" w:rsidRPr="00727376" w:rsidTr="000F1FA8">
        <w:tc>
          <w:tcPr>
            <w:tcW w:w="5670" w:type="dxa"/>
            <w:tcBorders>
              <w:top w:val="single" w:sz="4" w:space="0" w:color="auto"/>
              <w:bottom w:val="single" w:sz="4" w:space="0" w:color="auto"/>
            </w:tcBorders>
          </w:tcPr>
          <w:p w:rsidR="00D322FB" w:rsidRPr="00727376" w:rsidRDefault="00D322FB" w:rsidP="005A000A">
            <w:pPr>
              <w:autoSpaceDE w:val="0"/>
              <w:autoSpaceDN w:val="0"/>
              <w:adjustRightInd w:val="0"/>
              <w:jc w:val="both"/>
              <w:rPr>
                <w:rFonts w:ascii="Arial" w:hAnsi="Arial" w:cs="Arial"/>
                <w:highlight w:val="yellow"/>
                <w:u w:val="single"/>
                <w:lang w:val="tr-TR"/>
              </w:rPr>
            </w:pPr>
          </w:p>
        </w:tc>
        <w:tc>
          <w:tcPr>
            <w:tcW w:w="1701" w:type="dxa"/>
            <w:tcBorders>
              <w:top w:val="single" w:sz="4" w:space="0" w:color="auto"/>
              <w:bottom w:val="single" w:sz="4" w:space="0" w:color="auto"/>
            </w:tcBorders>
            <w:vAlign w:val="center"/>
          </w:tcPr>
          <w:p w:rsidR="00D322FB" w:rsidRPr="00CE0C5B" w:rsidRDefault="002B5C0B" w:rsidP="000F1FA8">
            <w:pPr>
              <w:jc w:val="right"/>
              <w:rPr>
                <w:rFonts w:ascii="Arial" w:hAnsi="Arial" w:cs="Arial"/>
                <w:b/>
                <w:bCs/>
                <w:lang w:val="tr-TR"/>
              </w:rPr>
            </w:pPr>
            <w:r>
              <w:rPr>
                <w:rFonts w:ascii="Arial" w:hAnsi="Arial" w:cs="Arial"/>
                <w:b/>
                <w:bCs/>
                <w:lang w:val="tr-TR"/>
              </w:rPr>
              <w:t>Mart 2015</w:t>
            </w:r>
          </w:p>
        </w:tc>
        <w:tc>
          <w:tcPr>
            <w:tcW w:w="1686" w:type="dxa"/>
            <w:tcBorders>
              <w:top w:val="single" w:sz="4" w:space="0" w:color="auto"/>
              <w:bottom w:val="single" w:sz="4" w:space="0" w:color="auto"/>
            </w:tcBorders>
            <w:vAlign w:val="center"/>
          </w:tcPr>
          <w:p w:rsidR="00D322FB" w:rsidRPr="00CE0C5B" w:rsidRDefault="002B5C0B" w:rsidP="002B5C0B">
            <w:pPr>
              <w:jc w:val="right"/>
              <w:rPr>
                <w:rFonts w:ascii="Arial" w:hAnsi="Arial" w:cs="Arial"/>
                <w:lang w:val="tr-TR"/>
              </w:rPr>
            </w:pPr>
            <w:r>
              <w:rPr>
                <w:rFonts w:ascii="Arial" w:hAnsi="Arial" w:cs="Arial"/>
                <w:lang w:val="tr-TR"/>
              </w:rPr>
              <w:t>Mart 2014</w:t>
            </w:r>
          </w:p>
        </w:tc>
      </w:tr>
      <w:tr w:rsidR="00D322FB" w:rsidRPr="00727376" w:rsidTr="005A000A">
        <w:tc>
          <w:tcPr>
            <w:tcW w:w="5670" w:type="dxa"/>
            <w:tcBorders>
              <w:top w:val="single" w:sz="4" w:space="0" w:color="auto"/>
            </w:tcBorders>
          </w:tcPr>
          <w:p w:rsidR="00D322FB" w:rsidRPr="00727376" w:rsidRDefault="00D322FB" w:rsidP="005A000A">
            <w:pPr>
              <w:autoSpaceDE w:val="0"/>
              <w:autoSpaceDN w:val="0"/>
              <w:adjustRightInd w:val="0"/>
              <w:jc w:val="both"/>
              <w:rPr>
                <w:rFonts w:ascii="Arial" w:hAnsi="Arial" w:cs="Arial"/>
                <w:highlight w:val="yellow"/>
                <w:lang w:val="tr-TR"/>
              </w:rPr>
            </w:pPr>
          </w:p>
        </w:tc>
        <w:tc>
          <w:tcPr>
            <w:tcW w:w="1701" w:type="dxa"/>
            <w:tcBorders>
              <w:top w:val="single" w:sz="4" w:space="0" w:color="auto"/>
            </w:tcBorders>
            <w:vAlign w:val="center"/>
          </w:tcPr>
          <w:p w:rsidR="00D322FB" w:rsidRPr="00CE0C5B" w:rsidRDefault="00D322FB" w:rsidP="00D26B4C">
            <w:pPr>
              <w:autoSpaceDE w:val="0"/>
              <w:autoSpaceDN w:val="0"/>
              <w:adjustRightInd w:val="0"/>
              <w:jc w:val="right"/>
              <w:rPr>
                <w:rFonts w:ascii="Arial" w:hAnsi="Arial" w:cs="Arial"/>
                <w:lang w:val="tr-TR"/>
              </w:rPr>
            </w:pPr>
          </w:p>
        </w:tc>
        <w:tc>
          <w:tcPr>
            <w:tcW w:w="1686" w:type="dxa"/>
            <w:tcBorders>
              <w:top w:val="single" w:sz="4" w:space="0" w:color="auto"/>
            </w:tcBorders>
            <w:vAlign w:val="center"/>
          </w:tcPr>
          <w:p w:rsidR="00D322FB" w:rsidRPr="00CE0C5B" w:rsidRDefault="00D322FB" w:rsidP="00D26B4C">
            <w:pPr>
              <w:autoSpaceDE w:val="0"/>
              <w:autoSpaceDN w:val="0"/>
              <w:adjustRightInd w:val="0"/>
              <w:jc w:val="right"/>
              <w:rPr>
                <w:rFonts w:ascii="Arial" w:hAnsi="Arial" w:cs="Arial"/>
                <w:lang w:val="tr-TR"/>
              </w:rPr>
            </w:pPr>
          </w:p>
        </w:tc>
      </w:tr>
      <w:tr w:rsidR="00D322FB" w:rsidRPr="00727376" w:rsidTr="005A000A">
        <w:tc>
          <w:tcPr>
            <w:tcW w:w="5670" w:type="dxa"/>
          </w:tcPr>
          <w:p w:rsidR="00D322FB" w:rsidRPr="00727376" w:rsidRDefault="00D322FB" w:rsidP="005A000A">
            <w:pPr>
              <w:autoSpaceDE w:val="0"/>
              <w:autoSpaceDN w:val="0"/>
              <w:adjustRightInd w:val="0"/>
              <w:jc w:val="both"/>
              <w:rPr>
                <w:rFonts w:ascii="Arial" w:hAnsi="Arial" w:cs="Arial"/>
                <w:highlight w:val="yellow"/>
                <w:lang w:val="tr-TR"/>
              </w:rPr>
            </w:pPr>
            <w:r w:rsidRPr="006A5488">
              <w:rPr>
                <w:rFonts w:ascii="Arial" w:hAnsi="Arial" w:cs="Arial"/>
                <w:lang w:val="tr-TR"/>
              </w:rPr>
              <w:t>Dönem başı, 1 Ocak</w:t>
            </w:r>
          </w:p>
        </w:tc>
        <w:tc>
          <w:tcPr>
            <w:tcW w:w="1701" w:type="dxa"/>
            <w:vAlign w:val="bottom"/>
          </w:tcPr>
          <w:p w:rsidR="00D322FB" w:rsidRPr="00CE0C5B" w:rsidRDefault="00D322FB" w:rsidP="002C7C91">
            <w:pPr>
              <w:jc w:val="right"/>
              <w:rPr>
                <w:rFonts w:ascii="Arial" w:hAnsi="Arial" w:cs="Arial"/>
                <w:b/>
                <w:bCs/>
                <w:color w:val="000000"/>
              </w:rPr>
            </w:pPr>
            <w:r w:rsidRPr="00CE0C5B">
              <w:rPr>
                <w:rFonts w:ascii="Arial" w:hAnsi="Arial" w:cs="Arial"/>
                <w:b/>
                <w:bCs/>
                <w:color w:val="000000"/>
              </w:rPr>
              <w:t xml:space="preserve">           </w:t>
            </w:r>
            <w:r w:rsidR="002C7C91">
              <w:rPr>
                <w:rFonts w:ascii="Arial" w:hAnsi="Arial" w:cs="Arial"/>
                <w:b/>
                <w:bCs/>
                <w:color w:val="000000"/>
              </w:rPr>
              <w:t>479</w:t>
            </w:r>
            <w:r w:rsidRPr="00CE0C5B">
              <w:rPr>
                <w:rFonts w:ascii="Arial" w:hAnsi="Arial" w:cs="Arial"/>
                <w:b/>
                <w:bCs/>
                <w:color w:val="000000"/>
              </w:rPr>
              <w:t>.</w:t>
            </w:r>
            <w:r w:rsidR="002C7C91">
              <w:rPr>
                <w:rFonts w:ascii="Arial" w:hAnsi="Arial" w:cs="Arial"/>
                <w:b/>
                <w:bCs/>
                <w:color w:val="000000"/>
              </w:rPr>
              <w:t>541</w:t>
            </w:r>
            <w:r w:rsidRPr="00CE0C5B">
              <w:rPr>
                <w:rFonts w:ascii="Arial" w:hAnsi="Arial" w:cs="Arial"/>
                <w:b/>
                <w:bCs/>
                <w:color w:val="000000"/>
              </w:rPr>
              <w:t xml:space="preserve"> </w:t>
            </w:r>
          </w:p>
        </w:tc>
        <w:tc>
          <w:tcPr>
            <w:tcW w:w="1686" w:type="dxa"/>
            <w:vAlign w:val="bottom"/>
          </w:tcPr>
          <w:p w:rsidR="00D322FB" w:rsidRPr="00CE0C5B" w:rsidRDefault="002B5C0B" w:rsidP="002B5C0B">
            <w:pPr>
              <w:autoSpaceDE w:val="0"/>
              <w:autoSpaceDN w:val="0"/>
              <w:adjustRightInd w:val="0"/>
              <w:jc w:val="right"/>
              <w:rPr>
                <w:rFonts w:ascii="Arial" w:hAnsi="Arial" w:cs="Arial"/>
                <w:lang w:val="tr-TR"/>
              </w:rPr>
            </w:pPr>
            <w:r>
              <w:rPr>
                <w:rFonts w:ascii="Arial" w:hAnsi="Arial" w:cs="Arial"/>
                <w:lang w:val="tr-TR"/>
              </w:rPr>
              <w:t>300.452</w:t>
            </w:r>
          </w:p>
        </w:tc>
      </w:tr>
      <w:tr w:rsidR="00D322FB" w:rsidRPr="00727376" w:rsidTr="00A27292">
        <w:tc>
          <w:tcPr>
            <w:tcW w:w="5670" w:type="dxa"/>
            <w:vAlign w:val="bottom"/>
          </w:tcPr>
          <w:p w:rsidR="00D322FB" w:rsidRPr="00727376" w:rsidRDefault="00D322FB" w:rsidP="005A000A">
            <w:pPr>
              <w:autoSpaceDE w:val="0"/>
              <w:autoSpaceDN w:val="0"/>
              <w:adjustRightInd w:val="0"/>
              <w:jc w:val="both"/>
              <w:rPr>
                <w:rFonts w:ascii="Arial" w:hAnsi="Arial" w:cs="Arial"/>
                <w:highlight w:val="yellow"/>
                <w:lang w:val="tr-TR"/>
              </w:rPr>
            </w:pPr>
            <w:r w:rsidRPr="006A5488">
              <w:rPr>
                <w:rFonts w:ascii="Arial" w:hAnsi="Arial" w:cs="Arial"/>
                <w:lang w:val="tr-TR"/>
              </w:rPr>
              <w:t>Kar veya zararda muhasebeleştirilen kısım</w:t>
            </w:r>
          </w:p>
        </w:tc>
        <w:tc>
          <w:tcPr>
            <w:tcW w:w="1701" w:type="dxa"/>
            <w:vAlign w:val="bottom"/>
          </w:tcPr>
          <w:p w:rsidR="00D322FB" w:rsidRPr="00CE0C5B" w:rsidRDefault="00D322FB" w:rsidP="002C7C91">
            <w:pPr>
              <w:jc w:val="right"/>
              <w:rPr>
                <w:rFonts w:ascii="Arial" w:hAnsi="Arial" w:cs="Arial"/>
                <w:b/>
                <w:bCs/>
                <w:color w:val="000000"/>
              </w:rPr>
            </w:pPr>
            <w:r w:rsidRPr="00842630">
              <w:rPr>
                <w:rFonts w:ascii="Arial" w:hAnsi="Arial" w:cs="Arial"/>
                <w:b/>
                <w:bCs/>
                <w:color w:val="000000"/>
                <w:lang w:val="de-DE"/>
              </w:rPr>
              <w:t xml:space="preserve">           </w:t>
            </w:r>
            <w:r w:rsidR="002C7C91">
              <w:rPr>
                <w:rFonts w:ascii="Arial" w:hAnsi="Arial" w:cs="Arial"/>
                <w:b/>
                <w:bCs/>
                <w:color w:val="000000"/>
                <w:lang w:val="de-DE"/>
              </w:rPr>
              <w:t>(16.792)</w:t>
            </w:r>
          </w:p>
        </w:tc>
        <w:tc>
          <w:tcPr>
            <w:tcW w:w="1686" w:type="dxa"/>
            <w:vAlign w:val="bottom"/>
          </w:tcPr>
          <w:p w:rsidR="00D322FB" w:rsidRPr="00CE0C5B" w:rsidRDefault="002B5C0B" w:rsidP="002B5C0B">
            <w:pPr>
              <w:autoSpaceDE w:val="0"/>
              <w:autoSpaceDN w:val="0"/>
              <w:adjustRightInd w:val="0"/>
              <w:jc w:val="right"/>
              <w:rPr>
                <w:rFonts w:ascii="Arial" w:hAnsi="Arial" w:cs="Arial"/>
                <w:lang w:val="tr-TR"/>
              </w:rPr>
            </w:pPr>
            <w:r>
              <w:rPr>
                <w:rFonts w:ascii="Arial" w:hAnsi="Arial" w:cs="Arial"/>
                <w:lang w:val="tr-TR"/>
              </w:rPr>
              <w:t>57.801</w:t>
            </w:r>
          </w:p>
        </w:tc>
      </w:tr>
      <w:tr w:rsidR="00D322FB" w:rsidRPr="00727376" w:rsidTr="005A000A">
        <w:tc>
          <w:tcPr>
            <w:tcW w:w="5670" w:type="dxa"/>
            <w:tcBorders>
              <w:bottom w:val="single" w:sz="4" w:space="0" w:color="auto"/>
            </w:tcBorders>
          </w:tcPr>
          <w:p w:rsidR="00D322FB" w:rsidRPr="00727376" w:rsidRDefault="00D322FB" w:rsidP="005A000A">
            <w:pPr>
              <w:autoSpaceDE w:val="0"/>
              <w:autoSpaceDN w:val="0"/>
              <w:adjustRightInd w:val="0"/>
              <w:jc w:val="both"/>
              <w:rPr>
                <w:rFonts w:ascii="Arial" w:hAnsi="Arial" w:cs="Arial"/>
                <w:highlight w:val="yellow"/>
                <w:lang w:val="tr-TR"/>
              </w:rPr>
            </w:pPr>
          </w:p>
        </w:tc>
        <w:tc>
          <w:tcPr>
            <w:tcW w:w="1701" w:type="dxa"/>
            <w:tcBorders>
              <w:bottom w:val="single" w:sz="4" w:space="0" w:color="auto"/>
            </w:tcBorders>
            <w:vAlign w:val="bottom"/>
          </w:tcPr>
          <w:p w:rsidR="00D322FB" w:rsidRPr="00CE0C5B" w:rsidRDefault="00D322FB">
            <w:pPr>
              <w:jc w:val="right"/>
              <w:rPr>
                <w:rFonts w:ascii="Arial" w:hAnsi="Arial" w:cs="Arial"/>
                <w:b/>
                <w:bCs/>
                <w:color w:val="000000"/>
              </w:rPr>
            </w:pPr>
            <w:r w:rsidRPr="00CE0C5B">
              <w:rPr>
                <w:rFonts w:ascii="Arial" w:hAnsi="Arial" w:cs="Arial"/>
                <w:b/>
                <w:bCs/>
                <w:color w:val="000000"/>
              </w:rPr>
              <w:t> </w:t>
            </w:r>
          </w:p>
        </w:tc>
        <w:tc>
          <w:tcPr>
            <w:tcW w:w="1686" w:type="dxa"/>
            <w:tcBorders>
              <w:bottom w:val="single" w:sz="4" w:space="0" w:color="auto"/>
            </w:tcBorders>
            <w:vAlign w:val="bottom"/>
          </w:tcPr>
          <w:p w:rsidR="00D322FB" w:rsidRPr="00CE0C5B" w:rsidRDefault="00D322FB" w:rsidP="000F1FA8">
            <w:pPr>
              <w:autoSpaceDE w:val="0"/>
              <w:autoSpaceDN w:val="0"/>
              <w:adjustRightInd w:val="0"/>
              <w:jc w:val="right"/>
              <w:rPr>
                <w:rFonts w:ascii="Arial" w:hAnsi="Arial" w:cs="Arial"/>
                <w:lang w:val="tr-TR"/>
              </w:rPr>
            </w:pPr>
          </w:p>
        </w:tc>
      </w:tr>
      <w:tr w:rsidR="00D322FB" w:rsidRPr="00727376" w:rsidTr="00CB5525">
        <w:tc>
          <w:tcPr>
            <w:tcW w:w="5670" w:type="dxa"/>
            <w:tcBorders>
              <w:top w:val="single" w:sz="4" w:space="0" w:color="auto"/>
              <w:bottom w:val="double" w:sz="4" w:space="0" w:color="auto"/>
            </w:tcBorders>
          </w:tcPr>
          <w:p w:rsidR="00D322FB" w:rsidRPr="00727376" w:rsidRDefault="00D322FB" w:rsidP="005A000A">
            <w:pPr>
              <w:autoSpaceDE w:val="0"/>
              <w:autoSpaceDN w:val="0"/>
              <w:adjustRightInd w:val="0"/>
              <w:jc w:val="both"/>
              <w:rPr>
                <w:rFonts w:ascii="Arial" w:hAnsi="Arial" w:cs="Arial"/>
                <w:b/>
                <w:spacing w:val="-3"/>
                <w:highlight w:val="yellow"/>
                <w:lang w:val="tr-TR"/>
              </w:rPr>
            </w:pPr>
            <w:r w:rsidRPr="0069749F">
              <w:rPr>
                <w:rFonts w:ascii="Arial" w:hAnsi="Arial" w:cs="Arial"/>
                <w:b/>
                <w:bCs/>
                <w:lang w:val="tr-TR"/>
              </w:rPr>
              <w:t>Dönem sonu, 31 Aralık</w:t>
            </w:r>
          </w:p>
        </w:tc>
        <w:tc>
          <w:tcPr>
            <w:tcW w:w="1701" w:type="dxa"/>
            <w:tcBorders>
              <w:top w:val="single" w:sz="4" w:space="0" w:color="auto"/>
              <w:bottom w:val="double" w:sz="4" w:space="0" w:color="auto"/>
            </w:tcBorders>
            <w:vAlign w:val="bottom"/>
          </w:tcPr>
          <w:p w:rsidR="00D322FB" w:rsidRPr="00CE0C5B" w:rsidRDefault="00D322FB" w:rsidP="005318D9">
            <w:pPr>
              <w:jc w:val="right"/>
              <w:rPr>
                <w:rFonts w:ascii="Arial" w:hAnsi="Arial" w:cs="Arial"/>
                <w:b/>
                <w:bCs/>
                <w:color w:val="000000"/>
              </w:rPr>
            </w:pPr>
            <w:r w:rsidRPr="00CE0C5B">
              <w:rPr>
                <w:rFonts w:ascii="Arial" w:hAnsi="Arial" w:cs="Arial"/>
                <w:b/>
                <w:bCs/>
                <w:color w:val="000000"/>
              </w:rPr>
              <w:t xml:space="preserve">           4</w:t>
            </w:r>
            <w:r w:rsidR="005318D9">
              <w:rPr>
                <w:rFonts w:ascii="Arial" w:hAnsi="Arial" w:cs="Arial"/>
                <w:b/>
                <w:bCs/>
                <w:color w:val="000000"/>
              </w:rPr>
              <w:t>62</w:t>
            </w:r>
            <w:r w:rsidRPr="00CE0C5B">
              <w:rPr>
                <w:rFonts w:ascii="Arial" w:hAnsi="Arial" w:cs="Arial"/>
                <w:b/>
                <w:bCs/>
                <w:color w:val="000000"/>
              </w:rPr>
              <w:t>.</w:t>
            </w:r>
            <w:r w:rsidR="005318D9">
              <w:rPr>
                <w:rFonts w:ascii="Arial" w:hAnsi="Arial" w:cs="Arial"/>
                <w:b/>
                <w:bCs/>
                <w:color w:val="000000"/>
              </w:rPr>
              <w:t>749</w:t>
            </w:r>
            <w:r w:rsidRPr="00CE0C5B">
              <w:rPr>
                <w:rFonts w:ascii="Arial" w:hAnsi="Arial" w:cs="Arial"/>
                <w:b/>
                <w:bCs/>
                <w:color w:val="000000"/>
              </w:rPr>
              <w:t xml:space="preserve"> </w:t>
            </w:r>
          </w:p>
        </w:tc>
        <w:tc>
          <w:tcPr>
            <w:tcW w:w="1686" w:type="dxa"/>
            <w:tcBorders>
              <w:top w:val="single" w:sz="4" w:space="0" w:color="auto"/>
              <w:bottom w:val="double" w:sz="4" w:space="0" w:color="auto"/>
            </w:tcBorders>
            <w:vAlign w:val="center"/>
          </w:tcPr>
          <w:p w:rsidR="00D322FB" w:rsidRPr="00CE0C5B" w:rsidRDefault="00D322FB" w:rsidP="002B5C0B">
            <w:pPr>
              <w:autoSpaceDE w:val="0"/>
              <w:autoSpaceDN w:val="0"/>
              <w:adjustRightInd w:val="0"/>
              <w:jc w:val="right"/>
              <w:rPr>
                <w:rFonts w:ascii="Arial" w:hAnsi="Arial" w:cs="Arial"/>
                <w:lang w:val="tr-TR"/>
              </w:rPr>
            </w:pPr>
            <w:r w:rsidRPr="00CE0C5B">
              <w:rPr>
                <w:rFonts w:ascii="Arial" w:hAnsi="Arial" w:cs="Arial"/>
                <w:lang w:val="tr-TR"/>
              </w:rPr>
              <w:t>3</w:t>
            </w:r>
            <w:r w:rsidR="002B5C0B">
              <w:rPr>
                <w:rFonts w:ascii="Arial" w:hAnsi="Arial" w:cs="Arial"/>
                <w:lang w:val="tr-TR"/>
              </w:rPr>
              <w:t>58</w:t>
            </w:r>
            <w:r w:rsidRPr="00CE0C5B">
              <w:rPr>
                <w:rFonts w:ascii="Arial" w:hAnsi="Arial" w:cs="Arial"/>
                <w:lang w:val="tr-TR"/>
              </w:rPr>
              <w:t>.</w:t>
            </w:r>
            <w:r w:rsidR="002B5C0B">
              <w:rPr>
                <w:rFonts w:ascii="Arial" w:hAnsi="Arial" w:cs="Arial"/>
                <w:lang w:val="tr-TR"/>
              </w:rPr>
              <w:t>254</w:t>
            </w:r>
          </w:p>
        </w:tc>
      </w:tr>
    </w:tbl>
    <w:p w:rsidR="00D322FB" w:rsidRDefault="00D322FB" w:rsidP="005A000A">
      <w:pPr>
        <w:ind w:right="-23"/>
        <w:jc w:val="both"/>
        <w:rPr>
          <w:rFonts w:ascii="Arial" w:hAnsi="Arial" w:cs="Arial"/>
          <w:highlight w:val="yellow"/>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660A69" w:rsidRDefault="00660A69" w:rsidP="005C3EEB">
      <w:pPr>
        <w:pStyle w:val="Heading1"/>
        <w:rPr>
          <w:rFonts w:ascii="Arial" w:hAnsi="Arial" w:cs="Arial"/>
          <w:color w:val="auto"/>
          <w:sz w:val="20"/>
          <w:lang w:val="tr-TR"/>
        </w:rPr>
      </w:pPr>
    </w:p>
    <w:p w:rsidR="00660A69" w:rsidRPr="00660A69" w:rsidRDefault="00660A69" w:rsidP="00660A69">
      <w:pPr>
        <w:rPr>
          <w:lang w:val="tr-TR"/>
        </w:rPr>
      </w:pPr>
    </w:p>
    <w:p w:rsidR="00660A69" w:rsidRDefault="00660A69" w:rsidP="005C3EEB">
      <w:pPr>
        <w:pStyle w:val="Heading1"/>
        <w:rPr>
          <w:rFonts w:ascii="Arial" w:hAnsi="Arial" w:cs="Arial"/>
          <w:color w:val="auto"/>
          <w:sz w:val="20"/>
          <w:lang w:val="tr-TR"/>
        </w:rPr>
      </w:pP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t>22.</w:t>
      </w:r>
      <w:r w:rsidRPr="00284495">
        <w:rPr>
          <w:rFonts w:ascii="Arial" w:hAnsi="Arial" w:cs="Arial"/>
          <w:color w:val="auto"/>
          <w:sz w:val="20"/>
          <w:lang w:val="tr-TR"/>
        </w:rPr>
        <w:tab/>
        <w:t>Hisse başına kazanç</w:t>
      </w:r>
    </w:p>
    <w:p w:rsidR="00D322FB" w:rsidRPr="005F64B9" w:rsidRDefault="00D322FB" w:rsidP="00CB20BA">
      <w:pPr>
        <w:ind w:right="-23"/>
        <w:jc w:val="both"/>
        <w:rPr>
          <w:rFonts w:ascii="Arial" w:hAnsi="Arial" w:cs="Arial"/>
          <w:lang w:val="tr-TR"/>
        </w:rPr>
      </w:pPr>
    </w:p>
    <w:p w:rsidR="00D322FB" w:rsidRPr="00727376" w:rsidRDefault="00D322FB" w:rsidP="00CB20BA">
      <w:pPr>
        <w:rPr>
          <w:rFonts w:ascii="Arial" w:hAnsi="Arial" w:cs="Arial"/>
          <w:highlight w:val="yellow"/>
          <w:lang w:val="tr-TR"/>
        </w:rPr>
      </w:pPr>
      <w:r w:rsidRPr="005F64B9">
        <w:rPr>
          <w:rFonts w:ascii="Arial" w:hAnsi="Arial" w:cs="Arial"/>
          <w:color w:val="000000"/>
          <w:lang w:val="tr-TR"/>
        </w:rPr>
        <w:t>TMS 33 “Hisse Başına Kazanç” standardına göre, hisse senetleri borsada işlem görmeyen işletmeler hisse başına kazanç açıklamak zorunda değildirler. Şirket’in hisseleri borsada işlem görmediğinden ekli finansal tablolarda hisse başına kazanç/zarar hesaplanmamıştır.</w:t>
      </w:r>
    </w:p>
    <w:p w:rsidR="00D322FB" w:rsidRDefault="00D322FB" w:rsidP="0090567F">
      <w:pPr>
        <w:ind w:left="567" w:hanging="567"/>
        <w:rPr>
          <w:rFonts w:ascii="Arial" w:hAnsi="Arial" w:cs="Arial"/>
          <w:b/>
          <w:lang w:val="tr-TR"/>
        </w:rPr>
      </w:pP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t>23.</w:t>
      </w:r>
      <w:r w:rsidRPr="00284495">
        <w:rPr>
          <w:rFonts w:ascii="Arial" w:hAnsi="Arial" w:cs="Arial"/>
          <w:color w:val="auto"/>
          <w:sz w:val="20"/>
          <w:lang w:val="tr-TR"/>
        </w:rPr>
        <w:tab/>
        <w:t xml:space="preserve">İlişkili taraf açıklamaları </w:t>
      </w:r>
    </w:p>
    <w:p w:rsidR="00D322FB" w:rsidRPr="0091410D" w:rsidRDefault="00D322FB" w:rsidP="00967F1C">
      <w:pPr>
        <w:jc w:val="both"/>
        <w:rPr>
          <w:rFonts w:ascii="Arial" w:hAnsi="Arial" w:cs="Arial"/>
          <w:lang w:val="tr-TR"/>
        </w:rPr>
      </w:pPr>
    </w:p>
    <w:p w:rsidR="00D322FB" w:rsidRPr="0091410D" w:rsidRDefault="00D322FB" w:rsidP="00E83219">
      <w:pPr>
        <w:autoSpaceDE w:val="0"/>
        <w:autoSpaceDN w:val="0"/>
        <w:adjustRightInd w:val="0"/>
        <w:rPr>
          <w:rFonts w:ascii="Arial" w:hAnsi="Arial" w:cs="Arial"/>
          <w:lang w:val="tr-TR"/>
        </w:rPr>
      </w:pPr>
      <w:r w:rsidRPr="0091410D">
        <w:rPr>
          <w:rFonts w:ascii="Arial" w:hAnsi="Arial" w:cs="Arial"/>
          <w:lang w:val="tr-TR"/>
        </w:rPr>
        <w:t>Şirket’in ana ortağı ile esas kontrolü elinde tutan taraf, Türkiye’de kurulmuş olan Ata Yatırım Menkul Kıymetler A.Ş. (“Ata Yatırım”)’dir.</w:t>
      </w:r>
    </w:p>
    <w:p w:rsidR="00D322FB" w:rsidRPr="00727376" w:rsidRDefault="00D322FB" w:rsidP="00967F1C">
      <w:pPr>
        <w:autoSpaceDE w:val="0"/>
        <w:autoSpaceDN w:val="0"/>
        <w:adjustRightInd w:val="0"/>
        <w:jc w:val="both"/>
        <w:rPr>
          <w:rFonts w:ascii="Arial" w:hAnsi="Arial" w:cs="Arial"/>
          <w:highlight w:val="yellow"/>
          <w:lang w:val="tr-TR"/>
        </w:rPr>
      </w:pPr>
    </w:p>
    <w:p w:rsidR="00D322FB" w:rsidRPr="00273D42" w:rsidRDefault="00D322FB" w:rsidP="0091410D">
      <w:pPr>
        <w:autoSpaceDE w:val="0"/>
        <w:autoSpaceDN w:val="0"/>
        <w:adjustRightInd w:val="0"/>
        <w:rPr>
          <w:rFonts w:ascii="Arial" w:hAnsi="Arial" w:cs="Arial"/>
          <w:b/>
          <w:lang w:val="tr-TR"/>
        </w:rPr>
      </w:pPr>
      <w:r w:rsidRPr="00273D42">
        <w:rPr>
          <w:rFonts w:ascii="Arial" w:hAnsi="Arial" w:cs="Arial"/>
          <w:b/>
          <w:lang w:val="tr-TR"/>
        </w:rPr>
        <w:t xml:space="preserve">İlişkili taraflardan </w:t>
      </w:r>
      <w:r>
        <w:rPr>
          <w:rFonts w:ascii="Arial" w:hAnsi="Arial" w:cs="Arial"/>
          <w:b/>
          <w:lang w:val="tr-TR"/>
        </w:rPr>
        <w:t>bakiyeleri</w:t>
      </w:r>
    </w:p>
    <w:p w:rsidR="00D322FB" w:rsidRPr="00727376" w:rsidRDefault="00D322FB" w:rsidP="00967F1C">
      <w:pPr>
        <w:autoSpaceDE w:val="0"/>
        <w:autoSpaceDN w:val="0"/>
        <w:adjustRightInd w:val="0"/>
        <w:jc w:val="both"/>
        <w:rPr>
          <w:rFonts w:ascii="Arial" w:hAnsi="Arial" w:cs="Arial"/>
          <w:highlight w:val="yellow"/>
          <w:lang w:val="tr-TR"/>
        </w:rPr>
      </w:pPr>
    </w:p>
    <w:p w:rsidR="00D322FB" w:rsidRPr="00842630" w:rsidRDefault="00D322FB" w:rsidP="0091410D">
      <w:pPr>
        <w:widowControl w:val="0"/>
        <w:rPr>
          <w:rFonts w:ascii="Arial" w:hAnsi="Arial" w:cs="Arial"/>
          <w:lang w:val="tr-TR"/>
        </w:rPr>
      </w:pPr>
      <w:r w:rsidRPr="00842630">
        <w:rPr>
          <w:rFonts w:ascii="Arial" w:hAnsi="Arial" w:cs="Arial"/>
          <w:bCs/>
          <w:spacing w:val="-2"/>
          <w:lang w:val="tr-TR"/>
        </w:rPr>
        <w:t xml:space="preserve">31 </w:t>
      </w:r>
      <w:r w:rsidR="00D86D3E">
        <w:rPr>
          <w:rFonts w:ascii="Arial" w:hAnsi="Arial" w:cs="Arial"/>
          <w:bCs/>
          <w:spacing w:val="-2"/>
          <w:lang w:val="tr-TR"/>
        </w:rPr>
        <w:t>Mart</w:t>
      </w:r>
      <w:r w:rsidRPr="00842630">
        <w:rPr>
          <w:rFonts w:ascii="Arial" w:hAnsi="Arial" w:cs="Arial"/>
          <w:bCs/>
          <w:spacing w:val="-2"/>
          <w:lang w:val="tr-TR"/>
        </w:rPr>
        <w:t xml:space="preserve"> 201</w:t>
      </w:r>
      <w:r w:rsidR="00D86D3E">
        <w:rPr>
          <w:rFonts w:ascii="Arial" w:hAnsi="Arial" w:cs="Arial"/>
          <w:bCs/>
          <w:spacing w:val="-2"/>
          <w:lang w:val="tr-TR"/>
        </w:rPr>
        <w:t>5</w:t>
      </w:r>
      <w:r w:rsidRPr="00842630">
        <w:rPr>
          <w:rFonts w:ascii="Arial" w:hAnsi="Arial" w:cs="Arial"/>
          <w:bCs/>
          <w:spacing w:val="-2"/>
          <w:lang w:val="tr-TR"/>
        </w:rPr>
        <w:t xml:space="preserve"> ve </w:t>
      </w:r>
      <w:r w:rsidR="00D86D3E">
        <w:rPr>
          <w:rFonts w:ascii="Arial" w:hAnsi="Arial" w:cs="Arial"/>
          <w:bCs/>
          <w:spacing w:val="-2"/>
          <w:lang w:val="tr-TR"/>
        </w:rPr>
        <w:t xml:space="preserve">31 Aralık </w:t>
      </w:r>
      <w:r w:rsidRPr="00842630">
        <w:rPr>
          <w:rFonts w:ascii="Arial" w:hAnsi="Arial" w:cs="Arial"/>
          <w:bCs/>
          <w:spacing w:val="-2"/>
          <w:lang w:val="tr-TR"/>
        </w:rPr>
        <w:t>201</w:t>
      </w:r>
      <w:r w:rsidR="00D86D3E">
        <w:rPr>
          <w:rFonts w:ascii="Arial" w:hAnsi="Arial" w:cs="Arial"/>
          <w:bCs/>
          <w:spacing w:val="-2"/>
          <w:lang w:val="tr-TR"/>
        </w:rPr>
        <w:t>4</w:t>
      </w:r>
      <w:r w:rsidRPr="00842630">
        <w:rPr>
          <w:rFonts w:ascii="Arial" w:hAnsi="Arial" w:cs="Arial"/>
          <w:bCs/>
          <w:spacing w:val="-2"/>
          <w:lang w:val="tr-TR"/>
        </w:rPr>
        <w:t xml:space="preserve"> </w:t>
      </w:r>
      <w:r w:rsidRPr="00842630">
        <w:rPr>
          <w:rFonts w:ascii="Arial" w:hAnsi="Arial" w:cs="Arial"/>
          <w:lang w:val="tr-TR"/>
        </w:rPr>
        <w:t>tarihleri itibariyle ilişkili taraflarda bulunan nakit ve nakit benzeri değerlerin detayı aşağıdaki gibidir:</w:t>
      </w:r>
    </w:p>
    <w:p w:rsidR="00D322FB" w:rsidRPr="00727376" w:rsidRDefault="00D322FB" w:rsidP="00967F1C">
      <w:pPr>
        <w:autoSpaceDE w:val="0"/>
        <w:autoSpaceDN w:val="0"/>
        <w:adjustRightInd w:val="0"/>
        <w:jc w:val="both"/>
        <w:rPr>
          <w:rFonts w:ascii="Arial" w:hAnsi="Arial" w:cs="Arial"/>
          <w:highlight w:val="yellow"/>
          <w:lang w:val="tr-TR"/>
        </w:rPr>
      </w:pPr>
    </w:p>
    <w:tbl>
      <w:tblPr>
        <w:tblW w:w="9350" w:type="dxa"/>
        <w:tblInd w:w="108" w:type="dxa"/>
        <w:tblLook w:val="00A0" w:firstRow="1" w:lastRow="0" w:firstColumn="1" w:lastColumn="0" w:noHBand="0" w:noVBand="0"/>
      </w:tblPr>
      <w:tblGrid>
        <w:gridCol w:w="5760"/>
        <w:gridCol w:w="1890"/>
        <w:gridCol w:w="1700"/>
      </w:tblGrid>
      <w:tr w:rsidR="00D322FB" w:rsidRPr="00CB5525" w:rsidTr="00110D2C">
        <w:trPr>
          <w:trHeight w:val="113"/>
        </w:trPr>
        <w:tc>
          <w:tcPr>
            <w:tcW w:w="5760" w:type="dxa"/>
            <w:tcBorders>
              <w:top w:val="single" w:sz="8" w:space="0" w:color="auto"/>
              <w:left w:val="nil"/>
              <w:bottom w:val="single" w:sz="8" w:space="0" w:color="auto"/>
              <w:right w:val="nil"/>
            </w:tcBorders>
          </w:tcPr>
          <w:p w:rsidR="00D322FB" w:rsidRPr="00842630" w:rsidRDefault="00D322FB" w:rsidP="000B5B51">
            <w:pPr>
              <w:autoSpaceDE w:val="0"/>
              <w:autoSpaceDN w:val="0"/>
              <w:adjustRightInd w:val="0"/>
              <w:ind w:hanging="108"/>
              <w:jc w:val="both"/>
              <w:rPr>
                <w:rFonts w:ascii="Arial" w:hAnsi="Arial" w:cs="Arial"/>
                <w:b/>
                <w:bCs/>
                <w:color w:val="000000"/>
                <w:sz w:val="18"/>
                <w:szCs w:val="18"/>
                <w:lang w:val="tr-TR"/>
              </w:rPr>
            </w:pPr>
          </w:p>
        </w:tc>
        <w:tc>
          <w:tcPr>
            <w:tcW w:w="1890" w:type="dxa"/>
            <w:tcBorders>
              <w:top w:val="single" w:sz="8" w:space="0" w:color="auto"/>
              <w:left w:val="nil"/>
              <w:bottom w:val="single" w:sz="8" w:space="0" w:color="auto"/>
              <w:right w:val="nil"/>
            </w:tcBorders>
            <w:noWrap/>
            <w:vAlign w:val="bottom"/>
          </w:tcPr>
          <w:p w:rsidR="00D322FB" w:rsidRPr="00CB5525" w:rsidRDefault="00D322FB" w:rsidP="00F10BC7">
            <w:pPr>
              <w:ind w:left="-249"/>
              <w:jc w:val="right"/>
              <w:rPr>
                <w:rFonts w:ascii="Arial" w:hAnsi="Arial" w:cs="Arial"/>
                <w:b/>
                <w:bCs/>
                <w:color w:val="000000"/>
                <w:sz w:val="18"/>
                <w:szCs w:val="18"/>
              </w:rPr>
            </w:pPr>
            <w:r w:rsidRPr="00CB5525">
              <w:rPr>
                <w:rFonts w:ascii="Arial" w:hAnsi="Arial" w:cs="Arial"/>
                <w:b/>
                <w:bCs/>
                <w:color w:val="000000"/>
                <w:sz w:val="18"/>
                <w:szCs w:val="18"/>
              </w:rPr>
              <w:t xml:space="preserve">31 </w:t>
            </w:r>
            <w:r w:rsidR="00F10BC7">
              <w:rPr>
                <w:rFonts w:ascii="Arial" w:hAnsi="Arial" w:cs="Arial"/>
                <w:b/>
                <w:bCs/>
                <w:color w:val="000000"/>
                <w:sz w:val="18"/>
                <w:szCs w:val="18"/>
              </w:rPr>
              <w:t>Mart</w:t>
            </w:r>
            <w:r w:rsidRPr="00CB5525">
              <w:rPr>
                <w:rFonts w:ascii="Arial" w:hAnsi="Arial" w:cs="Arial"/>
                <w:b/>
                <w:bCs/>
                <w:color w:val="000000"/>
                <w:sz w:val="18"/>
                <w:szCs w:val="18"/>
              </w:rPr>
              <w:t xml:space="preserve"> 201</w:t>
            </w:r>
            <w:r w:rsidR="00F10BC7">
              <w:rPr>
                <w:rFonts w:ascii="Arial" w:hAnsi="Arial" w:cs="Arial"/>
                <w:b/>
                <w:bCs/>
                <w:color w:val="000000"/>
                <w:sz w:val="18"/>
                <w:szCs w:val="18"/>
              </w:rPr>
              <w:t>5</w:t>
            </w:r>
          </w:p>
        </w:tc>
        <w:tc>
          <w:tcPr>
            <w:tcW w:w="1700" w:type="dxa"/>
            <w:tcBorders>
              <w:top w:val="single" w:sz="8" w:space="0" w:color="auto"/>
              <w:left w:val="nil"/>
              <w:bottom w:val="single" w:sz="8" w:space="0" w:color="auto"/>
              <w:right w:val="nil"/>
            </w:tcBorders>
            <w:vAlign w:val="bottom"/>
          </w:tcPr>
          <w:p w:rsidR="00D322FB" w:rsidRPr="00CB5525" w:rsidRDefault="00D322FB" w:rsidP="00F10BC7">
            <w:pPr>
              <w:ind w:left="-249"/>
              <w:jc w:val="right"/>
              <w:rPr>
                <w:rFonts w:ascii="Arial" w:hAnsi="Arial" w:cs="Arial"/>
                <w:bCs/>
                <w:color w:val="000000"/>
                <w:sz w:val="18"/>
                <w:szCs w:val="18"/>
              </w:rPr>
            </w:pPr>
            <w:r w:rsidRPr="00CB5525">
              <w:rPr>
                <w:rFonts w:ascii="Arial" w:hAnsi="Arial" w:cs="Arial"/>
                <w:bCs/>
                <w:color w:val="000000"/>
                <w:sz w:val="18"/>
                <w:szCs w:val="18"/>
              </w:rPr>
              <w:t>31 Aralık 201</w:t>
            </w:r>
            <w:r w:rsidR="00F10BC7">
              <w:rPr>
                <w:rFonts w:ascii="Arial" w:hAnsi="Arial" w:cs="Arial"/>
                <w:bCs/>
                <w:color w:val="000000"/>
                <w:sz w:val="18"/>
                <w:szCs w:val="18"/>
              </w:rPr>
              <w:t>4</w:t>
            </w:r>
          </w:p>
        </w:tc>
      </w:tr>
      <w:tr w:rsidR="00D322FB" w:rsidRPr="00CB5525" w:rsidTr="00110D2C">
        <w:trPr>
          <w:trHeight w:val="113"/>
        </w:trPr>
        <w:tc>
          <w:tcPr>
            <w:tcW w:w="5760" w:type="dxa"/>
            <w:tcBorders>
              <w:top w:val="nil"/>
              <w:left w:val="nil"/>
              <w:bottom w:val="nil"/>
              <w:right w:val="nil"/>
            </w:tcBorders>
          </w:tcPr>
          <w:p w:rsidR="00D322FB" w:rsidRPr="00CB5525" w:rsidRDefault="00D322FB" w:rsidP="006231B9">
            <w:pPr>
              <w:rPr>
                <w:rFonts w:ascii="Calibri" w:hAnsi="Calibri" w:cs="Arial"/>
                <w:color w:val="000000"/>
                <w:sz w:val="18"/>
                <w:szCs w:val="18"/>
              </w:rPr>
            </w:pPr>
          </w:p>
        </w:tc>
        <w:tc>
          <w:tcPr>
            <w:tcW w:w="1890" w:type="dxa"/>
            <w:tcBorders>
              <w:top w:val="nil"/>
              <w:left w:val="nil"/>
              <w:bottom w:val="nil"/>
              <w:right w:val="nil"/>
            </w:tcBorders>
          </w:tcPr>
          <w:p w:rsidR="00D322FB" w:rsidRPr="00CB5525" w:rsidRDefault="00D322FB" w:rsidP="00E125AB">
            <w:pPr>
              <w:ind w:left="-249"/>
              <w:rPr>
                <w:rFonts w:ascii="Calibri" w:hAnsi="Calibri" w:cs="Arial"/>
                <w:b/>
                <w:color w:val="000000"/>
                <w:sz w:val="18"/>
                <w:szCs w:val="18"/>
              </w:rPr>
            </w:pPr>
          </w:p>
        </w:tc>
        <w:tc>
          <w:tcPr>
            <w:tcW w:w="1700" w:type="dxa"/>
            <w:tcBorders>
              <w:top w:val="nil"/>
              <w:left w:val="nil"/>
              <w:bottom w:val="nil"/>
              <w:right w:val="nil"/>
            </w:tcBorders>
          </w:tcPr>
          <w:p w:rsidR="00D322FB" w:rsidRPr="00CB5525" w:rsidRDefault="00D322FB" w:rsidP="00E125AB">
            <w:pPr>
              <w:ind w:left="-249"/>
              <w:rPr>
                <w:rFonts w:ascii="Calibri" w:hAnsi="Calibri" w:cs="Arial"/>
                <w:color w:val="000000"/>
                <w:sz w:val="18"/>
                <w:szCs w:val="18"/>
              </w:rPr>
            </w:pPr>
          </w:p>
        </w:tc>
      </w:tr>
      <w:tr w:rsidR="00D322FB" w:rsidRPr="00CB5525" w:rsidTr="00110D2C">
        <w:trPr>
          <w:trHeight w:val="113"/>
        </w:trPr>
        <w:tc>
          <w:tcPr>
            <w:tcW w:w="5760" w:type="dxa"/>
            <w:tcBorders>
              <w:top w:val="nil"/>
              <w:left w:val="nil"/>
              <w:bottom w:val="nil"/>
              <w:right w:val="nil"/>
            </w:tcBorders>
          </w:tcPr>
          <w:p w:rsidR="00D322FB" w:rsidRPr="00AE7191" w:rsidRDefault="00D322FB" w:rsidP="00205FDB">
            <w:pPr>
              <w:rPr>
                <w:rFonts w:ascii="Arial" w:hAnsi="Arial" w:cs="Arial"/>
                <w:color w:val="000000"/>
              </w:rPr>
            </w:pPr>
            <w:r w:rsidRPr="00AE7191">
              <w:rPr>
                <w:rFonts w:ascii="Arial" w:hAnsi="Arial" w:cs="Arial"/>
                <w:b/>
                <w:bCs/>
                <w:color w:val="000000"/>
              </w:rPr>
              <w:t>Diğer hazır değerler</w:t>
            </w:r>
          </w:p>
        </w:tc>
        <w:tc>
          <w:tcPr>
            <w:tcW w:w="1890" w:type="dxa"/>
            <w:tcBorders>
              <w:top w:val="nil"/>
              <w:left w:val="nil"/>
              <w:bottom w:val="nil"/>
              <w:right w:val="nil"/>
            </w:tcBorders>
            <w:vAlign w:val="bottom"/>
          </w:tcPr>
          <w:p w:rsidR="00D322FB" w:rsidRPr="00AE7191" w:rsidRDefault="00D322FB" w:rsidP="00E125AB">
            <w:pPr>
              <w:ind w:left="-249"/>
              <w:jc w:val="right"/>
              <w:rPr>
                <w:rFonts w:ascii="Arial" w:hAnsi="Arial" w:cs="Arial"/>
                <w:b/>
                <w:bCs/>
                <w:color w:val="000000"/>
              </w:rPr>
            </w:pPr>
          </w:p>
        </w:tc>
        <w:tc>
          <w:tcPr>
            <w:tcW w:w="1700" w:type="dxa"/>
            <w:tcBorders>
              <w:top w:val="nil"/>
              <w:left w:val="nil"/>
              <w:bottom w:val="nil"/>
              <w:right w:val="nil"/>
            </w:tcBorders>
            <w:vAlign w:val="bottom"/>
          </w:tcPr>
          <w:p w:rsidR="00D322FB" w:rsidRPr="00AE7191" w:rsidRDefault="00D322FB" w:rsidP="00E125AB">
            <w:pPr>
              <w:ind w:left="-249"/>
              <w:jc w:val="right"/>
              <w:rPr>
                <w:rFonts w:ascii="Arial" w:hAnsi="Arial" w:cs="Arial"/>
                <w:bCs/>
                <w:color w:val="000000"/>
              </w:rPr>
            </w:pPr>
          </w:p>
        </w:tc>
      </w:tr>
      <w:tr w:rsidR="00D322FB" w:rsidRPr="00CB5525" w:rsidTr="00110D2C">
        <w:trPr>
          <w:trHeight w:val="113"/>
        </w:trPr>
        <w:tc>
          <w:tcPr>
            <w:tcW w:w="5760" w:type="dxa"/>
            <w:tcBorders>
              <w:top w:val="nil"/>
              <w:left w:val="nil"/>
              <w:bottom w:val="nil"/>
              <w:right w:val="nil"/>
            </w:tcBorders>
          </w:tcPr>
          <w:p w:rsidR="00D322FB" w:rsidRPr="00AE7191" w:rsidRDefault="00D322FB" w:rsidP="00205FDB">
            <w:pPr>
              <w:rPr>
                <w:rFonts w:ascii="Arial" w:hAnsi="Arial" w:cs="Arial"/>
                <w:color w:val="000000"/>
              </w:rPr>
            </w:pPr>
            <w:r w:rsidRPr="00AE7191">
              <w:rPr>
                <w:rFonts w:ascii="Arial" w:hAnsi="Arial" w:cs="Arial"/>
                <w:color w:val="000000"/>
              </w:rPr>
              <w:t>Ata Yatırım Menkul Kıymetler A.Ş.’deki cari hesap (1)</w:t>
            </w:r>
          </w:p>
        </w:tc>
        <w:tc>
          <w:tcPr>
            <w:tcW w:w="1890" w:type="dxa"/>
            <w:tcBorders>
              <w:top w:val="nil"/>
              <w:left w:val="nil"/>
              <w:bottom w:val="nil"/>
              <w:right w:val="nil"/>
            </w:tcBorders>
            <w:vAlign w:val="bottom"/>
          </w:tcPr>
          <w:p w:rsidR="00D322FB" w:rsidRPr="00AE7191" w:rsidRDefault="00D322FB" w:rsidP="00227777">
            <w:pPr>
              <w:jc w:val="right"/>
              <w:rPr>
                <w:rFonts w:ascii="Arial" w:hAnsi="Arial" w:cs="Arial"/>
                <w:b/>
                <w:bCs/>
                <w:color w:val="000000"/>
              </w:rPr>
            </w:pPr>
            <w:r w:rsidRPr="00AE7191">
              <w:rPr>
                <w:rFonts w:ascii="Arial" w:hAnsi="Arial" w:cs="Arial"/>
                <w:b/>
                <w:bCs/>
                <w:color w:val="000000"/>
              </w:rPr>
              <w:t xml:space="preserve">               </w:t>
            </w:r>
            <w:r w:rsidR="00227777">
              <w:rPr>
                <w:rFonts w:ascii="Arial" w:hAnsi="Arial" w:cs="Arial"/>
                <w:b/>
                <w:bCs/>
                <w:color w:val="000000"/>
              </w:rPr>
              <w:t>2.182</w:t>
            </w:r>
            <w:r w:rsidRPr="00AE7191">
              <w:rPr>
                <w:rFonts w:ascii="Arial" w:hAnsi="Arial" w:cs="Arial"/>
                <w:b/>
                <w:bCs/>
                <w:color w:val="000000"/>
              </w:rPr>
              <w:t xml:space="preserve"> </w:t>
            </w:r>
          </w:p>
        </w:tc>
        <w:tc>
          <w:tcPr>
            <w:tcW w:w="1700" w:type="dxa"/>
            <w:tcBorders>
              <w:top w:val="nil"/>
              <w:left w:val="nil"/>
              <w:bottom w:val="nil"/>
              <w:right w:val="nil"/>
            </w:tcBorders>
            <w:vAlign w:val="bottom"/>
          </w:tcPr>
          <w:p w:rsidR="00D322FB" w:rsidRPr="00AE7191" w:rsidRDefault="00F10BC7" w:rsidP="00F10BC7">
            <w:pPr>
              <w:ind w:left="-249"/>
              <w:jc w:val="right"/>
              <w:rPr>
                <w:rFonts w:ascii="Arial" w:hAnsi="Arial" w:cs="Arial"/>
                <w:bCs/>
                <w:color w:val="000000"/>
              </w:rPr>
            </w:pPr>
            <w:r>
              <w:rPr>
                <w:rFonts w:ascii="Arial" w:hAnsi="Arial" w:cs="Arial"/>
                <w:bCs/>
                <w:color w:val="000000"/>
              </w:rPr>
              <w:t>4.637</w:t>
            </w:r>
          </w:p>
        </w:tc>
      </w:tr>
      <w:tr w:rsidR="00D322FB" w:rsidRPr="00CB5525" w:rsidTr="00110D2C">
        <w:trPr>
          <w:trHeight w:val="113"/>
        </w:trPr>
        <w:tc>
          <w:tcPr>
            <w:tcW w:w="5760" w:type="dxa"/>
            <w:tcBorders>
              <w:top w:val="nil"/>
              <w:left w:val="nil"/>
              <w:bottom w:val="single" w:sz="8" w:space="0" w:color="auto"/>
              <w:right w:val="nil"/>
            </w:tcBorders>
          </w:tcPr>
          <w:p w:rsidR="00D322FB" w:rsidRPr="00AE7191" w:rsidRDefault="00D322FB" w:rsidP="00205FDB">
            <w:pPr>
              <w:rPr>
                <w:rFonts w:ascii="Arial" w:hAnsi="Arial" w:cs="Arial"/>
                <w:color w:val="000000"/>
              </w:rPr>
            </w:pPr>
            <w:r w:rsidRPr="00AE7191">
              <w:rPr>
                <w:rFonts w:ascii="Arial" w:hAnsi="Arial" w:cs="Arial"/>
                <w:color w:val="000000"/>
              </w:rPr>
              <w:t> </w:t>
            </w:r>
          </w:p>
        </w:tc>
        <w:tc>
          <w:tcPr>
            <w:tcW w:w="1890" w:type="dxa"/>
            <w:tcBorders>
              <w:top w:val="nil"/>
              <w:left w:val="nil"/>
              <w:bottom w:val="single" w:sz="8" w:space="0" w:color="auto"/>
              <w:right w:val="nil"/>
            </w:tcBorders>
          </w:tcPr>
          <w:p w:rsidR="00D322FB" w:rsidRPr="00AE7191" w:rsidRDefault="00D322FB">
            <w:pPr>
              <w:rPr>
                <w:rFonts w:ascii="Calibri" w:hAnsi="Calibri" w:cs="Calibri"/>
                <w:b/>
                <w:color w:val="000000"/>
              </w:rPr>
            </w:pPr>
            <w:r w:rsidRPr="00AE7191">
              <w:rPr>
                <w:rFonts w:ascii="Calibri" w:hAnsi="Calibri" w:cs="Calibri"/>
                <w:b/>
                <w:color w:val="000000"/>
              </w:rPr>
              <w:t> </w:t>
            </w:r>
          </w:p>
        </w:tc>
        <w:tc>
          <w:tcPr>
            <w:tcW w:w="1700" w:type="dxa"/>
            <w:tcBorders>
              <w:top w:val="nil"/>
              <w:left w:val="nil"/>
              <w:bottom w:val="single" w:sz="8" w:space="0" w:color="auto"/>
              <w:right w:val="nil"/>
            </w:tcBorders>
          </w:tcPr>
          <w:p w:rsidR="00D322FB" w:rsidRPr="00AE7191" w:rsidRDefault="00D322FB" w:rsidP="00E125AB">
            <w:pPr>
              <w:ind w:left="-249"/>
              <w:jc w:val="right"/>
              <w:rPr>
                <w:rFonts w:ascii="Arial" w:hAnsi="Arial" w:cs="Arial"/>
                <w:bCs/>
                <w:color w:val="000000"/>
              </w:rPr>
            </w:pPr>
          </w:p>
        </w:tc>
      </w:tr>
      <w:tr w:rsidR="00D322FB" w:rsidRPr="00CB5525" w:rsidTr="00110D2C">
        <w:trPr>
          <w:trHeight w:val="113"/>
        </w:trPr>
        <w:tc>
          <w:tcPr>
            <w:tcW w:w="5760" w:type="dxa"/>
            <w:tcBorders>
              <w:top w:val="nil"/>
              <w:left w:val="nil"/>
              <w:bottom w:val="double" w:sz="6" w:space="0" w:color="auto"/>
              <w:right w:val="nil"/>
            </w:tcBorders>
          </w:tcPr>
          <w:p w:rsidR="00D322FB" w:rsidRPr="00AE7191" w:rsidRDefault="00D322FB" w:rsidP="00205FDB">
            <w:pPr>
              <w:rPr>
                <w:rFonts w:ascii="Arial" w:hAnsi="Arial" w:cs="Arial"/>
                <w:b/>
                <w:bCs/>
                <w:color w:val="000000"/>
              </w:rPr>
            </w:pPr>
            <w:r w:rsidRPr="00AE7191">
              <w:rPr>
                <w:rFonts w:ascii="Arial" w:hAnsi="Arial" w:cs="Arial"/>
                <w:b/>
                <w:bCs/>
                <w:color w:val="000000"/>
              </w:rPr>
              <w:t> Toplam</w:t>
            </w:r>
          </w:p>
        </w:tc>
        <w:tc>
          <w:tcPr>
            <w:tcW w:w="1890" w:type="dxa"/>
            <w:tcBorders>
              <w:top w:val="nil"/>
              <w:left w:val="nil"/>
              <w:bottom w:val="double" w:sz="6" w:space="0" w:color="auto"/>
              <w:right w:val="nil"/>
            </w:tcBorders>
          </w:tcPr>
          <w:p w:rsidR="00D322FB" w:rsidRPr="00AE7191" w:rsidRDefault="00D322FB" w:rsidP="00227777">
            <w:pPr>
              <w:jc w:val="right"/>
              <w:rPr>
                <w:rFonts w:ascii="Arial" w:hAnsi="Arial" w:cs="Arial"/>
                <w:b/>
                <w:bCs/>
                <w:color w:val="000000"/>
              </w:rPr>
            </w:pPr>
            <w:r w:rsidRPr="00AE7191">
              <w:rPr>
                <w:rFonts w:ascii="Arial" w:hAnsi="Arial" w:cs="Arial"/>
                <w:b/>
                <w:bCs/>
                <w:color w:val="000000"/>
              </w:rPr>
              <w:t xml:space="preserve">               </w:t>
            </w:r>
            <w:r w:rsidR="00227777">
              <w:rPr>
                <w:rFonts w:ascii="Arial" w:hAnsi="Arial" w:cs="Arial"/>
                <w:b/>
                <w:bCs/>
                <w:color w:val="000000"/>
              </w:rPr>
              <w:t>2.182</w:t>
            </w:r>
            <w:r w:rsidRPr="00AE7191">
              <w:rPr>
                <w:rFonts w:ascii="Arial" w:hAnsi="Arial" w:cs="Arial"/>
                <w:b/>
                <w:bCs/>
                <w:color w:val="000000"/>
              </w:rPr>
              <w:t xml:space="preserve"> </w:t>
            </w:r>
          </w:p>
        </w:tc>
        <w:tc>
          <w:tcPr>
            <w:tcW w:w="1700" w:type="dxa"/>
            <w:tcBorders>
              <w:top w:val="nil"/>
              <w:left w:val="nil"/>
              <w:bottom w:val="double" w:sz="6" w:space="0" w:color="auto"/>
              <w:right w:val="nil"/>
            </w:tcBorders>
          </w:tcPr>
          <w:p w:rsidR="00D322FB" w:rsidRPr="00AE7191" w:rsidRDefault="00F10BC7" w:rsidP="00F10BC7">
            <w:pPr>
              <w:ind w:left="-249"/>
              <w:jc w:val="right"/>
              <w:rPr>
                <w:rFonts w:ascii="Arial" w:hAnsi="Arial" w:cs="Arial"/>
                <w:bCs/>
                <w:color w:val="000000"/>
              </w:rPr>
            </w:pPr>
            <w:r>
              <w:rPr>
                <w:rFonts w:ascii="Arial" w:hAnsi="Arial" w:cs="Arial"/>
                <w:bCs/>
                <w:color w:val="000000"/>
              </w:rPr>
              <w:t>4.637</w:t>
            </w:r>
          </w:p>
        </w:tc>
      </w:tr>
    </w:tbl>
    <w:p w:rsidR="00D322FB" w:rsidRPr="00CB5525" w:rsidRDefault="00D322FB" w:rsidP="0090567F">
      <w:pPr>
        <w:autoSpaceDE w:val="0"/>
        <w:autoSpaceDN w:val="0"/>
        <w:adjustRightInd w:val="0"/>
        <w:rPr>
          <w:rFonts w:ascii="Arial" w:hAnsi="Arial" w:cs="Arial"/>
          <w:b/>
          <w:color w:val="000000"/>
          <w:sz w:val="18"/>
          <w:szCs w:val="18"/>
          <w:highlight w:val="yellow"/>
        </w:rPr>
      </w:pPr>
    </w:p>
    <w:p w:rsidR="00D322FB" w:rsidRPr="00CE0C5B" w:rsidRDefault="00D322FB" w:rsidP="0091410D">
      <w:pPr>
        <w:autoSpaceDE w:val="0"/>
        <w:autoSpaceDN w:val="0"/>
        <w:adjustRightInd w:val="0"/>
        <w:rPr>
          <w:rFonts w:ascii="Arial" w:hAnsi="Arial" w:cs="Arial"/>
          <w:lang w:val="tr-TR"/>
        </w:rPr>
      </w:pPr>
      <w:r w:rsidRPr="00CE0C5B">
        <w:rPr>
          <w:rFonts w:ascii="Arial" w:hAnsi="Arial" w:cs="Arial"/>
          <w:lang w:val="tr-TR"/>
        </w:rPr>
        <w:t>(1) ana ortak</w:t>
      </w:r>
    </w:p>
    <w:p w:rsidR="00D322FB" w:rsidRDefault="00D322FB" w:rsidP="0090567F">
      <w:pPr>
        <w:autoSpaceDE w:val="0"/>
        <w:autoSpaceDN w:val="0"/>
        <w:adjustRightInd w:val="0"/>
        <w:rPr>
          <w:rFonts w:ascii="Arial" w:hAnsi="Arial" w:cs="Arial"/>
          <w:b/>
          <w:color w:val="000000"/>
          <w:highlight w:val="yellow"/>
        </w:rPr>
      </w:pPr>
    </w:p>
    <w:p w:rsidR="00D322FB" w:rsidRDefault="00D322FB" w:rsidP="0090567F">
      <w:pPr>
        <w:autoSpaceDE w:val="0"/>
        <w:autoSpaceDN w:val="0"/>
        <w:adjustRightInd w:val="0"/>
        <w:rPr>
          <w:rFonts w:ascii="Arial" w:hAnsi="Arial" w:cs="Arial"/>
          <w:lang w:val="tr-TR"/>
        </w:rPr>
      </w:pPr>
      <w:r w:rsidRPr="00273D42">
        <w:rPr>
          <w:rFonts w:ascii="Arial" w:hAnsi="Arial" w:cs="Arial"/>
          <w:lang w:val="tr-TR"/>
        </w:rPr>
        <w:t xml:space="preserve">Şirket’in 31 </w:t>
      </w:r>
      <w:r w:rsidR="00D86D3E">
        <w:rPr>
          <w:rFonts w:ascii="Arial" w:hAnsi="Arial" w:cs="Arial"/>
          <w:lang w:val="tr-TR"/>
        </w:rPr>
        <w:t>Mart</w:t>
      </w:r>
      <w:r w:rsidRPr="00273D42">
        <w:rPr>
          <w:rFonts w:ascii="Arial" w:hAnsi="Arial" w:cs="Arial"/>
          <w:lang w:val="tr-TR"/>
        </w:rPr>
        <w:t xml:space="preserve"> 201</w:t>
      </w:r>
      <w:r w:rsidR="00D86D3E">
        <w:rPr>
          <w:rFonts w:ascii="Arial" w:hAnsi="Arial" w:cs="Arial"/>
          <w:lang w:val="tr-TR"/>
        </w:rPr>
        <w:t>5</w:t>
      </w:r>
      <w:r w:rsidRPr="00273D42">
        <w:rPr>
          <w:rFonts w:ascii="Arial" w:hAnsi="Arial" w:cs="Arial"/>
          <w:lang w:val="tr-TR"/>
        </w:rPr>
        <w:t xml:space="preserve"> ve 201</w:t>
      </w:r>
      <w:r w:rsidR="00D86D3E">
        <w:rPr>
          <w:rFonts w:ascii="Arial" w:hAnsi="Arial" w:cs="Arial"/>
          <w:lang w:val="tr-TR"/>
        </w:rPr>
        <w:t>4</w:t>
      </w:r>
      <w:r w:rsidRPr="00273D42">
        <w:rPr>
          <w:rFonts w:ascii="Arial" w:hAnsi="Arial" w:cs="Arial"/>
          <w:lang w:val="tr-TR"/>
        </w:rPr>
        <w:t xml:space="preserve"> tarihleri </w:t>
      </w:r>
      <w:r>
        <w:rPr>
          <w:rFonts w:ascii="Arial" w:hAnsi="Arial" w:cs="Arial"/>
          <w:lang w:val="tr-TR"/>
        </w:rPr>
        <w:t>itibariyle</w:t>
      </w:r>
      <w:r w:rsidRPr="00273D42">
        <w:rPr>
          <w:rFonts w:ascii="Arial" w:hAnsi="Arial" w:cs="Arial"/>
          <w:lang w:val="tr-TR"/>
        </w:rPr>
        <w:t xml:space="preserve"> </w:t>
      </w:r>
      <w:r w:rsidRPr="00B6520D">
        <w:rPr>
          <w:rFonts w:ascii="Arial" w:hAnsi="Arial" w:cs="Arial"/>
          <w:b/>
          <w:lang w:val="tr-TR"/>
        </w:rPr>
        <w:t>ilişkili taraflara borçların detayı aşağıdaki</w:t>
      </w:r>
      <w:r>
        <w:rPr>
          <w:rFonts w:ascii="Arial" w:hAnsi="Arial" w:cs="Arial"/>
          <w:lang w:val="tr-TR"/>
        </w:rPr>
        <w:t xml:space="preserve"> gibidir:</w:t>
      </w:r>
    </w:p>
    <w:p w:rsidR="00D322FB" w:rsidRPr="00727376" w:rsidRDefault="00D322FB" w:rsidP="0090567F">
      <w:pPr>
        <w:autoSpaceDE w:val="0"/>
        <w:autoSpaceDN w:val="0"/>
        <w:adjustRightInd w:val="0"/>
        <w:rPr>
          <w:rFonts w:ascii="Arial" w:hAnsi="Arial" w:cs="Arial"/>
          <w:b/>
          <w:highlight w:val="yellow"/>
          <w:lang w:val="tr-TR"/>
        </w:rPr>
      </w:pPr>
    </w:p>
    <w:tbl>
      <w:tblPr>
        <w:tblW w:w="9351" w:type="dxa"/>
        <w:tblInd w:w="108" w:type="dxa"/>
        <w:tblLook w:val="00A0" w:firstRow="1" w:lastRow="0" w:firstColumn="1" w:lastColumn="0" w:noHBand="0" w:noVBand="0"/>
      </w:tblPr>
      <w:tblGrid>
        <w:gridCol w:w="5760"/>
        <w:gridCol w:w="1890"/>
        <w:gridCol w:w="1701"/>
      </w:tblGrid>
      <w:tr w:rsidR="00D322FB" w:rsidRPr="00BD0419" w:rsidTr="00110D2C">
        <w:trPr>
          <w:trHeight w:val="113"/>
        </w:trPr>
        <w:tc>
          <w:tcPr>
            <w:tcW w:w="5760" w:type="dxa"/>
            <w:tcBorders>
              <w:top w:val="single" w:sz="8" w:space="0" w:color="auto"/>
              <w:left w:val="nil"/>
              <w:bottom w:val="single" w:sz="8" w:space="0" w:color="auto"/>
              <w:right w:val="nil"/>
            </w:tcBorders>
            <w:noWrap/>
          </w:tcPr>
          <w:p w:rsidR="00D322FB" w:rsidRPr="00CB5525" w:rsidRDefault="00D322FB" w:rsidP="003E1124">
            <w:pPr>
              <w:jc w:val="both"/>
              <w:rPr>
                <w:rFonts w:ascii="Arial" w:hAnsi="Arial" w:cs="Arial"/>
                <w:color w:val="000000"/>
                <w:sz w:val="18"/>
                <w:szCs w:val="18"/>
              </w:rPr>
            </w:pPr>
          </w:p>
        </w:tc>
        <w:tc>
          <w:tcPr>
            <w:tcW w:w="1890" w:type="dxa"/>
            <w:tcBorders>
              <w:top w:val="single" w:sz="8" w:space="0" w:color="auto"/>
              <w:left w:val="nil"/>
              <w:bottom w:val="single" w:sz="8" w:space="0" w:color="auto"/>
              <w:right w:val="nil"/>
            </w:tcBorders>
            <w:noWrap/>
            <w:vAlign w:val="bottom"/>
          </w:tcPr>
          <w:p w:rsidR="00D322FB" w:rsidRPr="00CB5525" w:rsidRDefault="00D322FB" w:rsidP="00F10BC7">
            <w:pPr>
              <w:ind w:left="-104"/>
              <w:jc w:val="right"/>
              <w:rPr>
                <w:rFonts w:ascii="Arial" w:hAnsi="Arial" w:cs="Arial"/>
                <w:b/>
                <w:bCs/>
                <w:color w:val="000000"/>
                <w:sz w:val="18"/>
                <w:szCs w:val="18"/>
              </w:rPr>
            </w:pPr>
            <w:r w:rsidRPr="00CB5525">
              <w:rPr>
                <w:rFonts w:ascii="Arial" w:hAnsi="Arial" w:cs="Arial"/>
                <w:b/>
                <w:bCs/>
                <w:color w:val="000000"/>
                <w:sz w:val="18"/>
                <w:szCs w:val="18"/>
              </w:rPr>
              <w:t xml:space="preserve">31 </w:t>
            </w:r>
            <w:r w:rsidR="00F10BC7">
              <w:rPr>
                <w:rFonts w:ascii="Arial" w:hAnsi="Arial" w:cs="Arial"/>
                <w:b/>
                <w:bCs/>
                <w:color w:val="000000"/>
                <w:sz w:val="18"/>
                <w:szCs w:val="18"/>
              </w:rPr>
              <w:t>Mart</w:t>
            </w:r>
            <w:r w:rsidRPr="00CB5525">
              <w:rPr>
                <w:rFonts w:ascii="Arial" w:hAnsi="Arial" w:cs="Arial"/>
                <w:b/>
                <w:bCs/>
                <w:color w:val="000000"/>
                <w:sz w:val="18"/>
                <w:szCs w:val="18"/>
              </w:rPr>
              <w:t xml:space="preserve"> 201</w:t>
            </w:r>
            <w:r w:rsidR="00F10BC7">
              <w:rPr>
                <w:rFonts w:ascii="Arial" w:hAnsi="Arial" w:cs="Arial"/>
                <w:b/>
                <w:bCs/>
                <w:color w:val="000000"/>
                <w:sz w:val="18"/>
                <w:szCs w:val="18"/>
              </w:rPr>
              <w:t>5</w:t>
            </w:r>
          </w:p>
        </w:tc>
        <w:tc>
          <w:tcPr>
            <w:tcW w:w="1701" w:type="dxa"/>
            <w:tcBorders>
              <w:top w:val="single" w:sz="8" w:space="0" w:color="auto"/>
              <w:left w:val="nil"/>
              <w:bottom w:val="single" w:sz="8" w:space="0" w:color="auto"/>
              <w:right w:val="nil"/>
            </w:tcBorders>
            <w:vAlign w:val="bottom"/>
          </w:tcPr>
          <w:p w:rsidR="00D322FB" w:rsidRPr="00CB5525" w:rsidRDefault="00D322FB" w:rsidP="00F10BC7">
            <w:pPr>
              <w:ind w:left="34"/>
              <w:jc w:val="right"/>
              <w:rPr>
                <w:rFonts w:ascii="Arial" w:hAnsi="Arial" w:cs="Arial"/>
                <w:color w:val="000000"/>
                <w:sz w:val="18"/>
                <w:szCs w:val="18"/>
              </w:rPr>
            </w:pPr>
            <w:r w:rsidRPr="00CB5525">
              <w:rPr>
                <w:rFonts w:ascii="Arial" w:hAnsi="Arial" w:cs="Arial"/>
                <w:color w:val="000000"/>
                <w:sz w:val="18"/>
                <w:szCs w:val="18"/>
              </w:rPr>
              <w:t>31 Aralık 201</w:t>
            </w:r>
            <w:r w:rsidR="00F10BC7">
              <w:rPr>
                <w:rFonts w:ascii="Arial" w:hAnsi="Arial" w:cs="Arial"/>
                <w:color w:val="000000"/>
                <w:sz w:val="18"/>
                <w:szCs w:val="18"/>
              </w:rPr>
              <w:t>4</w:t>
            </w:r>
          </w:p>
        </w:tc>
      </w:tr>
      <w:tr w:rsidR="00D322FB" w:rsidRPr="00BD0419" w:rsidTr="00110D2C">
        <w:trPr>
          <w:trHeight w:val="113"/>
        </w:trPr>
        <w:tc>
          <w:tcPr>
            <w:tcW w:w="5760" w:type="dxa"/>
            <w:tcBorders>
              <w:top w:val="nil"/>
              <w:left w:val="nil"/>
              <w:bottom w:val="nil"/>
              <w:right w:val="nil"/>
            </w:tcBorders>
            <w:noWrap/>
          </w:tcPr>
          <w:p w:rsidR="00D322FB" w:rsidRPr="00CB5525" w:rsidRDefault="00D322FB" w:rsidP="003E1124">
            <w:pPr>
              <w:jc w:val="both"/>
              <w:rPr>
                <w:rFonts w:ascii="Arial" w:hAnsi="Arial" w:cs="Arial"/>
                <w:color w:val="000000"/>
                <w:sz w:val="18"/>
                <w:szCs w:val="18"/>
              </w:rPr>
            </w:pPr>
          </w:p>
        </w:tc>
        <w:tc>
          <w:tcPr>
            <w:tcW w:w="1890" w:type="dxa"/>
            <w:tcBorders>
              <w:top w:val="nil"/>
              <w:left w:val="nil"/>
              <w:bottom w:val="nil"/>
              <w:right w:val="nil"/>
            </w:tcBorders>
            <w:noWrap/>
            <w:vAlign w:val="bottom"/>
          </w:tcPr>
          <w:p w:rsidR="00D322FB" w:rsidRPr="00CB5525" w:rsidRDefault="00D322FB" w:rsidP="003E1124">
            <w:pPr>
              <w:ind w:left="-104"/>
              <w:jc w:val="right"/>
              <w:rPr>
                <w:rFonts w:ascii="Arial" w:hAnsi="Arial" w:cs="Arial"/>
                <w:b/>
                <w:bCs/>
                <w:color w:val="000000"/>
                <w:sz w:val="18"/>
                <w:szCs w:val="18"/>
              </w:rPr>
            </w:pPr>
          </w:p>
        </w:tc>
        <w:tc>
          <w:tcPr>
            <w:tcW w:w="1701" w:type="dxa"/>
            <w:tcBorders>
              <w:top w:val="nil"/>
              <w:left w:val="nil"/>
              <w:bottom w:val="nil"/>
              <w:right w:val="nil"/>
            </w:tcBorders>
            <w:noWrap/>
            <w:vAlign w:val="bottom"/>
          </w:tcPr>
          <w:p w:rsidR="00D322FB" w:rsidRPr="00CB5525" w:rsidRDefault="00D322FB" w:rsidP="003E1124">
            <w:pPr>
              <w:ind w:left="34"/>
              <w:jc w:val="right"/>
              <w:rPr>
                <w:rFonts w:ascii="Arial" w:hAnsi="Arial" w:cs="Arial"/>
                <w:color w:val="000000"/>
                <w:sz w:val="18"/>
                <w:szCs w:val="18"/>
              </w:rPr>
            </w:pPr>
          </w:p>
        </w:tc>
      </w:tr>
      <w:tr w:rsidR="00D322FB" w:rsidRPr="00BD0419" w:rsidTr="00CE0C5B">
        <w:trPr>
          <w:trHeight w:val="113"/>
        </w:trPr>
        <w:tc>
          <w:tcPr>
            <w:tcW w:w="5760" w:type="dxa"/>
            <w:tcBorders>
              <w:top w:val="nil"/>
              <w:left w:val="nil"/>
              <w:bottom w:val="nil"/>
              <w:right w:val="nil"/>
            </w:tcBorders>
            <w:vAlign w:val="bottom"/>
          </w:tcPr>
          <w:p w:rsidR="00D322FB" w:rsidRPr="00CB5525" w:rsidRDefault="00D322FB" w:rsidP="00B37F4A">
            <w:pPr>
              <w:ind w:hanging="108"/>
              <w:rPr>
                <w:rFonts w:ascii="Arial" w:hAnsi="Arial" w:cs="Arial"/>
                <w:color w:val="000000"/>
                <w:sz w:val="18"/>
                <w:szCs w:val="18"/>
              </w:rPr>
            </w:pPr>
            <w:r w:rsidRPr="00CB5525">
              <w:rPr>
                <w:rFonts w:ascii="Arial" w:hAnsi="Arial" w:cs="Arial"/>
                <w:color w:val="000000"/>
                <w:sz w:val="18"/>
                <w:szCs w:val="18"/>
              </w:rPr>
              <w:t>Seraş - (yönetim giderleri) (1)</w:t>
            </w:r>
          </w:p>
        </w:tc>
        <w:tc>
          <w:tcPr>
            <w:tcW w:w="1890" w:type="dxa"/>
            <w:tcBorders>
              <w:top w:val="nil"/>
              <w:left w:val="nil"/>
              <w:bottom w:val="nil"/>
              <w:right w:val="nil"/>
            </w:tcBorders>
            <w:noWrap/>
            <w:vAlign w:val="bottom"/>
          </w:tcPr>
          <w:p w:rsidR="00D322FB" w:rsidRPr="00CB5525" w:rsidRDefault="00227777" w:rsidP="00CE0C5B">
            <w:pPr>
              <w:jc w:val="right"/>
              <w:rPr>
                <w:rFonts w:ascii="Arial" w:hAnsi="Arial" w:cs="Arial"/>
                <w:b/>
                <w:bCs/>
                <w:color w:val="000000"/>
                <w:sz w:val="18"/>
                <w:szCs w:val="18"/>
              </w:rPr>
            </w:pPr>
            <w:r>
              <w:rPr>
                <w:rFonts w:ascii="Arial" w:hAnsi="Arial" w:cs="Arial"/>
                <w:b/>
                <w:bCs/>
                <w:color w:val="000000"/>
                <w:sz w:val="18"/>
                <w:szCs w:val="18"/>
              </w:rPr>
              <w:t>11.016</w:t>
            </w:r>
          </w:p>
        </w:tc>
        <w:tc>
          <w:tcPr>
            <w:tcW w:w="1701" w:type="dxa"/>
            <w:tcBorders>
              <w:top w:val="nil"/>
              <w:left w:val="nil"/>
              <w:bottom w:val="nil"/>
              <w:right w:val="nil"/>
            </w:tcBorders>
            <w:noWrap/>
            <w:vAlign w:val="bottom"/>
          </w:tcPr>
          <w:p w:rsidR="00D322FB" w:rsidRPr="00CB5525" w:rsidRDefault="00F10BC7" w:rsidP="00F10BC7">
            <w:pPr>
              <w:ind w:left="-104"/>
              <w:jc w:val="right"/>
              <w:rPr>
                <w:rFonts w:ascii="Arial" w:hAnsi="Arial" w:cs="Arial"/>
                <w:bCs/>
                <w:color w:val="000000"/>
                <w:sz w:val="18"/>
                <w:szCs w:val="18"/>
              </w:rPr>
            </w:pPr>
            <w:r>
              <w:rPr>
                <w:rFonts w:ascii="Arial" w:hAnsi="Arial" w:cs="Arial"/>
                <w:bCs/>
                <w:color w:val="000000"/>
                <w:sz w:val="18"/>
                <w:szCs w:val="18"/>
              </w:rPr>
              <w:t>10.816</w:t>
            </w:r>
          </w:p>
        </w:tc>
      </w:tr>
      <w:tr w:rsidR="00D322FB" w:rsidRPr="00BD0419" w:rsidTr="00CE0C5B">
        <w:trPr>
          <w:trHeight w:val="113"/>
        </w:trPr>
        <w:tc>
          <w:tcPr>
            <w:tcW w:w="5760" w:type="dxa"/>
            <w:tcBorders>
              <w:top w:val="nil"/>
              <w:left w:val="nil"/>
              <w:bottom w:val="nil"/>
              <w:right w:val="nil"/>
            </w:tcBorders>
            <w:vAlign w:val="bottom"/>
          </w:tcPr>
          <w:p w:rsidR="00D322FB" w:rsidRPr="00CB5525" w:rsidRDefault="00227777" w:rsidP="00227777">
            <w:pPr>
              <w:ind w:hanging="108"/>
              <w:rPr>
                <w:rFonts w:ascii="Arial" w:hAnsi="Arial" w:cs="Arial"/>
                <w:color w:val="000000"/>
                <w:sz w:val="18"/>
                <w:szCs w:val="18"/>
              </w:rPr>
            </w:pPr>
            <w:r w:rsidRPr="00CB5525">
              <w:rPr>
                <w:rFonts w:ascii="Arial" w:hAnsi="Arial" w:cs="Arial"/>
                <w:color w:val="000000"/>
                <w:sz w:val="18"/>
                <w:szCs w:val="18"/>
              </w:rPr>
              <w:t xml:space="preserve">ATP Ticari Bilgisayar Ağı ve Elekt. Güç Kayn. Üretim ve Paz. Tic. </w:t>
            </w:r>
          </w:p>
        </w:tc>
        <w:tc>
          <w:tcPr>
            <w:tcW w:w="1890" w:type="dxa"/>
            <w:tcBorders>
              <w:top w:val="nil"/>
              <w:left w:val="nil"/>
              <w:bottom w:val="nil"/>
              <w:right w:val="nil"/>
            </w:tcBorders>
            <w:noWrap/>
            <w:vAlign w:val="bottom"/>
          </w:tcPr>
          <w:p w:rsidR="00D322FB" w:rsidRPr="00227777" w:rsidRDefault="00227777" w:rsidP="00227777">
            <w:pPr>
              <w:ind w:left="-104"/>
              <w:jc w:val="right"/>
              <w:rPr>
                <w:rFonts w:ascii="Arial" w:hAnsi="Arial" w:cs="Arial"/>
                <w:b/>
                <w:bCs/>
                <w:color w:val="000000"/>
                <w:sz w:val="18"/>
                <w:szCs w:val="18"/>
              </w:rPr>
            </w:pPr>
            <w:r w:rsidRPr="00227777">
              <w:rPr>
                <w:rFonts w:ascii="Arial" w:hAnsi="Arial" w:cs="Arial"/>
                <w:b/>
                <w:bCs/>
                <w:color w:val="000000"/>
                <w:sz w:val="18"/>
                <w:szCs w:val="18"/>
              </w:rPr>
              <w:t>4.274</w:t>
            </w:r>
          </w:p>
        </w:tc>
        <w:tc>
          <w:tcPr>
            <w:tcW w:w="1701" w:type="dxa"/>
            <w:tcBorders>
              <w:top w:val="nil"/>
              <w:left w:val="nil"/>
              <w:bottom w:val="nil"/>
              <w:right w:val="nil"/>
            </w:tcBorders>
            <w:noWrap/>
            <w:vAlign w:val="bottom"/>
          </w:tcPr>
          <w:p w:rsidR="00D322FB" w:rsidRPr="00CB5525" w:rsidRDefault="00F10BC7" w:rsidP="00CE0C5B">
            <w:pPr>
              <w:ind w:left="-104"/>
              <w:jc w:val="right"/>
              <w:rPr>
                <w:rFonts w:ascii="Arial" w:hAnsi="Arial" w:cs="Arial"/>
                <w:bCs/>
                <w:color w:val="000000"/>
                <w:sz w:val="18"/>
                <w:szCs w:val="18"/>
              </w:rPr>
            </w:pPr>
            <w:r>
              <w:rPr>
                <w:rFonts w:ascii="Arial" w:hAnsi="Arial" w:cs="Arial"/>
                <w:bCs/>
                <w:color w:val="000000"/>
                <w:sz w:val="18"/>
                <w:szCs w:val="18"/>
              </w:rPr>
              <w:t>-</w:t>
            </w:r>
          </w:p>
        </w:tc>
      </w:tr>
      <w:tr w:rsidR="00D322FB" w:rsidRPr="00BD0419" w:rsidTr="00CE0C5B">
        <w:trPr>
          <w:trHeight w:val="113"/>
        </w:trPr>
        <w:tc>
          <w:tcPr>
            <w:tcW w:w="5760" w:type="dxa"/>
            <w:tcBorders>
              <w:top w:val="nil"/>
              <w:left w:val="nil"/>
              <w:bottom w:val="nil"/>
              <w:right w:val="nil"/>
            </w:tcBorders>
            <w:noWrap/>
            <w:vAlign w:val="bottom"/>
          </w:tcPr>
          <w:p w:rsidR="00D322FB" w:rsidRPr="00CB5525" w:rsidRDefault="00D322FB" w:rsidP="00697EAB">
            <w:pPr>
              <w:ind w:hanging="108"/>
              <w:rPr>
                <w:rFonts w:ascii="Arial" w:hAnsi="Arial" w:cs="Arial"/>
                <w:color w:val="000000"/>
                <w:sz w:val="18"/>
                <w:szCs w:val="18"/>
              </w:rPr>
            </w:pPr>
            <w:r w:rsidRPr="00CB5525">
              <w:rPr>
                <w:rFonts w:ascii="Arial" w:hAnsi="Arial" w:cs="Arial"/>
                <w:color w:val="000000"/>
                <w:sz w:val="18"/>
                <w:szCs w:val="18"/>
              </w:rPr>
              <w:t xml:space="preserve">Ata Gayrimenkul Geliştirme Yatırım ve İnşaat A.Ş. </w:t>
            </w:r>
          </w:p>
        </w:tc>
        <w:tc>
          <w:tcPr>
            <w:tcW w:w="1890" w:type="dxa"/>
            <w:tcBorders>
              <w:top w:val="nil"/>
              <w:left w:val="nil"/>
              <w:bottom w:val="nil"/>
              <w:right w:val="nil"/>
            </w:tcBorders>
            <w:noWrap/>
            <w:vAlign w:val="bottom"/>
          </w:tcPr>
          <w:p w:rsidR="00D322FB" w:rsidRPr="00CB5525" w:rsidRDefault="00D322FB" w:rsidP="00CE0C5B">
            <w:pPr>
              <w:ind w:left="-104"/>
              <w:jc w:val="right"/>
              <w:rPr>
                <w:rFonts w:ascii="Arial" w:hAnsi="Arial" w:cs="Arial"/>
                <w:bCs/>
                <w:color w:val="000000"/>
                <w:sz w:val="18"/>
                <w:szCs w:val="18"/>
              </w:rPr>
            </w:pPr>
            <w:r w:rsidRPr="00CB5525">
              <w:rPr>
                <w:rFonts w:ascii="Arial" w:hAnsi="Arial" w:cs="Arial"/>
                <w:bCs/>
                <w:color w:val="000000"/>
                <w:sz w:val="18"/>
                <w:szCs w:val="18"/>
              </w:rPr>
              <w:t>-</w:t>
            </w:r>
          </w:p>
        </w:tc>
        <w:tc>
          <w:tcPr>
            <w:tcW w:w="1701" w:type="dxa"/>
            <w:tcBorders>
              <w:top w:val="nil"/>
              <w:left w:val="nil"/>
              <w:bottom w:val="nil"/>
              <w:right w:val="nil"/>
            </w:tcBorders>
            <w:noWrap/>
            <w:vAlign w:val="bottom"/>
          </w:tcPr>
          <w:p w:rsidR="00D322FB" w:rsidRPr="00CB5525" w:rsidRDefault="00F10BC7" w:rsidP="00CE0C5B">
            <w:pPr>
              <w:ind w:left="-104"/>
              <w:jc w:val="right"/>
              <w:rPr>
                <w:rFonts w:ascii="Arial" w:hAnsi="Arial" w:cs="Arial"/>
                <w:bCs/>
                <w:color w:val="000000"/>
                <w:sz w:val="18"/>
                <w:szCs w:val="18"/>
              </w:rPr>
            </w:pPr>
            <w:r>
              <w:rPr>
                <w:rFonts w:ascii="Arial" w:hAnsi="Arial" w:cs="Arial"/>
                <w:bCs/>
                <w:color w:val="000000"/>
                <w:sz w:val="18"/>
                <w:szCs w:val="18"/>
              </w:rPr>
              <w:t>-</w:t>
            </w:r>
          </w:p>
        </w:tc>
      </w:tr>
      <w:tr w:rsidR="00D322FB" w:rsidRPr="00BD0419" w:rsidTr="00CE0C5B">
        <w:trPr>
          <w:trHeight w:val="113"/>
        </w:trPr>
        <w:tc>
          <w:tcPr>
            <w:tcW w:w="5760" w:type="dxa"/>
            <w:tcBorders>
              <w:top w:val="nil"/>
              <w:left w:val="nil"/>
              <w:bottom w:val="single" w:sz="8" w:space="0" w:color="auto"/>
              <w:right w:val="nil"/>
            </w:tcBorders>
            <w:noWrap/>
          </w:tcPr>
          <w:p w:rsidR="00D322FB" w:rsidRPr="00CB5525" w:rsidRDefault="00D322FB" w:rsidP="00B37F4A">
            <w:pPr>
              <w:ind w:hanging="108"/>
              <w:jc w:val="both"/>
              <w:rPr>
                <w:rFonts w:ascii="Arial" w:hAnsi="Arial" w:cs="Arial"/>
                <w:color w:val="000000"/>
                <w:sz w:val="18"/>
                <w:szCs w:val="18"/>
              </w:rPr>
            </w:pPr>
            <w:r w:rsidRPr="00CB5525">
              <w:rPr>
                <w:rFonts w:ascii="Arial" w:hAnsi="Arial" w:cs="Arial"/>
                <w:color w:val="000000"/>
                <w:sz w:val="18"/>
                <w:szCs w:val="18"/>
              </w:rPr>
              <w:t> </w:t>
            </w:r>
          </w:p>
        </w:tc>
        <w:tc>
          <w:tcPr>
            <w:tcW w:w="1890" w:type="dxa"/>
            <w:tcBorders>
              <w:top w:val="nil"/>
              <w:left w:val="nil"/>
              <w:bottom w:val="single" w:sz="8" w:space="0" w:color="auto"/>
              <w:right w:val="nil"/>
            </w:tcBorders>
            <w:noWrap/>
            <w:vAlign w:val="bottom"/>
          </w:tcPr>
          <w:p w:rsidR="00D322FB" w:rsidRPr="00CB5525" w:rsidRDefault="00D322FB" w:rsidP="00CE0C5B">
            <w:pPr>
              <w:ind w:left="-104"/>
              <w:jc w:val="right"/>
              <w:rPr>
                <w:rFonts w:ascii="Arial" w:hAnsi="Arial" w:cs="Arial"/>
                <w:bCs/>
                <w:color w:val="000000"/>
                <w:sz w:val="18"/>
                <w:szCs w:val="18"/>
              </w:rPr>
            </w:pPr>
          </w:p>
        </w:tc>
        <w:tc>
          <w:tcPr>
            <w:tcW w:w="1701" w:type="dxa"/>
            <w:tcBorders>
              <w:top w:val="nil"/>
              <w:left w:val="nil"/>
              <w:bottom w:val="single" w:sz="8" w:space="0" w:color="auto"/>
              <w:right w:val="nil"/>
            </w:tcBorders>
            <w:noWrap/>
            <w:vAlign w:val="bottom"/>
          </w:tcPr>
          <w:p w:rsidR="00D322FB" w:rsidRPr="00CB5525" w:rsidRDefault="00D322FB" w:rsidP="00CE0C5B">
            <w:pPr>
              <w:ind w:left="-104"/>
              <w:jc w:val="right"/>
              <w:rPr>
                <w:rFonts w:ascii="Arial" w:hAnsi="Arial" w:cs="Arial"/>
                <w:bCs/>
                <w:color w:val="000000"/>
                <w:sz w:val="18"/>
                <w:szCs w:val="18"/>
              </w:rPr>
            </w:pPr>
          </w:p>
        </w:tc>
      </w:tr>
      <w:tr w:rsidR="00D322FB" w:rsidRPr="00BD0419" w:rsidTr="00CE0C5B">
        <w:trPr>
          <w:trHeight w:val="113"/>
        </w:trPr>
        <w:tc>
          <w:tcPr>
            <w:tcW w:w="5760" w:type="dxa"/>
            <w:tcBorders>
              <w:top w:val="nil"/>
              <w:left w:val="nil"/>
              <w:bottom w:val="double" w:sz="6" w:space="0" w:color="auto"/>
              <w:right w:val="nil"/>
            </w:tcBorders>
            <w:noWrap/>
          </w:tcPr>
          <w:p w:rsidR="00D322FB" w:rsidRPr="00CB5525" w:rsidRDefault="00D322FB" w:rsidP="00B37F4A">
            <w:pPr>
              <w:ind w:hanging="108"/>
              <w:jc w:val="both"/>
              <w:rPr>
                <w:rFonts w:ascii="Arial" w:hAnsi="Arial" w:cs="Arial"/>
                <w:b/>
                <w:color w:val="000000"/>
                <w:sz w:val="18"/>
                <w:szCs w:val="18"/>
              </w:rPr>
            </w:pPr>
            <w:r w:rsidRPr="00CB5525">
              <w:rPr>
                <w:rFonts w:ascii="Arial" w:hAnsi="Arial" w:cs="Arial"/>
                <w:b/>
                <w:color w:val="000000"/>
                <w:sz w:val="18"/>
                <w:szCs w:val="18"/>
              </w:rPr>
              <w:t> Toplam</w:t>
            </w:r>
          </w:p>
        </w:tc>
        <w:tc>
          <w:tcPr>
            <w:tcW w:w="1890" w:type="dxa"/>
            <w:tcBorders>
              <w:top w:val="nil"/>
              <w:left w:val="nil"/>
              <w:bottom w:val="double" w:sz="6" w:space="0" w:color="auto"/>
              <w:right w:val="nil"/>
            </w:tcBorders>
            <w:noWrap/>
            <w:vAlign w:val="bottom"/>
          </w:tcPr>
          <w:p w:rsidR="00D322FB" w:rsidRPr="00CB5525" w:rsidRDefault="00D322FB" w:rsidP="00227777">
            <w:pPr>
              <w:ind w:left="-104"/>
              <w:jc w:val="right"/>
              <w:rPr>
                <w:rFonts w:ascii="Arial" w:hAnsi="Arial" w:cs="Arial"/>
                <w:bCs/>
                <w:color w:val="000000"/>
                <w:sz w:val="18"/>
                <w:szCs w:val="18"/>
              </w:rPr>
            </w:pPr>
            <w:r w:rsidRPr="00CB5525">
              <w:rPr>
                <w:rFonts w:ascii="Arial" w:hAnsi="Arial" w:cs="Arial"/>
                <w:b/>
                <w:bCs/>
                <w:color w:val="000000"/>
                <w:sz w:val="18"/>
                <w:szCs w:val="18"/>
              </w:rPr>
              <w:t>1</w:t>
            </w:r>
            <w:r w:rsidR="00227777">
              <w:rPr>
                <w:rFonts w:ascii="Arial" w:hAnsi="Arial" w:cs="Arial"/>
                <w:b/>
                <w:bCs/>
                <w:color w:val="000000"/>
                <w:sz w:val="18"/>
                <w:szCs w:val="18"/>
              </w:rPr>
              <w:t>5</w:t>
            </w:r>
            <w:r w:rsidRPr="00CB5525">
              <w:rPr>
                <w:rFonts w:ascii="Arial" w:hAnsi="Arial" w:cs="Arial"/>
                <w:b/>
                <w:bCs/>
                <w:color w:val="000000"/>
                <w:sz w:val="18"/>
                <w:szCs w:val="18"/>
              </w:rPr>
              <w:t>.</w:t>
            </w:r>
            <w:r w:rsidR="00227777">
              <w:rPr>
                <w:rFonts w:ascii="Arial" w:hAnsi="Arial" w:cs="Arial"/>
                <w:b/>
                <w:bCs/>
                <w:color w:val="000000"/>
                <w:sz w:val="18"/>
                <w:szCs w:val="18"/>
              </w:rPr>
              <w:t>290</w:t>
            </w:r>
          </w:p>
        </w:tc>
        <w:tc>
          <w:tcPr>
            <w:tcW w:w="1701" w:type="dxa"/>
            <w:tcBorders>
              <w:top w:val="nil"/>
              <w:left w:val="nil"/>
              <w:bottom w:val="double" w:sz="6" w:space="0" w:color="auto"/>
              <w:right w:val="nil"/>
            </w:tcBorders>
            <w:noWrap/>
            <w:vAlign w:val="bottom"/>
          </w:tcPr>
          <w:p w:rsidR="00D322FB" w:rsidRPr="00CB5525" w:rsidRDefault="00D322FB" w:rsidP="00F10BC7">
            <w:pPr>
              <w:ind w:left="-104"/>
              <w:jc w:val="right"/>
              <w:rPr>
                <w:rFonts w:ascii="Arial" w:hAnsi="Arial" w:cs="Arial"/>
                <w:bCs/>
                <w:color w:val="000000"/>
                <w:sz w:val="18"/>
                <w:szCs w:val="18"/>
              </w:rPr>
            </w:pPr>
            <w:r w:rsidRPr="00CB5525">
              <w:rPr>
                <w:rFonts w:ascii="Arial" w:hAnsi="Arial" w:cs="Arial"/>
                <w:bCs/>
                <w:color w:val="000000"/>
                <w:sz w:val="18"/>
                <w:szCs w:val="18"/>
              </w:rPr>
              <w:t>1</w:t>
            </w:r>
            <w:r w:rsidR="00F10BC7">
              <w:rPr>
                <w:rFonts w:ascii="Arial" w:hAnsi="Arial" w:cs="Arial"/>
                <w:bCs/>
                <w:color w:val="000000"/>
                <w:sz w:val="18"/>
                <w:szCs w:val="18"/>
              </w:rPr>
              <w:t>0</w:t>
            </w:r>
            <w:r w:rsidRPr="00CB5525">
              <w:rPr>
                <w:rFonts w:ascii="Arial" w:hAnsi="Arial" w:cs="Arial"/>
                <w:bCs/>
                <w:color w:val="000000"/>
                <w:sz w:val="18"/>
                <w:szCs w:val="18"/>
              </w:rPr>
              <w:t>.</w:t>
            </w:r>
            <w:r w:rsidR="00F10BC7">
              <w:rPr>
                <w:rFonts w:ascii="Arial" w:hAnsi="Arial" w:cs="Arial"/>
                <w:bCs/>
                <w:color w:val="000000"/>
                <w:sz w:val="18"/>
                <w:szCs w:val="18"/>
              </w:rPr>
              <w:t>816</w:t>
            </w:r>
          </w:p>
        </w:tc>
      </w:tr>
    </w:tbl>
    <w:p w:rsidR="00D322FB" w:rsidRDefault="00D322FB" w:rsidP="00B30DDF">
      <w:pPr>
        <w:ind w:left="567" w:hanging="567"/>
        <w:jc w:val="both"/>
        <w:rPr>
          <w:rFonts w:ascii="Arial" w:hAnsi="Arial" w:cs="Arial"/>
          <w:b/>
          <w:highlight w:val="yellow"/>
          <w:lang w:val="tr-TR"/>
        </w:rPr>
      </w:pPr>
    </w:p>
    <w:p w:rsidR="00D322FB" w:rsidRPr="00CB5525" w:rsidRDefault="00D322FB" w:rsidP="00BD0419">
      <w:pPr>
        <w:autoSpaceDE w:val="0"/>
        <w:autoSpaceDN w:val="0"/>
        <w:adjustRightInd w:val="0"/>
        <w:rPr>
          <w:rFonts w:ascii="Arial" w:hAnsi="Arial" w:cs="Arial"/>
          <w:lang w:val="tr-TR"/>
        </w:rPr>
      </w:pPr>
      <w:r w:rsidRPr="00CB5525">
        <w:rPr>
          <w:rFonts w:ascii="Arial" w:hAnsi="Arial" w:cs="Arial"/>
          <w:lang w:val="tr-TR"/>
        </w:rPr>
        <w:t>(1) ana ortak</w:t>
      </w:r>
    </w:p>
    <w:p w:rsidR="00D322FB" w:rsidRPr="00CB5525" w:rsidRDefault="00D322FB" w:rsidP="00BD0419">
      <w:pPr>
        <w:autoSpaceDE w:val="0"/>
        <w:autoSpaceDN w:val="0"/>
        <w:adjustRightInd w:val="0"/>
        <w:rPr>
          <w:rFonts w:ascii="Arial" w:hAnsi="Arial" w:cs="Arial"/>
          <w:lang w:val="tr-TR"/>
        </w:rPr>
      </w:pPr>
      <w:r w:rsidRPr="00CB5525">
        <w:rPr>
          <w:rFonts w:ascii="Arial" w:hAnsi="Arial" w:cs="Arial"/>
          <w:lang w:val="tr-TR"/>
        </w:rPr>
        <w:t>(2) diğer ilişkili taraflar</w:t>
      </w:r>
    </w:p>
    <w:p w:rsidR="00D322FB" w:rsidRPr="00727376" w:rsidRDefault="00D322FB" w:rsidP="00B30DDF">
      <w:pPr>
        <w:ind w:left="567" w:hanging="567"/>
        <w:jc w:val="both"/>
        <w:rPr>
          <w:rFonts w:ascii="Arial" w:hAnsi="Arial" w:cs="Arial"/>
          <w:b/>
          <w:highlight w:val="yellow"/>
          <w:lang w:val="tr-TR"/>
        </w:rPr>
      </w:pPr>
    </w:p>
    <w:p w:rsidR="00D322FB" w:rsidRDefault="00D322FB" w:rsidP="0090567F">
      <w:pPr>
        <w:autoSpaceDE w:val="0"/>
        <w:autoSpaceDN w:val="0"/>
        <w:adjustRightInd w:val="0"/>
        <w:rPr>
          <w:rFonts w:ascii="Arial" w:hAnsi="Arial" w:cs="Arial"/>
          <w:lang w:val="tr-TR"/>
        </w:rPr>
      </w:pPr>
      <w:r>
        <w:rPr>
          <w:rFonts w:ascii="Arial" w:hAnsi="Arial" w:cs="Arial"/>
          <w:lang w:val="tr-TR"/>
        </w:rPr>
        <w:t>.</w:t>
      </w:r>
    </w:p>
    <w:p w:rsidR="00F10BC7" w:rsidRDefault="00F10BC7" w:rsidP="0090567F">
      <w:pPr>
        <w:autoSpaceDE w:val="0"/>
        <w:autoSpaceDN w:val="0"/>
        <w:adjustRightInd w:val="0"/>
        <w:rPr>
          <w:rFonts w:ascii="Arial" w:hAnsi="Arial" w:cs="Arial"/>
          <w:lang w:val="tr-TR"/>
        </w:rPr>
      </w:pPr>
    </w:p>
    <w:p w:rsidR="00F10BC7" w:rsidRPr="00F10BC7" w:rsidRDefault="00F10BC7" w:rsidP="0090567F">
      <w:pPr>
        <w:autoSpaceDE w:val="0"/>
        <w:autoSpaceDN w:val="0"/>
        <w:adjustRightInd w:val="0"/>
        <w:rPr>
          <w:rFonts w:ascii="Arial" w:hAnsi="Arial" w:cs="Arial"/>
          <w:b/>
          <w:lang w:val="tr-TR"/>
        </w:rPr>
      </w:pPr>
      <w:r w:rsidRPr="00F10BC7">
        <w:rPr>
          <w:rFonts w:ascii="Arial" w:hAnsi="Arial" w:cs="Arial"/>
          <w:b/>
          <w:lang w:val="tr-TR"/>
        </w:rPr>
        <w:t>İlişkili taraflardan alacaklar</w:t>
      </w:r>
    </w:p>
    <w:tbl>
      <w:tblPr>
        <w:tblW w:w="9351" w:type="dxa"/>
        <w:tblInd w:w="108" w:type="dxa"/>
        <w:tblLook w:val="00A0" w:firstRow="1" w:lastRow="0" w:firstColumn="1" w:lastColumn="0" w:noHBand="0" w:noVBand="0"/>
      </w:tblPr>
      <w:tblGrid>
        <w:gridCol w:w="5760"/>
        <w:gridCol w:w="1890"/>
        <w:gridCol w:w="1701"/>
      </w:tblGrid>
      <w:tr w:rsidR="00F10BC7" w:rsidRPr="00BD0419" w:rsidTr="00B6520D">
        <w:trPr>
          <w:trHeight w:val="113"/>
        </w:trPr>
        <w:tc>
          <w:tcPr>
            <w:tcW w:w="5760" w:type="dxa"/>
            <w:tcBorders>
              <w:top w:val="single" w:sz="8" w:space="0" w:color="auto"/>
              <w:left w:val="nil"/>
              <w:bottom w:val="single" w:sz="8" w:space="0" w:color="auto"/>
              <w:right w:val="nil"/>
            </w:tcBorders>
            <w:noWrap/>
          </w:tcPr>
          <w:p w:rsidR="00F10BC7" w:rsidRPr="00CB5525" w:rsidRDefault="00F10BC7" w:rsidP="00B6520D">
            <w:pPr>
              <w:jc w:val="both"/>
              <w:rPr>
                <w:rFonts w:ascii="Arial" w:hAnsi="Arial" w:cs="Arial"/>
                <w:color w:val="000000"/>
                <w:sz w:val="18"/>
                <w:szCs w:val="18"/>
              </w:rPr>
            </w:pPr>
          </w:p>
        </w:tc>
        <w:tc>
          <w:tcPr>
            <w:tcW w:w="1890" w:type="dxa"/>
            <w:tcBorders>
              <w:top w:val="single" w:sz="8" w:space="0" w:color="auto"/>
              <w:left w:val="nil"/>
              <w:bottom w:val="single" w:sz="8" w:space="0" w:color="auto"/>
              <w:right w:val="nil"/>
            </w:tcBorders>
            <w:noWrap/>
            <w:vAlign w:val="bottom"/>
          </w:tcPr>
          <w:p w:rsidR="00F10BC7" w:rsidRPr="00CB5525" w:rsidRDefault="00F10BC7" w:rsidP="00B6520D">
            <w:pPr>
              <w:ind w:left="-104"/>
              <w:jc w:val="right"/>
              <w:rPr>
                <w:rFonts w:ascii="Arial" w:hAnsi="Arial" w:cs="Arial"/>
                <w:b/>
                <w:bCs/>
                <w:color w:val="000000"/>
                <w:sz w:val="18"/>
                <w:szCs w:val="18"/>
              </w:rPr>
            </w:pPr>
            <w:r w:rsidRPr="00CB5525">
              <w:rPr>
                <w:rFonts w:ascii="Arial" w:hAnsi="Arial" w:cs="Arial"/>
                <w:b/>
                <w:bCs/>
                <w:color w:val="000000"/>
                <w:sz w:val="18"/>
                <w:szCs w:val="18"/>
              </w:rPr>
              <w:t xml:space="preserve">31 </w:t>
            </w:r>
            <w:r>
              <w:rPr>
                <w:rFonts w:ascii="Arial" w:hAnsi="Arial" w:cs="Arial"/>
                <w:b/>
                <w:bCs/>
                <w:color w:val="000000"/>
                <w:sz w:val="18"/>
                <w:szCs w:val="18"/>
              </w:rPr>
              <w:t>Mart</w:t>
            </w:r>
            <w:r w:rsidRPr="00CB5525">
              <w:rPr>
                <w:rFonts w:ascii="Arial" w:hAnsi="Arial" w:cs="Arial"/>
                <w:b/>
                <w:bCs/>
                <w:color w:val="000000"/>
                <w:sz w:val="18"/>
                <w:szCs w:val="18"/>
              </w:rPr>
              <w:t xml:space="preserve"> 201</w:t>
            </w:r>
            <w:r>
              <w:rPr>
                <w:rFonts w:ascii="Arial" w:hAnsi="Arial" w:cs="Arial"/>
                <w:b/>
                <w:bCs/>
                <w:color w:val="000000"/>
                <w:sz w:val="18"/>
                <w:szCs w:val="18"/>
              </w:rPr>
              <w:t>5</w:t>
            </w:r>
          </w:p>
        </w:tc>
        <w:tc>
          <w:tcPr>
            <w:tcW w:w="1701" w:type="dxa"/>
            <w:tcBorders>
              <w:top w:val="single" w:sz="8" w:space="0" w:color="auto"/>
              <w:left w:val="nil"/>
              <w:bottom w:val="single" w:sz="8" w:space="0" w:color="auto"/>
              <w:right w:val="nil"/>
            </w:tcBorders>
            <w:vAlign w:val="bottom"/>
          </w:tcPr>
          <w:p w:rsidR="00F10BC7" w:rsidRPr="00CB5525" w:rsidRDefault="00F10BC7" w:rsidP="00B6520D">
            <w:pPr>
              <w:ind w:left="34"/>
              <w:jc w:val="right"/>
              <w:rPr>
                <w:rFonts w:ascii="Arial" w:hAnsi="Arial" w:cs="Arial"/>
                <w:color w:val="000000"/>
                <w:sz w:val="18"/>
                <w:szCs w:val="18"/>
              </w:rPr>
            </w:pPr>
            <w:r w:rsidRPr="00CB5525">
              <w:rPr>
                <w:rFonts w:ascii="Arial" w:hAnsi="Arial" w:cs="Arial"/>
                <w:color w:val="000000"/>
                <w:sz w:val="18"/>
                <w:szCs w:val="18"/>
              </w:rPr>
              <w:t>31 Aralık 201</w:t>
            </w:r>
            <w:r>
              <w:rPr>
                <w:rFonts w:ascii="Arial" w:hAnsi="Arial" w:cs="Arial"/>
                <w:color w:val="000000"/>
                <w:sz w:val="18"/>
                <w:szCs w:val="18"/>
              </w:rPr>
              <w:t>4</w:t>
            </w:r>
          </w:p>
        </w:tc>
      </w:tr>
      <w:tr w:rsidR="00F10BC7" w:rsidRPr="00BD0419" w:rsidTr="00B6520D">
        <w:trPr>
          <w:trHeight w:val="113"/>
        </w:trPr>
        <w:tc>
          <w:tcPr>
            <w:tcW w:w="5760" w:type="dxa"/>
            <w:tcBorders>
              <w:top w:val="nil"/>
              <w:left w:val="nil"/>
              <w:bottom w:val="nil"/>
              <w:right w:val="nil"/>
            </w:tcBorders>
            <w:noWrap/>
          </w:tcPr>
          <w:p w:rsidR="00F10BC7" w:rsidRPr="00CB5525" w:rsidRDefault="00F10BC7" w:rsidP="00B6520D">
            <w:pPr>
              <w:jc w:val="both"/>
              <w:rPr>
                <w:rFonts w:ascii="Arial" w:hAnsi="Arial" w:cs="Arial"/>
                <w:color w:val="000000"/>
                <w:sz w:val="18"/>
                <w:szCs w:val="18"/>
              </w:rPr>
            </w:pPr>
          </w:p>
        </w:tc>
        <w:tc>
          <w:tcPr>
            <w:tcW w:w="1890" w:type="dxa"/>
            <w:tcBorders>
              <w:top w:val="nil"/>
              <w:left w:val="nil"/>
              <w:bottom w:val="nil"/>
              <w:right w:val="nil"/>
            </w:tcBorders>
            <w:noWrap/>
            <w:vAlign w:val="bottom"/>
          </w:tcPr>
          <w:p w:rsidR="00F10BC7" w:rsidRPr="00CB5525" w:rsidRDefault="00F10BC7" w:rsidP="00B6520D">
            <w:pPr>
              <w:ind w:left="-104"/>
              <w:jc w:val="right"/>
              <w:rPr>
                <w:rFonts w:ascii="Arial" w:hAnsi="Arial" w:cs="Arial"/>
                <w:b/>
                <w:bCs/>
                <w:color w:val="000000"/>
                <w:sz w:val="18"/>
                <w:szCs w:val="18"/>
              </w:rPr>
            </w:pPr>
          </w:p>
        </w:tc>
        <w:tc>
          <w:tcPr>
            <w:tcW w:w="1701" w:type="dxa"/>
            <w:tcBorders>
              <w:top w:val="nil"/>
              <w:left w:val="nil"/>
              <w:bottom w:val="nil"/>
              <w:right w:val="nil"/>
            </w:tcBorders>
            <w:noWrap/>
            <w:vAlign w:val="bottom"/>
          </w:tcPr>
          <w:p w:rsidR="00F10BC7" w:rsidRPr="00CB5525" w:rsidRDefault="00F10BC7" w:rsidP="00B6520D">
            <w:pPr>
              <w:ind w:left="34"/>
              <w:jc w:val="right"/>
              <w:rPr>
                <w:rFonts w:ascii="Arial" w:hAnsi="Arial" w:cs="Arial"/>
                <w:color w:val="000000"/>
                <w:sz w:val="18"/>
                <w:szCs w:val="18"/>
              </w:rPr>
            </w:pPr>
          </w:p>
        </w:tc>
      </w:tr>
      <w:tr w:rsidR="00F10BC7" w:rsidRPr="00BD0419" w:rsidTr="00B6520D">
        <w:trPr>
          <w:trHeight w:val="113"/>
        </w:trPr>
        <w:tc>
          <w:tcPr>
            <w:tcW w:w="5760" w:type="dxa"/>
            <w:tcBorders>
              <w:top w:val="nil"/>
              <w:left w:val="nil"/>
              <w:bottom w:val="nil"/>
              <w:right w:val="nil"/>
            </w:tcBorders>
            <w:vAlign w:val="bottom"/>
          </w:tcPr>
          <w:p w:rsidR="00F10BC7" w:rsidRPr="00CB5525" w:rsidRDefault="00F926BD" w:rsidP="00F926BD">
            <w:pPr>
              <w:ind w:hanging="108"/>
              <w:rPr>
                <w:rFonts w:ascii="Arial" w:hAnsi="Arial" w:cs="Arial"/>
                <w:color w:val="000000"/>
                <w:sz w:val="18"/>
                <w:szCs w:val="18"/>
              </w:rPr>
            </w:pPr>
            <w:r w:rsidRPr="00CB5525">
              <w:rPr>
                <w:rFonts w:ascii="Arial" w:hAnsi="Arial" w:cs="Arial"/>
                <w:color w:val="000000"/>
                <w:sz w:val="18"/>
                <w:szCs w:val="18"/>
              </w:rPr>
              <w:t>Arbeta Turizm Org. ve Tic. A.Ş. - (Seyahat giderleri) (2)</w:t>
            </w:r>
          </w:p>
        </w:tc>
        <w:tc>
          <w:tcPr>
            <w:tcW w:w="1890" w:type="dxa"/>
            <w:tcBorders>
              <w:top w:val="nil"/>
              <w:left w:val="nil"/>
              <w:bottom w:val="nil"/>
              <w:right w:val="nil"/>
            </w:tcBorders>
            <w:noWrap/>
            <w:vAlign w:val="bottom"/>
          </w:tcPr>
          <w:p w:rsidR="00F10BC7" w:rsidRPr="00CB5525" w:rsidRDefault="00F926BD" w:rsidP="00F926BD">
            <w:pPr>
              <w:jc w:val="right"/>
              <w:rPr>
                <w:rFonts w:ascii="Arial" w:hAnsi="Arial" w:cs="Arial"/>
                <w:b/>
                <w:bCs/>
                <w:color w:val="000000"/>
                <w:sz w:val="18"/>
                <w:szCs w:val="18"/>
              </w:rPr>
            </w:pPr>
            <w:r>
              <w:rPr>
                <w:rFonts w:ascii="Arial" w:hAnsi="Arial" w:cs="Arial"/>
                <w:b/>
                <w:bCs/>
                <w:color w:val="000000"/>
                <w:sz w:val="18"/>
                <w:szCs w:val="18"/>
              </w:rPr>
              <w:t>2.674</w:t>
            </w:r>
          </w:p>
        </w:tc>
        <w:tc>
          <w:tcPr>
            <w:tcW w:w="1701" w:type="dxa"/>
            <w:tcBorders>
              <w:top w:val="nil"/>
              <w:left w:val="nil"/>
              <w:bottom w:val="nil"/>
              <w:right w:val="nil"/>
            </w:tcBorders>
            <w:noWrap/>
            <w:vAlign w:val="bottom"/>
          </w:tcPr>
          <w:p w:rsidR="00F10BC7" w:rsidRPr="00CB5525" w:rsidRDefault="00F10BC7" w:rsidP="00B6520D">
            <w:pPr>
              <w:ind w:left="-104"/>
              <w:jc w:val="right"/>
              <w:rPr>
                <w:rFonts w:ascii="Arial" w:hAnsi="Arial" w:cs="Arial"/>
                <w:bCs/>
                <w:color w:val="000000"/>
                <w:sz w:val="18"/>
                <w:szCs w:val="18"/>
              </w:rPr>
            </w:pPr>
            <w:r>
              <w:rPr>
                <w:rFonts w:ascii="Arial" w:hAnsi="Arial" w:cs="Arial"/>
                <w:bCs/>
                <w:color w:val="000000"/>
                <w:sz w:val="18"/>
                <w:szCs w:val="18"/>
              </w:rPr>
              <w:t>-</w:t>
            </w:r>
          </w:p>
        </w:tc>
      </w:tr>
      <w:tr w:rsidR="00F10BC7" w:rsidRPr="00BD0419" w:rsidTr="00B6520D">
        <w:trPr>
          <w:trHeight w:val="113"/>
        </w:trPr>
        <w:tc>
          <w:tcPr>
            <w:tcW w:w="5760" w:type="dxa"/>
            <w:tcBorders>
              <w:top w:val="nil"/>
              <w:left w:val="nil"/>
              <w:bottom w:val="nil"/>
              <w:right w:val="nil"/>
            </w:tcBorders>
            <w:vAlign w:val="bottom"/>
          </w:tcPr>
          <w:p w:rsidR="00F10BC7" w:rsidRPr="00CB5525" w:rsidRDefault="00F10BC7" w:rsidP="00B6520D">
            <w:pPr>
              <w:ind w:hanging="108"/>
              <w:rPr>
                <w:rFonts w:ascii="Arial" w:hAnsi="Arial" w:cs="Arial"/>
                <w:color w:val="000000"/>
                <w:sz w:val="18"/>
                <w:szCs w:val="18"/>
              </w:rPr>
            </w:pPr>
            <w:r w:rsidRPr="00CB5525">
              <w:rPr>
                <w:rFonts w:ascii="Arial" w:hAnsi="Arial" w:cs="Arial"/>
                <w:color w:val="000000"/>
                <w:sz w:val="18"/>
                <w:szCs w:val="18"/>
              </w:rPr>
              <w:t>Ata Holding A.Ş. – (danışmanlık bedeli) (1)</w:t>
            </w:r>
          </w:p>
        </w:tc>
        <w:tc>
          <w:tcPr>
            <w:tcW w:w="1890" w:type="dxa"/>
            <w:tcBorders>
              <w:top w:val="nil"/>
              <w:left w:val="nil"/>
              <w:bottom w:val="nil"/>
              <w:right w:val="nil"/>
            </w:tcBorders>
            <w:noWrap/>
            <w:vAlign w:val="bottom"/>
          </w:tcPr>
          <w:p w:rsidR="00F10BC7" w:rsidRPr="00CB5525" w:rsidRDefault="00F10BC7" w:rsidP="00B6520D">
            <w:pPr>
              <w:ind w:left="-104"/>
              <w:jc w:val="right"/>
              <w:rPr>
                <w:rFonts w:ascii="Arial" w:hAnsi="Arial" w:cs="Arial"/>
                <w:bCs/>
                <w:color w:val="000000"/>
                <w:sz w:val="18"/>
                <w:szCs w:val="18"/>
              </w:rPr>
            </w:pPr>
            <w:r w:rsidRPr="00CB5525">
              <w:rPr>
                <w:rFonts w:ascii="Arial" w:hAnsi="Arial" w:cs="Arial"/>
                <w:bCs/>
                <w:color w:val="000000"/>
                <w:sz w:val="18"/>
                <w:szCs w:val="18"/>
              </w:rPr>
              <w:t>-</w:t>
            </w:r>
          </w:p>
        </w:tc>
        <w:tc>
          <w:tcPr>
            <w:tcW w:w="1701" w:type="dxa"/>
            <w:tcBorders>
              <w:top w:val="nil"/>
              <w:left w:val="nil"/>
              <w:bottom w:val="nil"/>
              <w:right w:val="nil"/>
            </w:tcBorders>
            <w:noWrap/>
            <w:vAlign w:val="bottom"/>
          </w:tcPr>
          <w:p w:rsidR="00F10BC7" w:rsidRPr="00CB5525" w:rsidRDefault="00F10BC7" w:rsidP="00B6520D">
            <w:pPr>
              <w:ind w:left="-104"/>
              <w:jc w:val="right"/>
              <w:rPr>
                <w:rFonts w:ascii="Arial" w:hAnsi="Arial" w:cs="Arial"/>
                <w:bCs/>
                <w:color w:val="000000"/>
                <w:sz w:val="18"/>
                <w:szCs w:val="18"/>
              </w:rPr>
            </w:pPr>
            <w:r>
              <w:rPr>
                <w:rFonts w:ascii="Arial" w:hAnsi="Arial" w:cs="Arial"/>
                <w:bCs/>
                <w:color w:val="000000"/>
                <w:sz w:val="18"/>
                <w:szCs w:val="18"/>
              </w:rPr>
              <w:t>-</w:t>
            </w:r>
          </w:p>
        </w:tc>
      </w:tr>
      <w:tr w:rsidR="00F10BC7" w:rsidRPr="00BD0419" w:rsidTr="00B6520D">
        <w:trPr>
          <w:trHeight w:val="113"/>
        </w:trPr>
        <w:tc>
          <w:tcPr>
            <w:tcW w:w="5760" w:type="dxa"/>
            <w:tcBorders>
              <w:top w:val="nil"/>
              <w:left w:val="nil"/>
              <w:bottom w:val="nil"/>
              <w:right w:val="nil"/>
            </w:tcBorders>
            <w:noWrap/>
            <w:vAlign w:val="bottom"/>
          </w:tcPr>
          <w:p w:rsidR="00F10BC7" w:rsidRPr="00CB5525" w:rsidRDefault="00F10BC7" w:rsidP="00B6520D">
            <w:pPr>
              <w:ind w:hanging="108"/>
              <w:rPr>
                <w:rFonts w:ascii="Arial" w:hAnsi="Arial" w:cs="Arial"/>
                <w:color w:val="000000"/>
                <w:sz w:val="18"/>
                <w:szCs w:val="18"/>
              </w:rPr>
            </w:pPr>
            <w:r w:rsidRPr="00CB5525">
              <w:rPr>
                <w:rFonts w:ascii="Arial" w:hAnsi="Arial" w:cs="Arial"/>
                <w:color w:val="000000"/>
                <w:sz w:val="18"/>
                <w:szCs w:val="18"/>
              </w:rPr>
              <w:t>Ata Gayrimenkul Geliştirme Yatırım ve İnşaat A.Ş. (hizmet giderleri) (2)</w:t>
            </w:r>
          </w:p>
        </w:tc>
        <w:tc>
          <w:tcPr>
            <w:tcW w:w="1890" w:type="dxa"/>
            <w:tcBorders>
              <w:top w:val="nil"/>
              <w:left w:val="nil"/>
              <w:bottom w:val="nil"/>
              <w:right w:val="nil"/>
            </w:tcBorders>
            <w:noWrap/>
            <w:vAlign w:val="bottom"/>
          </w:tcPr>
          <w:p w:rsidR="00F10BC7" w:rsidRPr="00CB5525" w:rsidRDefault="00F10BC7" w:rsidP="00F926BD">
            <w:pPr>
              <w:ind w:left="-104"/>
              <w:jc w:val="right"/>
              <w:rPr>
                <w:rFonts w:ascii="Arial" w:hAnsi="Arial" w:cs="Arial"/>
                <w:bCs/>
                <w:color w:val="000000"/>
                <w:sz w:val="18"/>
                <w:szCs w:val="18"/>
              </w:rPr>
            </w:pPr>
            <w:r w:rsidRPr="00F926BD">
              <w:rPr>
                <w:rFonts w:ascii="Arial" w:hAnsi="Arial" w:cs="Arial"/>
                <w:b/>
                <w:bCs/>
                <w:color w:val="000000"/>
                <w:sz w:val="18"/>
                <w:szCs w:val="18"/>
              </w:rPr>
              <w:t>1.050</w:t>
            </w:r>
          </w:p>
        </w:tc>
        <w:tc>
          <w:tcPr>
            <w:tcW w:w="1701" w:type="dxa"/>
            <w:tcBorders>
              <w:top w:val="nil"/>
              <w:left w:val="nil"/>
              <w:bottom w:val="nil"/>
              <w:right w:val="nil"/>
            </w:tcBorders>
            <w:noWrap/>
            <w:vAlign w:val="bottom"/>
          </w:tcPr>
          <w:p w:rsidR="00F10BC7" w:rsidRPr="00CB5525" w:rsidRDefault="00F10BC7" w:rsidP="00B6520D">
            <w:pPr>
              <w:ind w:left="-104"/>
              <w:jc w:val="right"/>
              <w:rPr>
                <w:rFonts w:ascii="Arial" w:hAnsi="Arial" w:cs="Arial"/>
                <w:bCs/>
                <w:color w:val="000000"/>
                <w:sz w:val="18"/>
                <w:szCs w:val="18"/>
              </w:rPr>
            </w:pPr>
            <w:r>
              <w:rPr>
                <w:rFonts w:ascii="Arial" w:hAnsi="Arial" w:cs="Arial"/>
                <w:bCs/>
                <w:color w:val="000000"/>
                <w:sz w:val="18"/>
                <w:szCs w:val="18"/>
              </w:rPr>
              <w:t>-</w:t>
            </w:r>
          </w:p>
        </w:tc>
      </w:tr>
      <w:tr w:rsidR="00F10BC7" w:rsidRPr="00BD0419" w:rsidTr="00B6520D">
        <w:trPr>
          <w:trHeight w:val="113"/>
        </w:trPr>
        <w:tc>
          <w:tcPr>
            <w:tcW w:w="5760" w:type="dxa"/>
            <w:tcBorders>
              <w:top w:val="nil"/>
              <w:left w:val="nil"/>
              <w:bottom w:val="single" w:sz="8" w:space="0" w:color="auto"/>
              <w:right w:val="nil"/>
            </w:tcBorders>
            <w:noWrap/>
          </w:tcPr>
          <w:p w:rsidR="00F10BC7" w:rsidRPr="00CB5525" w:rsidRDefault="00F10BC7" w:rsidP="00B6520D">
            <w:pPr>
              <w:ind w:hanging="108"/>
              <w:jc w:val="both"/>
              <w:rPr>
                <w:rFonts w:ascii="Arial" w:hAnsi="Arial" w:cs="Arial"/>
                <w:color w:val="000000"/>
                <w:sz w:val="18"/>
                <w:szCs w:val="18"/>
              </w:rPr>
            </w:pPr>
            <w:r w:rsidRPr="00CB5525">
              <w:rPr>
                <w:rFonts w:ascii="Arial" w:hAnsi="Arial" w:cs="Arial"/>
                <w:color w:val="000000"/>
                <w:sz w:val="18"/>
                <w:szCs w:val="18"/>
              </w:rPr>
              <w:t> </w:t>
            </w:r>
          </w:p>
        </w:tc>
        <w:tc>
          <w:tcPr>
            <w:tcW w:w="1890" w:type="dxa"/>
            <w:tcBorders>
              <w:top w:val="nil"/>
              <w:left w:val="nil"/>
              <w:bottom w:val="single" w:sz="8" w:space="0" w:color="auto"/>
              <w:right w:val="nil"/>
            </w:tcBorders>
            <w:noWrap/>
            <w:vAlign w:val="bottom"/>
          </w:tcPr>
          <w:p w:rsidR="00F10BC7" w:rsidRPr="00CB5525" w:rsidRDefault="00F10BC7" w:rsidP="00B6520D">
            <w:pPr>
              <w:ind w:left="-104"/>
              <w:jc w:val="right"/>
              <w:rPr>
                <w:rFonts w:ascii="Arial" w:hAnsi="Arial" w:cs="Arial"/>
                <w:bCs/>
                <w:color w:val="000000"/>
                <w:sz w:val="18"/>
                <w:szCs w:val="18"/>
              </w:rPr>
            </w:pPr>
          </w:p>
        </w:tc>
        <w:tc>
          <w:tcPr>
            <w:tcW w:w="1701" w:type="dxa"/>
            <w:tcBorders>
              <w:top w:val="nil"/>
              <w:left w:val="nil"/>
              <w:bottom w:val="single" w:sz="8" w:space="0" w:color="auto"/>
              <w:right w:val="nil"/>
            </w:tcBorders>
            <w:noWrap/>
            <w:vAlign w:val="bottom"/>
          </w:tcPr>
          <w:p w:rsidR="00F10BC7" w:rsidRPr="00CB5525" w:rsidRDefault="00F10BC7" w:rsidP="00B6520D">
            <w:pPr>
              <w:ind w:left="-104"/>
              <w:jc w:val="right"/>
              <w:rPr>
                <w:rFonts w:ascii="Arial" w:hAnsi="Arial" w:cs="Arial"/>
                <w:bCs/>
                <w:color w:val="000000"/>
                <w:sz w:val="18"/>
                <w:szCs w:val="18"/>
              </w:rPr>
            </w:pPr>
          </w:p>
        </w:tc>
      </w:tr>
      <w:tr w:rsidR="00F10BC7" w:rsidRPr="00BD0419" w:rsidTr="00B6520D">
        <w:trPr>
          <w:trHeight w:val="113"/>
        </w:trPr>
        <w:tc>
          <w:tcPr>
            <w:tcW w:w="5760" w:type="dxa"/>
            <w:tcBorders>
              <w:top w:val="nil"/>
              <w:left w:val="nil"/>
              <w:bottom w:val="double" w:sz="6" w:space="0" w:color="auto"/>
              <w:right w:val="nil"/>
            </w:tcBorders>
            <w:noWrap/>
          </w:tcPr>
          <w:p w:rsidR="00F10BC7" w:rsidRPr="00CB5525" w:rsidRDefault="00F10BC7" w:rsidP="00B6520D">
            <w:pPr>
              <w:ind w:hanging="108"/>
              <w:jc w:val="both"/>
              <w:rPr>
                <w:rFonts w:ascii="Arial" w:hAnsi="Arial" w:cs="Arial"/>
                <w:b/>
                <w:color w:val="000000"/>
                <w:sz w:val="18"/>
                <w:szCs w:val="18"/>
              </w:rPr>
            </w:pPr>
            <w:r w:rsidRPr="00CB5525">
              <w:rPr>
                <w:rFonts w:ascii="Arial" w:hAnsi="Arial" w:cs="Arial"/>
                <w:b/>
                <w:color w:val="000000"/>
                <w:sz w:val="18"/>
                <w:szCs w:val="18"/>
              </w:rPr>
              <w:t> Toplam</w:t>
            </w:r>
          </w:p>
        </w:tc>
        <w:tc>
          <w:tcPr>
            <w:tcW w:w="1890" w:type="dxa"/>
            <w:tcBorders>
              <w:top w:val="nil"/>
              <w:left w:val="nil"/>
              <w:bottom w:val="double" w:sz="6" w:space="0" w:color="auto"/>
              <w:right w:val="nil"/>
            </w:tcBorders>
            <w:noWrap/>
            <w:vAlign w:val="bottom"/>
          </w:tcPr>
          <w:p w:rsidR="00F10BC7" w:rsidRPr="00CB5525" w:rsidRDefault="00F926BD" w:rsidP="00F926BD">
            <w:pPr>
              <w:ind w:left="-104"/>
              <w:jc w:val="right"/>
              <w:rPr>
                <w:rFonts w:ascii="Arial" w:hAnsi="Arial" w:cs="Arial"/>
                <w:bCs/>
                <w:color w:val="000000"/>
                <w:sz w:val="18"/>
                <w:szCs w:val="18"/>
              </w:rPr>
            </w:pPr>
            <w:r>
              <w:rPr>
                <w:rFonts w:ascii="Arial" w:hAnsi="Arial" w:cs="Arial"/>
                <w:b/>
                <w:bCs/>
                <w:color w:val="000000"/>
                <w:sz w:val="18"/>
                <w:szCs w:val="18"/>
              </w:rPr>
              <w:t>3</w:t>
            </w:r>
            <w:r w:rsidR="00F10BC7" w:rsidRPr="00CB5525">
              <w:rPr>
                <w:rFonts w:ascii="Arial" w:hAnsi="Arial" w:cs="Arial"/>
                <w:b/>
                <w:bCs/>
                <w:color w:val="000000"/>
                <w:sz w:val="18"/>
                <w:szCs w:val="18"/>
              </w:rPr>
              <w:t>.</w:t>
            </w:r>
            <w:r>
              <w:rPr>
                <w:rFonts w:ascii="Arial" w:hAnsi="Arial" w:cs="Arial"/>
                <w:b/>
                <w:bCs/>
                <w:color w:val="000000"/>
                <w:sz w:val="18"/>
                <w:szCs w:val="18"/>
              </w:rPr>
              <w:t>724</w:t>
            </w:r>
          </w:p>
        </w:tc>
        <w:tc>
          <w:tcPr>
            <w:tcW w:w="1701" w:type="dxa"/>
            <w:tcBorders>
              <w:top w:val="nil"/>
              <w:left w:val="nil"/>
              <w:bottom w:val="double" w:sz="6" w:space="0" w:color="auto"/>
              <w:right w:val="nil"/>
            </w:tcBorders>
            <w:noWrap/>
            <w:vAlign w:val="bottom"/>
          </w:tcPr>
          <w:p w:rsidR="00F10BC7" w:rsidRPr="00CB5525" w:rsidRDefault="00F10BC7" w:rsidP="00B6520D">
            <w:pPr>
              <w:ind w:left="-104"/>
              <w:jc w:val="right"/>
              <w:rPr>
                <w:rFonts w:ascii="Arial" w:hAnsi="Arial" w:cs="Arial"/>
                <w:bCs/>
                <w:color w:val="000000"/>
                <w:sz w:val="18"/>
                <w:szCs w:val="18"/>
              </w:rPr>
            </w:pPr>
          </w:p>
        </w:tc>
      </w:tr>
    </w:tbl>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2255A1" w:rsidRDefault="002255A1" w:rsidP="00C230B7">
      <w:pPr>
        <w:rPr>
          <w:rFonts w:ascii="Arial" w:hAnsi="Arial" w:cs="Arial"/>
          <w:lang w:val="tr-TR"/>
        </w:rPr>
      </w:pPr>
    </w:p>
    <w:p w:rsidR="00D322FB" w:rsidRPr="00CB5525" w:rsidRDefault="002255A1" w:rsidP="00C230B7">
      <w:pPr>
        <w:rPr>
          <w:rFonts w:ascii="Arial" w:hAnsi="Arial" w:cs="Arial"/>
          <w:lang w:val="tr-TR"/>
        </w:rPr>
      </w:pPr>
      <w:r w:rsidRPr="002255A1">
        <w:rPr>
          <w:rFonts w:ascii="Arial" w:hAnsi="Arial" w:cs="Arial"/>
          <w:b/>
          <w:lang w:val="tr-TR"/>
        </w:rPr>
        <w:t>23.</w:t>
      </w:r>
      <w:r w:rsidRPr="002255A1">
        <w:rPr>
          <w:rFonts w:ascii="Arial" w:hAnsi="Arial" w:cs="Arial"/>
          <w:b/>
          <w:lang w:val="tr-TR"/>
        </w:rPr>
        <w:tab/>
        <w:t>İlişkili taraf açıklamaları (devamı</w:t>
      </w:r>
      <w:r>
        <w:rPr>
          <w:rFonts w:ascii="Arial" w:hAnsi="Arial" w:cs="Arial"/>
          <w:lang w:val="tr-TR"/>
        </w:rPr>
        <w:t>)</w:t>
      </w:r>
    </w:p>
    <w:p w:rsidR="002255A1" w:rsidRDefault="002255A1" w:rsidP="001201E6">
      <w:pPr>
        <w:tabs>
          <w:tab w:val="left" w:pos="8910"/>
        </w:tabs>
        <w:autoSpaceDE w:val="0"/>
        <w:autoSpaceDN w:val="0"/>
        <w:adjustRightInd w:val="0"/>
        <w:ind w:right="-146"/>
        <w:rPr>
          <w:rFonts w:ascii="Arial" w:hAnsi="Arial" w:cs="Arial"/>
          <w:b/>
          <w:lang w:val="tr-TR"/>
        </w:rPr>
      </w:pPr>
    </w:p>
    <w:p w:rsidR="00D322FB" w:rsidRPr="00CB5525" w:rsidRDefault="002255A1" w:rsidP="001201E6">
      <w:pPr>
        <w:tabs>
          <w:tab w:val="left" w:pos="8910"/>
        </w:tabs>
        <w:autoSpaceDE w:val="0"/>
        <w:autoSpaceDN w:val="0"/>
        <w:adjustRightInd w:val="0"/>
        <w:ind w:right="-146"/>
        <w:rPr>
          <w:rFonts w:ascii="Arial" w:hAnsi="Arial" w:cs="Arial"/>
          <w:b/>
          <w:lang w:val="tr-TR"/>
        </w:rPr>
      </w:pPr>
      <w:r>
        <w:rPr>
          <w:rFonts w:ascii="Arial" w:hAnsi="Arial" w:cs="Arial"/>
          <w:b/>
          <w:lang w:val="tr-TR"/>
        </w:rPr>
        <w:t>İl</w:t>
      </w:r>
      <w:r w:rsidR="00D322FB" w:rsidRPr="00CB5525">
        <w:rPr>
          <w:rFonts w:ascii="Arial" w:hAnsi="Arial" w:cs="Arial"/>
          <w:b/>
          <w:lang w:val="tr-TR"/>
        </w:rPr>
        <w:t>işkili taraflarla yapılan işlemler</w:t>
      </w:r>
    </w:p>
    <w:p w:rsidR="00D322FB" w:rsidRPr="00C230B7" w:rsidRDefault="00D322FB" w:rsidP="00C230B7">
      <w:pPr>
        <w:autoSpaceDE w:val="0"/>
        <w:autoSpaceDN w:val="0"/>
        <w:adjustRightInd w:val="0"/>
        <w:rPr>
          <w:rFonts w:ascii="Arial" w:hAnsi="Arial" w:cs="Arial"/>
          <w:lang w:val="tr-TR"/>
        </w:rPr>
      </w:pPr>
    </w:p>
    <w:p w:rsidR="00D322FB" w:rsidRPr="008B6C78" w:rsidRDefault="00D322FB" w:rsidP="008B6C78">
      <w:pPr>
        <w:tabs>
          <w:tab w:val="left" w:pos="8910"/>
        </w:tabs>
        <w:autoSpaceDE w:val="0"/>
        <w:autoSpaceDN w:val="0"/>
        <w:adjustRightInd w:val="0"/>
        <w:ind w:right="-146"/>
        <w:rPr>
          <w:rFonts w:ascii="Arial" w:hAnsi="Arial" w:cs="Arial"/>
          <w:lang w:val="tr-TR"/>
        </w:rPr>
      </w:pPr>
      <w:r w:rsidRPr="005736DA">
        <w:rPr>
          <w:rFonts w:ascii="Arial" w:hAnsi="Arial" w:cs="Arial"/>
          <w:lang w:val="tr-TR"/>
        </w:rPr>
        <w:t xml:space="preserve">Şirket’in 1 Ocak - 31 </w:t>
      </w:r>
      <w:r w:rsidR="00E97FA3">
        <w:rPr>
          <w:rFonts w:ascii="Arial" w:hAnsi="Arial" w:cs="Arial"/>
          <w:lang w:val="tr-TR"/>
        </w:rPr>
        <w:t>Mart</w:t>
      </w:r>
      <w:r w:rsidRPr="005736DA">
        <w:rPr>
          <w:rFonts w:ascii="Arial" w:hAnsi="Arial" w:cs="Arial"/>
          <w:lang w:val="tr-TR"/>
        </w:rPr>
        <w:t xml:space="preserve"> 201</w:t>
      </w:r>
      <w:r w:rsidR="00E97FA3">
        <w:rPr>
          <w:rFonts w:ascii="Arial" w:hAnsi="Arial" w:cs="Arial"/>
          <w:lang w:val="tr-TR"/>
        </w:rPr>
        <w:t xml:space="preserve">5 </w:t>
      </w:r>
      <w:r w:rsidRPr="005736DA">
        <w:rPr>
          <w:rFonts w:ascii="Arial" w:hAnsi="Arial" w:cs="Arial"/>
          <w:lang w:val="tr-TR"/>
        </w:rPr>
        <w:t>ve 201</w:t>
      </w:r>
      <w:r w:rsidR="00E97FA3">
        <w:rPr>
          <w:rFonts w:ascii="Arial" w:hAnsi="Arial" w:cs="Arial"/>
          <w:lang w:val="tr-TR"/>
        </w:rPr>
        <w:t>4</w:t>
      </w:r>
      <w:r w:rsidRPr="005736DA">
        <w:rPr>
          <w:rFonts w:ascii="Arial" w:hAnsi="Arial" w:cs="Arial"/>
          <w:lang w:val="tr-TR"/>
        </w:rPr>
        <w:t xml:space="preserve"> dönemlerine ait </w:t>
      </w:r>
      <w:r>
        <w:rPr>
          <w:rFonts w:ascii="Arial" w:hAnsi="Arial" w:cs="Arial"/>
          <w:lang w:val="tr-TR"/>
        </w:rPr>
        <w:t>i</w:t>
      </w:r>
      <w:r w:rsidRPr="008B6C78">
        <w:rPr>
          <w:rFonts w:ascii="Arial" w:hAnsi="Arial" w:cs="Arial"/>
          <w:lang w:val="tr-TR"/>
        </w:rPr>
        <w:t xml:space="preserve">lişkili taraflarla olan işlemlerin detayı </w:t>
      </w:r>
      <w:r w:rsidRPr="005736DA">
        <w:rPr>
          <w:rFonts w:ascii="Arial" w:hAnsi="Arial" w:cs="Arial"/>
          <w:lang w:val="tr-TR"/>
        </w:rPr>
        <w:t>aşağıdaki gibidir:</w:t>
      </w:r>
    </w:p>
    <w:p w:rsidR="00D322FB" w:rsidRPr="00727376" w:rsidRDefault="00D322FB" w:rsidP="0090567F">
      <w:pPr>
        <w:rPr>
          <w:rFonts w:ascii="Arial" w:hAnsi="Arial" w:cs="Arial"/>
          <w:b/>
          <w:highlight w:val="yellow"/>
          <w:lang w:val="tr-TR"/>
        </w:rPr>
      </w:pPr>
    </w:p>
    <w:tbl>
      <w:tblPr>
        <w:tblW w:w="9072" w:type="dxa"/>
        <w:tblInd w:w="108" w:type="dxa"/>
        <w:tblLayout w:type="fixed"/>
        <w:tblLook w:val="0000" w:firstRow="0" w:lastRow="0" w:firstColumn="0" w:lastColumn="0" w:noHBand="0" w:noVBand="0"/>
      </w:tblPr>
      <w:tblGrid>
        <w:gridCol w:w="5600"/>
        <w:gridCol w:w="1771"/>
        <w:gridCol w:w="1701"/>
      </w:tblGrid>
      <w:tr w:rsidR="00F10BC7" w:rsidRPr="00CB5525" w:rsidTr="00F10BC7">
        <w:trPr>
          <w:trHeight w:val="113"/>
        </w:trPr>
        <w:tc>
          <w:tcPr>
            <w:tcW w:w="5600" w:type="dxa"/>
            <w:tcBorders>
              <w:top w:val="single" w:sz="6" w:space="0" w:color="auto"/>
              <w:left w:val="nil"/>
              <w:bottom w:val="single" w:sz="6" w:space="0" w:color="auto"/>
              <w:right w:val="nil"/>
            </w:tcBorders>
            <w:vAlign w:val="bottom"/>
          </w:tcPr>
          <w:p w:rsidR="00F10BC7" w:rsidRPr="00842630" w:rsidRDefault="00F10BC7" w:rsidP="00E83219">
            <w:pPr>
              <w:autoSpaceDE w:val="0"/>
              <w:autoSpaceDN w:val="0"/>
              <w:adjustRightInd w:val="0"/>
              <w:ind w:hanging="108"/>
              <w:rPr>
                <w:rFonts w:ascii="Arial" w:hAnsi="Arial" w:cs="Arial"/>
                <w:b/>
                <w:bCs/>
                <w:color w:val="000000"/>
                <w:sz w:val="18"/>
                <w:szCs w:val="18"/>
                <w:lang w:val="tr-TR"/>
              </w:rPr>
            </w:pPr>
          </w:p>
        </w:tc>
        <w:tc>
          <w:tcPr>
            <w:tcW w:w="1771" w:type="dxa"/>
            <w:tcBorders>
              <w:top w:val="single" w:sz="6" w:space="0" w:color="auto"/>
              <w:left w:val="nil"/>
              <w:bottom w:val="single" w:sz="6" w:space="0" w:color="auto"/>
              <w:right w:val="nil"/>
            </w:tcBorders>
            <w:vAlign w:val="bottom"/>
          </w:tcPr>
          <w:p w:rsidR="00F10BC7" w:rsidRPr="00CB5525" w:rsidRDefault="00F10BC7" w:rsidP="00F94040">
            <w:pPr>
              <w:autoSpaceDE w:val="0"/>
              <w:autoSpaceDN w:val="0"/>
              <w:adjustRightInd w:val="0"/>
              <w:jc w:val="right"/>
              <w:rPr>
                <w:rFonts w:ascii="Arial" w:hAnsi="Arial" w:cs="Arial"/>
                <w:b/>
                <w:bCs/>
                <w:color w:val="000000"/>
                <w:sz w:val="18"/>
                <w:szCs w:val="18"/>
              </w:rPr>
            </w:pPr>
            <w:r w:rsidRPr="00CB5525">
              <w:rPr>
                <w:rFonts w:ascii="Arial" w:hAnsi="Arial" w:cs="Arial"/>
                <w:b/>
                <w:bCs/>
                <w:color w:val="000000"/>
                <w:sz w:val="18"/>
                <w:szCs w:val="18"/>
              </w:rPr>
              <w:t>1 Ocak -</w:t>
            </w:r>
          </w:p>
          <w:p w:rsidR="00F10BC7" w:rsidRPr="00CB5525" w:rsidRDefault="00F10BC7" w:rsidP="00F10BC7">
            <w:pPr>
              <w:autoSpaceDE w:val="0"/>
              <w:autoSpaceDN w:val="0"/>
              <w:adjustRightInd w:val="0"/>
              <w:jc w:val="right"/>
              <w:rPr>
                <w:rFonts w:ascii="Arial" w:hAnsi="Arial" w:cs="Arial"/>
                <w:b/>
                <w:bCs/>
                <w:color w:val="000000"/>
                <w:sz w:val="18"/>
                <w:szCs w:val="18"/>
              </w:rPr>
            </w:pPr>
            <w:r w:rsidRPr="00CB5525">
              <w:rPr>
                <w:rFonts w:ascii="Arial" w:hAnsi="Arial" w:cs="Arial"/>
                <w:b/>
                <w:bCs/>
                <w:color w:val="000000"/>
                <w:sz w:val="18"/>
                <w:szCs w:val="18"/>
              </w:rPr>
              <w:t xml:space="preserve">31 </w:t>
            </w:r>
            <w:r>
              <w:rPr>
                <w:rFonts w:ascii="Arial" w:hAnsi="Arial" w:cs="Arial"/>
                <w:b/>
                <w:bCs/>
                <w:color w:val="000000"/>
                <w:sz w:val="18"/>
                <w:szCs w:val="18"/>
              </w:rPr>
              <w:t>Mart</w:t>
            </w:r>
            <w:r w:rsidRPr="00CB5525">
              <w:rPr>
                <w:rFonts w:ascii="Arial" w:hAnsi="Arial" w:cs="Arial"/>
                <w:b/>
                <w:bCs/>
                <w:color w:val="000000"/>
                <w:sz w:val="18"/>
                <w:szCs w:val="18"/>
              </w:rPr>
              <w:t xml:space="preserve"> 201</w:t>
            </w:r>
            <w:r>
              <w:rPr>
                <w:rFonts w:ascii="Arial" w:hAnsi="Arial" w:cs="Arial"/>
                <w:b/>
                <w:bCs/>
                <w:color w:val="000000"/>
                <w:sz w:val="18"/>
                <w:szCs w:val="18"/>
              </w:rPr>
              <w:t>5</w:t>
            </w:r>
          </w:p>
        </w:tc>
        <w:tc>
          <w:tcPr>
            <w:tcW w:w="1701" w:type="dxa"/>
            <w:tcBorders>
              <w:top w:val="single" w:sz="6" w:space="0" w:color="auto"/>
              <w:left w:val="nil"/>
              <w:bottom w:val="single" w:sz="6" w:space="0" w:color="auto"/>
              <w:right w:val="nil"/>
            </w:tcBorders>
            <w:vAlign w:val="bottom"/>
          </w:tcPr>
          <w:p w:rsidR="00F10BC7" w:rsidRPr="00CB5525" w:rsidRDefault="00F10BC7" w:rsidP="00B6520D">
            <w:pPr>
              <w:autoSpaceDE w:val="0"/>
              <w:autoSpaceDN w:val="0"/>
              <w:adjustRightInd w:val="0"/>
              <w:jc w:val="right"/>
              <w:rPr>
                <w:rFonts w:ascii="Arial" w:hAnsi="Arial" w:cs="Arial"/>
                <w:b/>
                <w:bCs/>
                <w:color w:val="000000"/>
                <w:sz w:val="18"/>
                <w:szCs w:val="18"/>
              </w:rPr>
            </w:pPr>
            <w:r w:rsidRPr="00CB5525">
              <w:rPr>
                <w:rFonts w:ascii="Arial" w:hAnsi="Arial" w:cs="Arial"/>
                <w:b/>
                <w:bCs/>
                <w:color w:val="000000"/>
                <w:sz w:val="18"/>
                <w:szCs w:val="18"/>
              </w:rPr>
              <w:t>1 Ocak -</w:t>
            </w:r>
          </w:p>
          <w:p w:rsidR="00F10BC7" w:rsidRPr="00CB5525" w:rsidRDefault="00F10BC7" w:rsidP="00B6520D">
            <w:pPr>
              <w:autoSpaceDE w:val="0"/>
              <w:autoSpaceDN w:val="0"/>
              <w:adjustRightInd w:val="0"/>
              <w:jc w:val="right"/>
              <w:rPr>
                <w:rFonts w:ascii="Arial" w:hAnsi="Arial" w:cs="Arial"/>
                <w:b/>
                <w:bCs/>
                <w:color w:val="000000"/>
                <w:sz w:val="18"/>
                <w:szCs w:val="18"/>
              </w:rPr>
            </w:pPr>
            <w:r w:rsidRPr="00CB5525">
              <w:rPr>
                <w:rFonts w:ascii="Arial" w:hAnsi="Arial" w:cs="Arial"/>
                <w:b/>
                <w:bCs/>
                <w:color w:val="000000"/>
                <w:sz w:val="18"/>
                <w:szCs w:val="18"/>
              </w:rPr>
              <w:t xml:space="preserve">31 </w:t>
            </w:r>
            <w:r w:rsidR="00B6520D">
              <w:rPr>
                <w:rFonts w:ascii="Arial" w:hAnsi="Arial" w:cs="Arial"/>
                <w:b/>
                <w:bCs/>
                <w:color w:val="000000"/>
                <w:sz w:val="18"/>
                <w:szCs w:val="18"/>
              </w:rPr>
              <w:t>Mart</w:t>
            </w:r>
            <w:r w:rsidRPr="00CB5525">
              <w:rPr>
                <w:rFonts w:ascii="Arial" w:hAnsi="Arial" w:cs="Arial"/>
                <w:b/>
                <w:bCs/>
                <w:color w:val="000000"/>
                <w:sz w:val="18"/>
                <w:szCs w:val="18"/>
              </w:rPr>
              <w:t xml:space="preserve"> 2014</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E83219">
            <w:pPr>
              <w:autoSpaceDE w:val="0"/>
              <w:autoSpaceDN w:val="0"/>
              <w:adjustRightInd w:val="0"/>
              <w:ind w:hanging="108"/>
              <w:rPr>
                <w:rFonts w:ascii="Arial" w:hAnsi="Arial" w:cs="Arial"/>
                <w:b/>
                <w:bCs/>
                <w:color w:val="000000"/>
                <w:sz w:val="18"/>
                <w:szCs w:val="18"/>
              </w:rPr>
            </w:pPr>
          </w:p>
        </w:tc>
        <w:tc>
          <w:tcPr>
            <w:tcW w:w="1771" w:type="dxa"/>
            <w:tcBorders>
              <w:top w:val="nil"/>
              <w:left w:val="nil"/>
              <w:bottom w:val="nil"/>
              <w:right w:val="nil"/>
            </w:tcBorders>
            <w:vAlign w:val="bottom"/>
          </w:tcPr>
          <w:p w:rsidR="00F10BC7" w:rsidRPr="00CB5525" w:rsidRDefault="00F10BC7" w:rsidP="00E83219">
            <w:pPr>
              <w:autoSpaceDE w:val="0"/>
              <w:autoSpaceDN w:val="0"/>
              <w:adjustRightInd w:val="0"/>
              <w:jc w:val="right"/>
              <w:rPr>
                <w:rFonts w:ascii="Arial" w:hAnsi="Arial" w:cs="Arial"/>
                <w:b/>
                <w:bCs/>
                <w:color w:val="000000"/>
                <w:sz w:val="18"/>
                <w:szCs w:val="18"/>
              </w:rPr>
            </w:pPr>
          </w:p>
        </w:tc>
        <w:tc>
          <w:tcPr>
            <w:tcW w:w="1701" w:type="dxa"/>
            <w:tcBorders>
              <w:top w:val="nil"/>
              <w:left w:val="nil"/>
              <w:bottom w:val="nil"/>
              <w:right w:val="nil"/>
            </w:tcBorders>
            <w:vAlign w:val="bottom"/>
          </w:tcPr>
          <w:p w:rsidR="00F10BC7" w:rsidRPr="00CB5525" w:rsidRDefault="00F10BC7" w:rsidP="00B6520D">
            <w:pPr>
              <w:autoSpaceDE w:val="0"/>
              <w:autoSpaceDN w:val="0"/>
              <w:adjustRightInd w:val="0"/>
              <w:jc w:val="right"/>
              <w:rPr>
                <w:rFonts w:ascii="Arial" w:hAnsi="Arial" w:cs="Arial"/>
                <w:b/>
                <w:bCs/>
                <w:color w:val="000000"/>
                <w:sz w:val="18"/>
                <w:szCs w:val="18"/>
              </w:rPr>
            </w:pP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E83219">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Ata Yatırım Menkul Kıymetler A.Ş. Yatırım Fonları – (Portföy yönetim komisyon gelirleri) (1)</w:t>
            </w:r>
          </w:p>
        </w:tc>
        <w:tc>
          <w:tcPr>
            <w:tcW w:w="1771" w:type="dxa"/>
            <w:tcBorders>
              <w:top w:val="nil"/>
              <w:left w:val="nil"/>
              <w:bottom w:val="nil"/>
              <w:right w:val="nil"/>
            </w:tcBorders>
            <w:vAlign w:val="bottom"/>
          </w:tcPr>
          <w:p w:rsidR="00F10BC7" w:rsidRPr="00CB5525" w:rsidRDefault="00F10BC7" w:rsidP="00697EAB">
            <w:pPr>
              <w:jc w:val="right"/>
              <w:rPr>
                <w:rFonts w:ascii="Arial" w:hAnsi="Arial" w:cs="Arial"/>
                <w:b/>
                <w:bCs/>
                <w:color w:val="000000"/>
                <w:sz w:val="18"/>
                <w:szCs w:val="18"/>
              </w:rPr>
            </w:pPr>
            <w:r w:rsidRPr="00CB5525">
              <w:rPr>
                <w:rFonts w:ascii="Arial" w:hAnsi="Arial" w:cs="Arial"/>
                <w:b/>
                <w:bCs/>
                <w:color w:val="000000"/>
                <w:sz w:val="18"/>
                <w:szCs w:val="18"/>
              </w:rPr>
              <w:t xml:space="preserve">             </w:t>
            </w:r>
            <w:r w:rsidR="00697EAB">
              <w:rPr>
                <w:rFonts w:ascii="Arial" w:hAnsi="Arial" w:cs="Arial"/>
                <w:b/>
                <w:bCs/>
                <w:color w:val="000000"/>
                <w:sz w:val="18"/>
                <w:szCs w:val="18"/>
              </w:rPr>
              <w:t>1.042</w:t>
            </w:r>
            <w:r w:rsidRPr="00CB5525">
              <w:rPr>
                <w:rFonts w:ascii="Arial" w:hAnsi="Arial" w:cs="Arial"/>
                <w:b/>
                <w:bCs/>
                <w:color w:val="000000"/>
                <w:sz w:val="18"/>
                <w:szCs w:val="18"/>
              </w:rPr>
              <w:t>.</w:t>
            </w:r>
            <w:r w:rsidR="00697EAB">
              <w:rPr>
                <w:rFonts w:ascii="Arial" w:hAnsi="Arial" w:cs="Arial"/>
                <w:b/>
                <w:bCs/>
                <w:color w:val="000000"/>
                <w:sz w:val="18"/>
                <w:szCs w:val="18"/>
              </w:rPr>
              <w:t>275</w:t>
            </w:r>
            <w:r w:rsidRPr="00CB5525">
              <w:rPr>
                <w:rFonts w:ascii="Arial" w:hAnsi="Arial" w:cs="Arial"/>
                <w:b/>
                <w:bCs/>
                <w:color w:val="000000"/>
                <w:sz w:val="18"/>
                <w:szCs w:val="18"/>
              </w:rPr>
              <w:t xml:space="preserve"> </w:t>
            </w:r>
          </w:p>
        </w:tc>
        <w:tc>
          <w:tcPr>
            <w:tcW w:w="1701" w:type="dxa"/>
            <w:tcBorders>
              <w:top w:val="nil"/>
              <w:left w:val="nil"/>
              <w:bottom w:val="nil"/>
              <w:right w:val="nil"/>
            </w:tcBorders>
            <w:vAlign w:val="bottom"/>
          </w:tcPr>
          <w:p w:rsidR="00F10BC7" w:rsidRPr="00CB5525" w:rsidRDefault="00F10BC7" w:rsidP="00B6520D">
            <w:pPr>
              <w:jc w:val="right"/>
              <w:rPr>
                <w:rFonts w:ascii="Arial" w:hAnsi="Arial" w:cs="Arial"/>
                <w:b/>
                <w:bCs/>
                <w:color w:val="000000"/>
                <w:sz w:val="18"/>
                <w:szCs w:val="18"/>
              </w:rPr>
            </w:pPr>
            <w:r w:rsidRPr="00CB5525">
              <w:rPr>
                <w:rFonts w:ascii="Arial" w:hAnsi="Arial" w:cs="Arial"/>
                <w:b/>
                <w:bCs/>
                <w:color w:val="000000"/>
                <w:sz w:val="18"/>
                <w:szCs w:val="18"/>
              </w:rPr>
              <w:t xml:space="preserve">             </w:t>
            </w:r>
            <w:r w:rsidR="00B6520D">
              <w:rPr>
                <w:rFonts w:ascii="Arial" w:hAnsi="Arial" w:cs="Arial"/>
                <w:b/>
                <w:bCs/>
                <w:color w:val="000000"/>
                <w:sz w:val="18"/>
                <w:szCs w:val="18"/>
              </w:rPr>
              <w:t>381.236</w:t>
            </w:r>
            <w:r w:rsidRPr="00CB5525">
              <w:rPr>
                <w:rFonts w:ascii="Arial" w:hAnsi="Arial" w:cs="Arial"/>
                <w:b/>
                <w:bCs/>
                <w:color w:val="000000"/>
                <w:sz w:val="18"/>
                <w:szCs w:val="18"/>
              </w:rPr>
              <w:t xml:space="preserve"> </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8B6C78">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Ata Gayrimenkul Yatırım Ortaklığı A.Ş. – (Portföy yönetim ücreti) (2)</w:t>
            </w:r>
          </w:p>
        </w:tc>
        <w:tc>
          <w:tcPr>
            <w:tcW w:w="1771" w:type="dxa"/>
            <w:tcBorders>
              <w:top w:val="nil"/>
              <w:left w:val="nil"/>
              <w:bottom w:val="nil"/>
              <w:right w:val="nil"/>
            </w:tcBorders>
            <w:vAlign w:val="bottom"/>
          </w:tcPr>
          <w:p w:rsidR="00F10BC7" w:rsidRPr="00CB5525" w:rsidRDefault="00F10BC7" w:rsidP="00697EAB">
            <w:pPr>
              <w:jc w:val="right"/>
              <w:rPr>
                <w:rFonts w:ascii="Arial" w:hAnsi="Arial" w:cs="Arial"/>
                <w:b/>
                <w:bCs/>
                <w:color w:val="000000"/>
                <w:sz w:val="18"/>
                <w:szCs w:val="18"/>
              </w:rPr>
            </w:pPr>
            <w:r>
              <w:rPr>
                <w:rFonts w:ascii="Arial" w:hAnsi="Arial" w:cs="Arial"/>
                <w:b/>
                <w:bCs/>
                <w:color w:val="000000"/>
                <w:sz w:val="18"/>
                <w:szCs w:val="18"/>
              </w:rPr>
              <w:t xml:space="preserve">                  </w:t>
            </w:r>
            <w:r w:rsidR="00697EAB">
              <w:rPr>
                <w:rFonts w:ascii="Arial" w:hAnsi="Arial" w:cs="Arial"/>
                <w:b/>
                <w:bCs/>
                <w:color w:val="000000"/>
                <w:sz w:val="18"/>
                <w:szCs w:val="18"/>
              </w:rPr>
              <w:t>3</w:t>
            </w:r>
            <w:r>
              <w:rPr>
                <w:rFonts w:ascii="Arial" w:hAnsi="Arial" w:cs="Arial"/>
                <w:b/>
                <w:bCs/>
                <w:color w:val="000000"/>
                <w:sz w:val="18"/>
                <w:szCs w:val="18"/>
              </w:rPr>
              <w:t xml:space="preserve">.000 </w:t>
            </w:r>
          </w:p>
        </w:tc>
        <w:tc>
          <w:tcPr>
            <w:tcW w:w="1701" w:type="dxa"/>
            <w:tcBorders>
              <w:top w:val="nil"/>
              <w:left w:val="nil"/>
              <w:bottom w:val="nil"/>
              <w:right w:val="nil"/>
            </w:tcBorders>
            <w:vAlign w:val="bottom"/>
          </w:tcPr>
          <w:p w:rsidR="00F10BC7" w:rsidRPr="00CB5525" w:rsidRDefault="00F10BC7" w:rsidP="00B6520D">
            <w:pPr>
              <w:jc w:val="right"/>
              <w:rPr>
                <w:rFonts w:ascii="Arial" w:hAnsi="Arial" w:cs="Arial"/>
                <w:b/>
                <w:bCs/>
                <w:color w:val="000000"/>
                <w:sz w:val="18"/>
                <w:szCs w:val="18"/>
              </w:rPr>
            </w:pPr>
            <w:r>
              <w:rPr>
                <w:rFonts w:ascii="Arial" w:hAnsi="Arial" w:cs="Arial"/>
                <w:b/>
                <w:bCs/>
                <w:color w:val="000000"/>
                <w:sz w:val="18"/>
                <w:szCs w:val="18"/>
              </w:rPr>
              <w:t xml:space="preserve">                  </w:t>
            </w:r>
            <w:r w:rsidR="00B6520D">
              <w:rPr>
                <w:rFonts w:ascii="Arial" w:hAnsi="Arial" w:cs="Arial"/>
                <w:b/>
                <w:bCs/>
                <w:color w:val="000000"/>
                <w:sz w:val="18"/>
                <w:szCs w:val="18"/>
              </w:rPr>
              <w:t>3</w:t>
            </w:r>
            <w:r>
              <w:rPr>
                <w:rFonts w:ascii="Arial" w:hAnsi="Arial" w:cs="Arial"/>
                <w:b/>
                <w:bCs/>
                <w:color w:val="000000"/>
                <w:sz w:val="18"/>
                <w:szCs w:val="18"/>
              </w:rPr>
              <w:t xml:space="preserve">.000 </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E83219">
            <w:pPr>
              <w:autoSpaceDE w:val="0"/>
              <w:autoSpaceDN w:val="0"/>
              <w:adjustRightInd w:val="0"/>
              <w:ind w:hanging="108"/>
              <w:rPr>
                <w:rFonts w:ascii="Arial" w:hAnsi="Arial" w:cs="Arial"/>
                <w:color w:val="000000"/>
                <w:sz w:val="18"/>
                <w:szCs w:val="18"/>
              </w:rPr>
            </w:pPr>
          </w:p>
        </w:tc>
        <w:tc>
          <w:tcPr>
            <w:tcW w:w="1771" w:type="dxa"/>
            <w:tcBorders>
              <w:top w:val="nil"/>
              <w:left w:val="nil"/>
              <w:bottom w:val="nil"/>
              <w:right w:val="nil"/>
            </w:tcBorders>
            <w:vAlign w:val="bottom"/>
          </w:tcPr>
          <w:p w:rsidR="00F10BC7" w:rsidRPr="00CB5525" w:rsidRDefault="00F10BC7" w:rsidP="00121AF9">
            <w:pPr>
              <w:autoSpaceDE w:val="0"/>
              <w:autoSpaceDN w:val="0"/>
              <w:adjustRightInd w:val="0"/>
              <w:jc w:val="right"/>
              <w:rPr>
                <w:rFonts w:ascii="Arial" w:hAnsi="Arial" w:cs="Arial"/>
                <w:bCs/>
                <w:color w:val="000000"/>
                <w:sz w:val="18"/>
                <w:szCs w:val="18"/>
              </w:rPr>
            </w:pPr>
          </w:p>
        </w:tc>
        <w:tc>
          <w:tcPr>
            <w:tcW w:w="1701" w:type="dxa"/>
            <w:tcBorders>
              <w:top w:val="nil"/>
              <w:left w:val="nil"/>
              <w:bottom w:val="nil"/>
              <w:right w:val="nil"/>
            </w:tcBorders>
            <w:vAlign w:val="bottom"/>
          </w:tcPr>
          <w:p w:rsidR="00F10BC7" w:rsidRPr="00CB5525" w:rsidRDefault="00F10BC7" w:rsidP="00B6520D">
            <w:pPr>
              <w:autoSpaceDE w:val="0"/>
              <w:autoSpaceDN w:val="0"/>
              <w:adjustRightInd w:val="0"/>
              <w:jc w:val="right"/>
              <w:rPr>
                <w:rFonts w:ascii="Arial" w:hAnsi="Arial" w:cs="Arial"/>
                <w:bCs/>
                <w:color w:val="000000"/>
                <w:sz w:val="18"/>
                <w:szCs w:val="18"/>
              </w:rPr>
            </w:pPr>
          </w:p>
        </w:tc>
      </w:tr>
      <w:tr w:rsidR="00F10BC7" w:rsidRPr="00CB5525" w:rsidTr="00F10BC7">
        <w:trPr>
          <w:trHeight w:val="113"/>
        </w:trPr>
        <w:tc>
          <w:tcPr>
            <w:tcW w:w="5600" w:type="dxa"/>
            <w:tcBorders>
              <w:top w:val="single" w:sz="6" w:space="0" w:color="auto"/>
              <w:left w:val="nil"/>
              <w:bottom w:val="single" w:sz="6" w:space="0" w:color="auto"/>
              <w:right w:val="nil"/>
            </w:tcBorders>
            <w:vAlign w:val="bottom"/>
          </w:tcPr>
          <w:p w:rsidR="00F10BC7" w:rsidRPr="00CB5525" w:rsidRDefault="00F10BC7" w:rsidP="00E83219">
            <w:pPr>
              <w:autoSpaceDE w:val="0"/>
              <w:autoSpaceDN w:val="0"/>
              <w:adjustRightInd w:val="0"/>
              <w:ind w:hanging="108"/>
              <w:rPr>
                <w:rFonts w:ascii="Arial" w:hAnsi="Arial" w:cs="Arial"/>
                <w:b/>
                <w:bCs/>
                <w:color w:val="000000"/>
                <w:sz w:val="18"/>
                <w:szCs w:val="18"/>
              </w:rPr>
            </w:pPr>
            <w:r w:rsidRPr="00CB5525">
              <w:rPr>
                <w:rFonts w:ascii="Arial" w:hAnsi="Arial" w:cs="Arial"/>
                <w:b/>
                <w:bCs/>
                <w:color w:val="000000"/>
                <w:sz w:val="18"/>
                <w:szCs w:val="18"/>
              </w:rPr>
              <w:t>İlişkili taraflardan olan gelirler</w:t>
            </w:r>
          </w:p>
        </w:tc>
        <w:tc>
          <w:tcPr>
            <w:tcW w:w="1771" w:type="dxa"/>
            <w:tcBorders>
              <w:top w:val="single" w:sz="6" w:space="0" w:color="auto"/>
              <w:left w:val="nil"/>
              <w:bottom w:val="single" w:sz="6" w:space="0" w:color="auto"/>
              <w:right w:val="nil"/>
            </w:tcBorders>
            <w:vAlign w:val="bottom"/>
          </w:tcPr>
          <w:p w:rsidR="00F10BC7" w:rsidRPr="00CB5525" w:rsidRDefault="00F10BC7" w:rsidP="00697EAB">
            <w:pPr>
              <w:jc w:val="right"/>
              <w:rPr>
                <w:rFonts w:ascii="Arial" w:hAnsi="Arial" w:cs="Arial"/>
                <w:b/>
                <w:bCs/>
                <w:color w:val="000000"/>
                <w:sz w:val="18"/>
                <w:szCs w:val="18"/>
              </w:rPr>
            </w:pPr>
            <w:r>
              <w:rPr>
                <w:rFonts w:ascii="Arial" w:hAnsi="Arial" w:cs="Arial"/>
                <w:b/>
                <w:bCs/>
                <w:color w:val="000000"/>
                <w:sz w:val="18"/>
                <w:szCs w:val="18"/>
              </w:rPr>
              <w:t xml:space="preserve">             </w:t>
            </w:r>
            <w:r w:rsidR="00697EAB">
              <w:rPr>
                <w:rFonts w:ascii="Arial" w:hAnsi="Arial" w:cs="Arial"/>
                <w:b/>
                <w:bCs/>
                <w:color w:val="000000"/>
                <w:sz w:val="18"/>
                <w:szCs w:val="18"/>
              </w:rPr>
              <w:t>1.045</w:t>
            </w:r>
            <w:r>
              <w:rPr>
                <w:rFonts w:ascii="Arial" w:hAnsi="Arial" w:cs="Arial"/>
                <w:b/>
                <w:bCs/>
                <w:color w:val="000000"/>
                <w:sz w:val="18"/>
                <w:szCs w:val="18"/>
              </w:rPr>
              <w:t>.</w:t>
            </w:r>
            <w:r w:rsidR="00697EAB">
              <w:rPr>
                <w:rFonts w:ascii="Arial" w:hAnsi="Arial" w:cs="Arial"/>
                <w:b/>
                <w:bCs/>
                <w:color w:val="000000"/>
                <w:sz w:val="18"/>
                <w:szCs w:val="18"/>
              </w:rPr>
              <w:t>275</w:t>
            </w:r>
            <w:r>
              <w:rPr>
                <w:rFonts w:ascii="Arial" w:hAnsi="Arial" w:cs="Arial"/>
                <w:b/>
                <w:bCs/>
                <w:color w:val="000000"/>
                <w:sz w:val="18"/>
                <w:szCs w:val="18"/>
              </w:rPr>
              <w:t xml:space="preserve"> </w:t>
            </w:r>
          </w:p>
        </w:tc>
        <w:tc>
          <w:tcPr>
            <w:tcW w:w="1701" w:type="dxa"/>
            <w:tcBorders>
              <w:top w:val="single" w:sz="6" w:space="0" w:color="auto"/>
              <w:left w:val="nil"/>
              <w:bottom w:val="single" w:sz="6" w:space="0" w:color="auto"/>
              <w:right w:val="nil"/>
            </w:tcBorders>
            <w:vAlign w:val="bottom"/>
          </w:tcPr>
          <w:p w:rsidR="00F10BC7" w:rsidRPr="00CB5525" w:rsidRDefault="00F10BC7" w:rsidP="00B6520D">
            <w:pPr>
              <w:jc w:val="right"/>
              <w:rPr>
                <w:rFonts w:ascii="Arial" w:hAnsi="Arial" w:cs="Arial"/>
                <w:b/>
                <w:bCs/>
                <w:color w:val="000000"/>
                <w:sz w:val="18"/>
                <w:szCs w:val="18"/>
              </w:rPr>
            </w:pPr>
            <w:r>
              <w:rPr>
                <w:rFonts w:ascii="Arial" w:hAnsi="Arial" w:cs="Arial"/>
                <w:b/>
                <w:bCs/>
                <w:color w:val="000000"/>
                <w:sz w:val="18"/>
                <w:szCs w:val="18"/>
              </w:rPr>
              <w:t xml:space="preserve">             </w:t>
            </w:r>
            <w:r w:rsidR="00B6520D">
              <w:rPr>
                <w:rFonts w:ascii="Arial" w:hAnsi="Arial" w:cs="Arial"/>
                <w:b/>
                <w:bCs/>
                <w:color w:val="000000"/>
                <w:sz w:val="18"/>
                <w:szCs w:val="18"/>
              </w:rPr>
              <w:t>384</w:t>
            </w:r>
            <w:r>
              <w:rPr>
                <w:rFonts w:ascii="Arial" w:hAnsi="Arial" w:cs="Arial"/>
                <w:b/>
                <w:bCs/>
                <w:color w:val="000000"/>
                <w:sz w:val="18"/>
                <w:szCs w:val="18"/>
              </w:rPr>
              <w:t>.</w:t>
            </w:r>
            <w:r w:rsidR="00B6520D">
              <w:rPr>
                <w:rFonts w:ascii="Arial" w:hAnsi="Arial" w:cs="Arial"/>
                <w:b/>
                <w:bCs/>
                <w:color w:val="000000"/>
                <w:sz w:val="18"/>
                <w:szCs w:val="18"/>
              </w:rPr>
              <w:t>236</w:t>
            </w:r>
            <w:r>
              <w:rPr>
                <w:rFonts w:ascii="Arial" w:hAnsi="Arial" w:cs="Arial"/>
                <w:b/>
                <w:bCs/>
                <w:color w:val="000000"/>
                <w:sz w:val="18"/>
                <w:szCs w:val="18"/>
              </w:rPr>
              <w:t xml:space="preserve"> </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E83219">
            <w:pPr>
              <w:autoSpaceDE w:val="0"/>
              <w:autoSpaceDN w:val="0"/>
              <w:adjustRightInd w:val="0"/>
              <w:ind w:hanging="108"/>
              <w:rPr>
                <w:rFonts w:ascii="Arial" w:hAnsi="Arial" w:cs="Arial"/>
                <w:b/>
                <w:bCs/>
                <w:color w:val="000000"/>
                <w:sz w:val="18"/>
                <w:szCs w:val="18"/>
              </w:rPr>
            </w:pPr>
          </w:p>
        </w:tc>
        <w:tc>
          <w:tcPr>
            <w:tcW w:w="1771" w:type="dxa"/>
            <w:tcBorders>
              <w:top w:val="nil"/>
              <w:left w:val="nil"/>
              <w:bottom w:val="nil"/>
              <w:right w:val="nil"/>
            </w:tcBorders>
            <w:vAlign w:val="bottom"/>
          </w:tcPr>
          <w:p w:rsidR="00F10BC7" w:rsidRPr="00CB5525" w:rsidRDefault="00F10BC7" w:rsidP="00121AF9">
            <w:pPr>
              <w:autoSpaceDE w:val="0"/>
              <w:autoSpaceDN w:val="0"/>
              <w:adjustRightInd w:val="0"/>
              <w:jc w:val="right"/>
              <w:rPr>
                <w:rFonts w:ascii="Arial" w:hAnsi="Arial" w:cs="Arial"/>
                <w:bCs/>
                <w:color w:val="000000"/>
                <w:sz w:val="18"/>
                <w:szCs w:val="18"/>
              </w:rPr>
            </w:pPr>
          </w:p>
        </w:tc>
        <w:tc>
          <w:tcPr>
            <w:tcW w:w="1701" w:type="dxa"/>
            <w:tcBorders>
              <w:top w:val="nil"/>
              <w:left w:val="nil"/>
              <w:bottom w:val="nil"/>
              <w:right w:val="nil"/>
            </w:tcBorders>
            <w:vAlign w:val="bottom"/>
          </w:tcPr>
          <w:p w:rsidR="00F10BC7" w:rsidRPr="00CB5525" w:rsidRDefault="00F10BC7" w:rsidP="00B6520D">
            <w:pPr>
              <w:autoSpaceDE w:val="0"/>
              <w:autoSpaceDN w:val="0"/>
              <w:adjustRightInd w:val="0"/>
              <w:jc w:val="right"/>
              <w:rPr>
                <w:rFonts w:ascii="Arial" w:hAnsi="Arial" w:cs="Arial"/>
                <w:bCs/>
                <w:color w:val="000000"/>
                <w:sz w:val="18"/>
                <w:szCs w:val="18"/>
              </w:rPr>
            </w:pP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AA4A0B">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Seraş - (Yönetim giderleri) (2)</w:t>
            </w:r>
          </w:p>
        </w:tc>
        <w:tc>
          <w:tcPr>
            <w:tcW w:w="1771" w:type="dxa"/>
            <w:tcBorders>
              <w:top w:val="nil"/>
              <w:left w:val="nil"/>
              <w:bottom w:val="nil"/>
              <w:right w:val="nil"/>
            </w:tcBorders>
            <w:vAlign w:val="bottom"/>
          </w:tcPr>
          <w:p w:rsidR="00F10BC7" w:rsidRPr="00924DE4" w:rsidRDefault="00F10BC7" w:rsidP="00697EAB">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697EAB">
              <w:rPr>
                <w:rFonts w:ascii="Arial" w:hAnsi="Arial" w:cs="Arial"/>
                <w:b/>
                <w:bCs/>
                <w:color w:val="000000"/>
                <w:sz w:val="18"/>
                <w:szCs w:val="18"/>
              </w:rPr>
              <w:t>31.333</w:t>
            </w:r>
            <w:r w:rsidRPr="00924DE4">
              <w:rPr>
                <w:rFonts w:ascii="Arial" w:hAnsi="Arial" w:cs="Arial"/>
                <w:b/>
                <w:bCs/>
                <w:color w:val="000000"/>
                <w:sz w:val="18"/>
                <w:szCs w:val="18"/>
              </w:rPr>
              <w:t>)</w:t>
            </w:r>
          </w:p>
        </w:tc>
        <w:tc>
          <w:tcPr>
            <w:tcW w:w="1701" w:type="dxa"/>
            <w:tcBorders>
              <w:top w:val="nil"/>
              <w:left w:val="nil"/>
              <w:bottom w:val="nil"/>
              <w:right w:val="nil"/>
            </w:tcBorders>
            <w:vAlign w:val="bottom"/>
          </w:tcPr>
          <w:p w:rsidR="00F10BC7" w:rsidRPr="00924DE4" w:rsidRDefault="00F10BC7" w:rsidP="00B6520D">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B6520D">
              <w:rPr>
                <w:rFonts w:ascii="Arial" w:hAnsi="Arial" w:cs="Arial"/>
                <w:b/>
                <w:bCs/>
                <w:color w:val="000000"/>
                <w:sz w:val="18"/>
                <w:szCs w:val="18"/>
              </w:rPr>
              <w:t>25.985</w:t>
            </w:r>
            <w:r w:rsidRPr="00924DE4">
              <w:rPr>
                <w:rFonts w:ascii="Arial" w:hAnsi="Arial" w:cs="Arial"/>
                <w:b/>
                <w:bCs/>
                <w:color w:val="000000"/>
                <w:sz w:val="18"/>
                <w:szCs w:val="18"/>
              </w:rPr>
              <w:t>)</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AA4A0B">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Ata Holding A.Ş. – (Danışmanlık gideri) (1)</w:t>
            </w:r>
          </w:p>
        </w:tc>
        <w:tc>
          <w:tcPr>
            <w:tcW w:w="1771" w:type="dxa"/>
            <w:tcBorders>
              <w:top w:val="nil"/>
              <w:left w:val="nil"/>
              <w:bottom w:val="nil"/>
              <w:right w:val="nil"/>
            </w:tcBorders>
            <w:vAlign w:val="bottom"/>
          </w:tcPr>
          <w:p w:rsidR="00F10BC7" w:rsidRPr="00924DE4" w:rsidRDefault="00F10BC7" w:rsidP="00697EAB">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697EAB">
              <w:rPr>
                <w:rFonts w:ascii="Arial" w:hAnsi="Arial" w:cs="Arial"/>
                <w:b/>
                <w:bCs/>
                <w:color w:val="000000"/>
                <w:sz w:val="18"/>
                <w:szCs w:val="18"/>
              </w:rPr>
              <w:t>37</w:t>
            </w:r>
            <w:r w:rsidRPr="00924DE4">
              <w:rPr>
                <w:rFonts w:ascii="Arial" w:hAnsi="Arial" w:cs="Arial"/>
                <w:b/>
                <w:bCs/>
                <w:color w:val="000000"/>
                <w:sz w:val="18"/>
                <w:szCs w:val="18"/>
              </w:rPr>
              <w:t>.</w:t>
            </w:r>
            <w:r w:rsidR="00697EAB">
              <w:rPr>
                <w:rFonts w:ascii="Arial" w:hAnsi="Arial" w:cs="Arial"/>
                <w:b/>
                <w:bCs/>
                <w:color w:val="000000"/>
                <w:sz w:val="18"/>
                <w:szCs w:val="18"/>
              </w:rPr>
              <w:t>928</w:t>
            </w:r>
            <w:r w:rsidRPr="00924DE4">
              <w:rPr>
                <w:rFonts w:ascii="Arial" w:hAnsi="Arial" w:cs="Arial"/>
                <w:b/>
                <w:bCs/>
                <w:color w:val="000000"/>
                <w:sz w:val="18"/>
                <w:szCs w:val="18"/>
              </w:rPr>
              <w:t>)</w:t>
            </w:r>
          </w:p>
        </w:tc>
        <w:tc>
          <w:tcPr>
            <w:tcW w:w="1701" w:type="dxa"/>
            <w:tcBorders>
              <w:top w:val="nil"/>
              <w:left w:val="nil"/>
              <w:bottom w:val="nil"/>
              <w:right w:val="nil"/>
            </w:tcBorders>
            <w:vAlign w:val="bottom"/>
          </w:tcPr>
          <w:p w:rsidR="00F10BC7" w:rsidRPr="00924DE4" w:rsidRDefault="00F10BC7" w:rsidP="00B6520D">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B6520D">
              <w:rPr>
                <w:rFonts w:ascii="Arial" w:hAnsi="Arial" w:cs="Arial"/>
                <w:b/>
                <w:bCs/>
                <w:color w:val="000000"/>
                <w:sz w:val="18"/>
                <w:szCs w:val="18"/>
              </w:rPr>
              <w:t>26.373</w:t>
            </w:r>
            <w:r w:rsidRPr="00924DE4">
              <w:rPr>
                <w:rFonts w:ascii="Arial" w:hAnsi="Arial" w:cs="Arial"/>
                <w:b/>
                <w:bCs/>
                <w:color w:val="000000"/>
                <w:sz w:val="18"/>
                <w:szCs w:val="18"/>
              </w:rPr>
              <w:t>)</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AA4A0B">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Bedela İnşaat ve Tic. A.Ş. - (Kira gideri) (2)</w:t>
            </w:r>
          </w:p>
        </w:tc>
        <w:tc>
          <w:tcPr>
            <w:tcW w:w="1771" w:type="dxa"/>
            <w:tcBorders>
              <w:top w:val="nil"/>
              <w:left w:val="nil"/>
              <w:bottom w:val="nil"/>
              <w:right w:val="nil"/>
            </w:tcBorders>
            <w:vAlign w:val="bottom"/>
          </w:tcPr>
          <w:p w:rsidR="00F10BC7" w:rsidRPr="00924DE4" w:rsidRDefault="00F10BC7" w:rsidP="00697EAB">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697EAB">
              <w:rPr>
                <w:rFonts w:ascii="Arial" w:hAnsi="Arial" w:cs="Arial"/>
                <w:b/>
                <w:bCs/>
                <w:color w:val="000000"/>
                <w:sz w:val="18"/>
                <w:szCs w:val="18"/>
              </w:rPr>
              <w:t>24</w:t>
            </w:r>
            <w:r w:rsidRPr="00924DE4">
              <w:rPr>
                <w:rFonts w:ascii="Arial" w:hAnsi="Arial" w:cs="Arial"/>
                <w:b/>
                <w:bCs/>
                <w:color w:val="000000"/>
                <w:sz w:val="18"/>
                <w:szCs w:val="18"/>
              </w:rPr>
              <w:t>.</w:t>
            </w:r>
            <w:r w:rsidR="00697EAB">
              <w:rPr>
                <w:rFonts w:ascii="Arial" w:hAnsi="Arial" w:cs="Arial"/>
                <w:b/>
                <w:bCs/>
                <w:color w:val="000000"/>
                <w:sz w:val="18"/>
                <w:szCs w:val="18"/>
              </w:rPr>
              <w:t>581</w:t>
            </w:r>
            <w:r w:rsidRPr="00924DE4">
              <w:rPr>
                <w:rFonts w:ascii="Arial" w:hAnsi="Arial" w:cs="Arial"/>
                <w:b/>
                <w:bCs/>
                <w:color w:val="000000"/>
                <w:sz w:val="18"/>
                <w:szCs w:val="18"/>
              </w:rPr>
              <w:t>)</w:t>
            </w:r>
          </w:p>
        </w:tc>
        <w:tc>
          <w:tcPr>
            <w:tcW w:w="1701" w:type="dxa"/>
            <w:tcBorders>
              <w:top w:val="nil"/>
              <w:left w:val="nil"/>
              <w:bottom w:val="nil"/>
              <w:right w:val="nil"/>
            </w:tcBorders>
            <w:vAlign w:val="bottom"/>
          </w:tcPr>
          <w:p w:rsidR="00F10BC7" w:rsidRPr="00924DE4" w:rsidRDefault="00F10BC7" w:rsidP="00B6520D">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B6520D">
              <w:rPr>
                <w:rFonts w:ascii="Arial" w:hAnsi="Arial" w:cs="Arial"/>
                <w:b/>
                <w:bCs/>
                <w:color w:val="000000"/>
                <w:sz w:val="18"/>
                <w:szCs w:val="18"/>
              </w:rPr>
              <w:t>30.113</w:t>
            </w:r>
            <w:r w:rsidRPr="00924DE4">
              <w:rPr>
                <w:rFonts w:ascii="Arial" w:hAnsi="Arial" w:cs="Arial"/>
                <w:b/>
                <w:bCs/>
                <w:color w:val="000000"/>
                <w:sz w:val="18"/>
                <w:szCs w:val="18"/>
              </w:rPr>
              <w:t>)</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4A45C6">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Arbeta Turizm Org. ve Tic. A.Ş. - (Seyahat giderleri) (2)</w:t>
            </w:r>
          </w:p>
        </w:tc>
        <w:tc>
          <w:tcPr>
            <w:tcW w:w="1771" w:type="dxa"/>
            <w:tcBorders>
              <w:top w:val="nil"/>
              <w:left w:val="nil"/>
              <w:bottom w:val="nil"/>
              <w:right w:val="nil"/>
            </w:tcBorders>
            <w:vAlign w:val="bottom"/>
          </w:tcPr>
          <w:p w:rsidR="00F10BC7" w:rsidRPr="00924DE4" w:rsidRDefault="00F10BC7" w:rsidP="00697EAB">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697EAB">
              <w:rPr>
                <w:rFonts w:ascii="Arial" w:hAnsi="Arial" w:cs="Arial"/>
                <w:b/>
                <w:bCs/>
                <w:color w:val="000000"/>
                <w:sz w:val="18"/>
                <w:szCs w:val="18"/>
              </w:rPr>
              <w:t>539</w:t>
            </w:r>
            <w:r w:rsidRPr="00924DE4">
              <w:rPr>
                <w:rFonts w:ascii="Arial" w:hAnsi="Arial" w:cs="Arial"/>
                <w:b/>
                <w:bCs/>
                <w:color w:val="000000"/>
                <w:sz w:val="18"/>
                <w:szCs w:val="18"/>
              </w:rPr>
              <w:t>)</w:t>
            </w:r>
          </w:p>
        </w:tc>
        <w:tc>
          <w:tcPr>
            <w:tcW w:w="1701" w:type="dxa"/>
            <w:tcBorders>
              <w:top w:val="nil"/>
              <w:left w:val="nil"/>
              <w:bottom w:val="nil"/>
              <w:right w:val="nil"/>
            </w:tcBorders>
            <w:vAlign w:val="bottom"/>
          </w:tcPr>
          <w:p w:rsidR="00F10BC7" w:rsidRPr="00924DE4" w:rsidRDefault="00F10BC7" w:rsidP="00B6520D">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B6520D">
              <w:rPr>
                <w:rFonts w:ascii="Arial" w:hAnsi="Arial" w:cs="Arial"/>
                <w:b/>
                <w:bCs/>
                <w:color w:val="000000"/>
                <w:sz w:val="18"/>
                <w:szCs w:val="18"/>
              </w:rPr>
              <w:t>5.017</w:t>
            </w:r>
            <w:r w:rsidRPr="00924DE4">
              <w:rPr>
                <w:rFonts w:ascii="Arial" w:hAnsi="Arial" w:cs="Arial"/>
                <w:b/>
                <w:bCs/>
                <w:color w:val="000000"/>
                <w:sz w:val="18"/>
                <w:szCs w:val="18"/>
              </w:rPr>
              <w:t>)</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4A45C6">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ATP Ticari Bilgisayar Ağı ve Elekt. Güç Kayn. Üretim ve Paz. Tic. A.Ş. - (Yazılım lisans bedeli) (2)</w:t>
            </w:r>
          </w:p>
        </w:tc>
        <w:tc>
          <w:tcPr>
            <w:tcW w:w="1771" w:type="dxa"/>
            <w:tcBorders>
              <w:top w:val="nil"/>
              <w:left w:val="nil"/>
              <w:bottom w:val="nil"/>
              <w:right w:val="nil"/>
            </w:tcBorders>
            <w:vAlign w:val="bottom"/>
          </w:tcPr>
          <w:p w:rsidR="00F10BC7" w:rsidRPr="00924DE4" w:rsidRDefault="00F10BC7" w:rsidP="00697EAB">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697EAB">
              <w:rPr>
                <w:rFonts w:ascii="Arial" w:hAnsi="Arial" w:cs="Arial"/>
                <w:b/>
                <w:bCs/>
                <w:color w:val="000000"/>
                <w:sz w:val="18"/>
                <w:szCs w:val="18"/>
              </w:rPr>
              <w:t>4.274</w:t>
            </w:r>
            <w:r w:rsidRPr="00924DE4">
              <w:rPr>
                <w:rFonts w:ascii="Arial" w:hAnsi="Arial" w:cs="Arial"/>
                <w:b/>
                <w:bCs/>
                <w:color w:val="000000"/>
                <w:sz w:val="18"/>
                <w:szCs w:val="18"/>
              </w:rPr>
              <w:t>)</w:t>
            </w:r>
          </w:p>
        </w:tc>
        <w:tc>
          <w:tcPr>
            <w:tcW w:w="1701" w:type="dxa"/>
            <w:tcBorders>
              <w:top w:val="nil"/>
              <w:left w:val="nil"/>
              <w:bottom w:val="nil"/>
              <w:right w:val="nil"/>
            </w:tcBorders>
            <w:vAlign w:val="bottom"/>
          </w:tcPr>
          <w:p w:rsidR="00F10BC7" w:rsidRPr="00924DE4" w:rsidRDefault="00F10BC7" w:rsidP="00B6520D">
            <w:pPr>
              <w:jc w:val="right"/>
              <w:rPr>
                <w:rFonts w:ascii="Arial" w:hAnsi="Arial" w:cs="Arial"/>
                <w:b/>
                <w:bCs/>
                <w:color w:val="000000"/>
                <w:sz w:val="18"/>
                <w:szCs w:val="18"/>
              </w:rPr>
            </w:pPr>
            <w:r w:rsidRPr="00924DE4">
              <w:rPr>
                <w:rFonts w:ascii="Arial" w:hAnsi="Arial" w:cs="Arial"/>
                <w:b/>
                <w:bCs/>
                <w:color w:val="000000"/>
                <w:sz w:val="18"/>
                <w:szCs w:val="18"/>
              </w:rPr>
              <w:t xml:space="preserve">                 (</w:t>
            </w:r>
            <w:r w:rsidR="00B6520D">
              <w:rPr>
                <w:rFonts w:ascii="Arial" w:hAnsi="Arial" w:cs="Arial"/>
                <w:b/>
                <w:bCs/>
                <w:color w:val="000000"/>
                <w:sz w:val="18"/>
                <w:szCs w:val="18"/>
              </w:rPr>
              <w:t>951</w:t>
            </w:r>
            <w:r w:rsidRPr="00924DE4">
              <w:rPr>
                <w:rFonts w:ascii="Arial" w:hAnsi="Arial" w:cs="Arial"/>
                <w:b/>
                <w:bCs/>
                <w:color w:val="000000"/>
                <w:sz w:val="18"/>
                <w:szCs w:val="18"/>
              </w:rPr>
              <w:t>)</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4A45C6">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TAB Gıda A.Ş. (Yemek giderleri) (2)</w:t>
            </w:r>
          </w:p>
        </w:tc>
        <w:tc>
          <w:tcPr>
            <w:tcW w:w="1771" w:type="dxa"/>
            <w:tcBorders>
              <w:top w:val="nil"/>
              <w:left w:val="nil"/>
              <w:bottom w:val="nil"/>
              <w:right w:val="nil"/>
            </w:tcBorders>
            <w:vAlign w:val="bottom"/>
          </w:tcPr>
          <w:p w:rsidR="00F10BC7" w:rsidRPr="00924DE4" w:rsidRDefault="00F10BC7" w:rsidP="00121AF9">
            <w:pPr>
              <w:autoSpaceDE w:val="0"/>
              <w:autoSpaceDN w:val="0"/>
              <w:adjustRightInd w:val="0"/>
              <w:jc w:val="right"/>
              <w:rPr>
                <w:rFonts w:ascii="Arial" w:hAnsi="Arial" w:cs="Arial"/>
                <w:b/>
                <w:bCs/>
                <w:color w:val="000000"/>
                <w:sz w:val="18"/>
                <w:szCs w:val="18"/>
              </w:rPr>
            </w:pPr>
            <w:r w:rsidRPr="00924DE4">
              <w:rPr>
                <w:rFonts w:ascii="Arial" w:hAnsi="Arial" w:cs="Arial"/>
                <w:b/>
                <w:bCs/>
                <w:color w:val="000000"/>
                <w:sz w:val="18"/>
                <w:szCs w:val="18"/>
              </w:rPr>
              <w:t>-</w:t>
            </w:r>
          </w:p>
        </w:tc>
        <w:tc>
          <w:tcPr>
            <w:tcW w:w="1701" w:type="dxa"/>
            <w:tcBorders>
              <w:top w:val="nil"/>
              <w:left w:val="nil"/>
              <w:bottom w:val="nil"/>
              <w:right w:val="nil"/>
            </w:tcBorders>
            <w:vAlign w:val="bottom"/>
          </w:tcPr>
          <w:p w:rsidR="00F10BC7" w:rsidRPr="00924DE4" w:rsidRDefault="00F10BC7" w:rsidP="00B6520D">
            <w:pPr>
              <w:autoSpaceDE w:val="0"/>
              <w:autoSpaceDN w:val="0"/>
              <w:adjustRightInd w:val="0"/>
              <w:jc w:val="right"/>
              <w:rPr>
                <w:rFonts w:ascii="Arial" w:hAnsi="Arial" w:cs="Arial"/>
                <w:b/>
                <w:bCs/>
                <w:color w:val="000000"/>
                <w:sz w:val="18"/>
                <w:szCs w:val="18"/>
              </w:rPr>
            </w:pPr>
            <w:r w:rsidRPr="00924DE4">
              <w:rPr>
                <w:rFonts w:ascii="Arial" w:hAnsi="Arial" w:cs="Arial"/>
                <w:b/>
                <w:bCs/>
                <w:color w:val="000000"/>
                <w:sz w:val="18"/>
                <w:szCs w:val="18"/>
              </w:rPr>
              <w:t>-</w:t>
            </w:r>
          </w:p>
        </w:tc>
      </w:tr>
      <w:tr w:rsidR="00F10BC7" w:rsidRPr="00CB5525" w:rsidTr="00F10BC7">
        <w:trPr>
          <w:trHeight w:val="113"/>
        </w:trPr>
        <w:tc>
          <w:tcPr>
            <w:tcW w:w="5600" w:type="dxa"/>
            <w:tcBorders>
              <w:top w:val="nil"/>
              <w:left w:val="nil"/>
              <w:bottom w:val="nil"/>
              <w:right w:val="nil"/>
            </w:tcBorders>
            <w:vAlign w:val="bottom"/>
          </w:tcPr>
          <w:p w:rsidR="00F10BC7" w:rsidRPr="00CB5525" w:rsidRDefault="00F10BC7" w:rsidP="00E83219">
            <w:pPr>
              <w:autoSpaceDE w:val="0"/>
              <w:autoSpaceDN w:val="0"/>
              <w:adjustRightInd w:val="0"/>
              <w:ind w:hanging="108"/>
              <w:rPr>
                <w:rFonts w:ascii="Arial" w:hAnsi="Arial" w:cs="Arial"/>
                <w:color w:val="000000"/>
                <w:sz w:val="18"/>
                <w:szCs w:val="18"/>
              </w:rPr>
            </w:pPr>
          </w:p>
        </w:tc>
        <w:tc>
          <w:tcPr>
            <w:tcW w:w="1771" w:type="dxa"/>
            <w:tcBorders>
              <w:top w:val="nil"/>
              <w:left w:val="nil"/>
              <w:bottom w:val="nil"/>
              <w:right w:val="nil"/>
            </w:tcBorders>
            <w:vAlign w:val="bottom"/>
          </w:tcPr>
          <w:p w:rsidR="00F10BC7" w:rsidRPr="00924DE4" w:rsidRDefault="00F10BC7" w:rsidP="00121AF9">
            <w:pPr>
              <w:autoSpaceDE w:val="0"/>
              <w:autoSpaceDN w:val="0"/>
              <w:adjustRightInd w:val="0"/>
              <w:jc w:val="right"/>
              <w:rPr>
                <w:rFonts w:ascii="Arial" w:hAnsi="Arial" w:cs="Arial"/>
                <w:b/>
                <w:bCs/>
                <w:color w:val="000000"/>
                <w:sz w:val="18"/>
                <w:szCs w:val="18"/>
              </w:rPr>
            </w:pPr>
          </w:p>
        </w:tc>
        <w:tc>
          <w:tcPr>
            <w:tcW w:w="1701" w:type="dxa"/>
            <w:tcBorders>
              <w:top w:val="nil"/>
              <w:left w:val="nil"/>
              <w:bottom w:val="nil"/>
              <w:right w:val="nil"/>
            </w:tcBorders>
            <w:vAlign w:val="bottom"/>
          </w:tcPr>
          <w:p w:rsidR="00F10BC7" w:rsidRPr="00924DE4" w:rsidRDefault="00F10BC7" w:rsidP="00B6520D">
            <w:pPr>
              <w:autoSpaceDE w:val="0"/>
              <w:autoSpaceDN w:val="0"/>
              <w:adjustRightInd w:val="0"/>
              <w:jc w:val="right"/>
              <w:rPr>
                <w:rFonts w:ascii="Arial" w:hAnsi="Arial" w:cs="Arial"/>
                <w:b/>
                <w:bCs/>
                <w:color w:val="000000"/>
                <w:sz w:val="18"/>
                <w:szCs w:val="18"/>
              </w:rPr>
            </w:pPr>
          </w:p>
        </w:tc>
      </w:tr>
      <w:tr w:rsidR="00F10BC7" w:rsidRPr="00CB5525" w:rsidTr="00F10BC7">
        <w:trPr>
          <w:trHeight w:val="113"/>
        </w:trPr>
        <w:tc>
          <w:tcPr>
            <w:tcW w:w="5600" w:type="dxa"/>
            <w:tcBorders>
              <w:top w:val="single" w:sz="6" w:space="0" w:color="auto"/>
              <w:left w:val="nil"/>
              <w:bottom w:val="double" w:sz="6" w:space="0" w:color="auto"/>
              <w:right w:val="nil"/>
            </w:tcBorders>
            <w:vAlign w:val="bottom"/>
          </w:tcPr>
          <w:p w:rsidR="00F10BC7" w:rsidRPr="00CB5525" w:rsidRDefault="00F10BC7" w:rsidP="00E83219">
            <w:pPr>
              <w:autoSpaceDE w:val="0"/>
              <w:autoSpaceDN w:val="0"/>
              <w:adjustRightInd w:val="0"/>
              <w:ind w:hanging="108"/>
              <w:rPr>
                <w:rFonts w:ascii="Arial" w:hAnsi="Arial" w:cs="Arial"/>
                <w:b/>
                <w:color w:val="000000"/>
                <w:sz w:val="18"/>
                <w:szCs w:val="18"/>
              </w:rPr>
            </w:pPr>
            <w:r w:rsidRPr="00CB5525">
              <w:rPr>
                <w:rFonts w:ascii="Arial" w:hAnsi="Arial" w:cs="Arial"/>
                <w:b/>
                <w:color w:val="000000"/>
                <w:sz w:val="18"/>
                <w:szCs w:val="18"/>
              </w:rPr>
              <w:t>İlişkili taraflarla olan giderler</w:t>
            </w:r>
          </w:p>
        </w:tc>
        <w:tc>
          <w:tcPr>
            <w:tcW w:w="1771" w:type="dxa"/>
            <w:tcBorders>
              <w:top w:val="single" w:sz="6" w:space="0" w:color="auto"/>
              <w:left w:val="nil"/>
              <w:bottom w:val="double" w:sz="6" w:space="0" w:color="auto"/>
              <w:right w:val="nil"/>
            </w:tcBorders>
            <w:vAlign w:val="bottom"/>
          </w:tcPr>
          <w:p w:rsidR="00F10BC7" w:rsidRPr="00924DE4" w:rsidRDefault="00F10BC7" w:rsidP="00697EAB">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w:t>
            </w:r>
            <w:r w:rsidR="00697EAB">
              <w:rPr>
                <w:rFonts w:ascii="Arial" w:hAnsi="Arial" w:cs="Arial"/>
                <w:b/>
                <w:bCs/>
                <w:color w:val="000000"/>
                <w:sz w:val="18"/>
                <w:szCs w:val="18"/>
              </w:rPr>
              <w:t>98</w:t>
            </w:r>
            <w:r w:rsidRPr="00924DE4">
              <w:rPr>
                <w:rFonts w:ascii="Arial" w:hAnsi="Arial" w:cs="Arial"/>
                <w:b/>
                <w:bCs/>
                <w:color w:val="000000"/>
                <w:sz w:val="18"/>
                <w:szCs w:val="18"/>
              </w:rPr>
              <w:t>.</w:t>
            </w:r>
            <w:r w:rsidR="00697EAB">
              <w:rPr>
                <w:rFonts w:ascii="Arial" w:hAnsi="Arial" w:cs="Arial"/>
                <w:b/>
                <w:bCs/>
                <w:color w:val="000000"/>
                <w:sz w:val="18"/>
                <w:szCs w:val="18"/>
              </w:rPr>
              <w:t>659</w:t>
            </w:r>
            <w:r>
              <w:rPr>
                <w:rFonts w:ascii="Arial" w:hAnsi="Arial" w:cs="Arial"/>
                <w:b/>
                <w:bCs/>
                <w:color w:val="000000"/>
                <w:sz w:val="18"/>
                <w:szCs w:val="18"/>
              </w:rPr>
              <w:t>)</w:t>
            </w:r>
          </w:p>
        </w:tc>
        <w:tc>
          <w:tcPr>
            <w:tcW w:w="1701" w:type="dxa"/>
            <w:tcBorders>
              <w:top w:val="single" w:sz="6" w:space="0" w:color="auto"/>
              <w:left w:val="nil"/>
              <w:bottom w:val="double" w:sz="6" w:space="0" w:color="auto"/>
              <w:right w:val="nil"/>
            </w:tcBorders>
            <w:vAlign w:val="bottom"/>
          </w:tcPr>
          <w:p w:rsidR="00F10BC7" w:rsidRPr="00924DE4" w:rsidRDefault="00F10BC7" w:rsidP="00B6520D">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w:t>
            </w:r>
            <w:r w:rsidR="00B6520D">
              <w:rPr>
                <w:rFonts w:ascii="Arial" w:hAnsi="Arial" w:cs="Arial"/>
                <w:b/>
                <w:bCs/>
                <w:color w:val="000000"/>
                <w:sz w:val="18"/>
                <w:szCs w:val="18"/>
              </w:rPr>
              <w:t>88.439</w:t>
            </w:r>
            <w:r>
              <w:rPr>
                <w:rFonts w:ascii="Arial" w:hAnsi="Arial" w:cs="Arial"/>
                <w:b/>
                <w:bCs/>
                <w:color w:val="000000"/>
                <w:sz w:val="18"/>
                <w:szCs w:val="18"/>
              </w:rPr>
              <w:t>)</w:t>
            </w:r>
          </w:p>
        </w:tc>
      </w:tr>
    </w:tbl>
    <w:p w:rsidR="00D322FB" w:rsidRPr="00CB5525" w:rsidRDefault="00D322FB" w:rsidP="00792AEE">
      <w:pPr>
        <w:autoSpaceDE w:val="0"/>
        <w:autoSpaceDN w:val="0"/>
        <w:adjustRightInd w:val="0"/>
        <w:rPr>
          <w:rFonts w:ascii="Arial" w:hAnsi="Arial" w:cs="Arial"/>
          <w:b/>
          <w:bCs/>
          <w:color w:val="000000"/>
          <w:sz w:val="18"/>
          <w:szCs w:val="18"/>
          <w:highlight w:val="yellow"/>
        </w:rPr>
      </w:pPr>
    </w:p>
    <w:p w:rsidR="00D322FB" w:rsidRPr="00CB5525" w:rsidRDefault="00D322FB" w:rsidP="008B6C78">
      <w:pPr>
        <w:autoSpaceDE w:val="0"/>
        <w:autoSpaceDN w:val="0"/>
        <w:adjustRightInd w:val="0"/>
        <w:rPr>
          <w:rFonts w:ascii="Arial" w:hAnsi="Arial" w:cs="Arial"/>
          <w:sz w:val="18"/>
          <w:szCs w:val="18"/>
          <w:lang w:val="tr-TR"/>
        </w:rPr>
      </w:pPr>
      <w:r w:rsidRPr="00CB5525">
        <w:rPr>
          <w:rFonts w:ascii="Arial" w:hAnsi="Arial" w:cs="Arial"/>
          <w:sz w:val="18"/>
          <w:szCs w:val="18"/>
          <w:lang w:val="tr-TR"/>
        </w:rPr>
        <w:t>(1) ana ortak</w:t>
      </w:r>
    </w:p>
    <w:p w:rsidR="00D322FB" w:rsidRPr="00CB5525" w:rsidRDefault="00D322FB" w:rsidP="008B6C78">
      <w:pPr>
        <w:autoSpaceDE w:val="0"/>
        <w:autoSpaceDN w:val="0"/>
        <w:adjustRightInd w:val="0"/>
        <w:rPr>
          <w:rFonts w:ascii="Arial" w:hAnsi="Arial" w:cs="Arial"/>
          <w:sz w:val="18"/>
          <w:szCs w:val="18"/>
          <w:lang w:val="tr-TR"/>
        </w:rPr>
      </w:pPr>
      <w:r w:rsidRPr="00CB5525">
        <w:rPr>
          <w:rFonts w:ascii="Arial" w:hAnsi="Arial" w:cs="Arial"/>
          <w:sz w:val="18"/>
          <w:szCs w:val="18"/>
          <w:lang w:val="tr-TR"/>
        </w:rPr>
        <w:t>(2) diğer ilişkili taraflar</w:t>
      </w:r>
    </w:p>
    <w:p w:rsidR="00D322FB" w:rsidRDefault="00D322FB" w:rsidP="00792AEE">
      <w:pPr>
        <w:autoSpaceDE w:val="0"/>
        <w:autoSpaceDN w:val="0"/>
        <w:adjustRightInd w:val="0"/>
        <w:rPr>
          <w:rFonts w:ascii="Arial" w:hAnsi="Arial" w:cs="Arial"/>
          <w:b/>
          <w:bCs/>
          <w:color w:val="000000"/>
          <w:highlight w:val="yellow"/>
        </w:rPr>
      </w:pPr>
    </w:p>
    <w:p w:rsidR="00D322FB" w:rsidRPr="006B2737" w:rsidRDefault="00D322FB" w:rsidP="006B2737">
      <w:pPr>
        <w:rPr>
          <w:rFonts w:ascii="Arial" w:hAnsi="Arial" w:cs="Arial"/>
          <w:b/>
        </w:rPr>
      </w:pPr>
      <w:r w:rsidRPr="006B2737">
        <w:rPr>
          <w:rFonts w:ascii="Arial" w:hAnsi="Arial" w:cs="Arial"/>
          <w:b/>
        </w:rPr>
        <w:t>Üst düzey yöneticilere sağlanan faydalar</w:t>
      </w:r>
    </w:p>
    <w:p w:rsidR="00D322FB" w:rsidRPr="00727376" w:rsidRDefault="00D322FB" w:rsidP="00792AEE">
      <w:pPr>
        <w:autoSpaceDE w:val="0"/>
        <w:autoSpaceDN w:val="0"/>
        <w:adjustRightInd w:val="0"/>
        <w:rPr>
          <w:rFonts w:ascii="Arial" w:hAnsi="Arial" w:cs="Arial"/>
          <w:b/>
          <w:bCs/>
          <w:color w:val="000000"/>
          <w:highlight w:val="yellow"/>
        </w:rPr>
      </w:pPr>
    </w:p>
    <w:p w:rsidR="00D322FB" w:rsidRPr="00DF3B20" w:rsidRDefault="00D322FB" w:rsidP="008B6C78">
      <w:pPr>
        <w:ind w:right="-109"/>
        <w:rPr>
          <w:rFonts w:ascii="Arial" w:hAnsi="Arial" w:cs="Arial"/>
          <w:lang w:val="tr-TR"/>
        </w:rPr>
      </w:pPr>
      <w:r w:rsidRPr="00DF3B20">
        <w:rPr>
          <w:rFonts w:ascii="Arial" w:hAnsi="Arial" w:cs="Arial"/>
          <w:lang w:val="tr-TR"/>
        </w:rPr>
        <w:t xml:space="preserve">1 Ocak – 31 Aralık 2014 ve 2013 dönemlerine ait </w:t>
      </w:r>
      <w:r>
        <w:rPr>
          <w:rFonts w:ascii="Arial" w:hAnsi="Arial" w:cs="Arial"/>
          <w:lang w:val="tr-TR"/>
        </w:rPr>
        <w:t>ü</w:t>
      </w:r>
      <w:r w:rsidRPr="00020947">
        <w:rPr>
          <w:rFonts w:ascii="Arial" w:hAnsi="Arial" w:cs="Arial"/>
          <w:lang w:val="tr-TR"/>
        </w:rPr>
        <w:t>st düzey yöneticilere sağlanan menfaatler</w:t>
      </w:r>
      <w:r w:rsidRPr="00DF3B20">
        <w:rPr>
          <w:rFonts w:ascii="Arial" w:hAnsi="Arial" w:cs="Arial"/>
          <w:lang w:val="tr-TR"/>
        </w:rPr>
        <w:t xml:space="preserve"> detayı aşağıdaki gibidir:</w:t>
      </w:r>
    </w:p>
    <w:p w:rsidR="00D322FB" w:rsidRPr="00727376" w:rsidRDefault="00D322FB" w:rsidP="00F76E09">
      <w:pPr>
        <w:ind w:left="567" w:hanging="567"/>
        <w:jc w:val="both"/>
        <w:rPr>
          <w:rFonts w:ascii="Arial" w:hAnsi="Arial" w:cs="Arial"/>
          <w:b/>
          <w:highlight w:val="yellow"/>
          <w:lang w:val="tr-TR"/>
        </w:rPr>
      </w:pPr>
    </w:p>
    <w:tbl>
      <w:tblPr>
        <w:tblW w:w="9072" w:type="dxa"/>
        <w:tblInd w:w="108" w:type="dxa"/>
        <w:tblLayout w:type="fixed"/>
        <w:tblLook w:val="0000" w:firstRow="0" w:lastRow="0" w:firstColumn="0" w:lastColumn="0" w:noHBand="0" w:noVBand="0"/>
      </w:tblPr>
      <w:tblGrid>
        <w:gridCol w:w="5600"/>
        <w:gridCol w:w="1771"/>
        <w:gridCol w:w="1701"/>
      </w:tblGrid>
      <w:tr w:rsidR="00D322FB" w:rsidRPr="008B6C78" w:rsidTr="00F82BE9">
        <w:trPr>
          <w:trHeight w:val="113"/>
        </w:trPr>
        <w:tc>
          <w:tcPr>
            <w:tcW w:w="5600" w:type="dxa"/>
            <w:tcBorders>
              <w:top w:val="single" w:sz="6" w:space="0" w:color="auto"/>
              <w:left w:val="nil"/>
              <w:bottom w:val="single" w:sz="6" w:space="0" w:color="auto"/>
              <w:right w:val="nil"/>
            </w:tcBorders>
            <w:vAlign w:val="bottom"/>
          </w:tcPr>
          <w:p w:rsidR="00D322FB" w:rsidRPr="00276B51" w:rsidRDefault="00D322FB" w:rsidP="00E83219">
            <w:pPr>
              <w:autoSpaceDE w:val="0"/>
              <w:autoSpaceDN w:val="0"/>
              <w:adjustRightInd w:val="0"/>
              <w:ind w:hanging="108"/>
              <w:rPr>
                <w:rFonts w:ascii="Arial" w:hAnsi="Arial" w:cs="Arial"/>
                <w:color w:val="000000"/>
                <w:sz w:val="18"/>
                <w:szCs w:val="18"/>
              </w:rPr>
            </w:pPr>
          </w:p>
        </w:tc>
        <w:tc>
          <w:tcPr>
            <w:tcW w:w="1771" w:type="dxa"/>
            <w:tcBorders>
              <w:top w:val="single" w:sz="6" w:space="0" w:color="auto"/>
              <w:left w:val="nil"/>
              <w:bottom w:val="single" w:sz="6" w:space="0" w:color="auto"/>
              <w:right w:val="nil"/>
            </w:tcBorders>
            <w:vAlign w:val="bottom"/>
          </w:tcPr>
          <w:p w:rsidR="00D322FB" w:rsidRPr="00276B51" w:rsidRDefault="00D322FB" w:rsidP="00E125AB">
            <w:pPr>
              <w:autoSpaceDE w:val="0"/>
              <w:autoSpaceDN w:val="0"/>
              <w:adjustRightInd w:val="0"/>
              <w:jc w:val="right"/>
              <w:rPr>
                <w:rFonts w:ascii="Arial" w:hAnsi="Arial" w:cs="Arial"/>
                <w:b/>
                <w:bCs/>
                <w:color w:val="000000"/>
                <w:sz w:val="18"/>
                <w:szCs w:val="18"/>
              </w:rPr>
            </w:pPr>
            <w:r w:rsidRPr="00276B51">
              <w:rPr>
                <w:rFonts w:ascii="Arial" w:hAnsi="Arial" w:cs="Arial"/>
                <w:b/>
                <w:bCs/>
                <w:color w:val="000000"/>
                <w:sz w:val="18"/>
                <w:szCs w:val="18"/>
              </w:rPr>
              <w:t>1 Ocak -</w:t>
            </w:r>
          </w:p>
          <w:p w:rsidR="00D322FB" w:rsidRPr="00276B51" w:rsidRDefault="00D322FB" w:rsidP="00EA5EEB">
            <w:pPr>
              <w:autoSpaceDE w:val="0"/>
              <w:autoSpaceDN w:val="0"/>
              <w:adjustRightInd w:val="0"/>
              <w:jc w:val="right"/>
              <w:rPr>
                <w:rFonts w:ascii="Arial" w:hAnsi="Arial" w:cs="Arial"/>
                <w:b/>
                <w:bCs/>
                <w:color w:val="000000"/>
                <w:sz w:val="18"/>
                <w:szCs w:val="18"/>
              </w:rPr>
            </w:pPr>
            <w:r w:rsidRPr="00276B51">
              <w:rPr>
                <w:rFonts w:ascii="Arial" w:hAnsi="Arial" w:cs="Arial"/>
                <w:b/>
                <w:bCs/>
                <w:color w:val="000000"/>
                <w:sz w:val="18"/>
                <w:szCs w:val="18"/>
              </w:rPr>
              <w:t xml:space="preserve">31 </w:t>
            </w:r>
            <w:r w:rsidR="00EA5EEB">
              <w:rPr>
                <w:rFonts w:ascii="Arial" w:hAnsi="Arial" w:cs="Arial"/>
                <w:b/>
                <w:bCs/>
                <w:color w:val="000000"/>
                <w:sz w:val="18"/>
                <w:szCs w:val="18"/>
              </w:rPr>
              <w:t>Mart</w:t>
            </w:r>
            <w:r w:rsidRPr="00276B51">
              <w:rPr>
                <w:rFonts w:ascii="Arial" w:hAnsi="Arial" w:cs="Arial"/>
                <w:b/>
                <w:bCs/>
                <w:color w:val="000000"/>
                <w:sz w:val="18"/>
                <w:szCs w:val="18"/>
              </w:rPr>
              <w:t xml:space="preserve"> 201</w:t>
            </w:r>
            <w:r w:rsidR="00EA5EEB">
              <w:rPr>
                <w:rFonts w:ascii="Arial" w:hAnsi="Arial" w:cs="Arial"/>
                <w:b/>
                <w:bCs/>
                <w:color w:val="000000"/>
                <w:sz w:val="18"/>
                <w:szCs w:val="18"/>
              </w:rPr>
              <w:t>5</w:t>
            </w:r>
          </w:p>
        </w:tc>
        <w:tc>
          <w:tcPr>
            <w:tcW w:w="1701" w:type="dxa"/>
            <w:tcBorders>
              <w:top w:val="single" w:sz="6" w:space="0" w:color="auto"/>
              <w:left w:val="nil"/>
              <w:bottom w:val="single" w:sz="6" w:space="0" w:color="auto"/>
              <w:right w:val="nil"/>
            </w:tcBorders>
            <w:vAlign w:val="bottom"/>
          </w:tcPr>
          <w:p w:rsidR="00D322FB" w:rsidRPr="00276B51" w:rsidRDefault="00D322FB" w:rsidP="00E125AB">
            <w:pPr>
              <w:autoSpaceDE w:val="0"/>
              <w:autoSpaceDN w:val="0"/>
              <w:adjustRightInd w:val="0"/>
              <w:jc w:val="right"/>
              <w:rPr>
                <w:rFonts w:ascii="Arial" w:hAnsi="Arial" w:cs="Arial"/>
                <w:bCs/>
                <w:color w:val="000000"/>
                <w:sz w:val="18"/>
                <w:szCs w:val="18"/>
              </w:rPr>
            </w:pPr>
            <w:r w:rsidRPr="00276B51">
              <w:rPr>
                <w:rFonts w:ascii="Arial" w:hAnsi="Arial" w:cs="Arial"/>
                <w:bCs/>
                <w:color w:val="000000"/>
                <w:sz w:val="18"/>
                <w:szCs w:val="18"/>
              </w:rPr>
              <w:t>1 Ocak -</w:t>
            </w:r>
          </w:p>
          <w:p w:rsidR="00D322FB" w:rsidRPr="00276B51" w:rsidRDefault="00D322FB" w:rsidP="00B6520D">
            <w:pPr>
              <w:autoSpaceDE w:val="0"/>
              <w:autoSpaceDN w:val="0"/>
              <w:adjustRightInd w:val="0"/>
              <w:jc w:val="right"/>
              <w:rPr>
                <w:rFonts w:ascii="Arial" w:hAnsi="Arial" w:cs="Arial"/>
                <w:bCs/>
                <w:color w:val="000000"/>
                <w:sz w:val="18"/>
                <w:szCs w:val="18"/>
              </w:rPr>
            </w:pPr>
            <w:r w:rsidRPr="00276B51">
              <w:rPr>
                <w:rFonts w:ascii="Arial" w:hAnsi="Arial" w:cs="Arial"/>
                <w:bCs/>
                <w:color w:val="000000"/>
                <w:sz w:val="18"/>
                <w:szCs w:val="18"/>
              </w:rPr>
              <w:t xml:space="preserve">31 </w:t>
            </w:r>
            <w:r w:rsidR="00B6520D">
              <w:rPr>
                <w:rFonts w:ascii="Arial" w:hAnsi="Arial" w:cs="Arial"/>
                <w:bCs/>
                <w:color w:val="000000"/>
                <w:sz w:val="18"/>
                <w:szCs w:val="18"/>
              </w:rPr>
              <w:t>Mart</w:t>
            </w:r>
            <w:r w:rsidRPr="00276B51">
              <w:rPr>
                <w:rFonts w:ascii="Arial" w:hAnsi="Arial" w:cs="Arial"/>
                <w:bCs/>
                <w:color w:val="000000"/>
                <w:sz w:val="18"/>
                <w:szCs w:val="18"/>
              </w:rPr>
              <w:t xml:space="preserve"> 201</w:t>
            </w:r>
            <w:r w:rsidR="00B6520D">
              <w:rPr>
                <w:rFonts w:ascii="Arial" w:hAnsi="Arial" w:cs="Arial"/>
                <w:bCs/>
                <w:color w:val="000000"/>
                <w:sz w:val="18"/>
                <w:szCs w:val="18"/>
              </w:rPr>
              <w:t>4</w:t>
            </w:r>
          </w:p>
        </w:tc>
      </w:tr>
      <w:tr w:rsidR="00D322FB" w:rsidRPr="008B6C78" w:rsidTr="00F82BE9">
        <w:trPr>
          <w:trHeight w:val="113"/>
        </w:trPr>
        <w:tc>
          <w:tcPr>
            <w:tcW w:w="5600" w:type="dxa"/>
            <w:tcBorders>
              <w:top w:val="nil"/>
              <w:left w:val="nil"/>
              <w:bottom w:val="nil"/>
              <w:right w:val="nil"/>
            </w:tcBorders>
            <w:vAlign w:val="bottom"/>
          </w:tcPr>
          <w:p w:rsidR="00D322FB" w:rsidRPr="00276B51" w:rsidRDefault="00D322FB" w:rsidP="00E83219">
            <w:pPr>
              <w:autoSpaceDE w:val="0"/>
              <w:autoSpaceDN w:val="0"/>
              <w:adjustRightInd w:val="0"/>
              <w:ind w:hanging="108"/>
              <w:rPr>
                <w:rFonts w:ascii="Arial" w:hAnsi="Arial" w:cs="Arial"/>
                <w:b/>
                <w:bCs/>
                <w:color w:val="000000"/>
                <w:sz w:val="18"/>
                <w:szCs w:val="18"/>
              </w:rPr>
            </w:pPr>
          </w:p>
        </w:tc>
        <w:tc>
          <w:tcPr>
            <w:tcW w:w="1771" w:type="dxa"/>
            <w:tcBorders>
              <w:top w:val="nil"/>
              <w:left w:val="nil"/>
              <w:bottom w:val="nil"/>
              <w:right w:val="nil"/>
            </w:tcBorders>
            <w:vAlign w:val="bottom"/>
          </w:tcPr>
          <w:p w:rsidR="00D322FB" w:rsidRPr="00276B51" w:rsidRDefault="00D322FB" w:rsidP="00E125AB">
            <w:pPr>
              <w:autoSpaceDE w:val="0"/>
              <w:autoSpaceDN w:val="0"/>
              <w:adjustRightInd w:val="0"/>
              <w:jc w:val="right"/>
              <w:rPr>
                <w:rFonts w:ascii="Arial" w:hAnsi="Arial" w:cs="Arial"/>
                <w:b/>
                <w:bCs/>
                <w:color w:val="000000"/>
                <w:sz w:val="18"/>
                <w:szCs w:val="18"/>
              </w:rPr>
            </w:pPr>
          </w:p>
        </w:tc>
        <w:tc>
          <w:tcPr>
            <w:tcW w:w="1701" w:type="dxa"/>
            <w:tcBorders>
              <w:top w:val="nil"/>
              <w:left w:val="nil"/>
              <w:bottom w:val="nil"/>
              <w:right w:val="nil"/>
            </w:tcBorders>
            <w:vAlign w:val="bottom"/>
          </w:tcPr>
          <w:p w:rsidR="00D322FB" w:rsidRPr="00276B51" w:rsidRDefault="00D322FB" w:rsidP="00E125AB">
            <w:pPr>
              <w:autoSpaceDE w:val="0"/>
              <w:autoSpaceDN w:val="0"/>
              <w:adjustRightInd w:val="0"/>
              <w:jc w:val="right"/>
              <w:rPr>
                <w:rFonts w:ascii="Arial" w:hAnsi="Arial" w:cs="Arial"/>
                <w:bCs/>
                <w:color w:val="000000"/>
                <w:sz w:val="18"/>
                <w:szCs w:val="18"/>
              </w:rPr>
            </w:pPr>
          </w:p>
        </w:tc>
      </w:tr>
      <w:tr w:rsidR="00D322FB" w:rsidRPr="008B6C78" w:rsidTr="00276B51">
        <w:trPr>
          <w:trHeight w:val="113"/>
        </w:trPr>
        <w:tc>
          <w:tcPr>
            <w:tcW w:w="5600" w:type="dxa"/>
            <w:tcBorders>
              <w:top w:val="nil"/>
              <w:left w:val="nil"/>
              <w:bottom w:val="nil"/>
              <w:right w:val="nil"/>
            </w:tcBorders>
            <w:vAlign w:val="bottom"/>
          </w:tcPr>
          <w:p w:rsidR="00D322FB" w:rsidRPr="00276B51" w:rsidRDefault="00D322FB" w:rsidP="00E83219">
            <w:pPr>
              <w:autoSpaceDE w:val="0"/>
              <w:autoSpaceDN w:val="0"/>
              <w:adjustRightInd w:val="0"/>
              <w:ind w:hanging="108"/>
              <w:rPr>
                <w:rFonts w:ascii="Arial" w:hAnsi="Arial" w:cs="Arial"/>
                <w:color w:val="000000"/>
                <w:sz w:val="18"/>
                <w:szCs w:val="18"/>
              </w:rPr>
            </w:pPr>
            <w:r w:rsidRPr="00276B51">
              <w:rPr>
                <w:rFonts w:ascii="Arial" w:hAnsi="Arial" w:cs="Arial"/>
                <w:color w:val="000000"/>
                <w:sz w:val="18"/>
                <w:szCs w:val="18"/>
              </w:rPr>
              <w:t>Ücretler</w:t>
            </w:r>
          </w:p>
        </w:tc>
        <w:tc>
          <w:tcPr>
            <w:tcW w:w="1771" w:type="dxa"/>
            <w:tcBorders>
              <w:top w:val="nil"/>
              <w:left w:val="nil"/>
              <w:bottom w:val="nil"/>
              <w:right w:val="nil"/>
            </w:tcBorders>
            <w:vAlign w:val="bottom"/>
          </w:tcPr>
          <w:p w:rsidR="00D322FB" w:rsidRPr="00276B51" w:rsidRDefault="00D322FB" w:rsidP="00697EAB">
            <w:pPr>
              <w:jc w:val="right"/>
              <w:rPr>
                <w:rFonts w:ascii="Arial" w:hAnsi="Arial" w:cs="Arial"/>
                <w:b/>
                <w:bCs/>
                <w:color w:val="000000"/>
                <w:sz w:val="18"/>
                <w:szCs w:val="18"/>
              </w:rPr>
            </w:pPr>
            <w:r w:rsidRPr="00276B51">
              <w:rPr>
                <w:rFonts w:ascii="Arial" w:hAnsi="Arial" w:cs="Arial"/>
                <w:b/>
                <w:bCs/>
                <w:color w:val="000000"/>
                <w:sz w:val="18"/>
                <w:szCs w:val="18"/>
              </w:rPr>
              <w:t xml:space="preserve">               </w:t>
            </w:r>
            <w:r w:rsidR="00697EAB">
              <w:rPr>
                <w:rFonts w:ascii="Arial" w:hAnsi="Arial" w:cs="Arial"/>
                <w:b/>
                <w:bCs/>
                <w:color w:val="000000"/>
                <w:sz w:val="18"/>
                <w:szCs w:val="18"/>
              </w:rPr>
              <w:t>121.550</w:t>
            </w:r>
            <w:r w:rsidRPr="00276B51">
              <w:rPr>
                <w:rFonts w:ascii="Arial" w:hAnsi="Arial" w:cs="Arial"/>
                <w:b/>
                <w:bCs/>
                <w:color w:val="000000"/>
                <w:sz w:val="18"/>
                <w:szCs w:val="18"/>
              </w:rPr>
              <w:t xml:space="preserve"> </w:t>
            </w:r>
          </w:p>
        </w:tc>
        <w:tc>
          <w:tcPr>
            <w:tcW w:w="1701" w:type="dxa"/>
            <w:tcBorders>
              <w:top w:val="nil"/>
              <w:left w:val="nil"/>
              <w:bottom w:val="nil"/>
              <w:right w:val="nil"/>
            </w:tcBorders>
            <w:vAlign w:val="bottom"/>
          </w:tcPr>
          <w:p w:rsidR="00D322FB" w:rsidRPr="00276B51" w:rsidRDefault="00B6520D" w:rsidP="00B6520D">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205</w:t>
            </w:r>
            <w:r w:rsidR="00D322FB" w:rsidRPr="00276B51">
              <w:rPr>
                <w:rFonts w:ascii="Arial" w:hAnsi="Arial" w:cs="Arial"/>
                <w:bCs/>
                <w:color w:val="000000"/>
                <w:sz w:val="18"/>
                <w:szCs w:val="18"/>
              </w:rPr>
              <w:t>.</w:t>
            </w:r>
            <w:r>
              <w:rPr>
                <w:rFonts w:ascii="Arial" w:hAnsi="Arial" w:cs="Arial"/>
                <w:bCs/>
                <w:color w:val="000000"/>
                <w:sz w:val="18"/>
                <w:szCs w:val="18"/>
              </w:rPr>
              <w:t>243</w:t>
            </w:r>
          </w:p>
        </w:tc>
      </w:tr>
      <w:tr w:rsidR="00D322FB" w:rsidRPr="008B6C78" w:rsidTr="00276B51">
        <w:trPr>
          <w:trHeight w:val="113"/>
        </w:trPr>
        <w:tc>
          <w:tcPr>
            <w:tcW w:w="5600" w:type="dxa"/>
            <w:tcBorders>
              <w:top w:val="nil"/>
              <w:left w:val="nil"/>
              <w:bottom w:val="nil"/>
              <w:right w:val="nil"/>
            </w:tcBorders>
            <w:vAlign w:val="bottom"/>
          </w:tcPr>
          <w:p w:rsidR="00D322FB" w:rsidRPr="00842630" w:rsidRDefault="00D322FB" w:rsidP="00E83219">
            <w:pPr>
              <w:autoSpaceDE w:val="0"/>
              <w:autoSpaceDN w:val="0"/>
              <w:adjustRightInd w:val="0"/>
              <w:ind w:hanging="108"/>
              <w:rPr>
                <w:rFonts w:ascii="Arial" w:hAnsi="Arial" w:cs="Arial"/>
                <w:color w:val="000000"/>
                <w:sz w:val="18"/>
                <w:szCs w:val="18"/>
                <w:lang w:val="de-DE"/>
              </w:rPr>
            </w:pPr>
            <w:r w:rsidRPr="00842630">
              <w:rPr>
                <w:rFonts w:ascii="Arial" w:hAnsi="Arial" w:cs="Arial"/>
                <w:color w:val="000000"/>
                <w:sz w:val="18"/>
                <w:szCs w:val="18"/>
                <w:lang w:val="de-DE"/>
              </w:rPr>
              <w:t>Araç gideri (kira, benzin vb.)</w:t>
            </w:r>
          </w:p>
        </w:tc>
        <w:tc>
          <w:tcPr>
            <w:tcW w:w="1771" w:type="dxa"/>
            <w:tcBorders>
              <w:top w:val="nil"/>
              <w:left w:val="nil"/>
              <w:bottom w:val="nil"/>
              <w:right w:val="nil"/>
            </w:tcBorders>
            <w:vAlign w:val="bottom"/>
          </w:tcPr>
          <w:p w:rsidR="00D322FB" w:rsidRPr="00276B51" w:rsidRDefault="00D322FB" w:rsidP="00276B51">
            <w:pPr>
              <w:jc w:val="right"/>
              <w:rPr>
                <w:rFonts w:ascii="Arial" w:hAnsi="Arial" w:cs="Arial"/>
                <w:b/>
                <w:bCs/>
                <w:color w:val="000000"/>
                <w:sz w:val="18"/>
                <w:szCs w:val="18"/>
              </w:rPr>
            </w:pPr>
            <w:r w:rsidRPr="00842630">
              <w:rPr>
                <w:rFonts w:ascii="Arial" w:hAnsi="Arial" w:cs="Arial"/>
                <w:b/>
                <w:bCs/>
                <w:color w:val="000000"/>
                <w:sz w:val="18"/>
                <w:szCs w:val="18"/>
                <w:lang w:val="de-DE"/>
              </w:rPr>
              <w:t xml:space="preserve">                  </w:t>
            </w:r>
            <w:r w:rsidR="00697EAB">
              <w:rPr>
                <w:rFonts w:ascii="Arial" w:hAnsi="Arial" w:cs="Arial"/>
                <w:b/>
                <w:bCs/>
                <w:color w:val="000000"/>
                <w:sz w:val="18"/>
                <w:szCs w:val="18"/>
              </w:rPr>
              <w:t>24.000</w:t>
            </w:r>
          </w:p>
        </w:tc>
        <w:tc>
          <w:tcPr>
            <w:tcW w:w="1701" w:type="dxa"/>
            <w:tcBorders>
              <w:top w:val="nil"/>
              <w:left w:val="nil"/>
              <w:bottom w:val="nil"/>
              <w:right w:val="nil"/>
            </w:tcBorders>
            <w:vAlign w:val="bottom"/>
          </w:tcPr>
          <w:p w:rsidR="00D322FB" w:rsidRPr="00276B51" w:rsidRDefault="00B6520D" w:rsidP="00B6520D">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43</w:t>
            </w:r>
            <w:r w:rsidR="00D322FB" w:rsidRPr="00276B51">
              <w:rPr>
                <w:rFonts w:ascii="Arial" w:hAnsi="Arial" w:cs="Arial"/>
                <w:bCs/>
                <w:color w:val="000000"/>
                <w:sz w:val="18"/>
                <w:szCs w:val="18"/>
              </w:rPr>
              <w:t>.</w:t>
            </w:r>
            <w:r>
              <w:rPr>
                <w:rFonts w:ascii="Arial" w:hAnsi="Arial" w:cs="Arial"/>
                <w:bCs/>
                <w:color w:val="000000"/>
                <w:sz w:val="18"/>
                <w:szCs w:val="18"/>
              </w:rPr>
              <w:t>004</w:t>
            </w:r>
          </w:p>
        </w:tc>
      </w:tr>
      <w:tr w:rsidR="00D322FB" w:rsidRPr="008B6C78" w:rsidTr="00276B51">
        <w:trPr>
          <w:trHeight w:val="113"/>
        </w:trPr>
        <w:tc>
          <w:tcPr>
            <w:tcW w:w="5600" w:type="dxa"/>
            <w:tcBorders>
              <w:top w:val="nil"/>
              <w:left w:val="nil"/>
              <w:right w:val="nil"/>
            </w:tcBorders>
            <w:vAlign w:val="bottom"/>
          </w:tcPr>
          <w:p w:rsidR="00D322FB" w:rsidRPr="00276B51" w:rsidRDefault="00D322FB" w:rsidP="00E83219">
            <w:pPr>
              <w:autoSpaceDE w:val="0"/>
              <w:autoSpaceDN w:val="0"/>
              <w:adjustRightInd w:val="0"/>
              <w:ind w:hanging="108"/>
              <w:rPr>
                <w:rFonts w:ascii="Arial" w:hAnsi="Arial" w:cs="Arial"/>
                <w:color w:val="000000"/>
                <w:sz w:val="18"/>
                <w:szCs w:val="18"/>
              </w:rPr>
            </w:pPr>
            <w:r w:rsidRPr="00276B51">
              <w:rPr>
                <w:rFonts w:ascii="Arial" w:hAnsi="Arial" w:cs="Arial"/>
                <w:color w:val="000000"/>
                <w:sz w:val="18"/>
                <w:szCs w:val="18"/>
              </w:rPr>
              <w:t>Sağlık sigortası gideri</w:t>
            </w:r>
          </w:p>
        </w:tc>
        <w:tc>
          <w:tcPr>
            <w:tcW w:w="1771" w:type="dxa"/>
            <w:tcBorders>
              <w:top w:val="nil"/>
              <w:left w:val="nil"/>
              <w:right w:val="nil"/>
            </w:tcBorders>
            <w:vAlign w:val="bottom"/>
          </w:tcPr>
          <w:p w:rsidR="00D322FB" w:rsidRPr="00276B51" w:rsidRDefault="00D322FB" w:rsidP="00697EAB">
            <w:pPr>
              <w:jc w:val="right"/>
              <w:rPr>
                <w:rFonts w:ascii="Arial" w:hAnsi="Arial" w:cs="Arial"/>
                <w:b/>
                <w:bCs/>
                <w:color w:val="000000"/>
                <w:sz w:val="18"/>
                <w:szCs w:val="18"/>
              </w:rPr>
            </w:pPr>
            <w:r w:rsidRPr="00276B51">
              <w:rPr>
                <w:rFonts w:ascii="Arial" w:hAnsi="Arial" w:cs="Arial"/>
                <w:b/>
                <w:bCs/>
                <w:color w:val="000000"/>
                <w:sz w:val="18"/>
                <w:szCs w:val="18"/>
              </w:rPr>
              <w:t xml:space="preserve">                     </w:t>
            </w:r>
            <w:r w:rsidR="00697EAB">
              <w:rPr>
                <w:rFonts w:ascii="Arial" w:hAnsi="Arial" w:cs="Arial"/>
                <w:b/>
                <w:bCs/>
                <w:color w:val="000000"/>
                <w:sz w:val="18"/>
                <w:szCs w:val="18"/>
              </w:rPr>
              <w:t>2.741</w:t>
            </w:r>
            <w:r w:rsidRPr="00276B51">
              <w:rPr>
                <w:rFonts w:ascii="Arial" w:hAnsi="Arial" w:cs="Arial"/>
                <w:b/>
                <w:bCs/>
                <w:color w:val="000000"/>
                <w:sz w:val="18"/>
                <w:szCs w:val="18"/>
              </w:rPr>
              <w:t xml:space="preserve"> </w:t>
            </w:r>
          </w:p>
        </w:tc>
        <w:tc>
          <w:tcPr>
            <w:tcW w:w="1701" w:type="dxa"/>
            <w:tcBorders>
              <w:top w:val="nil"/>
              <w:left w:val="nil"/>
              <w:right w:val="nil"/>
            </w:tcBorders>
            <w:vAlign w:val="bottom"/>
          </w:tcPr>
          <w:p w:rsidR="00D322FB" w:rsidRPr="00276B51" w:rsidRDefault="00B6520D" w:rsidP="00B6520D">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3.310</w:t>
            </w:r>
          </w:p>
        </w:tc>
      </w:tr>
      <w:tr w:rsidR="00D322FB" w:rsidRPr="008B6C78" w:rsidTr="00276B51">
        <w:trPr>
          <w:trHeight w:val="113"/>
        </w:trPr>
        <w:tc>
          <w:tcPr>
            <w:tcW w:w="5600" w:type="dxa"/>
            <w:tcBorders>
              <w:top w:val="nil"/>
              <w:left w:val="nil"/>
              <w:bottom w:val="single" w:sz="4" w:space="0" w:color="auto"/>
              <w:right w:val="nil"/>
            </w:tcBorders>
            <w:vAlign w:val="bottom"/>
          </w:tcPr>
          <w:p w:rsidR="00D322FB" w:rsidRPr="00276B51" w:rsidRDefault="00D322FB" w:rsidP="00E83219">
            <w:pPr>
              <w:autoSpaceDE w:val="0"/>
              <w:autoSpaceDN w:val="0"/>
              <w:adjustRightInd w:val="0"/>
              <w:ind w:hanging="108"/>
              <w:rPr>
                <w:rFonts w:ascii="Arial" w:hAnsi="Arial" w:cs="Arial"/>
                <w:color w:val="000000"/>
                <w:sz w:val="18"/>
                <w:szCs w:val="18"/>
              </w:rPr>
            </w:pPr>
          </w:p>
        </w:tc>
        <w:tc>
          <w:tcPr>
            <w:tcW w:w="1771" w:type="dxa"/>
            <w:tcBorders>
              <w:top w:val="nil"/>
              <w:left w:val="nil"/>
              <w:bottom w:val="single" w:sz="4" w:space="0" w:color="auto"/>
              <w:right w:val="nil"/>
            </w:tcBorders>
            <w:vAlign w:val="bottom"/>
          </w:tcPr>
          <w:p w:rsidR="00D322FB" w:rsidRPr="00276B51" w:rsidRDefault="00D322FB" w:rsidP="00276B51">
            <w:pPr>
              <w:jc w:val="right"/>
              <w:rPr>
                <w:rFonts w:ascii="Calibri" w:hAnsi="Calibri" w:cs="Calibri"/>
                <w:color w:val="000000"/>
                <w:sz w:val="22"/>
                <w:szCs w:val="22"/>
              </w:rPr>
            </w:pPr>
          </w:p>
        </w:tc>
        <w:tc>
          <w:tcPr>
            <w:tcW w:w="1701" w:type="dxa"/>
            <w:tcBorders>
              <w:top w:val="nil"/>
              <w:left w:val="nil"/>
              <w:bottom w:val="single" w:sz="4" w:space="0" w:color="auto"/>
              <w:right w:val="nil"/>
            </w:tcBorders>
            <w:vAlign w:val="bottom"/>
          </w:tcPr>
          <w:p w:rsidR="00D322FB" w:rsidRPr="00276B51" w:rsidRDefault="00D322FB" w:rsidP="00E125AB">
            <w:pPr>
              <w:autoSpaceDE w:val="0"/>
              <w:autoSpaceDN w:val="0"/>
              <w:adjustRightInd w:val="0"/>
              <w:jc w:val="right"/>
              <w:rPr>
                <w:rFonts w:ascii="Arial" w:hAnsi="Arial" w:cs="Arial"/>
                <w:bCs/>
                <w:color w:val="000000"/>
                <w:sz w:val="18"/>
                <w:szCs w:val="18"/>
              </w:rPr>
            </w:pPr>
          </w:p>
        </w:tc>
      </w:tr>
      <w:tr w:rsidR="00D322FB" w:rsidRPr="008B6C78" w:rsidTr="00276B51">
        <w:trPr>
          <w:trHeight w:val="113"/>
        </w:trPr>
        <w:tc>
          <w:tcPr>
            <w:tcW w:w="5600" w:type="dxa"/>
            <w:tcBorders>
              <w:top w:val="single" w:sz="4" w:space="0" w:color="auto"/>
              <w:left w:val="nil"/>
              <w:bottom w:val="double" w:sz="6" w:space="0" w:color="auto"/>
              <w:right w:val="nil"/>
            </w:tcBorders>
            <w:vAlign w:val="bottom"/>
          </w:tcPr>
          <w:p w:rsidR="00D322FB" w:rsidRPr="00276B51" w:rsidRDefault="00D322FB" w:rsidP="00E83219">
            <w:pPr>
              <w:autoSpaceDE w:val="0"/>
              <w:autoSpaceDN w:val="0"/>
              <w:adjustRightInd w:val="0"/>
              <w:ind w:hanging="108"/>
              <w:rPr>
                <w:rFonts w:ascii="Arial" w:hAnsi="Arial" w:cs="Arial"/>
                <w:b/>
                <w:color w:val="000000"/>
                <w:sz w:val="18"/>
                <w:szCs w:val="18"/>
              </w:rPr>
            </w:pPr>
            <w:r w:rsidRPr="00276B51">
              <w:rPr>
                <w:rFonts w:ascii="Arial" w:hAnsi="Arial" w:cs="Arial"/>
                <w:b/>
                <w:color w:val="000000"/>
                <w:sz w:val="18"/>
                <w:szCs w:val="18"/>
              </w:rPr>
              <w:t>Toplam</w:t>
            </w:r>
          </w:p>
        </w:tc>
        <w:tc>
          <w:tcPr>
            <w:tcW w:w="1771" w:type="dxa"/>
            <w:tcBorders>
              <w:top w:val="single" w:sz="4" w:space="0" w:color="auto"/>
              <w:left w:val="nil"/>
              <w:bottom w:val="double" w:sz="6" w:space="0" w:color="auto"/>
              <w:right w:val="nil"/>
            </w:tcBorders>
            <w:vAlign w:val="bottom"/>
          </w:tcPr>
          <w:p w:rsidR="00D322FB" w:rsidRPr="00276B51" w:rsidRDefault="00D322FB" w:rsidP="00697EAB">
            <w:pPr>
              <w:jc w:val="right"/>
              <w:rPr>
                <w:rFonts w:ascii="Arial" w:hAnsi="Arial" w:cs="Arial"/>
                <w:b/>
                <w:bCs/>
                <w:color w:val="000000"/>
                <w:sz w:val="18"/>
                <w:szCs w:val="18"/>
              </w:rPr>
            </w:pPr>
            <w:r w:rsidRPr="00276B51">
              <w:rPr>
                <w:rFonts w:ascii="Arial" w:hAnsi="Arial" w:cs="Arial"/>
                <w:b/>
                <w:bCs/>
                <w:color w:val="000000"/>
                <w:sz w:val="18"/>
                <w:szCs w:val="18"/>
              </w:rPr>
              <w:t xml:space="preserve">                </w:t>
            </w:r>
            <w:r w:rsidR="00697EAB">
              <w:rPr>
                <w:rFonts w:ascii="Arial" w:hAnsi="Arial" w:cs="Arial"/>
                <w:b/>
                <w:bCs/>
                <w:color w:val="000000"/>
                <w:sz w:val="18"/>
                <w:szCs w:val="18"/>
              </w:rPr>
              <w:t>148</w:t>
            </w:r>
            <w:r w:rsidRPr="00276B51">
              <w:rPr>
                <w:rFonts w:ascii="Arial" w:hAnsi="Arial" w:cs="Arial"/>
                <w:b/>
                <w:bCs/>
                <w:color w:val="000000"/>
                <w:sz w:val="18"/>
                <w:szCs w:val="18"/>
              </w:rPr>
              <w:t>.</w:t>
            </w:r>
            <w:r w:rsidR="00697EAB">
              <w:rPr>
                <w:rFonts w:ascii="Arial" w:hAnsi="Arial" w:cs="Arial"/>
                <w:b/>
                <w:bCs/>
                <w:color w:val="000000"/>
                <w:sz w:val="18"/>
                <w:szCs w:val="18"/>
              </w:rPr>
              <w:t>291</w:t>
            </w:r>
            <w:r w:rsidRPr="00276B51">
              <w:rPr>
                <w:rFonts w:ascii="Arial" w:hAnsi="Arial" w:cs="Arial"/>
                <w:b/>
                <w:bCs/>
                <w:color w:val="000000"/>
                <w:sz w:val="18"/>
                <w:szCs w:val="18"/>
              </w:rPr>
              <w:t xml:space="preserve"> </w:t>
            </w:r>
          </w:p>
        </w:tc>
        <w:tc>
          <w:tcPr>
            <w:tcW w:w="1701" w:type="dxa"/>
            <w:tcBorders>
              <w:top w:val="single" w:sz="4" w:space="0" w:color="auto"/>
              <w:left w:val="nil"/>
              <w:bottom w:val="double" w:sz="6" w:space="0" w:color="auto"/>
              <w:right w:val="nil"/>
            </w:tcBorders>
            <w:vAlign w:val="bottom"/>
          </w:tcPr>
          <w:p w:rsidR="00D322FB" w:rsidRPr="00276B51" w:rsidRDefault="00B6520D" w:rsidP="00B6520D">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251.557</w:t>
            </w:r>
          </w:p>
        </w:tc>
      </w:tr>
    </w:tbl>
    <w:p w:rsidR="00D322FB" w:rsidRDefault="00D322FB" w:rsidP="006A6A8B">
      <w:pPr>
        <w:autoSpaceDE w:val="0"/>
        <w:autoSpaceDN w:val="0"/>
        <w:adjustRightInd w:val="0"/>
        <w:rPr>
          <w:rFonts w:ascii="Arial" w:hAnsi="Arial" w:cs="Arial"/>
          <w:b/>
          <w:lang w:val="tr-TR"/>
        </w:rPr>
      </w:pPr>
    </w:p>
    <w:p w:rsidR="00D322FB" w:rsidRDefault="00D322FB" w:rsidP="00BF62F0">
      <w:pPr>
        <w:rPr>
          <w:rFonts w:ascii="Arial" w:hAnsi="Arial" w:cs="Arial"/>
          <w:b/>
          <w:lang w:val="tr-TR"/>
        </w:rPr>
      </w:pPr>
      <w:r>
        <w:rPr>
          <w:rFonts w:ascii="Arial" w:hAnsi="Arial" w:cs="Arial"/>
          <w:b/>
          <w:lang w:val="tr-TR"/>
        </w:rPr>
        <w:br w:type="page"/>
      </w:r>
    </w:p>
    <w:p w:rsidR="00D322FB" w:rsidRPr="00284495" w:rsidRDefault="00D322FB" w:rsidP="005C3EEB">
      <w:pPr>
        <w:pStyle w:val="Heading1"/>
        <w:rPr>
          <w:rFonts w:ascii="Arial" w:hAnsi="Arial" w:cs="Arial"/>
          <w:color w:val="auto"/>
          <w:sz w:val="20"/>
          <w:lang w:val="tr-TR"/>
        </w:rPr>
      </w:pPr>
      <w:r w:rsidRPr="00284495">
        <w:rPr>
          <w:rFonts w:ascii="Arial" w:hAnsi="Arial" w:cs="Arial"/>
          <w:color w:val="auto"/>
          <w:sz w:val="20"/>
          <w:lang w:val="tr-TR"/>
        </w:rPr>
        <w:lastRenderedPageBreak/>
        <w:t>24.</w:t>
      </w:r>
      <w:r w:rsidRPr="00284495">
        <w:rPr>
          <w:rFonts w:ascii="Arial" w:hAnsi="Arial" w:cs="Arial"/>
          <w:color w:val="auto"/>
          <w:sz w:val="20"/>
          <w:lang w:val="tr-TR"/>
        </w:rPr>
        <w:tab/>
        <w:t>Finansal araçlardan kaynaklanan risklerin niteliği ve düzeyi</w:t>
      </w:r>
    </w:p>
    <w:p w:rsidR="00D322FB" w:rsidRPr="008D207D" w:rsidRDefault="00D322FB" w:rsidP="00EF5623">
      <w:pPr>
        <w:widowControl w:val="0"/>
        <w:ind w:right="-23"/>
        <w:rPr>
          <w:rFonts w:ascii="Arial" w:hAnsi="Arial" w:cs="Arial"/>
          <w:u w:val="single"/>
          <w:lang w:val="tr-TR"/>
        </w:rPr>
      </w:pPr>
    </w:p>
    <w:p w:rsidR="00D322FB" w:rsidRPr="008D207D" w:rsidRDefault="00D322FB" w:rsidP="00EF5623">
      <w:pPr>
        <w:autoSpaceDE w:val="0"/>
        <w:autoSpaceDN w:val="0"/>
        <w:adjustRightInd w:val="0"/>
        <w:rPr>
          <w:rFonts w:ascii="Arial" w:hAnsi="Arial" w:cs="Arial"/>
          <w:i/>
          <w:lang w:val="tr-TR"/>
        </w:rPr>
      </w:pPr>
      <w:r w:rsidRPr="008D207D">
        <w:rPr>
          <w:rFonts w:ascii="Arial" w:hAnsi="Arial" w:cs="Arial"/>
          <w:i/>
          <w:lang w:val="tr-TR"/>
        </w:rPr>
        <w:t>Finansal risk faktörleri</w:t>
      </w:r>
    </w:p>
    <w:p w:rsidR="00D322FB" w:rsidRPr="008D207D" w:rsidRDefault="00D322FB" w:rsidP="00EF5623">
      <w:pPr>
        <w:autoSpaceDE w:val="0"/>
        <w:autoSpaceDN w:val="0"/>
        <w:adjustRightInd w:val="0"/>
        <w:rPr>
          <w:rFonts w:ascii="Arial" w:hAnsi="Arial" w:cs="Arial"/>
          <w:lang w:val="tr-TR"/>
        </w:rPr>
      </w:pPr>
    </w:p>
    <w:p w:rsidR="00D322FB" w:rsidRPr="008D207D" w:rsidRDefault="00D322FB" w:rsidP="00EF5623">
      <w:pPr>
        <w:autoSpaceDE w:val="0"/>
        <w:autoSpaceDN w:val="0"/>
        <w:adjustRightInd w:val="0"/>
        <w:rPr>
          <w:rFonts w:ascii="Arial" w:hAnsi="Arial" w:cs="Arial"/>
          <w:lang w:val="tr-TR"/>
        </w:rPr>
      </w:pPr>
      <w:r w:rsidRPr="008D207D">
        <w:rPr>
          <w:rFonts w:ascii="Arial" w:hAnsi="Arial" w:cs="Arial"/>
          <w:lang w:val="tr-TR"/>
        </w:rPr>
        <w:t>Şirket faaliyeti gereği piyasa riskine (gerçeğe uygun değer faiz oranı riski, nakit akımı faiz oranı riski ve hisse senedi fiyat riski) maruz kalmaktadır. Piyasa riski, faiz oranlarında, menkul kıymetlerin veya diğer finansal sözleşmelerin değerinde meydana gelecek ve Şirket’i olumsuz etkileyecek dalgalanmalardır. Şirket finansal varlıklarını gerçeğe uygun fiyatlar ile değerleyerek maruz kalınan piyasa riskini faiz ve hisse senedi pozisyon riski ayrımında günlük olarak takip etmektedir. Şirket Yönetim Kurulu’nca, belirli dönemlerde portföyün yönetimine ilişkin stratejiler ve limitler belirlenmekte, menkul kıymet portöyü, portföy yöneticileri tarafından bu çerçevede yönetilmektedir. Ekonomik tablonun ve piyasaların durumuna göre bu limit ve politikalar değişim göstermekte, belirsizliğin hakim olduğu dönemlerde riskin asgari düzeye indirilmesine çalışılmaktadır.</w:t>
      </w:r>
    </w:p>
    <w:p w:rsidR="00D322FB" w:rsidRPr="008D207D" w:rsidRDefault="00D322FB" w:rsidP="00EF5623">
      <w:pPr>
        <w:autoSpaceDE w:val="0"/>
        <w:autoSpaceDN w:val="0"/>
        <w:adjustRightInd w:val="0"/>
        <w:rPr>
          <w:rFonts w:ascii="Arial" w:hAnsi="Arial" w:cs="Arial"/>
          <w:u w:val="single"/>
          <w:lang w:val="tr-TR"/>
        </w:rPr>
      </w:pPr>
    </w:p>
    <w:p w:rsidR="00D322FB" w:rsidRPr="008D207D" w:rsidRDefault="00D322FB" w:rsidP="00EF5623">
      <w:pPr>
        <w:autoSpaceDE w:val="0"/>
        <w:autoSpaceDN w:val="0"/>
        <w:adjustRightInd w:val="0"/>
        <w:rPr>
          <w:rFonts w:ascii="Arial" w:hAnsi="Arial" w:cs="Arial"/>
          <w:i/>
          <w:lang w:val="tr-TR"/>
        </w:rPr>
      </w:pPr>
      <w:r w:rsidRPr="008D207D">
        <w:rPr>
          <w:rFonts w:ascii="Arial" w:hAnsi="Arial" w:cs="Arial"/>
          <w:i/>
          <w:lang w:val="tr-TR"/>
        </w:rPr>
        <w:t>Kredi riski</w:t>
      </w:r>
    </w:p>
    <w:p w:rsidR="00D322FB" w:rsidRPr="008D207D" w:rsidRDefault="00D322FB" w:rsidP="00EF5623">
      <w:pPr>
        <w:autoSpaceDE w:val="0"/>
        <w:autoSpaceDN w:val="0"/>
        <w:adjustRightInd w:val="0"/>
        <w:rPr>
          <w:rFonts w:ascii="Arial" w:hAnsi="Arial" w:cs="Arial"/>
          <w:lang w:val="tr-TR"/>
        </w:rPr>
      </w:pPr>
    </w:p>
    <w:p w:rsidR="00D322FB" w:rsidRPr="008D207D" w:rsidRDefault="00D322FB" w:rsidP="00EF5623">
      <w:pPr>
        <w:autoSpaceDE w:val="0"/>
        <w:autoSpaceDN w:val="0"/>
        <w:adjustRightInd w:val="0"/>
        <w:rPr>
          <w:rFonts w:ascii="Arial" w:hAnsi="Arial" w:cs="Arial"/>
          <w:lang w:val="tr-TR"/>
        </w:rPr>
      </w:pPr>
      <w:r w:rsidRPr="008D207D">
        <w:rPr>
          <w:rFonts w:ascii="Arial" w:hAnsi="Arial" w:cs="Arial"/>
          <w:lang w:val="tr-TR"/>
        </w:rPr>
        <w:t xml:space="preserve">Finansal araçlar karşı tarafın anlaşma gereklerini yerine getirememe riskini taşımaktadır. </w:t>
      </w:r>
    </w:p>
    <w:p w:rsidR="00D322FB" w:rsidRPr="008D207D" w:rsidRDefault="00D322FB" w:rsidP="00EF5623">
      <w:pPr>
        <w:autoSpaceDE w:val="0"/>
        <w:autoSpaceDN w:val="0"/>
        <w:adjustRightInd w:val="0"/>
        <w:rPr>
          <w:rFonts w:ascii="Arial" w:hAnsi="Arial" w:cs="Arial"/>
          <w:lang w:val="tr-TR"/>
        </w:rPr>
      </w:pPr>
    </w:p>
    <w:p w:rsidR="00D322FB" w:rsidRPr="008D207D" w:rsidRDefault="00D322FB" w:rsidP="00EF5623">
      <w:pPr>
        <w:autoSpaceDE w:val="0"/>
        <w:autoSpaceDN w:val="0"/>
        <w:adjustRightInd w:val="0"/>
        <w:rPr>
          <w:rFonts w:ascii="Arial" w:hAnsi="Arial" w:cs="Arial"/>
          <w:lang w:val="tr-TR"/>
        </w:rPr>
      </w:pPr>
      <w:r w:rsidRPr="008D207D">
        <w:rPr>
          <w:rFonts w:ascii="Arial" w:hAnsi="Arial" w:cs="Arial"/>
          <w:lang w:val="tr-TR"/>
        </w:rPr>
        <w:t>Finansal varlıklar, vadesi geçmemiş ve değer düşüklüğüne uğramamış alacaklardan oluşmaktadır.</w:t>
      </w:r>
    </w:p>
    <w:p w:rsidR="00D322FB" w:rsidRPr="008D207D" w:rsidRDefault="00D322FB" w:rsidP="00EF5623">
      <w:pPr>
        <w:autoSpaceDE w:val="0"/>
        <w:autoSpaceDN w:val="0"/>
        <w:adjustRightInd w:val="0"/>
        <w:rPr>
          <w:rFonts w:ascii="Arial" w:hAnsi="Arial" w:cs="Arial"/>
          <w:lang w:val="tr-TR"/>
        </w:rPr>
      </w:pPr>
    </w:p>
    <w:p w:rsidR="00D322FB" w:rsidRPr="008D207D" w:rsidRDefault="00D322FB" w:rsidP="00EF5623">
      <w:pPr>
        <w:autoSpaceDE w:val="0"/>
        <w:autoSpaceDN w:val="0"/>
        <w:adjustRightInd w:val="0"/>
        <w:rPr>
          <w:rFonts w:ascii="Arial" w:hAnsi="Arial" w:cs="Arial"/>
          <w:lang w:val="tr-TR"/>
        </w:rPr>
        <w:sectPr w:rsidR="00D322FB" w:rsidRPr="008D207D" w:rsidSect="008D207D">
          <w:headerReference w:type="default" r:id="rId13"/>
          <w:footerReference w:type="default" r:id="rId14"/>
          <w:pgSz w:w="11907" w:h="16834" w:code="9"/>
          <w:pgMar w:top="1418" w:right="1107" w:bottom="1418" w:left="1418" w:header="708" w:footer="708" w:gutter="0"/>
          <w:cols w:space="708"/>
        </w:sectPr>
      </w:pPr>
      <w:r w:rsidRPr="008D207D">
        <w:rPr>
          <w:rFonts w:ascii="Arial" w:hAnsi="Arial" w:cs="Arial"/>
          <w:lang w:val="tr-TR"/>
        </w:rPr>
        <w:t xml:space="preserve">Şirket’in, 31 </w:t>
      </w:r>
      <w:r w:rsidR="00380B3E">
        <w:rPr>
          <w:rFonts w:ascii="Arial" w:hAnsi="Arial" w:cs="Arial"/>
          <w:lang w:val="tr-TR"/>
        </w:rPr>
        <w:t>Mart</w:t>
      </w:r>
      <w:r w:rsidRPr="008D207D">
        <w:rPr>
          <w:rFonts w:ascii="Arial" w:hAnsi="Arial" w:cs="Arial"/>
          <w:lang w:val="tr-TR"/>
        </w:rPr>
        <w:t xml:space="preserve"> 201</w:t>
      </w:r>
      <w:r w:rsidR="00380B3E">
        <w:rPr>
          <w:rFonts w:ascii="Arial" w:hAnsi="Arial" w:cs="Arial"/>
          <w:lang w:val="tr-TR"/>
        </w:rPr>
        <w:t>5</w:t>
      </w:r>
      <w:r w:rsidRPr="008D207D">
        <w:rPr>
          <w:rFonts w:ascii="Arial" w:hAnsi="Arial" w:cs="Arial"/>
          <w:lang w:val="tr-TR"/>
        </w:rPr>
        <w:t xml:space="preserve"> ve </w:t>
      </w:r>
      <w:r w:rsidR="00380B3E">
        <w:rPr>
          <w:rFonts w:ascii="Arial" w:hAnsi="Arial" w:cs="Arial"/>
          <w:lang w:val="tr-TR"/>
        </w:rPr>
        <w:t xml:space="preserve">31 Aralık </w:t>
      </w:r>
      <w:r w:rsidRPr="008D207D">
        <w:rPr>
          <w:rFonts w:ascii="Arial" w:hAnsi="Arial" w:cs="Arial"/>
          <w:lang w:val="tr-TR"/>
        </w:rPr>
        <w:t>201</w:t>
      </w:r>
      <w:r w:rsidR="00380B3E">
        <w:rPr>
          <w:rFonts w:ascii="Arial" w:hAnsi="Arial" w:cs="Arial"/>
          <w:lang w:val="tr-TR"/>
        </w:rPr>
        <w:t>4</w:t>
      </w:r>
      <w:r w:rsidRPr="008D207D">
        <w:rPr>
          <w:rFonts w:ascii="Arial" w:hAnsi="Arial" w:cs="Arial"/>
          <w:lang w:val="tr-TR"/>
        </w:rPr>
        <w:t xml:space="preserve"> tarihleri </w:t>
      </w:r>
      <w:r>
        <w:rPr>
          <w:rFonts w:ascii="Arial" w:hAnsi="Arial" w:cs="Arial"/>
          <w:lang w:val="tr-TR"/>
        </w:rPr>
        <w:t>itibariyle</w:t>
      </w:r>
      <w:r w:rsidRPr="008D207D">
        <w:rPr>
          <w:rFonts w:ascii="Arial" w:hAnsi="Arial" w:cs="Arial"/>
          <w:lang w:val="tr-TR"/>
        </w:rPr>
        <w:t xml:space="preserve"> vadesi geçen alacağı bulunmamaktadır.</w:t>
      </w:r>
    </w:p>
    <w:p w:rsidR="00D322FB" w:rsidRPr="007B23A1" w:rsidRDefault="00D322FB" w:rsidP="00AE0484">
      <w:pPr>
        <w:pStyle w:val="body0"/>
        <w:spacing w:after="0" w:line="240" w:lineRule="auto"/>
        <w:ind w:left="567" w:hanging="567"/>
        <w:rPr>
          <w:rFonts w:ascii="Arial" w:hAnsi="Arial" w:cs="Arial"/>
          <w:b/>
          <w:spacing w:val="-2"/>
          <w:sz w:val="20"/>
          <w:szCs w:val="20"/>
          <w:lang w:val="tr-TR"/>
        </w:rPr>
      </w:pPr>
      <w:r w:rsidRPr="007B23A1">
        <w:rPr>
          <w:rFonts w:ascii="Arial" w:hAnsi="Arial" w:cs="Arial"/>
          <w:b/>
          <w:spacing w:val="-2"/>
          <w:sz w:val="20"/>
          <w:szCs w:val="20"/>
          <w:lang w:val="tr-TR"/>
        </w:rPr>
        <w:lastRenderedPageBreak/>
        <w:t>24.</w:t>
      </w:r>
      <w:r w:rsidRPr="007B23A1">
        <w:rPr>
          <w:rFonts w:ascii="Arial" w:hAnsi="Arial" w:cs="Arial"/>
          <w:b/>
          <w:spacing w:val="-2"/>
          <w:sz w:val="20"/>
          <w:szCs w:val="20"/>
          <w:lang w:val="tr-TR"/>
        </w:rPr>
        <w:tab/>
        <w:t>Finansal araçlardan kaynaklanan risklerin niteliği ve düzeyi (devamı)</w:t>
      </w:r>
    </w:p>
    <w:p w:rsidR="00D322FB" w:rsidRPr="00727376" w:rsidRDefault="00D322FB" w:rsidP="00AE0484">
      <w:pPr>
        <w:pStyle w:val="body0"/>
        <w:spacing w:after="0" w:line="240" w:lineRule="auto"/>
        <w:ind w:left="567" w:hanging="567"/>
        <w:rPr>
          <w:rFonts w:ascii="Arial" w:hAnsi="Arial" w:cs="Arial"/>
          <w:b/>
          <w:spacing w:val="-2"/>
          <w:sz w:val="20"/>
          <w:szCs w:val="20"/>
          <w:highlight w:val="yellow"/>
          <w:lang w:val="tr-TR"/>
        </w:rPr>
      </w:pPr>
    </w:p>
    <w:p w:rsidR="00D322FB" w:rsidRPr="008732FA" w:rsidRDefault="00D322FB" w:rsidP="007B23A1">
      <w:pPr>
        <w:autoSpaceDE w:val="0"/>
        <w:autoSpaceDN w:val="0"/>
        <w:adjustRightInd w:val="0"/>
        <w:rPr>
          <w:rFonts w:ascii="Arial" w:hAnsi="Arial" w:cs="Arial"/>
          <w:lang w:val="tr-TR"/>
        </w:rPr>
      </w:pPr>
      <w:r w:rsidRPr="008732FA">
        <w:rPr>
          <w:rFonts w:ascii="Arial" w:hAnsi="Arial" w:cs="Arial"/>
          <w:lang w:val="tr-TR"/>
        </w:rPr>
        <w:t xml:space="preserve">31 </w:t>
      </w:r>
      <w:r w:rsidR="00E97FA3">
        <w:rPr>
          <w:rFonts w:ascii="Arial" w:hAnsi="Arial" w:cs="Arial"/>
          <w:lang w:val="tr-TR"/>
        </w:rPr>
        <w:t>Mart</w:t>
      </w:r>
      <w:r w:rsidRPr="008732FA">
        <w:rPr>
          <w:rFonts w:ascii="Arial" w:hAnsi="Arial" w:cs="Arial"/>
          <w:lang w:val="tr-TR"/>
        </w:rPr>
        <w:t xml:space="preserve"> 201</w:t>
      </w:r>
      <w:r w:rsidR="00E97FA3">
        <w:rPr>
          <w:rFonts w:ascii="Arial" w:hAnsi="Arial" w:cs="Arial"/>
          <w:lang w:val="tr-TR"/>
        </w:rPr>
        <w:t>5</w:t>
      </w:r>
      <w:r w:rsidRPr="008732FA">
        <w:rPr>
          <w:rFonts w:ascii="Arial" w:hAnsi="Arial" w:cs="Arial"/>
          <w:lang w:val="tr-TR"/>
        </w:rPr>
        <w:t xml:space="preserve"> </w:t>
      </w:r>
      <w:r>
        <w:rPr>
          <w:rFonts w:ascii="Arial" w:hAnsi="Arial" w:cs="Arial"/>
          <w:lang w:val="tr-TR"/>
        </w:rPr>
        <w:t>tarihi</w:t>
      </w:r>
      <w:r w:rsidRPr="008732FA">
        <w:rPr>
          <w:rFonts w:ascii="Arial" w:hAnsi="Arial" w:cs="Arial"/>
          <w:lang w:val="tr-TR"/>
        </w:rPr>
        <w:t xml:space="preserve"> </w:t>
      </w:r>
      <w:r>
        <w:rPr>
          <w:rFonts w:ascii="Arial" w:hAnsi="Arial" w:cs="Arial"/>
          <w:lang w:val="tr-TR"/>
        </w:rPr>
        <w:t>itibariyle</w:t>
      </w:r>
      <w:r w:rsidRPr="008732FA">
        <w:rPr>
          <w:rFonts w:ascii="Arial" w:hAnsi="Arial" w:cs="Arial"/>
          <w:lang w:val="tr-TR"/>
        </w:rPr>
        <w:t xml:space="preserve"> finansal araç türleri </w:t>
      </w:r>
      <w:r>
        <w:rPr>
          <w:rFonts w:ascii="Arial" w:hAnsi="Arial" w:cs="Arial"/>
          <w:lang w:val="tr-TR"/>
        </w:rPr>
        <w:t>itibariyle</w:t>
      </w:r>
      <w:r w:rsidRPr="008732FA">
        <w:rPr>
          <w:rFonts w:ascii="Arial" w:hAnsi="Arial" w:cs="Arial"/>
          <w:lang w:val="tr-TR"/>
        </w:rPr>
        <w:t xml:space="preserve"> maruz kalınan kredi riskinin detayı aşağıdaki gibidir:</w:t>
      </w:r>
    </w:p>
    <w:p w:rsidR="00D322FB" w:rsidRPr="00727376" w:rsidRDefault="00D322FB" w:rsidP="00AE0484">
      <w:pPr>
        <w:pStyle w:val="body0"/>
        <w:spacing w:after="0" w:line="240" w:lineRule="auto"/>
        <w:ind w:left="567" w:hanging="567"/>
        <w:rPr>
          <w:rFonts w:ascii="Arial" w:hAnsi="Arial" w:cs="Arial"/>
          <w:b/>
          <w:spacing w:val="-2"/>
          <w:sz w:val="20"/>
          <w:szCs w:val="20"/>
          <w:highlight w:val="yellow"/>
          <w:lang w:val="tr-TR"/>
        </w:rPr>
      </w:pPr>
    </w:p>
    <w:tbl>
      <w:tblPr>
        <w:tblW w:w="14015" w:type="dxa"/>
        <w:tblInd w:w="108" w:type="dxa"/>
        <w:tblLook w:val="0000" w:firstRow="0" w:lastRow="0" w:firstColumn="0" w:lastColumn="0" w:noHBand="0" w:noVBand="0"/>
      </w:tblPr>
      <w:tblGrid>
        <w:gridCol w:w="6237"/>
        <w:gridCol w:w="1074"/>
        <w:gridCol w:w="1131"/>
        <w:gridCol w:w="995"/>
        <w:gridCol w:w="993"/>
        <w:gridCol w:w="1213"/>
        <w:gridCol w:w="1456"/>
        <w:gridCol w:w="916"/>
      </w:tblGrid>
      <w:tr w:rsidR="00D322FB" w:rsidRPr="004E3E9D" w:rsidTr="00097910">
        <w:trPr>
          <w:trHeight w:val="113"/>
        </w:trPr>
        <w:tc>
          <w:tcPr>
            <w:tcW w:w="6237" w:type="dxa"/>
            <w:tcBorders>
              <w:top w:val="single" w:sz="4" w:space="0" w:color="auto"/>
              <w:left w:val="nil"/>
              <w:bottom w:val="single" w:sz="4" w:space="0" w:color="auto"/>
              <w:right w:val="nil"/>
            </w:tcBorders>
            <w:noWrap/>
            <w:vAlign w:val="bottom"/>
          </w:tcPr>
          <w:p w:rsidR="00D322FB" w:rsidRPr="004E3E9D" w:rsidRDefault="00D322FB" w:rsidP="006B2665">
            <w:pPr>
              <w:ind w:left="318" w:hanging="426"/>
              <w:rPr>
                <w:rFonts w:ascii="Arial" w:hAnsi="Arial" w:cs="Arial"/>
                <w:bCs/>
                <w:sz w:val="16"/>
                <w:szCs w:val="16"/>
                <w:lang w:val="tr-TR"/>
              </w:rPr>
            </w:pPr>
            <w:r w:rsidRPr="004E3E9D">
              <w:rPr>
                <w:rFonts w:ascii="Arial" w:hAnsi="Arial" w:cs="Arial"/>
                <w:bCs/>
                <w:sz w:val="16"/>
                <w:szCs w:val="16"/>
                <w:lang w:val="tr-TR"/>
              </w:rPr>
              <w:t>Finansal araç türleri itibariyle maruz kalınan kredi riskleri</w:t>
            </w:r>
          </w:p>
        </w:tc>
        <w:tc>
          <w:tcPr>
            <w:tcW w:w="4193" w:type="dxa"/>
            <w:gridSpan w:val="4"/>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bCs/>
                <w:sz w:val="16"/>
                <w:szCs w:val="16"/>
              </w:rPr>
            </w:pPr>
            <w:r w:rsidRPr="004E3E9D">
              <w:rPr>
                <w:rFonts w:ascii="Arial" w:hAnsi="Arial" w:cs="Arial"/>
                <w:b/>
                <w:bCs/>
                <w:sz w:val="16"/>
                <w:szCs w:val="16"/>
              </w:rPr>
              <w:t>Alacaklar</w:t>
            </w:r>
          </w:p>
        </w:tc>
        <w:tc>
          <w:tcPr>
            <w:tcW w:w="1213"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sz w:val="16"/>
                <w:szCs w:val="16"/>
              </w:rPr>
            </w:pPr>
          </w:p>
        </w:tc>
        <w:tc>
          <w:tcPr>
            <w:tcW w:w="1456"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sz w:val="16"/>
                <w:szCs w:val="16"/>
              </w:rPr>
            </w:pPr>
          </w:p>
        </w:tc>
        <w:tc>
          <w:tcPr>
            <w:tcW w:w="916"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sz w:val="16"/>
                <w:szCs w:val="16"/>
              </w:rPr>
            </w:pPr>
          </w:p>
        </w:tc>
      </w:tr>
      <w:tr w:rsidR="00D322FB" w:rsidRPr="004E3E9D" w:rsidTr="00097910">
        <w:trPr>
          <w:trHeight w:val="113"/>
        </w:trPr>
        <w:tc>
          <w:tcPr>
            <w:tcW w:w="6237" w:type="dxa"/>
            <w:tcBorders>
              <w:top w:val="single" w:sz="4" w:space="0" w:color="auto"/>
              <w:left w:val="nil"/>
              <w:bottom w:val="single" w:sz="4" w:space="0" w:color="auto"/>
              <w:right w:val="nil"/>
            </w:tcBorders>
            <w:noWrap/>
            <w:vAlign w:val="bottom"/>
          </w:tcPr>
          <w:p w:rsidR="00D322FB" w:rsidRPr="004E3E9D" w:rsidRDefault="00D322FB" w:rsidP="006B2665">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bCs/>
                <w:sz w:val="16"/>
                <w:szCs w:val="16"/>
              </w:rPr>
            </w:pPr>
            <w:r w:rsidRPr="004E3E9D">
              <w:rPr>
                <w:rFonts w:ascii="Arial" w:hAnsi="Arial" w:cs="Arial"/>
                <w:b/>
                <w:bCs/>
                <w:sz w:val="16"/>
                <w:szCs w:val="16"/>
              </w:rPr>
              <w:t>Ticari alacaklar</w:t>
            </w:r>
          </w:p>
        </w:tc>
        <w:tc>
          <w:tcPr>
            <w:tcW w:w="1988" w:type="dxa"/>
            <w:gridSpan w:val="2"/>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bCs/>
                <w:sz w:val="16"/>
                <w:szCs w:val="16"/>
              </w:rPr>
            </w:pPr>
            <w:r w:rsidRPr="004E3E9D">
              <w:rPr>
                <w:rFonts w:ascii="Arial" w:hAnsi="Arial" w:cs="Arial"/>
                <w:b/>
                <w:bCs/>
                <w:sz w:val="16"/>
                <w:szCs w:val="16"/>
              </w:rPr>
              <w:t>Diğer alacaklar</w:t>
            </w:r>
          </w:p>
        </w:tc>
        <w:tc>
          <w:tcPr>
            <w:tcW w:w="1213"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sz w:val="16"/>
                <w:szCs w:val="16"/>
              </w:rPr>
            </w:pPr>
          </w:p>
        </w:tc>
        <w:tc>
          <w:tcPr>
            <w:tcW w:w="1456"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sz w:val="16"/>
                <w:szCs w:val="16"/>
              </w:rPr>
            </w:pPr>
          </w:p>
        </w:tc>
        <w:tc>
          <w:tcPr>
            <w:tcW w:w="916"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sz w:val="16"/>
                <w:szCs w:val="16"/>
              </w:rPr>
            </w:pPr>
          </w:p>
        </w:tc>
      </w:tr>
      <w:tr w:rsidR="00D322FB" w:rsidRPr="004E3E9D" w:rsidTr="00097910">
        <w:trPr>
          <w:trHeight w:val="113"/>
        </w:trPr>
        <w:tc>
          <w:tcPr>
            <w:tcW w:w="6237" w:type="dxa"/>
            <w:tcBorders>
              <w:top w:val="single" w:sz="4" w:space="0" w:color="auto"/>
              <w:left w:val="nil"/>
              <w:bottom w:val="single" w:sz="4" w:space="0" w:color="auto"/>
              <w:right w:val="nil"/>
            </w:tcBorders>
            <w:noWrap/>
            <w:vAlign w:val="bottom"/>
          </w:tcPr>
          <w:p w:rsidR="00D322FB" w:rsidRPr="004E3E9D" w:rsidRDefault="00D322FB" w:rsidP="00E97FA3">
            <w:pPr>
              <w:ind w:left="318" w:hanging="426"/>
              <w:rPr>
                <w:rFonts w:ascii="Arial" w:hAnsi="Arial" w:cs="Arial"/>
                <w:bCs/>
                <w:sz w:val="16"/>
                <w:szCs w:val="16"/>
              </w:rPr>
            </w:pPr>
            <w:r w:rsidRPr="004E3E9D">
              <w:rPr>
                <w:rFonts w:ascii="Arial" w:hAnsi="Arial" w:cs="Arial"/>
                <w:bCs/>
                <w:sz w:val="16"/>
                <w:szCs w:val="16"/>
              </w:rPr>
              <w:t xml:space="preserve">31 </w:t>
            </w:r>
            <w:r w:rsidR="00E97FA3">
              <w:rPr>
                <w:rFonts w:ascii="Arial" w:hAnsi="Arial" w:cs="Arial"/>
                <w:bCs/>
                <w:sz w:val="16"/>
                <w:szCs w:val="16"/>
              </w:rPr>
              <w:t>Mart</w:t>
            </w:r>
            <w:r w:rsidRPr="004E3E9D">
              <w:rPr>
                <w:rFonts w:ascii="Arial" w:hAnsi="Arial" w:cs="Arial"/>
                <w:bCs/>
                <w:sz w:val="16"/>
                <w:szCs w:val="16"/>
              </w:rPr>
              <w:t xml:space="preserve"> 2014</w:t>
            </w:r>
          </w:p>
        </w:tc>
        <w:tc>
          <w:tcPr>
            <w:tcW w:w="1074"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bCs/>
                <w:sz w:val="16"/>
                <w:szCs w:val="16"/>
              </w:rPr>
            </w:pPr>
            <w:r w:rsidRPr="004E3E9D">
              <w:rPr>
                <w:rFonts w:ascii="Arial" w:hAnsi="Arial" w:cs="Arial"/>
                <w:b/>
                <w:bCs/>
                <w:sz w:val="16"/>
                <w:szCs w:val="16"/>
              </w:rPr>
              <w:t>İlişkili taraf</w:t>
            </w:r>
          </w:p>
        </w:tc>
        <w:tc>
          <w:tcPr>
            <w:tcW w:w="1131"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bCs/>
                <w:sz w:val="16"/>
                <w:szCs w:val="16"/>
              </w:rPr>
            </w:pPr>
            <w:r w:rsidRPr="004E3E9D">
              <w:rPr>
                <w:rFonts w:ascii="Arial" w:hAnsi="Arial" w:cs="Arial"/>
                <w:b/>
                <w:bCs/>
                <w:sz w:val="16"/>
                <w:szCs w:val="16"/>
              </w:rPr>
              <w:t>Diğer taraf</w:t>
            </w:r>
          </w:p>
        </w:tc>
        <w:tc>
          <w:tcPr>
            <w:tcW w:w="995"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bCs/>
                <w:sz w:val="16"/>
                <w:szCs w:val="16"/>
              </w:rPr>
            </w:pPr>
            <w:r w:rsidRPr="004E3E9D">
              <w:rPr>
                <w:rFonts w:ascii="Arial" w:hAnsi="Arial" w:cs="Arial"/>
                <w:b/>
                <w:bCs/>
                <w:sz w:val="16"/>
                <w:szCs w:val="16"/>
              </w:rPr>
              <w:t>İlişkili taraf</w:t>
            </w:r>
          </w:p>
        </w:tc>
        <w:tc>
          <w:tcPr>
            <w:tcW w:w="993" w:type="dxa"/>
            <w:tcBorders>
              <w:top w:val="single" w:sz="4" w:space="0" w:color="auto"/>
              <w:left w:val="nil"/>
              <w:bottom w:val="single" w:sz="4" w:space="0" w:color="auto"/>
              <w:right w:val="nil"/>
            </w:tcBorders>
            <w:noWrap/>
            <w:vAlign w:val="bottom"/>
          </w:tcPr>
          <w:p w:rsidR="00D322FB" w:rsidRPr="004E3E9D" w:rsidRDefault="00D322FB" w:rsidP="00E83219">
            <w:pPr>
              <w:jc w:val="right"/>
              <w:rPr>
                <w:rFonts w:ascii="Arial" w:hAnsi="Arial" w:cs="Arial"/>
                <w:b/>
                <w:bCs/>
                <w:sz w:val="16"/>
                <w:szCs w:val="16"/>
              </w:rPr>
            </w:pPr>
            <w:r w:rsidRPr="004E3E9D">
              <w:rPr>
                <w:rFonts w:ascii="Arial" w:hAnsi="Arial" w:cs="Arial"/>
                <w:b/>
                <w:bCs/>
                <w:sz w:val="16"/>
                <w:szCs w:val="16"/>
              </w:rPr>
              <w:t>Diğer taraf</w:t>
            </w:r>
          </w:p>
        </w:tc>
        <w:tc>
          <w:tcPr>
            <w:tcW w:w="1213" w:type="dxa"/>
            <w:tcBorders>
              <w:top w:val="single" w:sz="4" w:space="0" w:color="auto"/>
              <w:left w:val="nil"/>
              <w:bottom w:val="single" w:sz="4" w:space="0" w:color="auto"/>
              <w:right w:val="nil"/>
            </w:tcBorders>
            <w:vAlign w:val="bottom"/>
          </w:tcPr>
          <w:p w:rsidR="00D322FB" w:rsidRPr="004E3E9D" w:rsidRDefault="00D322FB" w:rsidP="00E83219">
            <w:pPr>
              <w:jc w:val="right"/>
              <w:rPr>
                <w:rFonts w:ascii="Arial" w:hAnsi="Arial" w:cs="Arial"/>
                <w:b/>
                <w:bCs/>
                <w:sz w:val="16"/>
                <w:szCs w:val="16"/>
              </w:rPr>
            </w:pPr>
            <w:r w:rsidRPr="004E3E9D">
              <w:rPr>
                <w:rFonts w:ascii="Arial" w:hAnsi="Arial" w:cs="Arial"/>
                <w:b/>
                <w:bCs/>
                <w:sz w:val="16"/>
                <w:szCs w:val="16"/>
              </w:rPr>
              <w:t>Bankalardaki mevduat</w:t>
            </w:r>
          </w:p>
        </w:tc>
        <w:tc>
          <w:tcPr>
            <w:tcW w:w="1456" w:type="dxa"/>
            <w:tcBorders>
              <w:top w:val="single" w:sz="4" w:space="0" w:color="auto"/>
              <w:left w:val="nil"/>
              <w:bottom w:val="single" w:sz="4" w:space="0" w:color="auto"/>
              <w:right w:val="nil"/>
            </w:tcBorders>
            <w:noWrap/>
            <w:vAlign w:val="bottom"/>
          </w:tcPr>
          <w:p w:rsidR="00D322FB" w:rsidRPr="004E3E9D" w:rsidRDefault="00D322FB" w:rsidP="00E125AB">
            <w:pPr>
              <w:ind w:left="-108"/>
              <w:jc w:val="right"/>
              <w:rPr>
                <w:rFonts w:ascii="Arial" w:hAnsi="Arial" w:cs="Arial"/>
                <w:b/>
                <w:bCs/>
                <w:sz w:val="16"/>
                <w:szCs w:val="14"/>
              </w:rPr>
            </w:pPr>
            <w:r w:rsidRPr="004E3E9D">
              <w:rPr>
                <w:rFonts w:ascii="Arial" w:hAnsi="Arial" w:cs="Arial"/>
                <w:b/>
                <w:bCs/>
                <w:sz w:val="16"/>
                <w:szCs w:val="14"/>
              </w:rPr>
              <w:t xml:space="preserve">Finansal </w:t>
            </w:r>
          </w:p>
          <w:p w:rsidR="00D322FB" w:rsidRPr="004E3E9D" w:rsidRDefault="00D322FB" w:rsidP="00E125AB">
            <w:pPr>
              <w:ind w:left="-108"/>
              <w:jc w:val="right"/>
              <w:rPr>
                <w:rFonts w:ascii="Arial" w:hAnsi="Arial" w:cs="Arial"/>
                <w:b/>
                <w:bCs/>
                <w:sz w:val="16"/>
                <w:szCs w:val="14"/>
              </w:rPr>
            </w:pPr>
            <w:r w:rsidRPr="004E3E9D">
              <w:rPr>
                <w:rFonts w:ascii="Arial" w:hAnsi="Arial" w:cs="Arial"/>
                <w:b/>
                <w:bCs/>
                <w:sz w:val="16"/>
                <w:szCs w:val="14"/>
              </w:rPr>
              <w:t>yatırımlar</w:t>
            </w:r>
          </w:p>
        </w:tc>
        <w:tc>
          <w:tcPr>
            <w:tcW w:w="916" w:type="dxa"/>
            <w:tcBorders>
              <w:top w:val="single" w:sz="4" w:space="0" w:color="auto"/>
              <w:left w:val="nil"/>
              <w:bottom w:val="single" w:sz="4" w:space="0" w:color="auto"/>
              <w:right w:val="nil"/>
            </w:tcBorders>
            <w:noWrap/>
            <w:vAlign w:val="bottom"/>
          </w:tcPr>
          <w:p w:rsidR="00D322FB" w:rsidRPr="004E3E9D" w:rsidRDefault="00D322FB" w:rsidP="00E125AB">
            <w:pPr>
              <w:ind w:left="-108"/>
              <w:jc w:val="right"/>
              <w:rPr>
                <w:rFonts w:ascii="Arial" w:hAnsi="Arial" w:cs="Arial"/>
                <w:b/>
                <w:bCs/>
                <w:sz w:val="16"/>
                <w:szCs w:val="14"/>
              </w:rPr>
            </w:pPr>
            <w:r w:rsidRPr="004E3E9D">
              <w:rPr>
                <w:rFonts w:ascii="Arial" w:hAnsi="Arial" w:cs="Arial"/>
                <w:b/>
                <w:bCs/>
                <w:sz w:val="16"/>
                <w:szCs w:val="14"/>
              </w:rPr>
              <w:t>Diğer</w:t>
            </w:r>
          </w:p>
          <w:p w:rsidR="00D322FB" w:rsidRPr="004E3E9D" w:rsidRDefault="00D322FB" w:rsidP="00E125AB">
            <w:pPr>
              <w:ind w:left="-108"/>
              <w:jc w:val="right"/>
              <w:rPr>
                <w:rFonts w:ascii="Arial" w:hAnsi="Arial" w:cs="Arial"/>
                <w:b/>
                <w:bCs/>
                <w:sz w:val="16"/>
                <w:szCs w:val="14"/>
              </w:rPr>
            </w:pPr>
            <w:r w:rsidRPr="004E3E9D">
              <w:rPr>
                <w:rFonts w:ascii="Arial" w:hAnsi="Arial" w:cs="Arial"/>
                <w:b/>
                <w:bCs/>
                <w:sz w:val="16"/>
                <w:szCs w:val="14"/>
              </w:rPr>
              <w:t>(**)</w:t>
            </w:r>
          </w:p>
        </w:tc>
      </w:tr>
      <w:tr w:rsidR="00D322FB" w:rsidRPr="004E3E9D" w:rsidTr="00097910">
        <w:trPr>
          <w:trHeight w:val="113"/>
        </w:trPr>
        <w:tc>
          <w:tcPr>
            <w:tcW w:w="6237" w:type="dxa"/>
            <w:tcBorders>
              <w:top w:val="single" w:sz="4" w:space="0" w:color="auto"/>
              <w:left w:val="nil"/>
              <w:bottom w:val="nil"/>
              <w:right w:val="nil"/>
            </w:tcBorders>
            <w:noWrap/>
            <w:vAlign w:val="bottom"/>
          </w:tcPr>
          <w:p w:rsidR="00D322FB" w:rsidRPr="004E3E9D" w:rsidRDefault="00D322FB" w:rsidP="006B2665">
            <w:pPr>
              <w:ind w:left="318" w:hanging="426"/>
              <w:rPr>
                <w:rFonts w:ascii="Arial" w:hAnsi="Arial" w:cs="Arial"/>
                <w:sz w:val="16"/>
                <w:szCs w:val="16"/>
              </w:rPr>
            </w:pPr>
          </w:p>
        </w:tc>
        <w:tc>
          <w:tcPr>
            <w:tcW w:w="1074" w:type="dxa"/>
            <w:tcBorders>
              <w:top w:val="single" w:sz="4" w:space="0" w:color="auto"/>
              <w:left w:val="nil"/>
              <w:bottom w:val="nil"/>
              <w:right w:val="nil"/>
            </w:tcBorders>
            <w:noWrap/>
            <w:vAlign w:val="bottom"/>
          </w:tcPr>
          <w:p w:rsidR="00D322FB" w:rsidRPr="004E3E9D" w:rsidRDefault="00D322FB" w:rsidP="00E83219">
            <w:pPr>
              <w:jc w:val="right"/>
              <w:rPr>
                <w:rFonts w:ascii="Arial" w:hAnsi="Arial" w:cs="Arial"/>
                <w:b/>
                <w:sz w:val="16"/>
                <w:szCs w:val="16"/>
              </w:rPr>
            </w:pPr>
          </w:p>
        </w:tc>
        <w:tc>
          <w:tcPr>
            <w:tcW w:w="1131" w:type="dxa"/>
            <w:tcBorders>
              <w:top w:val="single" w:sz="4" w:space="0" w:color="auto"/>
              <w:left w:val="nil"/>
              <w:bottom w:val="nil"/>
              <w:right w:val="nil"/>
            </w:tcBorders>
            <w:noWrap/>
            <w:vAlign w:val="bottom"/>
          </w:tcPr>
          <w:p w:rsidR="00D322FB" w:rsidRPr="004E3E9D" w:rsidRDefault="00D322FB" w:rsidP="00E83219">
            <w:pPr>
              <w:jc w:val="right"/>
              <w:rPr>
                <w:rFonts w:ascii="Arial" w:hAnsi="Arial" w:cs="Arial"/>
                <w:b/>
                <w:sz w:val="16"/>
                <w:szCs w:val="16"/>
              </w:rPr>
            </w:pPr>
          </w:p>
        </w:tc>
        <w:tc>
          <w:tcPr>
            <w:tcW w:w="995" w:type="dxa"/>
            <w:tcBorders>
              <w:top w:val="single" w:sz="4" w:space="0" w:color="auto"/>
              <w:left w:val="nil"/>
              <w:bottom w:val="nil"/>
              <w:right w:val="nil"/>
            </w:tcBorders>
            <w:noWrap/>
            <w:vAlign w:val="bottom"/>
          </w:tcPr>
          <w:p w:rsidR="00D322FB" w:rsidRPr="004E3E9D" w:rsidRDefault="00D322FB" w:rsidP="00E83219">
            <w:pPr>
              <w:jc w:val="right"/>
              <w:rPr>
                <w:rFonts w:ascii="Arial" w:hAnsi="Arial" w:cs="Arial"/>
                <w:b/>
                <w:sz w:val="16"/>
                <w:szCs w:val="16"/>
              </w:rPr>
            </w:pPr>
          </w:p>
        </w:tc>
        <w:tc>
          <w:tcPr>
            <w:tcW w:w="993" w:type="dxa"/>
            <w:tcBorders>
              <w:top w:val="single" w:sz="4" w:space="0" w:color="auto"/>
              <w:left w:val="nil"/>
              <w:bottom w:val="nil"/>
              <w:right w:val="nil"/>
            </w:tcBorders>
            <w:noWrap/>
            <w:vAlign w:val="bottom"/>
          </w:tcPr>
          <w:p w:rsidR="00D322FB" w:rsidRPr="004E3E9D" w:rsidRDefault="00D322FB" w:rsidP="00E83219">
            <w:pPr>
              <w:jc w:val="right"/>
              <w:rPr>
                <w:rFonts w:ascii="Arial" w:hAnsi="Arial" w:cs="Arial"/>
                <w:b/>
                <w:sz w:val="16"/>
                <w:szCs w:val="16"/>
              </w:rPr>
            </w:pPr>
          </w:p>
        </w:tc>
        <w:tc>
          <w:tcPr>
            <w:tcW w:w="1213" w:type="dxa"/>
            <w:tcBorders>
              <w:top w:val="single" w:sz="4" w:space="0" w:color="auto"/>
              <w:left w:val="nil"/>
              <w:bottom w:val="nil"/>
              <w:right w:val="nil"/>
            </w:tcBorders>
            <w:noWrap/>
            <w:vAlign w:val="bottom"/>
          </w:tcPr>
          <w:p w:rsidR="00D322FB" w:rsidRPr="004E3E9D" w:rsidRDefault="00D322FB" w:rsidP="00E83219">
            <w:pPr>
              <w:jc w:val="right"/>
              <w:rPr>
                <w:rFonts w:ascii="Arial" w:hAnsi="Arial" w:cs="Arial"/>
                <w:b/>
                <w:sz w:val="16"/>
                <w:szCs w:val="16"/>
              </w:rPr>
            </w:pPr>
          </w:p>
        </w:tc>
        <w:tc>
          <w:tcPr>
            <w:tcW w:w="1456" w:type="dxa"/>
            <w:tcBorders>
              <w:top w:val="single" w:sz="4" w:space="0" w:color="auto"/>
              <w:left w:val="nil"/>
              <w:bottom w:val="nil"/>
              <w:right w:val="nil"/>
            </w:tcBorders>
            <w:noWrap/>
            <w:vAlign w:val="bottom"/>
          </w:tcPr>
          <w:p w:rsidR="00D322FB" w:rsidRPr="004E3E9D" w:rsidRDefault="00D322FB" w:rsidP="00E83219">
            <w:pPr>
              <w:jc w:val="right"/>
              <w:rPr>
                <w:rFonts w:ascii="Arial" w:hAnsi="Arial" w:cs="Arial"/>
                <w:b/>
                <w:sz w:val="16"/>
                <w:szCs w:val="16"/>
              </w:rPr>
            </w:pPr>
          </w:p>
        </w:tc>
        <w:tc>
          <w:tcPr>
            <w:tcW w:w="916" w:type="dxa"/>
            <w:tcBorders>
              <w:top w:val="single" w:sz="4" w:space="0" w:color="auto"/>
              <w:left w:val="nil"/>
              <w:bottom w:val="nil"/>
              <w:right w:val="nil"/>
            </w:tcBorders>
            <w:noWrap/>
            <w:vAlign w:val="bottom"/>
          </w:tcPr>
          <w:p w:rsidR="00D322FB" w:rsidRPr="004E3E9D" w:rsidRDefault="00D322FB" w:rsidP="00E83219">
            <w:pPr>
              <w:jc w:val="right"/>
              <w:rPr>
                <w:rFonts w:ascii="Arial" w:hAnsi="Arial" w:cs="Arial"/>
                <w:b/>
                <w:sz w:val="16"/>
                <w:szCs w:val="16"/>
              </w:rPr>
            </w:pP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Raporlama tarihi itibariyle maruz kalınan azami kredi riski (*)</w:t>
            </w:r>
          </w:p>
        </w:tc>
        <w:tc>
          <w:tcPr>
            <w:tcW w:w="1074" w:type="dxa"/>
            <w:tcBorders>
              <w:top w:val="nil"/>
              <w:left w:val="nil"/>
              <w:bottom w:val="nil"/>
              <w:right w:val="nil"/>
            </w:tcBorders>
            <w:noWrap/>
            <w:vAlign w:val="bottom"/>
          </w:tcPr>
          <w:p w:rsidR="00D322FB" w:rsidRDefault="00D322FB" w:rsidP="00380B3E">
            <w:pPr>
              <w:jc w:val="right"/>
              <w:rPr>
                <w:rFonts w:ascii="Arial" w:hAnsi="Arial" w:cs="Arial"/>
                <w:b/>
                <w:bCs/>
                <w:color w:val="000000"/>
                <w:sz w:val="16"/>
                <w:szCs w:val="16"/>
              </w:rPr>
            </w:pPr>
            <w:r>
              <w:rPr>
                <w:rFonts w:ascii="Arial" w:hAnsi="Arial" w:cs="Arial"/>
                <w:b/>
                <w:bCs/>
                <w:color w:val="000000"/>
                <w:sz w:val="16"/>
                <w:szCs w:val="16"/>
              </w:rPr>
              <w:t xml:space="preserve">                           </w:t>
            </w:r>
            <w:r w:rsidR="00380B3E">
              <w:rPr>
                <w:rFonts w:ascii="Arial" w:hAnsi="Arial" w:cs="Arial"/>
                <w:b/>
                <w:bCs/>
                <w:color w:val="000000"/>
                <w:sz w:val="16"/>
                <w:szCs w:val="16"/>
              </w:rPr>
              <w:t>3.724</w:t>
            </w:r>
            <w:r>
              <w:rPr>
                <w:rFonts w:ascii="Arial" w:hAnsi="Arial" w:cs="Arial"/>
                <w:b/>
                <w:bCs/>
                <w:color w:val="000000"/>
                <w:sz w:val="16"/>
                <w:szCs w:val="16"/>
              </w:rPr>
              <w:t xml:space="preserve"> </w:t>
            </w:r>
          </w:p>
        </w:tc>
        <w:tc>
          <w:tcPr>
            <w:tcW w:w="1131" w:type="dxa"/>
            <w:tcBorders>
              <w:top w:val="nil"/>
              <w:left w:val="nil"/>
              <w:bottom w:val="nil"/>
              <w:right w:val="nil"/>
            </w:tcBorders>
            <w:noWrap/>
            <w:vAlign w:val="bottom"/>
          </w:tcPr>
          <w:p w:rsidR="00D322FB" w:rsidRDefault="00D322FB" w:rsidP="00380B3E">
            <w:pPr>
              <w:jc w:val="right"/>
              <w:rPr>
                <w:rFonts w:ascii="Arial" w:hAnsi="Arial" w:cs="Arial"/>
                <w:b/>
                <w:bCs/>
                <w:color w:val="000000"/>
                <w:sz w:val="16"/>
                <w:szCs w:val="16"/>
              </w:rPr>
            </w:pPr>
            <w:r>
              <w:rPr>
                <w:rFonts w:ascii="Arial" w:hAnsi="Arial" w:cs="Arial"/>
                <w:b/>
                <w:bCs/>
                <w:color w:val="000000"/>
                <w:sz w:val="16"/>
                <w:szCs w:val="16"/>
              </w:rPr>
              <w:t xml:space="preserve">                                        </w:t>
            </w:r>
            <w:r w:rsidR="00380B3E">
              <w:rPr>
                <w:rFonts w:ascii="Arial" w:hAnsi="Arial" w:cs="Arial"/>
                <w:b/>
                <w:bCs/>
                <w:color w:val="000000"/>
                <w:sz w:val="16"/>
                <w:szCs w:val="16"/>
              </w:rPr>
              <w:t>7.748</w:t>
            </w:r>
            <w:r>
              <w:rPr>
                <w:rFonts w:ascii="Arial" w:hAnsi="Arial" w:cs="Arial"/>
                <w:b/>
                <w:bCs/>
                <w:color w:val="000000"/>
                <w:sz w:val="16"/>
                <w:szCs w:val="16"/>
              </w:rPr>
              <w:t xml:space="preserve">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552.057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99.348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572.405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 Azami riskin teminat, vs ile güvence altına alınmış kısmı</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r>
      <w:tr w:rsidR="00D322FB" w:rsidRPr="004E3E9D" w:rsidTr="00F30D9A">
        <w:trPr>
          <w:trHeight w:val="113"/>
        </w:trPr>
        <w:tc>
          <w:tcPr>
            <w:tcW w:w="6237" w:type="dxa"/>
            <w:tcBorders>
              <w:top w:val="nil"/>
              <w:left w:val="nil"/>
              <w:bottom w:val="nil"/>
              <w:right w:val="nil"/>
            </w:tcBorders>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noWrap/>
            <w:vAlign w:val="bottom"/>
          </w:tcPr>
          <w:p w:rsidR="00D322FB" w:rsidRDefault="00D322FB" w:rsidP="00380B3E">
            <w:pPr>
              <w:jc w:val="right"/>
              <w:rPr>
                <w:rFonts w:ascii="Arial" w:hAnsi="Arial" w:cs="Arial"/>
                <w:b/>
                <w:bCs/>
                <w:color w:val="000000"/>
                <w:sz w:val="16"/>
                <w:szCs w:val="16"/>
              </w:rPr>
            </w:pPr>
            <w:r>
              <w:rPr>
                <w:rFonts w:ascii="Arial" w:hAnsi="Arial" w:cs="Arial"/>
                <w:b/>
                <w:bCs/>
                <w:color w:val="000000"/>
                <w:sz w:val="16"/>
                <w:szCs w:val="16"/>
              </w:rPr>
              <w:t xml:space="preserve">                           </w:t>
            </w:r>
            <w:r w:rsidR="00380B3E">
              <w:rPr>
                <w:rFonts w:ascii="Arial" w:hAnsi="Arial" w:cs="Arial"/>
                <w:b/>
                <w:bCs/>
                <w:color w:val="000000"/>
                <w:sz w:val="16"/>
                <w:szCs w:val="16"/>
              </w:rPr>
              <w:t>3.724</w:t>
            </w:r>
            <w:r>
              <w:rPr>
                <w:rFonts w:ascii="Arial" w:hAnsi="Arial" w:cs="Arial"/>
                <w:b/>
                <w:bCs/>
                <w:color w:val="000000"/>
                <w:sz w:val="16"/>
                <w:szCs w:val="16"/>
              </w:rPr>
              <w:t xml:space="preserve"> </w:t>
            </w:r>
          </w:p>
        </w:tc>
        <w:tc>
          <w:tcPr>
            <w:tcW w:w="1131" w:type="dxa"/>
            <w:tcBorders>
              <w:top w:val="nil"/>
              <w:left w:val="nil"/>
              <w:bottom w:val="nil"/>
              <w:right w:val="nil"/>
            </w:tcBorders>
            <w:noWrap/>
            <w:vAlign w:val="bottom"/>
          </w:tcPr>
          <w:p w:rsidR="00D322FB" w:rsidRDefault="00D322FB" w:rsidP="00380B3E">
            <w:pPr>
              <w:jc w:val="right"/>
              <w:rPr>
                <w:rFonts w:ascii="Arial" w:hAnsi="Arial" w:cs="Arial"/>
                <w:b/>
                <w:bCs/>
                <w:color w:val="000000"/>
                <w:sz w:val="16"/>
                <w:szCs w:val="16"/>
              </w:rPr>
            </w:pPr>
            <w:r>
              <w:rPr>
                <w:rFonts w:ascii="Arial" w:hAnsi="Arial" w:cs="Arial"/>
                <w:b/>
                <w:bCs/>
                <w:color w:val="000000"/>
                <w:sz w:val="16"/>
                <w:szCs w:val="16"/>
              </w:rPr>
              <w:t xml:space="preserve">                                        </w:t>
            </w:r>
            <w:r w:rsidR="00380B3E">
              <w:rPr>
                <w:rFonts w:ascii="Arial" w:hAnsi="Arial" w:cs="Arial"/>
                <w:b/>
                <w:bCs/>
                <w:color w:val="000000"/>
                <w:sz w:val="16"/>
                <w:szCs w:val="16"/>
              </w:rPr>
              <w:t>7.748</w:t>
            </w:r>
            <w:r>
              <w:rPr>
                <w:rFonts w:ascii="Arial" w:hAnsi="Arial" w:cs="Arial"/>
                <w:b/>
                <w:bCs/>
                <w:color w:val="000000"/>
                <w:sz w:val="16"/>
                <w:szCs w:val="16"/>
              </w:rPr>
              <w:t xml:space="preserve">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552.057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99.348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572.405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r>
      <w:tr w:rsidR="00D322FB" w:rsidRPr="004E3E9D" w:rsidTr="00F30D9A">
        <w:trPr>
          <w:trHeight w:val="113"/>
        </w:trPr>
        <w:tc>
          <w:tcPr>
            <w:tcW w:w="6237" w:type="dxa"/>
            <w:tcBorders>
              <w:top w:val="nil"/>
              <w:left w:val="nil"/>
              <w:bottom w:val="nil"/>
              <w:right w:val="nil"/>
            </w:tcBorders>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r>
      <w:tr w:rsidR="00D322FB" w:rsidRPr="004E3E9D" w:rsidTr="00F30D9A">
        <w:trPr>
          <w:trHeight w:val="113"/>
        </w:trPr>
        <w:tc>
          <w:tcPr>
            <w:tcW w:w="6237" w:type="dxa"/>
            <w:tcBorders>
              <w:top w:val="nil"/>
              <w:left w:val="nil"/>
              <w:bottom w:val="nil"/>
              <w:right w:val="nil"/>
            </w:tcBorders>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 teminat, vs ile güvence altına alınmış kısmı</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D. Değer düşüklüğüne uğrayan varlıkların net defter değerleri</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r>
      <w:tr w:rsidR="00D322FB" w:rsidRPr="004E3E9D" w:rsidTr="00F30D9A">
        <w:trPr>
          <w:trHeight w:val="113"/>
        </w:trPr>
        <w:tc>
          <w:tcPr>
            <w:tcW w:w="6237" w:type="dxa"/>
            <w:tcBorders>
              <w:top w:val="nil"/>
              <w:left w:val="nil"/>
              <w:bottom w:val="nil"/>
              <w:right w:val="nil"/>
            </w:tcBorders>
            <w:noWrap/>
            <w:vAlign w:val="bottom"/>
          </w:tcPr>
          <w:p w:rsidR="00D322FB" w:rsidRPr="00842630" w:rsidRDefault="00D322FB" w:rsidP="006B2665">
            <w:pPr>
              <w:ind w:left="318" w:hanging="426"/>
              <w:rPr>
                <w:rFonts w:ascii="Arial" w:hAnsi="Arial" w:cs="Arial"/>
                <w:sz w:val="16"/>
                <w:szCs w:val="16"/>
                <w:lang w:val="de-DE"/>
              </w:rPr>
            </w:pPr>
            <w:r w:rsidRPr="00842630">
              <w:rPr>
                <w:rFonts w:ascii="Arial" w:hAnsi="Arial" w:cs="Arial"/>
                <w:sz w:val="16"/>
                <w:szCs w:val="16"/>
                <w:lang w:val="de-DE"/>
              </w:rPr>
              <w:t>- Vadesi geçmiş (brüt defter değeri)</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sidRPr="00842630">
              <w:rPr>
                <w:rFonts w:ascii="Arial" w:hAnsi="Arial" w:cs="Arial"/>
                <w:b/>
                <w:bCs/>
                <w:color w:val="000000"/>
                <w:sz w:val="16"/>
                <w:szCs w:val="16"/>
                <w:lang w:val="de-DE"/>
              </w:rPr>
              <w:t xml:space="preserve"> </w:t>
            </w:r>
            <w:r>
              <w:rPr>
                <w:rFonts w:ascii="Arial" w:hAnsi="Arial" w:cs="Arial"/>
                <w:b/>
                <w:bCs/>
                <w:color w:val="000000"/>
                <w:sz w:val="16"/>
                <w:szCs w:val="16"/>
              </w:rPr>
              <w:t xml:space="preserve">-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 Değer düşüklüğü (-)</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 Net değerin teminat, vs ile güvence altına alınmış kısmı</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 Vadesi geçmemiş (brüt defter değeri)</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 Değer düşüklüğü (-)</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r w:rsidRPr="004E3E9D">
              <w:rPr>
                <w:rFonts w:ascii="Arial" w:hAnsi="Arial" w:cs="Arial"/>
                <w:sz w:val="16"/>
                <w:szCs w:val="16"/>
              </w:rPr>
              <w:t>- Net değerin teminat, vs ile güvence altına alınmış kısmı</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322FB" w:rsidRPr="004E3E9D" w:rsidTr="00F30D9A">
        <w:trPr>
          <w:trHeight w:val="113"/>
        </w:trPr>
        <w:tc>
          <w:tcPr>
            <w:tcW w:w="6237" w:type="dxa"/>
            <w:tcBorders>
              <w:top w:val="nil"/>
              <w:left w:val="nil"/>
              <w:bottom w:val="nil"/>
              <w:right w:val="nil"/>
            </w:tcBorders>
            <w:noWrap/>
            <w:vAlign w:val="bottom"/>
          </w:tcPr>
          <w:p w:rsidR="00D322FB" w:rsidRPr="004E3E9D" w:rsidRDefault="00D322FB" w:rsidP="006B2665">
            <w:pPr>
              <w:ind w:left="318" w:hanging="426"/>
              <w:rPr>
                <w:rFonts w:ascii="Arial" w:hAnsi="Arial" w:cs="Arial"/>
                <w:sz w:val="16"/>
                <w:szCs w:val="16"/>
              </w:rPr>
            </w:pP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p>
        </w:tc>
      </w:tr>
      <w:tr w:rsidR="00D322FB" w:rsidRPr="004E3E9D" w:rsidTr="00F30D9A">
        <w:trPr>
          <w:trHeight w:val="113"/>
        </w:trPr>
        <w:tc>
          <w:tcPr>
            <w:tcW w:w="6237" w:type="dxa"/>
            <w:tcBorders>
              <w:top w:val="nil"/>
              <w:left w:val="nil"/>
              <w:bottom w:val="nil"/>
              <w:right w:val="nil"/>
            </w:tcBorders>
            <w:noWrap/>
            <w:vAlign w:val="bottom"/>
          </w:tcPr>
          <w:p w:rsidR="00D322FB" w:rsidRPr="00842630" w:rsidRDefault="00D322FB" w:rsidP="006B2665">
            <w:pPr>
              <w:ind w:left="318" w:hanging="426"/>
              <w:rPr>
                <w:rFonts w:ascii="Arial" w:hAnsi="Arial" w:cs="Arial"/>
                <w:sz w:val="16"/>
                <w:szCs w:val="16"/>
                <w:lang w:val="de-DE"/>
              </w:rPr>
            </w:pPr>
            <w:r w:rsidRPr="00842630">
              <w:rPr>
                <w:rFonts w:ascii="Arial" w:hAnsi="Arial" w:cs="Arial"/>
                <w:sz w:val="16"/>
                <w:szCs w:val="16"/>
                <w:lang w:val="de-DE"/>
              </w:rPr>
              <w:t>E. Bilanço dışı kredi riski içeren unsurlar</w:t>
            </w:r>
          </w:p>
        </w:tc>
        <w:tc>
          <w:tcPr>
            <w:tcW w:w="1074"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sidRPr="00842630">
              <w:rPr>
                <w:rFonts w:ascii="Arial" w:hAnsi="Arial" w:cs="Arial"/>
                <w:b/>
                <w:bCs/>
                <w:color w:val="000000"/>
                <w:sz w:val="16"/>
                <w:szCs w:val="16"/>
                <w:lang w:val="de-DE"/>
              </w:rPr>
              <w:t xml:space="preserve"> </w:t>
            </w:r>
            <w:r>
              <w:rPr>
                <w:rFonts w:ascii="Arial" w:hAnsi="Arial" w:cs="Arial"/>
                <w:b/>
                <w:bCs/>
                <w:color w:val="000000"/>
                <w:sz w:val="16"/>
                <w:szCs w:val="16"/>
              </w:rPr>
              <w:t xml:space="preserve">- </w:t>
            </w:r>
          </w:p>
        </w:tc>
        <w:tc>
          <w:tcPr>
            <w:tcW w:w="1131"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D322FB" w:rsidRDefault="00D322FB"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bl>
    <w:p w:rsidR="00D322FB" w:rsidRPr="004E3E9D" w:rsidRDefault="00D322FB" w:rsidP="00AE0484">
      <w:pPr>
        <w:autoSpaceDE w:val="0"/>
        <w:autoSpaceDN w:val="0"/>
        <w:adjustRightInd w:val="0"/>
        <w:jc w:val="both"/>
        <w:rPr>
          <w:rFonts w:ascii="Arial" w:hAnsi="Arial" w:cs="Arial"/>
          <w:lang w:val="tr-TR"/>
        </w:rPr>
      </w:pPr>
    </w:p>
    <w:p w:rsidR="00D322FB" w:rsidRPr="004E3E9D" w:rsidRDefault="00D322FB" w:rsidP="00EE69AC">
      <w:pPr>
        <w:autoSpaceDE w:val="0"/>
        <w:autoSpaceDN w:val="0"/>
        <w:adjustRightInd w:val="0"/>
        <w:ind w:left="567" w:hanging="567"/>
        <w:jc w:val="both"/>
        <w:rPr>
          <w:rFonts w:ascii="Arial" w:hAnsi="Arial" w:cs="Arial"/>
          <w:sz w:val="16"/>
          <w:lang w:val="tr-TR"/>
        </w:rPr>
      </w:pPr>
      <w:r w:rsidRPr="004E3E9D">
        <w:rPr>
          <w:rFonts w:ascii="Arial" w:hAnsi="Arial" w:cs="Arial"/>
          <w:sz w:val="16"/>
          <w:lang w:val="tr-TR"/>
        </w:rPr>
        <w:t xml:space="preserve">(*)   </w:t>
      </w:r>
      <w:r w:rsidRPr="004E3E9D">
        <w:rPr>
          <w:rFonts w:ascii="Arial" w:hAnsi="Arial" w:cs="Arial"/>
          <w:sz w:val="16"/>
          <w:lang w:val="tr-TR"/>
        </w:rPr>
        <w:tab/>
        <w:t>Tutarın belirlenmesinde, alınan teminatlar gibi, kredi güvenilirliğinde artış sağlayan unsurlar dikkate alınmamıştır.</w:t>
      </w:r>
    </w:p>
    <w:p w:rsidR="00D322FB" w:rsidRPr="004E3E9D" w:rsidRDefault="00D322FB" w:rsidP="00EE69AC">
      <w:pPr>
        <w:pStyle w:val="body0"/>
        <w:spacing w:after="0" w:line="240" w:lineRule="auto"/>
        <w:ind w:left="567" w:hanging="567"/>
        <w:rPr>
          <w:rFonts w:ascii="Arial" w:hAnsi="Arial" w:cs="Arial"/>
          <w:sz w:val="16"/>
          <w:szCs w:val="20"/>
          <w:lang w:val="tr-TR"/>
        </w:rPr>
      </w:pPr>
      <w:r w:rsidRPr="004E3E9D">
        <w:rPr>
          <w:rFonts w:ascii="Arial" w:hAnsi="Arial" w:cs="Arial"/>
          <w:sz w:val="16"/>
          <w:szCs w:val="20"/>
          <w:lang w:val="tr-TR"/>
        </w:rPr>
        <w:t xml:space="preserve">(**)  </w:t>
      </w:r>
      <w:r>
        <w:rPr>
          <w:rFonts w:ascii="Arial" w:hAnsi="Arial" w:cs="Arial"/>
          <w:sz w:val="16"/>
          <w:szCs w:val="20"/>
          <w:lang w:val="tr-TR"/>
        </w:rPr>
        <w:t xml:space="preserve">      572.405 TL tutarının 567.768</w:t>
      </w:r>
      <w:r w:rsidRPr="004E3E9D">
        <w:rPr>
          <w:rFonts w:ascii="Arial" w:hAnsi="Arial" w:cs="Arial"/>
          <w:sz w:val="16"/>
          <w:szCs w:val="20"/>
          <w:lang w:val="tr-TR"/>
        </w:rPr>
        <w:t xml:space="preserve"> TL tutarındaki kısmı Borsa Par</w:t>
      </w:r>
      <w:r>
        <w:rPr>
          <w:rFonts w:ascii="Arial" w:hAnsi="Arial" w:cs="Arial"/>
          <w:sz w:val="16"/>
          <w:szCs w:val="20"/>
          <w:lang w:val="tr-TR"/>
        </w:rPr>
        <w:t>a Piyasası’ndan alacaklardan ve 4.637</w:t>
      </w:r>
      <w:r w:rsidRPr="004E3E9D">
        <w:rPr>
          <w:rFonts w:ascii="Arial" w:hAnsi="Arial" w:cs="Arial"/>
          <w:sz w:val="16"/>
          <w:szCs w:val="20"/>
          <w:lang w:val="tr-TR"/>
        </w:rPr>
        <w:t xml:space="preserve"> TL tutarındaki kısmı ise diğer hazır değerlerden oluşmaktadır.</w:t>
      </w:r>
    </w:p>
    <w:p w:rsidR="00D322FB" w:rsidRPr="002B134D" w:rsidRDefault="00D322FB" w:rsidP="00EE69AC">
      <w:pPr>
        <w:pStyle w:val="body0"/>
        <w:spacing w:after="0" w:line="240" w:lineRule="auto"/>
        <w:rPr>
          <w:rFonts w:ascii="Arial" w:hAnsi="Arial" w:cs="Arial"/>
          <w:b/>
          <w:spacing w:val="-2"/>
          <w:sz w:val="20"/>
          <w:szCs w:val="20"/>
          <w:lang w:val="tr-TR"/>
        </w:rPr>
      </w:pPr>
      <w:r w:rsidRPr="004E3E9D">
        <w:rPr>
          <w:rFonts w:ascii="Arial" w:hAnsi="Arial" w:cs="Arial"/>
          <w:sz w:val="20"/>
          <w:szCs w:val="20"/>
          <w:lang w:val="tr-TR"/>
        </w:rPr>
        <w:br w:type="page"/>
      </w:r>
      <w:r w:rsidRPr="002B134D">
        <w:rPr>
          <w:rFonts w:ascii="Arial" w:hAnsi="Arial" w:cs="Arial"/>
          <w:b/>
          <w:spacing w:val="-2"/>
          <w:sz w:val="20"/>
          <w:szCs w:val="20"/>
          <w:lang w:val="tr-TR"/>
        </w:rPr>
        <w:lastRenderedPageBreak/>
        <w:t>24.</w:t>
      </w:r>
      <w:r w:rsidRPr="002B134D">
        <w:rPr>
          <w:rFonts w:ascii="Arial" w:hAnsi="Arial" w:cs="Arial"/>
          <w:b/>
          <w:spacing w:val="-2"/>
          <w:sz w:val="20"/>
          <w:szCs w:val="20"/>
          <w:lang w:val="tr-TR"/>
        </w:rPr>
        <w:tab/>
        <w:t>Finansal araçlardan kaynaklanan risklerin niteliği ve düzeyi (devamı)</w:t>
      </w:r>
    </w:p>
    <w:p w:rsidR="00D322FB" w:rsidRDefault="00D322FB" w:rsidP="007B23A1">
      <w:pPr>
        <w:pStyle w:val="body0"/>
        <w:spacing w:after="0" w:line="240" w:lineRule="auto"/>
        <w:ind w:left="567" w:hanging="567"/>
        <w:rPr>
          <w:rFonts w:ascii="Arial" w:hAnsi="Arial" w:cs="Arial"/>
          <w:b/>
          <w:spacing w:val="-2"/>
          <w:sz w:val="20"/>
          <w:szCs w:val="20"/>
          <w:lang w:val="tr-TR"/>
        </w:rPr>
      </w:pPr>
    </w:p>
    <w:p w:rsidR="00E86C72" w:rsidRPr="008732FA" w:rsidRDefault="00E86C72" w:rsidP="00E86C72">
      <w:pPr>
        <w:autoSpaceDE w:val="0"/>
        <w:autoSpaceDN w:val="0"/>
        <w:adjustRightInd w:val="0"/>
        <w:rPr>
          <w:rFonts w:ascii="Arial" w:hAnsi="Arial" w:cs="Arial"/>
          <w:lang w:val="tr-TR"/>
        </w:rPr>
      </w:pPr>
      <w:r w:rsidRPr="008732FA">
        <w:rPr>
          <w:rFonts w:ascii="Arial" w:hAnsi="Arial" w:cs="Arial"/>
          <w:lang w:val="tr-TR"/>
        </w:rPr>
        <w:t xml:space="preserve">31 </w:t>
      </w:r>
      <w:r w:rsidR="00E97FA3">
        <w:rPr>
          <w:rFonts w:ascii="Arial" w:hAnsi="Arial" w:cs="Arial"/>
          <w:lang w:val="tr-TR"/>
        </w:rPr>
        <w:t>Mart</w:t>
      </w:r>
      <w:r w:rsidRPr="008732FA">
        <w:rPr>
          <w:rFonts w:ascii="Arial" w:hAnsi="Arial" w:cs="Arial"/>
          <w:lang w:val="tr-TR"/>
        </w:rPr>
        <w:t xml:space="preserve"> 201</w:t>
      </w:r>
      <w:r w:rsidR="00E97FA3">
        <w:rPr>
          <w:rFonts w:ascii="Arial" w:hAnsi="Arial" w:cs="Arial"/>
          <w:lang w:val="tr-TR"/>
        </w:rPr>
        <w:t>5</w:t>
      </w:r>
      <w:r w:rsidRPr="008732FA">
        <w:rPr>
          <w:rFonts w:ascii="Arial" w:hAnsi="Arial" w:cs="Arial"/>
          <w:lang w:val="tr-TR"/>
        </w:rPr>
        <w:t xml:space="preserve"> </w:t>
      </w:r>
      <w:r>
        <w:rPr>
          <w:rFonts w:ascii="Arial" w:hAnsi="Arial" w:cs="Arial"/>
          <w:lang w:val="tr-TR"/>
        </w:rPr>
        <w:t>tarihi</w:t>
      </w:r>
      <w:r w:rsidRPr="008732FA">
        <w:rPr>
          <w:rFonts w:ascii="Arial" w:hAnsi="Arial" w:cs="Arial"/>
          <w:lang w:val="tr-TR"/>
        </w:rPr>
        <w:t xml:space="preserve"> </w:t>
      </w:r>
      <w:r>
        <w:rPr>
          <w:rFonts w:ascii="Arial" w:hAnsi="Arial" w:cs="Arial"/>
          <w:lang w:val="tr-TR"/>
        </w:rPr>
        <w:t>itibariyle</w:t>
      </w:r>
      <w:r w:rsidRPr="008732FA">
        <w:rPr>
          <w:rFonts w:ascii="Arial" w:hAnsi="Arial" w:cs="Arial"/>
          <w:lang w:val="tr-TR"/>
        </w:rPr>
        <w:t xml:space="preserve"> finansal araç türleri </w:t>
      </w:r>
      <w:r>
        <w:rPr>
          <w:rFonts w:ascii="Arial" w:hAnsi="Arial" w:cs="Arial"/>
          <w:lang w:val="tr-TR"/>
        </w:rPr>
        <w:t>itibariyle</w:t>
      </w:r>
      <w:r w:rsidRPr="008732FA">
        <w:rPr>
          <w:rFonts w:ascii="Arial" w:hAnsi="Arial" w:cs="Arial"/>
          <w:lang w:val="tr-TR"/>
        </w:rPr>
        <w:t xml:space="preserve"> maruz kalınan kredi riskinin detayı aşağıdaki gibidir:</w:t>
      </w:r>
    </w:p>
    <w:p w:rsidR="00E86C72" w:rsidRPr="00727376" w:rsidRDefault="00E86C72" w:rsidP="00E86C72">
      <w:pPr>
        <w:pStyle w:val="body0"/>
        <w:spacing w:after="0" w:line="240" w:lineRule="auto"/>
        <w:ind w:left="567" w:hanging="567"/>
        <w:rPr>
          <w:rFonts w:ascii="Arial" w:hAnsi="Arial" w:cs="Arial"/>
          <w:b/>
          <w:spacing w:val="-2"/>
          <w:sz w:val="20"/>
          <w:szCs w:val="20"/>
          <w:highlight w:val="yellow"/>
          <w:lang w:val="tr-TR"/>
        </w:rPr>
      </w:pPr>
    </w:p>
    <w:tbl>
      <w:tblPr>
        <w:tblW w:w="14015" w:type="dxa"/>
        <w:tblInd w:w="108" w:type="dxa"/>
        <w:tblLook w:val="0000" w:firstRow="0" w:lastRow="0" w:firstColumn="0" w:lastColumn="0" w:noHBand="0" w:noVBand="0"/>
      </w:tblPr>
      <w:tblGrid>
        <w:gridCol w:w="6237"/>
        <w:gridCol w:w="1074"/>
        <w:gridCol w:w="1131"/>
        <w:gridCol w:w="995"/>
        <w:gridCol w:w="993"/>
        <w:gridCol w:w="1213"/>
        <w:gridCol w:w="1456"/>
        <w:gridCol w:w="916"/>
      </w:tblGrid>
      <w:tr w:rsidR="00F8336C" w:rsidRPr="004E3E9D" w:rsidTr="00224B5D">
        <w:trPr>
          <w:trHeight w:val="113"/>
        </w:trPr>
        <w:tc>
          <w:tcPr>
            <w:tcW w:w="6237" w:type="dxa"/>
            <w:tcBorders>
              <w:top w:val="single" w:sz="4" w:space="0" w:color="auto"/>
              <w:left w:val="nil"/>
              <w:bottom w:val="single" w:sz="4" w:space="0" w:color="auto"/>
              <w:right w:val="nil"/>
            </w:tcBorders>
            <w:noWrap/>
            <w:vAlign w:val="bottom"/>
          </w:tcPr>
          <w:p w:rsidR="00E86C72" w:rsidRPr="004E3E9D" w:rsidRDefault="00E86C72" w:rsidP="00224B5D">
            <w:pPr>
              <w:ind w:left="318" w:hanging="426"/>
              <w:rPr>
                <w:rFonts w:ascii="Arial" w:hAnsi="Arial" w:cs="Arial"/>
                <w:bCs/>
                <w:sz w:val="16"/>
                <w:szCs w:val="16"/>
                <w:lang w:val="tr-TR"/>
              </w:rPr>
            </w:pPr>
            <w:r w:rsidRPr="004E3E9D">
              <w:rPr>
                <w:rFonts w:ascii="Arial" w:hAnsi="Arial" w:cs="Arial"/>
                <w:bCs/>
                <w:sz w:val="16"/>
                <w:szCs w:val="16"/>
                <w:lang w:val="tr-TR"/>
              </w:rPr>
              <w:t>Finansal araç türleri itibariyle maruz kalınan kredi riskleri</w:t>
            </w:r>
          </w:p>
        </w:tc>
        <w:tc>
          <w:tcPr>
            <w:tcW w:w="4193" w:type="dxa"/>
            <w:gridSpan w:val="4"/>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Alacaklar</w:t>
            </w:r>
          </w:p>
        </w:tc>
        <w:tc>
          <w:tcPr>
            <w:tcW w:w="1213"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c>
          <w:tcPr>
            <w:tcW w:w="1456"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c>
          <w:tcPr>
            <w:tcW w:w="916"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r>
      <w:tr w:rsidR="00F8336C" w:rsidRPr="004E3E9D" w:rsidTr="00224B5D">
        <w:trPr>
          <w:trHeight w:val="113"/>
        </w:trPr>
        <w:tc>
          <w:tcPr>
            <w:tcW w:w="6237" w:type="dxa"/>
            <w:tcBorders>
              <w:top w:val="single" w:sz="4" w:space="0" w:color="auto"/>
              <w:left w:val="nil"/>
              <w:bottom w:val="single" w:sz="4" w:space="0" w:color="auto"/>
              <w:right w:val="nil"/>
            </w:tcBorders>
            <w:noWrap/>
            <w:vAlign w:val="bottom"/>
          </w:tcPr>
          <w:p w:rsidR="00E86C72" w:rsidRPr="004E3E9D" w:rsidRDefault="00E86C72" w:rsidP="00224B5D">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Ticari alacaklar</w:t>
            </w:r>
          </w:p>
        </w:tc>
        <w:tc>
          <w:tcPr>
            <w:tcW w:w="1988" w:type="dxa"/>
            <w:gridSpan w:val="2"/>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Diğer alacaklar</w:t>
            </w:r>
          </w:p>
        </w:tc>
        <w:tc>
          <w:tcPr>
            <w:tcW w:w="1213"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c>
          <w:tcPr>
            <w:tcW w:w="1456"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c>
          <w:tcPr>
            <w:tcW w:w="916"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r>
      <w:tr w:rsidR="00F8336C" w:rsidRPr="004E3E9D" w:rsidTr="00224B5D">
        <w:trPr>
          <w:trHeight w:val="113"/>
        </w:trPr>
        <w:tc>
          <w:tcPr>
            <w:tcW w:w="6237" w:type="dxa"/>
            <w:tcBorders>
              <w:top w:val="single" w:sz="4" w:space="0" w:color="auto"/>
              <w:left w:val="nil"/>
              <w:bottom w:val="single" w:sz="4" w:space="0" w:color="auto"/>
              <w:right w:val="nil"/>
            </w:tcBorders>
            <w:noWrap/>
            <w:vAlign w:val="bottom"/>
          </w:tcPr>
          <w:p w:rsidR="00E86C72" w:rsidRPr="004E3E9D" w:rsidRDefault="00E86C72" w:rsidP="00E97FA3">
            <w:pPr>
              <w:ind w:left="318" w:hanging="426"/>
              <w:rPr>
                <w:rFonts w:ascii="Arial" w:hAnsi="Arial" w:cs="Arial"/>
                <w:bCs/>
                <w:sz w:val="16"/>
                <w:szCs w:val="16"/>
              </w:rPr>
            </w:pPr>
            <w:r w:rsidRPr="004E3E9D">
              <w:rPr>
                <w:rFonts w:ascii="Arial" w:hAnsi="Arial" w:cs="Arial"/>
                <w:bCs/>
                <w:sz w:val="16"/>
                <w:szCs w:val="16"/>
              </w:rPr>
              <w:t xml:space="preserve">31 </w:t>
            </w:r>
            <w:r w:rsidR="00E97FA3">
              <w:rPr>
                <w:rFonts w:ascii="Arial" w:hAnsi="Arial" w:cs="Arial"/>
                <w:bCs/>
                <w:sz w:val="16"/>
                <w:szCs w:val="16"/>
              </w:rPr>
              <w:t>Mart  2015</w:t>
            </w:r>
          </w:p>
        </w:tc>
        <w:tc>
          <w:tcPr>
            <w:tcW w:w="1074"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İlişkili taraf</w:t>
            </w:r>
          </w:p>
        </w:tc>
        <w:tc>
          <w:tcPr>
            <w:tcW w:w="1131"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Diğer taraf</w:t>
            </w:r>
          </w:p>
        </w:tc>
        <w:tc>
          <w:tcPr>
            <w:tcW w:w="995"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İlişkili taraf</w:t>
            </w:r>
          </w:p>
        </w:tc>
        <w:tc>
          <w:tcPr>
            <w:tcW w:w="993"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Diğer taraf</w:t>
            </w:r>
          </w:p>
        </w:tc>
        <w:tc>
          <w:tcPr>
            <w:tcW w:w="1213" w:type="dxa"/>
            <w:tcBorders>
              <w:top w:val="single" w:sz="4" w:space="0" w:color="auto"/>
              <w:left w:val="nil"/>
              <w:bottom w:val="single" w:sz="4" w:space="0" w:color="auto"/>
              <w:right w:val="nil"/>
            </w:tcBorders>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Bankalardaki mevduat</w:t>
            </w:r>
          </w:p>
        </w:tc>
        <w:tc>
          <w:tcPr>
            <w:tcW w:w="1456" w:type="dxa"/>
            <w:tcBorders>
              <w:top w:val="single" w:sz="4" w:space="0" w:color="auto"/>
              <w:left w:val="nil"/>
              <w:bottom w:val="single" w:sz="4" w:space="0" w:color="auto"/>
              <w:right w:val="nil"/>
            </w:tcBorders>
            <w:noWrap/>
            <w:vAlign w:val="bottom"/>
          </w:tcPr>
          <w:p w:rsidR="00E86C72" w:rsidRPr="004E3E9D" w:rsidRDefault="00E86C72" w:rsidP="00224B5D">
            <w:pPr>
              <w:ind w:left="-108"/>
              <w:jc w:val="right"/>
              <w:rPr>
                <w:rFonts w:ascii="Arial" w:hAnsi="Arial" w:cs="Arial"/>
                <w:b/>
                <w:bCs/>
                <w:sz w:val="16"/>
                <w:szCs w:val="14"/>
              </w:rPr>
            </w:pPr>
            <w:r w:rsidRPr="004E3E9D">
              <w:rPr>
                <w:rFonts w:ascii="Arial" w:hAnsi="Arial" w:cs="Arial"/>
                <w:b/>
                <w:bCs/>
                <w:sz w:val="16"/>
                <w:szCs w:val="14"/>
              </w:rPr>
              <w:t xml:space="preserve">Finansal </w:t>
            </w:r>
          </w:p>
          <w:p w:rsidR="00E86C72" w:rsidRPr="004E3E9D" w:rsidRDefault="00E86C72" w:rsidP="00224B5D">
            <w:pPr>
              <w:ind w:left="-108"/>
              <w:jc w:val="right"/>
              <w:rPr>
                <w:rFonts w:ascii="Arial" w:hAnsi="Arial" w:cs="Arial"/>
                <w:b/>
                <w:bCs/>
                <w:sz w:val="16"/>
                <w:szCs w:val="14"/>
              </w:rPr>
            </w:pPr>
            <w:r w:rsidRPr="004E3E9D">
              <w:rPr>
                <w:rFonts w:ascii="Arial" w:hAnsi="Arial" w:cs="Arial"/>
                <w:b/>
                <w:bCs/>
                <w:sz w:val="16"/>
                <w:szCs w:val="14"/>
              </w:rPr>
              <w:t>yatırımlar</w:t>
            </w:r>
          </w:p>
        </w:tc>
        <w:tc>
          <w:tcPr>
            <w:tcW w:w="916" w:type="dxa"/>
            <w:tcBorders>
              <w:top w:val="single" w:sz="4" w:space="0" w:color="auto"/>
              <w:left w:val="nil"/>
              <w:bottom w:val="single" w:sz="4" w:space="0" w:color="auto"/>
              <w:right w:val="nil"/>
            </w:tcBorders>
            <w:noWrap/>
            <w:vAlign w:val="bottom"/>
          </w:tcPr>
          <w:p w:rsidR="00E86C72" w:rsidRPr="004E3E9D" w:rsidRDefault="00E86C72" w:rsidP="00224B5D">
            <w:pPr>
              <w:ind w:left="-108"/>
              <w:jc w:val="right"/>
              <w:rPr>
                <w:rFonts w:ascii="Arial" w:hAnsi="Arial" w:cs="Arial"/>
                <w:b/>
                <w:bCs/>
                <w:sz w:val="16"/>
                <w:szCs w:val="14"/>
              </w:rPr>
            </w:pPr>
            <w:r w:rsidRPr="004E3E9D">
              <w:rPr>
                <w:rFonts w:ascii="Arial" w:hAnsi="Arial" w:cs="Arial"/>
                <w:b/>
                <w:bCs/>
                <w:sz w:val="16"/>
                <w:szCs w:val="14"/>
              </w:rPr>
              <w:t>Diğer</w:t>
            </w:r>
          </w:p>
          <w:p w:rsidR="00E86C72" w:rsidRPr="004E3E9D" w:rsidRDefault="00E86C72" w:rsidP="00224B5D">
            <w:pPr>
              <w:ind w:left="-108"/>
              <w:jc w:val="right"/>
              <w:rPr>
                <w:rFonts w:ascii="Arial" w:hAnsi="Arial" w:cs="Arial"/>
                <w:b/>
                <w:bCs/>
                <w:sz w:val="16"/>
                <w:szCs w:val="14"/>
              </w:rPr>
            </w:pPr>
            <w:r w:rsidRPr="004E3E9D">
              <w:rPr>
                <w:rFonts w:ascii="Arial" w:hAnsi="Arial" w:cs="Arial"/>
                <w:b/>
                <w:bCs/>
                <w:sz w:val="16"/>
                <w:szCs w:val="14"/>
              </w:rPr>
              <w:t>(**)</w:t>
            </w:r>
          </w:p>
        </w:tc>
      </w:tr>
      <w:tr w:rsidR="00F8336C" w:rsidRPr="004E3E9D" w:rsidTr="00224B5D">
        <w:trPr>
          <w:trHeight w:val="113"/>
        </w:trPr>
        <w:tc>
          <w:tcPr>
            <w:tcW w:w="6237" w:type="dxa"/>
            <w:tcBorders>
              <w:top w:val="single" w:sz="4" w:space="0" w:color="auto"/>
              <w:left w:val="nil"/>
              <w:bottom w:val="nil"/>
              <w:right w:val="nil"/>
            </w:tcBorders>
            <w:noWrap/>
            <w:vAlign w:val="bottom"/>
          </w:tcPr>
          <w:p w:rsidR="00E86C72" w:rsidRPr="004E3E9D" w:rsidRDefault="00E86C72" w:rsidP="00224B5D">
            <w:pPr>
              <w:ind w:left="318" w:hanging="426"/>
              <w:rPr>
                <w:rFonts w:ascii="Arial" w:hAnsi="Arial" w:cs="Arial"/>
                <w:sz w:val="16"/>
                <w:szCs w:val="16"/>
              </w:rPr>
            </w:pPr>
          </w:p>
        </w:tc>
        <w:tc>
          <w:tcPr>
            <w:tcW w:w="1074"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1131"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995"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993"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1213"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1456"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916"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Raporlama tarihi itibariyle maruz kalınan azami kredi riski (*)</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F8336C">
            <w:pPr>
              <w:jc w:val="right"/>
              <w:rPr>
                <w:rFonts w:ascii="Arial" w:hAnsi="Arial" w:cs="Arial"/>
                <w:b/>
                <w:bCs/>
                <w:color w:val="000000"/>
                <w:sz w:val="16"/>
                <w:szCs w:val="16"/>
              </w:rPr>
            </w:pPr>
            <w:r>
              <w:rPr>
                <w:rFonts w:ascii="Arial" w:hAnsi="Arial" w:cs="Arial"/>
                <w:b/>
                <w:bCs/>
                <w:color w:val="000000"/>
                <w:sz w:val="16"/>
                <w:szCs w:val="16"/>
              </w:rPr>
              <w:t xml:space="preserve">                                        11.</w:t>
            </w:r>
            <w:r w:rsidR="00F8336C">
              <w:rPr>
                <w:rFonts w:ascii="Arial" w:hAnsi="Arial" w:cs="Arial"/>
                <w:b/>
                <w:bCs/>
                <w:color w:val="000000"/>
                <w:sz w:val="16"/>
                <w:szCs w:val="16"/>
              </w:rPr>
              <w:t>472</w:t>
            </w:r>
            <w:r>
              <w:rPr>
                <w:rFonts w:ascii="Arial" w:hAnsi="Arial" w:cs="Arial"/>
                <w:b/>
                <w:bCs/>
                <w:color w:val="000000"/>
                <w:sz w:val="16"/>
                <w:szCs w:val="16"/>
              </w:rPr>
              <w:t xml:space="preserve">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F8336C">
            <w:pPr>
              <w:jc w:val="right"/>
              <w:rPr>
                <w:rFonts w:ascii="Arial" w:hAnsi="Arial" w:cs="Arial"/>
                <w:b/>
                <w:bCs/>
                <w:color w:val="000000"/>
                <w:sz w:val="16"/>
                <w:szCs w:val="16"/>
              </w:rPr>
            </w:pPr>
            <w:r>
              <w:rPr>
                <w:rFonts w:ascii="Arial" w:hAnsi="Arial" w:cs="Arial"/>
                <w:b/>
                <w:bCs/>
                <w:color w:val="000000"/>
                <w:sz w:val="16"/>
                <w:szCs w:val="16"/>
              </w:rPr>
              <w:t xml:space="preserve">                             </w:t>
            </w:r>
            <w:r w:rsidR="00F8336C">
              <w:rPr>
                <w:rFonts w:ascii="Arial" w:hAnsi="Arial" w:cs="Arial"/>
                <w:b/>
                <w:bCs/>
                <w:color w:val="000000"/>
                <w:sz w:val="16"/>
                <w:szCs w:val="16"/>
              </w:rPr>
              <w:t>1.052.385</w:t>
            </w:r>
            <w:r>
              <w:rPr>
                <w:rFonts w:ascii="Arial" w:hAnsi="Arial" w:cs="Arial"/>
                <w:b/>
                <w:bCs/>
                <w:color w:val="000000"/>
                <w:sz w:val="16"/>
                <w:szCs w:val="16"/>
              </w:rPr>
              <w:t xml:space="preserve"> </w:t>
            </w:r>
          </w:p>
        </w:tc>
        <w:tc>
          <w:tcPr>
            <w:tcW w:w="1456" w:type="dxa"/>
            <w:tcBorders>
              <w:top w:val="nil"/>
              <w:left w:val="nil"/>
              <w:bottom w:val="nil"/>
              <w:right w:val="nil"/>
            </w:tcBorders>
            <w:noWrap/>
            <w:vAlign w:val="bottom"/>
          </w:tcPr>
          <w:p w:rsidR="00E86C72" w:rsidRDefault="00E86C72" w:rsidP="00F8336C">
            <w:pPr>
              <w:jc w:val="right"/>
              <w:rPr>
                <w:rFonts w:ascii="Arial" w:hAnsi="Arial" w:cs="Arial"/>
                <w:b/>
                <w:bCs/>
                <w:color w:val="000000"/>
                <w:sz w:val="16"/>
                <w:szCs w:val="16"/>
              </w:rPr>
            </w:pPr>
            <w:r>
              <w:rPr>
                <w:rFonts w:ascii="Arial" w:hAnsi="Arial" w:cs="Arial"/>
                <w:b/>
                <w:bCs/>
                <w:color w:val="000000"/>
                <w:sz w:val="16"/>
                <w:szCs w:val="16"/>
              </w:rPr>
              <w:t xml:space="preserve">                                                                                                          </w:t>
            </w:r>
            <w:r w:rsidR="00F8336C">
              <w:rPr>
                <w:rFonts w:ascii="Arial" w:hAnsi="Arial" w:cs="Arial"/>
                <w:b/>
                <w:bCs/>
                <w:color w:val="000000"/>
                <w:sz w:val="16"/>
                <w:szCs w:val="16"/>
              </w:rPr>
              <w:t>101.409</w:t>
            </w:r>
            <w:r>
              <w:rPr>
                <w:rFonts w:ascii="Arial" w:hAnsi="Arial" w:cs="Arial"/>
                <w:b/>
                <w:bCs/>
                <w:color w:val="000000"/>
                <w:sz w:val="16"/>
                <w:szCs w:val="16"/>
              </w:rPr>
              <w:t xml:space="preserve"> </w:t>
            </w:r>
          </w:p>
        </w:tc>
        <w:tc>
          <w:tcPr>
            <w:tcW w:w="916" w:type="dxa"/>
            <w:tcBorders>
              <w:top w:val="nil"/>
              <w:left w:val="nil"/>
              <w:bottom w:val="nil"/>
              <w:right w:val="nil"/>
            </w:tcBorders>
            <w:noWrap/>
            <w:vAlign w:val="bottom"/>
          </w:tcPr>
          <w:p w:rsidR="00E86C72" w:rsidRDefault="00E86C72" w:rsidP="00F8336C">
            <w:pPr>
              <w:jc w:val="right"/>
              <w:rPr>
                <w:rFonts w:ascii="Arial" w:hAnsi="Arial" w:cs="Arial"/>
                <w:b/>
                <w:bCs/>
                <w:color w:val="000000"/>
                <w:sz w:val="16"/>
                <w:szCs w:val="16"/>
              </w:rPr>
            </w:pPr>
            <w:r>
              <w:rPr>
                <w:rFonts w:ascii="Arial" w:hAnsi="Arial" w:cs="Arial"/>
                <w:b/>
                <w:bCs/>
                <w:color w:val="000000"/>
                <w:sz w:val="16"/>
                <w:szCs w:val="16"/>
              </w:rPr>
              <w:t xml:space="preserve">      </w:t>
            </w:r>
            <w:r w:rsidR="00F8336C">
              <w:rPr>
                <w:rFonts w:ascii="Arial" w:hAnsi="Arial" w:cs="Arial"/>
                <w:b/>
                <w:bCs/>
                <w:color w:val="000000"/>
                <w:sz w:val="16"/>
                <w:szCs w:val="16"/>
              </w:rPr>
              <w:t>118</w:t>
            </w:r>
            <w:r>
              <w:rPr>
                <w:rFonts w:ascii="Arial" w:hAnsi="Arial" w:cs="Arial"/>
                <w:b/>
                <w:bCs/>
                <w:color w:val="000000"/>
                <w:sz w:val="16"/>
                <w:szCs w:val="16"/>
              </w:rPr>
              <w:t>.</w:t>
            </w:r>
            <w:r w:rsidR="00F8336C">
              <w:rPr>
                <w:rFonts w:ascii="Arial" w:hAnsi="Arial" w:cs="Arial"/>
                <w:b/>
                <w:bCs/>
                <w:color w:val="000000"/>
                <w:sz w:val="16"/>
                <w:szCs w:val="16"/>
              </w:rPr>
              <w:t>182</w:t>
            </w:r>
            <w:r>
              <w:rPr>
                <w:rFonts w:ascii="Arial" w:hAnsi="Arial" w:cs="Arial"/>
                <w:b/>
                <w:bCs/>
                <w:color w:val="000000"/>
                <w:sz w:val="16"/>
                <w:szCs w:val="16"/>
              </w:rPr>
              <w:t xml:space="preserve">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 Azami riskin teminat, vs ile güvence altına alınmış kısmı</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r>
      <w:tr w:rsidR="00F8336C" w:rsidRPr="004E3E9D" w:rsidTr="00224B5D">
        <w:trPr>
          <w:trHeight w:val="113"/>
        </w:trPr>
        <w:tc>
          <w:tcPr>
            <w:tcW w:w="6237" w:type="dxa"/>
            <w:tcBorders>
              <w:top w:val="nil"/>
              <w:left w:val="nil"/>
              <w:bottom w:val="nil"/>
              <w:right w:val="nil"/>
            </w:tcBorders>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F8336C">
            <w:pPr>
              <w:jc w:val="right"/>
              <w:rPr>
                <w:rFonts w:ascii="Arial" w:hAnsi="Arial" w:cs="Arial"/>
                <w:b/>
                <w:bCs/>
                <w:color w:val="000000"/>
                <w:sz w:val="16"/>
                <w:szCs w:val="16"/>
              </w:rPr>
            </w:pPr>
            <w:r>
              <w:rPr>
                <w:rFonts w:ascii="Arial" w:hAnsi="Arial" w:cs="Arial"/>
                <w:b/>
                <w:bCs/>
                <w:color w:val="000000"/>
                <w:sz w:val="16"/>
                <w:szCs w:val="16"/>
              </w:rPr>
              <w:t xml:space="preserve">                                        11.</w:t>
            </w:r>
            <w:r w:rsidR="00F8336C">
              <w:rPr>
                <w:rFonts w:ascii="Arial" w:hAnsi="Arial" w:cs="Arial"/>
                <w:b/>
                <w:bCs/>
                <w:color w:val="000000"/>
                <w:sz w:val="16"/>
                <w:szCs w:val="16"/>
              </w:rPr>
              <w:t>472</w:t>
            </w:r>
            <w:r>
              <w:rPr>
                <w:rFonts w:ascii="Arial" w:hAnsi="Arial" w:cs="Arial"/>
                <w:b/>
                <w:bCs/>
                <w:color w:val="000000"/>
                <w:sz w:val="16"/>
                <w:szCs w:val="16"/>
              </w:rPr>
              <w:t xml:space="preserve">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F8336C">
            <w:pPr>
              <w:jc w:val="right"/>
              <w:rPr>
                <w:rFonts w:ascii="Arial" w:hAnsi="Arial" w:cs="Arial"/>
                <w:b/>
                <w:bCs/>
                <w:color w:val="000000"/>
                <w:sz w:val="16"/>
                <w:szCs w:val="16"/>
              </w:rPr>
            </w:pPr>
            <w:r>
              <w:rPr>
                <w:rFonts w:ascii="Arial" w:hAnsi="Arial" w:cs="Arial"/>
                <w:b/>
                <w:bCs/>
                <w:color w:val="000000"/>
                <w:sz w:val="16"/>
                <w:szCs w:val="16"/>
              </w:rPr>
              <w:t xml:space="preserve">                             </w:t>
            </w:r>
            <w:r w:rsidR="00F8336C">
              <w:rPr>
                <w:rFonts w:ascii="Arial" w:hAnsi="Arial" w:cs="Arial"/>
                <w:b/>
                <w:bCs/>
                <w:color w:val="000000"/>
                <w:sz w:val="16"/>
                <w:szCs w:val="16"/>
              </w:rPr>
              <w:t>1.052.385</w:t>
            </w:r>
            <w:r>
              <w:rPr>
                <w:rFonts w:ascii="Arial" w:hAnsi="Arial" w:cs="Arial"/>
                <w:b/>
                <w:bCs/>
                <w:color w:val="000000"/>
                <w:sz w:val="16"/>
                <w:szCs w:val="16"/>
              </w:rPr>
              <w:t xml:space="preserve"> </w:t>
            </w:r>
          </w:p>
        </w:tc>
        <w:tc>
          <w:tcPr>
            <w:tcW w:w="1456" w:type="dxa"/>
            <w:tcBorders>
              <w:top w:val="nil"/>
              <w:left w:val="nil"/>
              <w:bottom w:val="nil"/>
              <w:right w:val="nil"/>
            </w:tcBorders>
            <w:noWrap/>
            <w:vAlign w:val="bottom"/>
          </w:tcPr>
          <w:p w:rsidR="00E86C72" w:rsidRDefault="00E86C72" w:rsidP="00F8336C">
            <w:pPr>
              <w:jc w:val="right"/>
              <w:rPr>
                <w:rFonts w:ascii="Arial" w:hAnsi="Arial" w:cs="Arial"/>
                <w:b/>
                <w:bCs/>
                <w:color w:val="000000"/>
                <w:sz w:val="16"/>
                <w:szCs w:val="16"/>
              </w:rPr>
            </w:pPr>
            <w:r>
              <w:rPr>
                <w:rFonts w:ascii="Arial" w:hAnsi="Arial" w:cs="Arial"/>
                <w:b/>
                <w:bCs/>
                <w:color w:val="000000"/>
                <w:sz w:val="16"/>
                <w:szCs w:val="16"/>
              </w:rPr>
              <w:t xml:space="preserve">                                                                                                          </w:t>
            </w:r>
            <w:r w:rsidR="00F8336C">
              <w:rPr>
                <w:rFonts w:ascii="Arial" w:hAnsi="Arial" w:cs="Arial"/>
                <w:b/>
                <w:bCs/>
                <w:color w:val="000000"/>
                <w:sz w:val="16"/>
                <w:szCs w:val="16"/>
              </w:rPr>
              <w:t>101.409</w:t>
            </w:r>
            <w:r>
              <w:rPr>
                <w:rFonts w:ascii="Arial" w:hAnsi="Arial" w:cs="Arial"/>
                <w:b/>
                <w:bCs/>
                <w:color w:val="000000"/>
                <w:sz w:val="16"/>
                <w:szCs w:val="16"/>
              </w:rPr>
              <w:t xml:space="preserve"> </w:t>
            </w:r>
          </w:p>
        </w:tc>
        <w:tc>
          <w:tcPr>
            <w:tcW w:w="916" w:type="dxa"/>
            <w:tcBorders>
              <w:top w:val="nil"/>
              <w:left w:val="nil"/>
              <w:bottom w:val="nil"/>
              <w:right w:val="nil"/>
            </w:tcBorders>
            <w:noWrap/>
            <w:vAlign w:val="bottom"/>
          </w:tcPr>
          <w:p w:rsidR="00E86C72" w:rsidRDefault="00E86C72" w:rsidP="00F8336C">
            <w:pPr>
              <w:jc w:val="right"/>
              <w:rPr>
                <w:rFonts w:ascii="Arial" w:hAnsi="Arial" w:cs="Arial"/>
                <w:b/>
                <w:bCs/>
                <w:color w:val="000000"/>
                <w:sz w:val="16"/>
                <w:szCs w:val="16"/>
              </w:rPr>
            </w:pPr>
            <w:r>
              <w:rPr>
                <w:rFonts w:ascii="Arial" w:hAnsi="Arial" w:cs="Arial"/>
                <w:b/>
                <w:bCs/>
                <w:color w:val="000000"/>
                <w:sz w:val="16"/>
                <w:szCs w:val="16"/>
              </w:rPr>
              <w:t xml:space="preserve">      </w:t>
            </w:r>
            <w:r w:rsidR="00F8336C">
              <w:rPr>
                <w:rFonts w:ascii="Arial" w:hAnsi="Arial" w:cs="Arial"/>
                <w:b/>
                <w:bCs/>
                <w:color w:val="000000"/>
                <w:sz w:val="16"/>
                <w:szCs w:val="16"/>
              </w:rPr>
              <w:t>118</w:t>
            </w:r>
            <w:r>
              <w:rPr>
                <w:rFonts w:ascii="Arial" w:hAnsi="Arial" w:cs="Arial"/>
                <w:b/>
                <w:bCs/>
                <w:color w:val="000000"/>
                <w:sz w:val="16"/>
                <w:szCs w:val="16"/>
              </w:rPr>
              <w:t>.</w:t>
            </w:r>
            <w:r w:rsidR="00F8336C">
              <w:rPr>
                <w:rFonts w:ascii="Arial" w:hAnsi="Arial" w:cs="Arial"/>
                <w:b/>
                <w:bCs/>
                <w:color w:val="000000"/>
                <w:sz w:val="16"/>
                <w:szCs w:val="16"/>
              </w:rPr>
              <w:t>182</w:t>
            </w:r>
            <w:r>
              <w:rPr>
                <w:rFonts w:ascii="Arial" w:hAnsi="Arial" w:cs="Arial"/>
                <w:b/>
                <w:bCs/>
                <w:color w:val="000000"/>
                <w:sz w:val="16"/>
                <w:szCs w:val="16"/>
              </w:rPr>
              <w:t xml:space="preserve">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r>
      <w:tr w:rsidR="00F8336C" w:rsidRPr="004E3E9D" w:rsidTr="00224B5D">
        <w:trPr>
          <w:trHeight w:val="113"/>
        </w:trPr>
        <w:tc>
          <w:tcPr>
            <w:tcW w:w="6237" w:type="dxa"/>
            <w:tcBorders>
              <w:top w:val="nil"/>
              <w:left w:val="nil"/>
              <w:bottom w:val="nil"/>
              <w:right w:val="nil"/>
            </w:tcBorders>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r>
      <w:tr w:rsidR="00F8336C" w:rsidRPr="004E3E9D" w:rsidTr="00224B5D">
        <w:trPr>
          <w:trHeight w:val="113"/>
        </w:trPr>
        <w:tc>
          <w:tcPr>
            <w:tcW w:w="6237" w:type="dxa"/>
            <w:tcBorders>
              <w:top w:val="nil"/>
              <w:left w:val="nil"/>
              <w:bottom w:val="nil"/>
              <w:right w:val="nil"/>
            </w:tcBorders>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 teminat, vs ile güvence altına alınmış kısmı</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D. Değer düşüklüğüne uğrayan varlıkların net defter değerleri</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r>
      <w:tr w:rsidR="00F8336C" w:rsidRPr="004E3E9D" w:rsidTr="00224B5D">
        <w:trPr>
          <w:trHeight w:val="113"/>
        </w:trPr>
        <w:tc>
          <w:tcPr>
            <w:tcW w:w="6237" w:type="dxa"/>
            <w:tcBorders>
              <w:top w:val="nil"/>
              <w:left w:val="nil"/>
              <w:bottom w:val="nil"/>
              <w:right w:val="nil"/>
            </w:tcBorders>
            <w:noWrap/>
            <w:vAlign w:val="bottom"/>
          </w:tcPr>
          <w:p w:rsidR="00E86C72" w:rsidRPr="00842630" w:rsidRDefault="00E86C72" w:rsidP="00224B5D">
            <w:pPr>
              <w:ind w:left="318" w:hanging="426"/>
              <w:rPr>
                <w:rFonts w:ascii="Arial" w:hAnsi="Arial" w:cs="Arial"/>
                <w:sz w:val="16"/>
                <w:szCs w:val="16"/>
                <w:lang w:val="de-DE"/>
              </w:rPr>
            </w:pPr>
            <w:r w:rsidRPr="00842630">
              <w:rPr>
                <w:rFonts w:ascii="Arial" w:hAnsi="Arial" w:cs="Arial"/>
                <w:sz w:val="16"/>
                <w:szCs w:val="16"/>
                <w:lang w:val="de-DE"/>
              </w:rPr>
              <w:t>- Vadesi geçmiş (brüt defter değeri)</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sidRPr="00842630">
              <w:rPr>
                <w:rFonts w:ascii="Arial" w:hAnsi="Arial" w:cs="Arial"/>
                <w:b/>
                <w:bCs/>
                <w:color w:val="000000"/>
                <w:sz w:val="16"/>
                <w:szCs w:val="16"/>
                <w:lang w:val="de-DE"/>
              </w:rPr>
              <w:t xml:space="preserve"> </w:t>
            </w:r>
            <w:r>
              <w:rPr>
                <w:rFonts w:ascii="Arial" w:hAnsi="Arial" w:cs="Arial"/>
                <w:b/>
                <w:bCs/>
                <w:color w:val="000000"/>
                <w:sz w:val="16"/>
                <w:szCs w:val="16"/>
              </w:rPr>
              <w:t xml:space="preserve">-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 Değer düşüklüğü (-)</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 Net değerin teminat, vs ile güvence altına alınmış kısmı</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 Vadesi geçmemiş (brüt defter değeri)</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 Değer düşüklüğü (-)</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r w:rsidRPr="004E3E9D">
              <w:rPr>
                <w:rFonts w:ascii="Arial" w:hAnsi="Arial" w:cs="Arial"/>
                <w:sz w:val="16"/>
                <w:szCs w:val="16"/>
              </w:rPr>
              <w:t>- Net değerin teminat, vs ile güvence altına alınmış kısmı</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8336C" w:rsidRPr="004E3E9D" w:rsidTr="00224B5D">
        <w:trPr>
          <w:trHeight w:val="113"/>
        </w:trPr>
        <w:tc>
          <w:tcPr>
            <w:tcW w:w="6237" w:type="dxa"/>
            <w:tcBorders>
              <w:top w:val="nil"/>
              <w:left w:val="nil"/>
              <w:bottom w:val="nil"/>
              <w:right w:val="nil"/>
            </w:tcBorders>
            <w:noWrap/>
            <w:vAlign w:val="bottom"/>
          </w:tcPr>
          <w:p w:rsidR="00E86C72" w:rsidRPr="004E3E9D"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p>
        </w:tc>
      </w:tr>
      <w:tr w:rsidR="00F8336C" w:rsidRPr="004E3E9D" w:rsidTr="00224B5D">
        <w:trPr>
          <w:trHeight w:val="113"/>
        </w:trPr>
        <w:tc>
          <w:tcPr>
            <w:tcW w:w="6237" w:type="dxa"/>
            <w:tcBorders>
              <w:top w:val="nil"/>
              <w:left w:val="nil"/>
              <w:bottom w:val="nil"/>
              <w:right w:val="nil"/>
            </w:tcBorders>
            <w:noWrap/>
            <w:vAlign w:val="bottom"/>
          </w:tcPr>
          <w:p w:rsidR="00E86C72" w:rsidRPr="00842630" w:rsidRDefault="00E86C72" w:rsidP="00224B5D">
            <w:pPr>
              <w:ind w:left="318" w:hanging="426"/>
              <w:rPr>
                <w:rFonts w:ascii="Arial" w:hAnsi="Arial" w:cs="Arial"/>
                <w:sz w:val="16"/>
                <w:szCs w:val="16"/>
                <w:lang w:val="de-DE"/>
              </w:rPr>
            </w:pPr>
            <w:r w:rsidRPr="00842630">
              <w:rPr>
                <w:rFonts w:ascii="Arial" w:hAnsi="Arial" w:cs="Arial"/>
                <w:sz w:val="16"/>
                <w:szCs w:val="16"/>
                <w:lang w:val="de-DE"/>
              </w:rPr>
              <w:t>E. Bilanço dışı kredi riski içeren unsurlar</w:t>
            </w:r>
          </w:p>
        </w:tc>
        <w:tc>
          <w:tcPr>
            <w:tcW w:w="1074"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sidRPr="00842630">
              <w:rPr>
                <w:rFonts w:ascii="Arial" w:hAnsi="Arial" w:cs="Arial"/>
                <w:b/>
                <w:bCs/>
                <w:color w:val="000000"/>
                <w:sz w:val="16"/>
                <w:szCs w:val="16"/>
                <w:lang w:val="de-DE"/>
              </w:rPr>
              <w:t xml:space="preserve"> </w:t>
            </w:r>
            <w:r>
              <w:rPr>
                <w:rFonts w:ascii="Arial" w:hAnsi="Arial" w:cs="Arial"/>
                <w:b/>
                <w:bCs/>
                <w:color w:val="000000"/>
                <w:sz w:val="16"/>
                <w:szCs w:val="16"/>
              </w:rPr>
              <w:t xml:space="preserve">- </w:t>
            </w:r>
          </w:p>
        </w:tc>
        <w:tc>
          <w:tcPr>
            <w:tcW w:w="1131"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noWrap/>
            <w:vAlign w:val="bottom"/>
          </w:tcPr>
          <w:p w:rsidR="00E86C72" w:rsidRDefault="00E86C72" w:rsidP="00224B5D">
            <w:pPr>
              <w:jc w:val="right"/>
              <w:rPr>
                <w:rFonts w:ascii="Arial" w:hAnsi="Arial" w:cs="Arial"/>
                <w:b/>
                <w:bCs/>
                <w:color w:val="000000"/>
                <w:sz w:val="16"/>
                <w:szCs w:val="16"/>
              </w:rPr>
            </w:pPr>
            <w:r>
              <w:rPr>
                <w:rFonts w:ascii="Arial" w:hAnsi="Arial" w:cs="Arial"/>
                <w:b/>
                <w:bCs/>
                <w:color w:val="000000"/>
                <w:sz w:val="16"/>
                <w:szCs w:val="16"/>
              </w:rPr>
              <w:t xml:space="preserve"> - </w:t>
            </w:r>
          </w:p>
        </w:tc>
      </w:tr>
    </w:tbl>
    <w:p w:rsidR="00E86C72" w:rsidRPr="004E3E9D" w:rsidRDefault="00E86C72" w:rsidP="00E86C72">
      <w:pPr>
        <w:autoSpaceDE w:val="0"/>
        <w:autoSpaceDN w:val="0"/>
        <w:adjustRightInd w:val="0"/>
        <w:jc w:val="both"/>
        <w:rPr>
          <w:rFonts w:ascii="Arial" w:hAnsi="Arial" w:cs="Arial"/>
          <w:lang w:val="tr-TR"/>
        </w:rPr>
      </w:pPr>
    </w:p>
    <w:p w:rsidR="00E86C72" w:rsidRPr="004E3E9D" w:rsidRDefault="00E86C72" w:rsidP="00E86C72">
      <w:pPr>
        <w:autoSpaceDE w:val="0"/>
        <w:autoSpaceDN w:val="0"/>
        <w:adjustRightInd w:val="0"/>
        <w:ind w:left="567" w:hanging="567"/>
        <w:jc w:val="both"/>
        <w:rPr>
          <w:rFonts w:ascii="Arial" w:hAnsi="Arial" w:cs="Arial"/>
          <w:sz w:val="16"/>
          <w:lang w:val="tr-TR"/>
        </w:rPr>
      </w:pPr>
      <w:r w:rsidRPr="004E3E9D">
        <w:rPr>
          <w:rFonts w:ascii="Arial" w:hAnsi="Arial" w:cs="Arial"/>
          <w:sz w:val="16"/>
          <w:lang w:val="tr-TR"/>
        </w:rPr>
        <w:t xml:space="preserve">(*)   </w:t>
      </w:r>
      <w:r w:rsidRPr="004E3E9D">
        <w:rPr>
          <w:rFonts w:ascii="Arial" w:hAnsi="Arial" w:cs="Arial"/>
          <w:sz w:val="16"/>
          <w:lang w:val="tr-TR"/>
        </w:rPr>
        <w:tab/>
        <w:t>Tutarın belirlenmesinde, alınan teminatlar gibi, kredi güvenilirliğinde artış sağlayan unsurlar dikkate alınmamıştır.</w:t>
      </w:r>
    </w:p>
    <w:p w:rsidR="00E86C72" w:rsidRPr="004E3E9D" w:rsidRDefault="00E86C72" w:rsidP="00E86C72">
      <w:pPr>
        <w:pStyle w:val="body0"/>
        <w:spacing w:after="0" w:line="240" w:lineRule="auto"/>
        <w:ind w:left="567" w:hanging="567"/>
        <w:rPr>
          <w:rFonts w:ascii="Arial" w:hAnsi="Arial" w:cs="Arial"/>
          <w:sz w:val="16"/>
          <w:szCs w:val="20"/>
          <w:lang w:val="tr-TR"/>
        </w:rPr>
      </w:pPr>
      <w:r w:rsidRPr="004E3E9D">
        <w:rPr>
          <w:rFonts w:ascii="Arial" w:hAnsi="Arial" w:cs="Arial"/>
          <w:sz w:val="16"/>
          <w:szCs w:val="20"/>
          <w:lang w:val="tr-TR"/>
        </w:rPr>
        <w:t xml:space="preserve">(**)  </w:t>
      </w:r>
      <w:r>
        <w:rPr>
          <w:rFonts w:ascii="Arial" w:hAnsi="Arial" w:cs="Arial"/>
          <w:sz w:val="16"/>
          <w:szCs w:val="20"/>
          <w:lang w:val="tr-TR"/>
        </w:rPr>
        <w:t xml:space="preserve">      572.405 TL tutarının 567.768</w:t>
      </w:r>
      <w:r w:rsidRPr="004E3E9D">
        <w:rPr>
          <w:rFonts w:ascii="Arial" w:hAnsi="Arial" w:cs="Arial"/>
          <w:sz w:val="16"/>
          <w:szCs w:val="20"/>
          <w:lang w:val="tr-TR"/>
        </w:rPr>
        <w:t xml:space="preserve"> TL tutarındaki kısmı Borsa Par</w:t>
      </w:r>
      <w:r>
        <w:rPr>
          <w:rFonts w:ascii="Arial" w:hAnsi="Arial" w:cs="Arial"/>
          <w:sz w:val="16"/>
          <w:szCs w:val="20"/>
          <w:lang w:val="tr-TR"/>
        </w:rPr>
        <w:t>a Piyasası’ndan alacaklardan ve 4.637</w:t>
      </w:r>
      <w:r w:rsidRPr="004E3E9D">
        <w:rPr>
          <w:rFonts w:ascii="Arial" w:hAnsi="Arial" w:cs="Arial"/>
          <w:sz w:val="16"/>
          <w:szCs w:val="20"/>
          <w:lang w:val="tr-TR"/>
        </w:rPr>
        <w:t xml:space="preserve"> TL tutarındaki kısmı ise diğer hazır değerlerden oluşmaktadır.</w:t>
      </w:r>
    </w:p>
    <w:p w:rsidR="00E86C72" w:rsidRDefault="00E86C72" w:rsidP="00E86C72">
      <w:pPr>
        <w:autoSpaceDE w:val="0"/>
        <w:autoSpaceDN w:val="0"/>
        <w:adjustRightInd w:val="0"/>
        <w:rPr>
          <w:rFonts w:ascii="Arial" w:hAnsi="Arial" w:cs="Arial"/>
          <w:lang w:val="tr-TR"/>
        </w:rPr>
      </w:pPr>
    </w:p>
    <w:p w:rsidR="00E86C72" w:rsidRDefault="00E86C72" w:rsidP="00E86C72">
      <w:pPr>
        <w:autoSpaceDE w:val="0"/>
        <w:autoSpaceDN w:val="0"/>
        <w:adjustRightInd w:val="0"/>
        <w:rPr>
          <w:rFonts w:ascii="Arial" w:hAnsi="Arial" w:cs="Arial"/>
          <w:lang w:val="tr-TR"/>
        </w:rPr>
      </w:pPr>
    </w:p>
    <w:p w:rsidR="00E86C72" w:rsidRDefault="00E86C72" w:rsidP="00E86C72">
      <w:pPr>
        <w:autoSpaceDE w:val="0"/>
        <w:autoSpaceDN w:val="0"/>
        <w:adjustRightInd w:val="0"/>
        <w:rPr>
          <w:rFonts w:ascii="Arial" w:hAnsi="Arial" w:cs="Arial"/>
          <w:lang w:val="tr-TR"/>
        </w:rPr>
      </w:pPr>
    </w:p>
    <w:p w:rsidR="00E86C72" w:rsidRDefault="00E86C72" w:rsidP="00E86C72">
      <w:pPr>
        <w:autoSpaceDE w:val="0"/>
        <w:autoSpaceDN w:val="0"/>
        <w:adjustRightInd w:val="0"/>
        <w:rPr>
          <w:rFonts w:ascii="Arial" w:hAnsi="Arial" w:cs="Arial"/>
          <w:lang w:val="tr-TR"/>
        </w:rPr>
      </w:pPr>
    </w:p>
    <w:p w:rsidR="00E86C72" w:rsidRDefault="00E86C72" w:rsidP="00E86C72">
      <w:pPr>
        <w:autoSpaceDE w:val="0"/>
        <w:autoSpaceDN w:val="0"/>
        <w:adjustRightInd w:val="0"/>
        <w:rPr>
          <w:rFonts w:ascii="Arial" w:hAnsi="Arial" w:cs="Arial"/>
          <w:lang w:val="tr-TR"/>
        </w:rPr>
      </w:pPr>
    </w:p>
    <w:p w:rsidR="00E86C72" w:rsidRDefault="00E86C72" w:rsidP="00E86C72">
      <w:pPr>
        <w:autoSpaceDE w:val="0"/>
        <w:autoSpaceDN w:val="0"/>
        <w:adjustRightInd w:val="0"/>
        <w:rPr>
          <w:rFonts w:ascii="Arial" w:hAnsi="Arial" w:cs="Arial"/>
          <w:lang w:val="tr-TR"/>
        </w:rPr>
      </w:pPr>
    </w:p>
    <w:p w:rsidR="00E86C72" w:rsidRDefault="00E86C72" w:rsidP="00E86C72">
      <w:pPr>
        <w:autoSpaceDE w:val="0"/>
        <w:autoSpaceDN w:val="0"/>
        <w:adjustRightInd w:val="0"/>
        <w:rPr>
          <w:rFonts w:ascii="Arial" w:hAnsi="Arial" w:cs="Arial"/>
          <w:lang w:val="tr-TR"/>
        </w:rPr>
      </w:pPr>
    </w:p>
    <w:p w:rsidR="00E86C72" w:rsidRDefault="00E86C72" w:rsidP="00E86C72">
      <w:pPr>
        <w:autoSpaceDE w:val="0"/>
        <w:autoSpaceDN w:val="0"/>
        <w:adjustRightInd w:val="0"/>
        <w:rPr>
          <w:rFonts w:ascii="Arial" w:hAnsi="Arial" w:cs="Arial"/>
          <w:lang w:val="tr-TR"/>
        </w:rPr>
      </w:pPr>
    </w:p>
    <w:p w:rsidR="00E86C72" w:rsidRDefault="00E86C72" w:rsidP="00E86C72">
      <w:pPr>
        <w:autoSpaceDE w:val="0"/>
        <w:autoSpaceDN w:val="0"/>
        <w:adjustRightInd w:val="0"/>
        <w:rPr>
          <w:rFonts w:ascii="Arial" w:hAnsi="Arial" w:cs="Arial"/>
          <w:lang w:val="tr-TR"/>
        </w:rPr>
      </w:pPr>
    </w:p>
    <w:p w:rsidR="00E86C72" w:rsidRPr="008732FA" w:rsidRDefault="00E86C72" w:rsidP="00E86C72">
      <w:pPr>
        <w:autoSpaceDE w:val="0"/>
        <w:autoSpaceDN w:val="0"/>
        <w:adjustRightInd w:val="0"/>
        <w:rPr>
          <w:rFonts w:ascii="Arial" w:hAnsi="Arial" w:cs="Arial"/>
          <w:lang w:val="tr-TR"/>
        </w:rPr>
      </w:pPr>
      <w:r w:rsidRPr="008732FA">
        <w:rPr>
          <w:rFonts w:ascii="Arial" w:hAnsi="Arial" w:cs="Arial"/>
          <w:lang w:val="tr-TR"/>
        </w:rPr>
        <w:t xml:space="preserve">31 Aralık 2014 </w:t>
      </w:r>
      <w:r>
        <w:rPr>
          <w:rFonts w:ascii="Arial" w:hAnsi="Arial" w:cs="Arial"/>
          <w:lang w:val="tr-TR"/>
        </w:rPr>
        <w:t>tarihi</w:t>
      </w:r>
      <w:r w:rsidRPr="008732FA">
        <w:rPr>
          <w:rFonts w:ascii="Arial" w:hAnsi="Arial" w:cs="Arial"/>
          <w:lang w:val="tr-TR"/>
        </w:rPr>
        <w:t xml:space="preserve"> </w:t>
      </w:r>
      <w:r>
        <w:rPr>
          <w:rFonts w:ascii="Arial" w:hAnsi="Arial" w:cs="Arial"/>
          <w:lang w:val="tr-TR"/>
        </w:rPr>
        <w:t>itibariyle</w:t>
      </w:r>
      <w:r w:rsidRPr="008732FA">
        <w:rPr>
          <w:rFonts w:ascii="Arial" w:hAnsi="Arial" w:cs="Arial"/>
          <w:lang w:val="tr-TR"/>
        </w:rPr>
        <w:t xml:space="preserve"> finansal araç türleri </w:t>
      </w:r>
      <w:r>
        <w:rPr>
          <w:rFonts w:ascii="Arial" w:hAnsi="Arial" w:cs="Arial"/>
          <w:lang w:val="tr-TR"/>
        </w:rPr>
        <w:t>itibariyle</w:t>
      </w:r>
      <w:r w:rsidRPr="008732FA">
        <w:rPr>
          <w:rFonts w:ascii="Arial" w:hAnsi="Arial" w:cs="Arial"/>
          <w:lang w:val="tr-TR"/>
        </w:rPr>
        <w:t xml:space="preserve"> maruz kalınan kredi riskinin detayı aşağıdaki gibidir:</w:t>
      </w:r>
    </w:p>
    <w:p w:rsidR="00E86C72" w:rsidRPr="00727376" w:rsidRDefault="00E86C72" w:rsidP="00E86C72">
      <w:pPr>
        <w:pStyle w:val="body0"/>
        <w:spacing w:after="0" w:line="240" w:lineRule="auto"/>
        <w:ind w:left="567" w:hanging="567"/>
        <w:rPr>
          <w:rFonts w:ascii="Arial" w:hAnsi="Arial" w:cs="Arial"/>
          <w:b/>
          <w:spacing w:val="-2"/>
          <w:sz w:val="20"/>
          <w:szCs w:val="20"/>
          <w:highlight w:val="yellow"/>
          <w:lang w:val="tr-TR"/>
        </w:rPr>
      </w:pPr>
    </w:p>
    <w:tbl>
      <w:tblPr>
        <w:tblW w:w="14015" w:type="dxa"/>
        <w:tblInd w:w="108" w:type="dxa"/>
        <w:tblLook w:val="0000" w:firstRow="0" w:lastRow="0" w:firstColumn="0" w:lastColumn="0" w:noHBand="0" w:noVBand="0"/>
      </w:tblPr>
      <w:tblGrid>
        <w:gridCol w:w="6237"/>
        <w:gridCol w:w="1074"/>
        <w:gridCol w:w="1131"/>
        <w:gridCol w:w="995"/>
        <w:gridCol w:w="993"/>
        <w:gridCol w:w="1213"/>
        <w:gridCol w:w="1456"/>
        <w:gridCol w:w="916"/>
      </w:tblGrid>
      <w:tr w:rsidR="00F8336C" w:rsidRPr="004E3E9D" w:rsidTr="00224B5D">
        <w:trPr>
          <w:trHeight w:val="113"/>
        </w:trPr>
        <w:tc>
          <w:tcPr>
            <w:tcW w:w="6237" w:type="dxa"/>
            <w:tcBorders>
              <w:top w:val="single" w:sz="4" w:space="0" w:color="auto"/>
              <w:left w:val="nil"/>
              <w:bottom w:val="single" w:sz="4" w:space="0" w:color="auto"/>
              <w:right w:val="nil"/>
            </w:tcBorders>
            <w:noWrap/>
            <w:vAlign w:val="bottom"/>
          </w:tcPr>
          <w:p w:rsidR="00E86C72" w:rsidRPr="004E3E9D" w:rsidRDefault="00E86C72" w:rsidP="00224B5D">
            <w:pPr>
              <w:ind w:left="318" w:hanging="426"/>
              <w:rPr>
                <w:rFonts w:ascii="Arial" w:hAnsi="Arial" w:cs="Arial"/>
                <w:bCs/>
                <w:sz w:val="16"/>
                <w:szCs w:val="16"/>
                <w:lang w:val="tr-TR"/>
              </w:rPr>
            </w:pPr>
            <w:r w:rsidRPr="004E3E9D">
              <w:rPr>
                <w:rFonts w:ascii="Arial" w:hAnsi="Arial" w:cs="Arial"/>
                <w:bCs/>
                <w:sz w:val="16"/>
                <w:szCs w:val="16"/>
                <w:lang w:val="tr-TR"/>
              </w:rPr>
              <w:t>Finansal araç türleri itibariyle maruz kalınan kredi riskleri</w:t>
            </w:r>
          </w:p>
        </w:tc>
        <w:tc>
          <w:tcPr>
            <w:tcW w:w="4193" w:type="dxa"/>
            <w:gridSpan w:val="4"/>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Alacaklar</w:t>
            </w:r>
          </w:p>
        </w:tc>
        <w:tc>
          <w:tcPr>
            <w:tcW w:w="1213"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c>
          <w:tcPr>
            <w:tcW w:w="1456"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c>
          <w:tcPr>
            <w:tcW w:w="916"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r>
      <w:tr w:rsidR="00F8336C" w:rsidRPr="004E3E9D" w:rsidTr="00224B5D">
        <w:trPr>
          <w:trHeight w:val="113"/>
        </w:trPr>
        <w:tc>
          <w:tcPr>
            <w:tcW w:w="6237" w:type="dxa"/>
            <w:tcBorders>
              <w:top w:val="single" w:sz="4" w:space="0" w:color="auto"/>
              <w:left w:val="nil"/>
              <w:bottom w:val="single" w:sz="4" w:space="0" w:color="auto"/>
              <w:right w:val="nil"/>
            </w:tcBorders>
            <w:noWrap/>
            <w:vAlign w:val="bottom"/>
          </w:tcPr>
          <w:p w:rsidR="00E86C72" w:rsidRPr="004E3E9D" w:rsidRDefault="00E86C72" w:rsidP="00224B5D">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Ticari alacaklar</w:t>
            </w:r>
          </w:p>
        </w:tc>
        <w:tc>
          <w:tcPr>
            <w:tcW w:w="1988" w:type="dxa"/>
            <w:gridSpan w:val="2"/>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Diğer alacaklar</w:t>
            </w:r>
          </w:p>
        </w:tc>
        <w:tc>
          <w:tcPr>
            <w:tcW w:w="1213"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c>
          <w:tcPr>
            <w:tcW w:w="1456"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c>
          <w:tcPr>
            <w:tcW w:w="916"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sz w:val="16"/>
                <w:szCs w:val="16"/>
              </w:rPr>
            </w:pPr>
          </w:p>
        </w:tc>
      </w:tr>
      <w:tr w:rsidR="00F8336C" w:rsidRPr="004E3E9D" w:rsidTr="00224B5D">
        <w:trPr>
          <w:trHeight w:val="113"/>
        </w:trPr>
        <w:tc>
          <w:tcPr>
            <w:tcW w:w="6237" w:type="dxa"/>
            <w:tcBorders>
              <w:top w:val="single" w:sz="4" w:space="0" w:color="auto"/>
              <w:left w:val="nil"/>
              <w:bottom w:val="single" w:sz="4" w:space="0" w:color="auto"/>
              <w:right w:val="nil"/>
            </w:tcBorders>
            <w:noWrap/>
            <w:vAlign w:val="bottom"/>
          </w:tcPr>
          <w:p w:rsidR="00E86C72" w:rsidRPr="004E3E9D" w:rsidRDefault="00E86C72" w:rsidP="00224B5D">
            <w:pPr>
              <w:ind w:left="318" w:hanging="426"/>
              <w:rPr>
                <w:rFonts w:ascii="Arial" w:hAnsi="Arial" w:cs="Arial"/>
                <w:bCs/>
                <w:sz w:val="16"/>
                <w:szCs w:val="16"/>
              </w:rPr>
            </w:pPr>
            <w:r w:rsidRPr="004E3E9D">
              <w:rPr>
                <w:rFonts w:ascii="Arial" w:hAnsi="Arial" w:cs="Arial"/>
                <w:bCs/>
                <w:sz w:val="16"/>
                <w:szCs w:val="16"/>
              </w:rPr>
              <w:t>31 Aralık 2014</w:t>
            </w:r>
          </w:p>
        </w:tc>
        <w:tc>
          <w:tcPr>
            <w:tcW w:w="1074"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İlişkili taraf</w:t>
            </w:r>
          </w:p>
        </w:tc>
        <w:tc>
          <w:tcPr>
            <w:tcW w:w="1131"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Diğer taraf</w:t>
            </w:r>
          </w:p>
        </w:tc>
        <w:tc>
          <w:tcPr>
            <w:tcW w:w="995"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İlişkili taraf</w:t>
            </w:r>
          </w:p>
        </w:tc>
        <w:tc>
          <w:tcPr>
            <w:tcW w:w="993" w:type="dxa"/>
            <w:tcBorders>
              <w:top w:val="single" w:sz="4" w:space="0" w:color="auto"/>
              <w:left w:val="nil"/>
              <w:bottom w:val="single" w:sz="4" w:space="0" w:color="auto"/>
              <w:right w:val="nil"/>
            </w:tcBorders>
            <w:noWrap/>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Diğer taraf</w:t>
            </w:r>
          </w:p>
        </w:tc>
        <w:tc>
          <w:tcPr>
            <w:tcW w:w="1213" w:type="dxa"/>
            <w:tcBorders>
              <w:top w:val="single" w:sz="4" w:space="0" w:color="auto"/>
              <w:left w:val="nil"/>
              <w:bottom w:val="single" w:sz="4" w:space="0" w:color="auto"/>
              <w:right w:val="nil"/>
            </w:tcBorders>
            <w:vAlign w:val="bottom"/>
          </w:tcPr>
          <w:p w:rsidR="00E86C72" w:rsidRPr="004E3E9D" w:rsidRDefault="00E86C72" w:rsidP="00224B5D">
            <w:pPr>
              <w:jc w:val="right"/>
              <w:rPr>
                <w:rFonts w:ascii="Arial" w:hAnsi="Arial" w:cs="Arial"/>
                <w:b/>
                <w:bCs/>
                <w:sz w:val="16"/>
                <w:szCs w:val="16"/>
              </w:rPr>
            </w:pPr>
            <w:r w:rsidRPr="004E3E9D">
              <w:rPr>
                <w:rFonts w:ascii="Arial" w:hAnsi="Arial" w:cs="Arial"/>
                <w:b/>
                <w:bCs/>
                <w:sz w:val="16"/>
                <w:szCs w:val="16"/>
              </w:rPr>
              <w:t>Bankalardaki mevduat</w:t>
            </w:r>
          </w:p>
        </w:tc>
        <w:tc>
          <w:tcPr>
            <w:tcW w:w="1456" w:type="dxa"/>
            <w:tcBorders>
              <w:top w:val="single" w:sz="4" w:space="0" w:color="auto"/>
              <w:left w:val="nil"/>
              <w:bottom w:val="single" w:sz="4" w:space="0" w:color="auto"/>
              <w:right w:val="nil"/>
            </w:tcBorders>
            <w:noWrap/>
            <w:vAlign w:val="bottom"/>
          </w:tcPr>
          <w:p w:rsidR="00E86C72" w:rsidRPr="004E3E9D" w:rsidRDefault="00E86C72" w:rsidP="00224B5D">
            <w:pPr>
              <w:ind w:left="-108"/>
              <w:jc w:val="right"/>
              <w:rPr>
                <w:rFonts w:ascii="Arial" w:hAnsi="Arial" w:cs="Arial"/>
                <w:b/>
                <w:bCs/>
                <w:sz w:val="16"/>
                <w:szCs w:val="14"/>
              </w:rPr>
            </w:pPr>
            <w:r w:rsidRPr="004E3E9D">
              <w:rPr>
                <w:rFonts w:ascii="Arial" w:hAnsi="Arial" w:cs="Arial"/>
                <w:b/>
                <w:bCs/>
                <w:sz w:val="16"/>
                <w:szCs w:val="14"/>
              </w:rPr>
              <w:t xml:space="preserve">Finansal </w:t>
            </w:r>
          </w:p>
          <w:p w:rsidR="00E86C72" w:rsidRPr="004E3E9D" w:rsidRDefault="00E86C72" w:rsidP="00224B5D">
            <w:pPr>
              <w:ind w:left="-108"/>
              <w:jc w:val="right"/>
              <w:rPr>
                <w:rFonts w:ascii="Arial" w:hAnsi="Arial" w:cs="Arial"/>
                <w:b/>
                <w:bCs/>
                <w:sz w:val="16"/>
                <w:szCs w:val="14"/>
              </w:rPr>
            </w:pPr>
            <w:r w:rsidRPr="004E3E9D">
              <w:rPr>
                <w:rFonts w:ascii="Arial" w:hAnsi="Arial" w:cs="Arial"/>
                <w:b/>
                <w:bCs/>
                <w:sz w:val="16"/>
                <w:szCs w:val="14"/>
              </w:rPr>
              <w:t>yatırımlar</w:t>
            </w:r>
          </w:p>
        </w:tc>
        <w:tc>
          <w:tcPr>
            <w:tcW w:w="916" w:type="dxa"/>
            <w:tcBorders>
              <w:top w:val="single" w:sz="4" w:space="0" w:color="auto"/>
              <w:left w:val="nil"/>
              <w:bottom w:val="single" w:sz="4" w:space="0" w:color="auto"/>
              <w:right w:val="nil"/>
            </w:tcBorders>
            <w:noWrap/>
            <w:vAlign w:val="bottom"/>
          </w:tcPr>
          <w:p w:rsidR="00E86C72" w:rsidRPr="004E3E9D" w:rsidRDefault="00E86C72" w:rsidP="00224B5D">
            <w:pPr>
              <w:ind w:left="-108"/>
              <w:jc w:val="right"/>
              <w:rPr>
                <w:rFonts w:ascii="Arial" w:hAnsi="Arial" w:cs="Arial"/>
                <w:b/>
                <w:bCs/>
                <w:sz w:val="16"/>
                <w:szCs w:val="14"/>
              </w:rPr>
            </w:pPr>
            <w:r w:rsidRPr="004E3E9D">
              <w:rPr>
                <w:rFonts w:ascii="Arial" w:hAnsi="Arial" w:cs="Arial"/>
                <w:b/>
                <w:bCs/>
                <w:sz w:val="16"/>
                <w:szCs w:val="14"/>
              </w:rPr>
              <w:t>Diğer</w:t>
            </w:r>
          </w:p>
          <w:p w:rsidR="00E86C72" w:rsidRPr="004E3E9D" w:rsidRDefault="00E86C72" w:rsidP="00224B5D">
            <w:pPr>
              <w:ind w:left="-108"/>
              <w:jc w:val="right"/>
              <w:rPr>
                <w:rFonts w:ascii="Arial" w:hAnsi="Arial" w:cs="Arial"/>
                <w:b/>
                <w:bCs/>
                <w:sz w:val="16"/>
                <w:szCs w:val="14"/>
              </w:rPr>
            </w:pPr>
            <w:r w:rsidRPr="004E3E9D">
              <w:rPr>
                <w:rFonts w:ascii="Arial" w:hAnsi="Arial" w:cs="Arial"/>
                <w:b/>
                <w:bCs/>
                <w:sz w:val="16"/>
                <w:szCs w:val="14"/>
              </w:rPr>
              <w:t>(**)</w:t>
            </w:r>
          </w:p>
        </w:tc>
      </w:tr>
      <w:tr w:rsidR="00F8336C" w:rsidRPr="004E3E9D" w:rsidTr="00224B5D">
        <w:trPr>
          <w:trHeight w:val="113"/>
        </w:trPr>
        <w:tc>
          <w:tcPr>
            <w:tcW w:w="6237" w:type="dxa"/>
            <w:tcBorders>
              <w:top w:val="single" w:sz="4" w:space="0" w:color="auto"/>
              <w:left w:val="nil"/>
              <w:bottom w:val="nil"/>
              <w:right w:val="nil"/>
            </w:tcBorders>
            <w:noWrap/>
            <w:vAlign w:val="bottom"/>
          </w:tcPr>
          <w:p w:rsidR="00E86C72" w:rsidRPr="004E3E9D" w:rsidRDefault="00E86C72" w:rsidP="00224B5D">
            <w:pPr>
              <w:ind w:left="318" w:hanging="426"/>
              <w:rPr>
                <w:rFonts w:ascii="Arial" w:hAnsi="Arial" w:cs="Arial"/>
                <w:sz w:val="16"/>
                <w:szCs w:val="16"/>
              </w:rPr>
            </w:pPr>
          </w:p>
        </w:tc>
        <w:tc>
          <w:tcPr>
            <w:tcW w:w="1074"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1131"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995"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993"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1213"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1456"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c>
          <w:tcPr>
            <w:tcW w:w="916" w:type="dxa"/>
            <w:tcBorders>
              <w:top w:val="single" w:sz="4" w:space="0" w:color="auto"/>
              <w:left w:val="nil"/>
              <w:bottom w:val="nil"/>
              <w:right w:val="nil"/>
            </w:tcBorders>
            <w:noWrap/>
            <w:vAlign w:val="bottom"/>
          </w:tcPr>
          <w:p w:rsidR="00E86C72" w:rsidRPr="004E3E9D" w:rsidRDefault="00E86C72" w:rsidP="00224B5D">
            <w:pPr>
              <w:jc w:val="right"/>
              <w:rPr>
                <w:rFonts w:ascii="Arial" w:hAnsi="Arial" w:cs="Arial"/>
                <w:b/>
                <w:sz w:val="16"/>
                <w:szCs w:val="16"/>
              </w:rPr>
            </w:pP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Raporlama tarihi itibariyle maruz kalınan azami kredi riski (*)</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11.792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F8336C">
            <w:pPr>
              <w:jc w:val="right"/>
              <w:rPr>
                <w:rFonts w:ascii="Arial" w:hAnsi="Arial" w:cs="Arial"/>
                <w:bCs/>
                <w:color w:val="000000"/>
                <w:sz w:val="16"/>
                <w:szCs w:val="16"/>
              </w:rPr>
            </w:pPr>
            <w:r w:rsidRPr="00E86C72">
              <w:rPr>
                <w:rFonts w:ascii="Arial" w:hAnsi="Arial" w:cs="Arial"/>
                <w:bCs/>
                <w:color w:val="000000"/>
                <w:sz w:val="16"/>
                <w:szCs w:val="16"/>
              </w:rPr>
              <w:t xml:space="preserve">                             </w:t>
            </w:r>
            <w:r w:rsidR="00F8336C">
              <w:rPr>
                <w:rFonts w:ascii="Arial" w:hAnsi="Arial" w:cs="Arial"/>
                <w:bCs/>
                <w:color w:val="000000"/>
                <w:sz w:val="16"/>
                <w:szCs w:val="16"/>
              </w:rPr>
              <w:t>552.507</w:t>
            </w:r>
            <w:r w:rsidRPr="00E86C72">
              <w:rPr>
                <w:rFonts w:ascii="Arial" w:hAnsi="Arial" w:cs="Arial"/>
                <w:bCs/>
                <w:color w:val="000000"/>
                <w:sz w:val="16"/>
                <w:szCs w:val="16"/>
              </w:rPr>
              <w:t xml:space="preserve"> </w:t>
            </w:r>
          </w:p>
        </w:tc>
        <w:tc>
          <w:tcPr>
            <w:tcW w:w="1456" w:type="dxa"/>
            <w:tcBorders>
              <w:top w:val="nil"/>
              <w:left w:val="nil"/>
              <w:bottom w:val="nil"/>
              <w:right w:val="nil"/>
            </w:tcBorders>
            <w:noWrap/>
            <w:vAlign w:val="bottom"/>
          </w:tcPr>
          <w:p w:rsidR="00E86C72" w:rsidRPr="00E86C72" w:rsidRDefault="00E86C72" w:rsidP="00F8336C">
            <w:pPr>
              <w:jc w:val="right"/>
              <w:rPr>
                <w:rFonts w:ascii="Arial" w:hAnsi="Arial" w:cs="Arial"/>
                <w:bCs/>
                <w:color w:val="000000"/>
                <w:sz w:val="16"/>
                <w:szCs w:val="16"/>
              </w:rPr>
            </w:pPr>
            <w:r w:rsidRPr="00E86C72">
              <w:rPr>
                <w:rFonts w:ascii="Arial" w:hAnsi="Arial" w:cs="Arial"/>
                <w:bCs/>
                <w:color w:val="000000"/>
                <w:sz w:val="16"/>
                <w:szCs w:val="16"/>
              </w:rPr>
              <w:t xml:space="preserve">                                                                                                          </w:t>
            </w:r>
            <w:r w:rsidR="00F8336C">
              <w:rPr>
                <w:rFonts w:ascii="Arial" w:hAnsi="Arial" w:cs="Arial"/>
                <w:bCs/>
                <w:color w:val="000000"/>
                <w:sz w:val="16"/>
                <w:szCs w:val="16"/>
              </w:rPr>
              <w:t>99.348</w:t>
            </w:r>
            <w:r w:rsidRPr="00E86C72">
              <w:rPr>
                <w:rFonts w:ascii="Arial" w:hAnsi="Arial" w:cs="Arial"/>
                <w:bCs/>
                <w:color w:val="000000"/>
                <w:sz w:val="16"/>
                <w:szCs w:val="16"/>
              </w:rPr>
              <w:t xml:space="preserve"> </w:t>
            </w:r>
          </w:p>
        </w:tc>
        <w:tc>
          <w:tcPr>
            <w:tcW w:w="916" w:type="dxa"/>
            <w:tcBorders>
              <w:top w:val="nil"/>
              <w:left w:val="nil"/>
              <w:bottom w:val="nil"/>
              <w:right w:val="nil"/>
            </w:tcBorders>
            <w:noWrap/>
            <w:vAlign w:val="bottom"/>
          </w:tcPr>
          <w:p w:rsidR="00E86C72" w:rsidRPr="00E86C72" w:rsidRDefault="00E86C72" w:rsidP="00F8336C">
            <w:pPr>
              <w:jc w:val="right"/>
              <w:rPr>
                <w:rFonts w:ascii="Arial" w:hAnsi="Arial" w:cs="Arial"/>
                <w:bCs/>
                <w:color w:val="000000"/>
                <w:sz w:val="16"/>
                <w:szCs w:val="16"/>
              </w:rPr>
            </w:pPr>
            <w:r w:rsidRPr="00E86C72">
              <w:rPr>
                <w:rFonts w:ascii="Arial" w:hAnsi="Arial" w:cs="Arial"/>
                <w:bCs/>
                <w:color w:val="000000"/>
                <w:sz w:val="16"/>
                <w:szCs w:val="16"/>
              </w:rPr>
              <w:t xml:space="preserve">      </w:t>
            </w:r>
            <w:r w:rsidR="00F8336C">
              <w:rPr>
                <w:rFonts w:ascii="Arial" w:hAnsi="Arial" w:cs="Arial"/>
                <w:bCs/>
                <w:color w:val="000000"/>
                <w:sz w:val="16"/>
                <w:szCs w:val="16"/>
              </w:rPr>
              <w:t>572</w:t>
            </w:r>
            <w:r w:rsidRPr="00E86C72">
              <w:rPr>
                <w:rFonts w:ascii="Arial" w:hAnsi="Arial" w:cs="Arial"/>
                <w:bCs/>
                <w:color w:val="000000"/>
                <w:sz w:val="16"/>
                <w:szCs w:val="16"/>
              </w:rPr>
              <w:t>.</w:t>
            </w:r>
            <w:r w:rsidR="00F8336C">
              <w:rPr>
                <w:rFonts w:ascii="Arial" w:hAnsi="Arial" w:cs="Arial"/>
                <w:bCs/>
                <w:color w:val="000000"/>
                <w:sz w:val="16"/>
                <w:szCs w:val="16"/>
              </w:rPr>
              <w:t>405</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 Azami riskin teminat, vs ile güvence altına alınmış kısmı</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r>
      <w:tr w:rsidR="00F8336C" w:rsidRPr="00E86C72" w:rsidTr="00224B5D">
        <w:trPr>
          <w:trHeight w:val="113"/>
        </w:trPr>
        <w:tc>
          <w:tcPr>
            <w:tcW w:w="6237" w:type="dxa"/>
            <w:tcBorders>
              <w:top w:val="nil"/>
              <w:left w:val="nil"/>
              <w:bottom w:val="nil"/>
              <w:right w:val="nil"/>
            </w:tcBorders>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11.792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F8336C">
            <w:pPr>
              <w:jc w:val="right"/>
              <w:rPr>
                <w:rFonts w:ascii="Arial" w:hAnsi="Arial" w:cs="Arial"/>
                <w:bCs/>
                <w:color w:val="000000"/>
                <w:sz w:val="16"/>
                <w:szCs w:val="16"/>
              </w:rPr>
            </w:pPr>
            <w:r w:rsidRPr="00E86C72">
              <w:rPr>
                <w:rFonts w:ascii="Arial" w:hAnsi="Arial" w:cs="Arial"/>
                <w:bCs/>
                <w:color w:val="000000"/>
                <w:sz w:val="16"/>
                <w:szCs w:val="16"/>
              </w:rPr>
              <w:t xml:space="preserve">                             </w:t>
            </w:r>
            <w:r w:rsidR="00F8336C">
              <w:rPr>
                <w:rFonts w:ascii="Arial" w:hAnsi="Arial" w:cs="Arial"/>
                <w:bCs/>
                <w:color w:val="000000"/>
                <w:sz w:val="16"/>
                <w:szCs w:val="16"/>
              </w:rPr>
              <w:t>552.507</w:t>
            </w:r>
            <w:r w:rsidRPr="00E86C72">
              <w:rPr>
                <w:rFonts w:ascii="Arial" w:hAnsi="Arial" w:cs="Arial"/>
                <w:bCs/>
                <w:color w:val="000000"/>
                <w:sz w:val="16"/>
                <w:szCs w:val="16"/>
              </w:rPr>
              <w:t xml:space="preserve"> </w:t>
            </w:r>
          </w:p>
        </w:tc>
        <w:tc>
          <w:tcPr>
            <w:tcW w:w="1456" w:type="dxa"/>
            <w:tcBorders>
              <w:top w:val="nil"/>
              <w:left w:val="nil"/>
              <w:bottom w:val="nil"/>
              <w:right w:val="nil"/>
            </w:tcBorders>
            <w:noWrap/>
            <w:vAlign w:val="bottom"/>
          </w:tcPr>
          <w:p w:rsidR="00E86C72" w:rsidRPr="00E86C72" w:rsidRDefault="00E86C72" w:rsidP="00F8336C">
            <w:pPr>
              <w:jc w:val="right"/>
              <w:rPr>
                <w:rFonts w:ascii="Arial" w:hAnsi="Arial" w:cs="Arial"/>
                <w:bCs/>
                <w:color w:val="000000"/>
                <w:sz w:val="16"/>
                <w:szCs w:val="16"/>
              </w:rPr>
            </w:pPr>
            <w:r w:rsidRPr="00E86C72">
              <w:rPr>
                <w:rFonts w:ascii="Arial" w:hAnsi="Arial" w:cs="Arial"/>
                <w:bCs/>
                <w:color w:val="000000"/>
                <w:sz w:val="16"/>
                <w:szCs w:val="16"/>
              </w:rPr>
              <w:t xml:space="preserve">                                                                                                          </w:t>
            </w:r>
            <w:r w:rsidR="00F8336C">
              <w:rPr>
                <w:rFonts w:ascii="Arial" w:hAnsi="Arial" w:cs="Arial"/>
                <w:bCs/>
                <w:color w:val="000000"/>
                <w:sz w:val="16"/>
                <w:szCs w:val="16"/>
              </w:rPr>
              <w:t>99.348</w:t>
            </w:r>
          </w:p>
        </w:tc>
        <w:tc>
          <w:tcPr>
            <w:tcW w:w="916" w:type="dxa"/>
            <w:tcBorders>
              <w:top w:val="nil"/>
              <w:left w:val="nil"/>
              <w:bottom w:val="nil"/>
              <w:right w:val="nil"/>
            </w:tcBorders>
            <w:noWrap/>
            <w:vAlign w:val="bottom"/>
          </w:tcPr>
          <w:p w:rsidR="00E86C72" w:rsidRPr="00E86C72" w:rsidRDefault="00E86C72" w:rsidP="00F8336C">
            <w:pPr>
              <w:jc w:val="right"/>
              <w:rPr>
                <w:rFonts w:ascii="Arial" w:hAnsi="Arial" w:cs="Arial"/>
                <w:bCs/>
                <w:color w:val="000000"/>
                <w:sz w:val="16"/>
                <w:szCs w:val="16"/>
              </w:rPr>
            </w:pPr>
            <w:r w:rsidRPr="00E86C72">
              <w:rPr>
                <w:rFonts w:ascii="Arial" w:hAnsi="Arial" w:cs="Arial"/>
                <w:bCs/>
                <w:color w:val="000000"/>
                <w:sz w:val="16"/>
                <w:szCs w:val="16"/>
              </w:rPr>
              <w:t xml:space="preserve">      </w:t>
            </w:r>
            <w:r w:rsidR="00F8336C">
              <w:rPr>
                <w:rFonts w:ascii="Arial" w:hAnsi="Arial" w:cs="Arial"/>
                <w:bCs/>
                <w:color w:val="000000"/>
                <w:sz w:val="16"/>
                <w:szCs w:val="16"/>
              </w:rPr>
              <w:t>572.405</w:t>
            </w:r>
            <w:r w:rsidRPr="00E86C72">
              <w:rPr>
                <w:rFonts w:ascii="Arial" w:hAnsi="Arial" w:cs="Arial"/>
                <w:bCs/>
                <w:color w:val="000000"/>
                <w:sz w:val="16"/>
                <w:szCs w:val="16"/>
              </w:rPr>
              <w:t xml:space="preserve">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r>
      <w:tr w:rsidR="00F8336C" w:rsidRPr="00E86C72" w:rsidTr="00224B5D">
        <w:trPr>
          <w:trHeight w:val="113"/>
        </w:trPr>
        <w:tc>
          <w:tcPr>
            <w:tcW w:w="6237" w:type="dxa"/>
            <w:tcBorders>
              <w:top w:val="nil"/>
              <w:left w:val="nil"/>
              <w:bottom w:val="nil"/>
              <w:right w:val="nil"/>
            </w:tcBorders>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r>
      <w:tr w:rsidR="00F8336C" w:rsidRPr="00E86C72" w:rsidTr="00224B5D">
        <w:trPr>
          <w:trHeight w:val="113"/>
        </w:trPr>
        <w:tc>
          <w:tcPr>
            <w:tcW w:w="6237" w:type="dxa"/>
            <w:tcBorders>
              <w:top w:val="nil"/>
              <w:left w:val="nil"/>
              <w:bottom w:val="nil"/>
              <w:right w:val="nil"/>
            </w:tcBorders>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 teminat, vs ile güvence altına alınmış kısmı</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D. Değer düşüklüğüne uğrayan varlıkların net defter değerleri</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lang w:val="de-DE"/>
              </w:rPr>
            </w:pPr>
            <w:r w:rsidRPr="00E86C72">
              <w:rPr>
                <w:rFonts w:ascii="Arial" w:hAnsi="Arial" w:cs="Arial"/>
                <w:sz w:val="16"/>
                <w:szCs w:val="16"/>
                <w:lang w:val="de-DE"/>
              </w:rPr>
              <w:t>- Vadesi geçmiş (brüt defter değeri)</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lang w:val="de-DE"/>
              </w:rPr>
              <w:t xml:space="preserve"> </w:t>
            </w:r>
            <w:r w:rsidRPr="00E86C72">
              <w:rPr>
                <w:rFonts w:ascii="Arial" w:hAnsi="Arial" w:cs="Arial"/>
                <w:bCs/>
                <w:color w:val="000000"/>
                <w:sz w:val="16"/>
                <w:szCs w:val="16"/>
              </w:rPr>
              <w:t xml:space="preserve">-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 Değer düşüklüğü (-)</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 Net değerin teminat, vs ile güvence altına alınmış kısmı</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 Vadesi geçmemiş (brüt defter değeri)</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 Değer düşüklüğü (-)</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r w:rsidRPr="00E86C72">
              <w:rPr>
                <w:rFonts w:ascii="Arial" w:hAnsi="Arial" w:cs="Arial"/>
                <w:sz w:val="16"/>
                <w:szCs w:val="16"/>
              </w:rPr>
              <w:t>- Net değerin teminat, vs ile güvence altına alınmış kısmı</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rPr>
            </w:pP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p>
        </w:tc>
      </w:tr>
      <w:tr w:rsidR="00F8336C" w:rsidRPr="00E86C72" w:rsidTr="00224B5D">
        <w:trPr>
          <w:trHeight w:val="113"/>
        </w:trPr>
        <w:tc>
          <w:tcPr>
            <w:tcW w:w="6237" w:type="dxa"/>
            <w:tcBorders>
              <w:top w:val="nil"/>
              <w:left w:val="nil"/>
              <w:bottom w:val="nil"/>
              <w:right w:val="nil"/>
            </w:tcBorders>
            <w:noWrap/>
            <w:vAlign w:val="bottom"/>
          </w:tcPr>
          <w:p w:rsidR="00E86C72" w:rsidRPr="00E86C72" w:rsidRDefault="00E86C72" w:rsidP="00224B5D">
            <w:pPr>
              <w:ind w:left="318" w:hanging="426"/>
              <w:rPr>
                <w:rFonts w:ascii="Arial" w:hAnsi="Arial" w:cs="Arial"/>
                <w:sz w:val="16"/>
                <w:szCs w:val="16"/>
                <w:lang w:val="de-DE"/>
              </w:rPr>
            </w:pPr>
            <w:r w:rsidRPr="00E86C72">
              <w:rPr>
                <w:rFonts w:ascii="Arial" w:hAnsi="Arial" w:cs="Arial"/>
                <w:sz w:val="16"/>
                <w:szCs w:val="16"/>
                <w:lang w:val="de-DE"/>
              </w:rPr>
              <w:t>E. Bilanço dışı kredi riski içeren unsurlar</w:t>
            </w:r>
          </w:p>
        </w:tc>
        <w:tc>
          <w:tcPr>
            <w:tcW w:w="1074"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lang w:val="de-DE"/>
              </w:rPr>
              <w:t xml:space="preserve"> </w:t>
            </w:r>
            <w:r w:rsidRPr="00E86C72">
              <w:rPr>
                <w:rFonts w:ascii="Arial" w:hAnsi="Arial" w:cs="Arial"/>
                <w:bCs/>
                <w:color w:val="000000"/>
                <w:sz w:val="16"/>
                <w:szCs w:val="16"/>
              </w:rPr>
              <w:t xml:space="preserve">- </w:t>
            </w:r>
          </w:p>
        </w:tc>
        <w:tc>
          <w:tcPr>
            <w:tcW w:w="1131"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5"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9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213"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145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c>
          <w:tcPr>
            <w:tcW w:w="916" w:type="dxa"/>
            <w:tcBorders>
              <w:top w:val="nil"/>
              <w:left w:val="nil"/>
              <w:bottom w:val="nil"/>
              <w:right w:val="nil"/>
            </w:tcBorders>
            <w:noWrap/>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 xml:space="preserve"> - </w:t>
            </w:r>
          </w:p>
        </w:tc>
      </w:tr>
    </w:tbl>
    <w:p w:rsidR="00E86C72" w:rsidRPr="00E86C72" w:rsidRDefault="00E86C72" w:rsidP="00E86C72">
      <w:pPr>
        <w:autoSpaceDE w:val="0"/>
        <w:autoSpaceDN w:val="0"/>
        <w:adjustRightInd w:val="0"/>
        <w:jc w:val="both"/>
        <w:rPr>
          <w:rFonts w:ascii="Arial" w:hAnsi="Arial" w:cs="Arial"/>
          <w:lang w:val="tr-TR"/>
        </w:rPr>
      </w:pPr>
    </w:p>
    <w:p w:rsidR="00E86C72" w:rsidRPr="004E3E9D" w:rsidRDefault="00E86C72" w:rsidP="00E86C72">
      <w:pPr>
        <w:autoSpaceDE w:val="0"/>
        <w:autoSpaceDN w:val="0"/>
        <w:adjustRightInd w:val="0"/>
        <w:ind w:left="567" w:hanging="567"/>
        <w:jc w:val="both"/>
        <w:rPr>
          <w:rFonts w:ascii="Arial" w:hAnsi="Arial" w:cs="Arial"/>
          <w:sz w:val="16"/>
          <w:lang w:val="tr-TR"/>
        </w:rPr>
      </w:pPr>
      <w:r w:rsidRPr="004E3E9D">
        <w:rPr>
          <w:rFonts w:ascii="Arial" w:hAnsi="Arial" w:cs="Arial"/>
          <w:sz w:val="16"/>
          <w:lang w:val="tr-TR"/>
        </w:rPr>
        <w:t xml:space="preserve">(*)   </w:t>
      </w:r>
      <w:r w:rsidRPr="004E3E9D">
        <w:rPr>
          <w:rFonts w:ascii="Arial" w:hAnsi="Arial" w:cs="Arial"/>
          <w:sz w:val="16"/>
          <w:lang w:val="tr-TR"/>
        </w:rPr>
        <w:tab/>
        <w:t>Tutarın belirlenmesinde, alınan teminatlar gibi, kredi güvenilirliğinde artış sağlayan unsurlar dikkate alınmamıştır.</w:t>
      </w:r>
    </w:p>
    <w:p w:rsidR="00E86C72" w:rsidRPr="004E3E9D" w:rsidRDefault="00E86C72" w:rsidP="00E86C72">
      <w:pPr>
        <w:pStyle w:val="body0"/>
        <w:spacing w:after="0" w:line="240" w:lineRule="auto"/>
        <w:ind w:left="567" w:hanging="567"/>
        <w:rPr>
          <w:rFonts w:ascii="Arial" w:hAnsi="Arial" w:cs="Arial"/>
          <w:sz w:val="16"/>
          <w:szCs w:val="20"/>
          <w:lang w:val="tr-TR"/>
        </w:rPr>
      </w:pPr>
      <w:r w:rsidRPr="004E3E9D">
        <w:rPr>
          <w:rFonts w:ascii="Arial" w:hAnsi="Arial" w:cs="Arial"/>
          <w:sz w:val="16"/>
          <w:szCs w:val="20"/>
          <w:lang w:val="tr-TR"/>
        </w:rPr>
        <w:t xml:space="preserve">(**)  </w:t>
      </w:r>
      <w:r>
        <w:rPr>
          <w:rFonts w:ascii="Arial" w:hAnsi="Arial" w:cs="Arial"/>
          <w:sz w:val="16"/>
          <w:szCs w:val="20"/>
          <w:lang w:val="tr-TR"/>
        </w:rPr>
        <w:t xml:space="preserve">      572.405 TL tutarının 567.768</w:t>
      </w:r>
      <w:r w:rsidRPr="004E3E9D">
        <w:rPr>
          <w:rFonts w:ascii="Arial" w:hAnsi="Arial" w:cs="Arial"/>
          <w:sz w:val="16"/>
          <w:szCs w:val="20"/>
          <w:lang w:val="tr-TR"/>
        </w:rPr>
        <w:t xml:space="preserve"> TL tutarındaki kısmı Borsa Par</w:t>
      </w:r>
      <w:r>
        <w:rPr>
          <w:rFonts w:ascii="Arial" w:hAnsi="Arial" w:cs="Arial"/>
          <w:sz w:val="16"/>
          <w:szCs w:val="20"/>
          <w:lang w:val="tr-TR"/>
        </w:rPr>
        <w:t>a Piyasası’ndan alacaklardan ve 4.637</w:t>
      </w:r>
      <w:r w:rsidRPr="004E3E9D">
        <w:rPr>
          <w:rFonts w:ascii="Arial" w:hAnsi="Arial" w:cs="Arial"/>
          <w:sz w:val="16"/>
          <w:szCs w:val="20"/>
          <w:lang w:val="tr-TR"/>
        </w:rPr>
        <w:t xml:space="preserve"> TL tutarındaki kısmı ise diğer hazır değerlerden oluşmaktadır.</w:t>
      </w:r>
    </w:p>
    <w:p w:rsidR="00E86C72" w:rsidRPr="002B134D" w:rsidRDefault="00E86C72" w:rsidP="00E86C72">
      <w:pPr>
        <w:autoSpaceDE w:val="0"/>
        <w:autoSpaceDN w:val="0"/>
        <w:adjustRightInd w:val="0"/>
        <w:rPr>
          <w:rFonts w:ascii="Arial" w:hAnsi="Arial" w:cs="Arial"/>
          <w:lang w:val="tr-TR"/>
        </w:rPr>
      </w:pPr>
      <w:r w:rsidRPr="004E3E9D">
        <w:rPr>
          <w:rFonts w:ascii="Arial" w:hAnsi="Arial" w:cs="Arial"/>
          <w:lang w:val="tr-TR"/>
        </w:rPr>
        <w:br w:type="page"/>
      </w:r>
    </w:p>
    <w:p w:rsidR="00D322FB" w:rsidRPr="00727376" w:rsidRDefault="00D322FB" w:rsidP="0090567F">
      <w:pPr>
        <w:autoSpaceDE w:val="0"/>
        <w:autoSpaceDN w:val="0"/>
        <w:adjustRightInd w:val="0"/>
        <w:ind w:left="567" w:hanging="567"/>
        <w:rPr>
          <w:rFonts w:ascii="Arial" w:hAnsi="Arial" w:cs="Arial"/>
          <w:highlight w:val="yellow"/>
          <w:lang w:val="tr-TR"/>
        </w:rPr>
        <w:sectPr w:rsidR="00D322FB" w:rsidRPr="00727376" w:rsidSect="00EE69AC">
          <w:headerReference w:type="default" r:id="rId15"/>
          <w:pgSz w:w="16834" w:h="11907" w:orient="landscape" w:code="9"/>
          <w:pgMar w:top="1418" w:right="1418" w:bottom="1418" w:left="1418" w:header="709" w:footer="709" w:gutter="0"/>
          <w:cols w:space="708"/>
        </w:sectPr>
      </w:pPr>
    </w:p>
    <w:p w:rsidR="00D322FB" w:rsidRPr="00FA6F56" w:rsidRDefault="00D322FB" w:rsidP="0090567F">
      <w:pPr>
        <w:pStyle w:val="body0"/>
        <w:spacing w:after="0" w:line="240" w:lineRule="auto"/>
        <w:ind w:left="567" w:hanging="567"/>
        <w:jc w:val="left"/>
        <w:rPr>
          <w:rFonts w:ascii="Arial" w:hAnsi="Arial" w:cs="Arial"/>
          <w:b/>
          <w:spacing w:val="-2"/>
          <w:sz w:val="20"/>
          <w:szCs w:val="20"/>
          <w:lang w:val="tr-TR"/>
        </w:rPr>
      </w:pPr>
      <w:r w:rsidRPr="00FA6F56">
        <w:rPr>
          <w:rFonts w:ascii="Arial" w:hAnsi="Arial" w:cs="Arial"/>
          <w:b/>
          <w:spacing w:val="-2"/>
          <w:sz w:val="20"/>
          <w:szCs w:val="20"/>
          <w:lang w:val="tr-TR"/>
        </w:rPr>
        <w:lastRenderedPageBreak/>
        <w:t>24.</w:t>
      </w:r>
      <w:r w:rsidRPr="00FA6F56">
        <w:rPr>
          <w:rFonts w:ascii="Arial" w:hAnsi="Arial" w:cs="Arial"/>
          <w:b/>
          <w:spacing w:val="-2"/>
          <w:sz w:val="20"/>
          <w:szCs w:val="20"/>
          <w:lang w:val="tr-TR"/>
        </w:rPr>
        <w:tab/>
        <w:t>Finansal araçlardan kaynaklanan risklerin niteliği ve düzeyi (devamı)</w:t>
      </w:r>
    </w:p>
    <w:p w:rsidR="00D322FB" w:rsidRPr="00FA6F56" w:rsidRDefault="00D322FB" w:rsidP="0090567F">
      <w:pPr>
        <w:autoSpaceDE w:val="0"/>
        <w:autoSpaceDN w:val="0"/>
        <w:adjustRightInd w:val="0"/>
        <w:rPr>
          <w:rFonts w:ascii="Arial" w:hAnsi="Arial" w:cs="Arial"/>
          <w:lang w:val="tr-TR"/>
        </w:rPr>
      </w:pPr>
    </w:p>
    <w:p w:rsidR="00D322FB" w:rsidRPr="00FA6F56" w:rsidRDefault="00D322FB" w:rsidP="0090567F">
      <w:pPr>
        <w:rPr>
          <w:rFonts w:ascii="Arial" w:hAnsi="Arial" w:cs="Arial"/>
          <w:i/>
          <w:lang w:val="tr-TR"/>
        </w:rPr>
      </w:pPr>
      <w:r w:rsidRPr="00FA6F56">
        <w:rPr>
          <w:rFonts w:ascii="Arial" w:hAnsi="Arial" w:cs="Arial"/>
          <w:i/>
          <w:lang w:val="tr-TR"/>
        </w:rPr>
        <w:t>Hisse senedi fiyat riski</w:t>
      </w:r>
    </w:p>
    <w:p w:rsidR="00D322FB" w:rsidRPr="00FA6F56" w:rsidRDefault="00D322FB" w:rsidP="0090567F">
      <w:pPr>
        <w:pStyle w:val="Bodycopy"/>
        <w:spacing w:before="0" w:line="240" w:lineRule="auto"/>
        <w:ind w:right="-327"/>
        <w:rPr>
          <w:sz w:val="20"/>
          <w:szCs w:val="20"/>
          <w:lang w:val="tr-TR"/>
        </w:rPr>
      </w:pPr>
    </w:p>
    <w:p w:rsidR="00D322FB" w:rsidRPr="00FA6F56" w:rsidRDefault="00D322FB" w:rsidP="0090567F">
      <w:pPr>
        <w:widowControl w:val="0"/>
        <w:ind w:right="-23"/>
        <w:rPr>
          <w:rFonts w:ascii="Arial" w:hAnsi="Arial" w:cs="Arial"/>
          <w:lang w:val="tr-TR"/>
        </w:rPr>
      </w:pPr>
      <w:r w:rsidRPr="00FA6F56">
        <w:rPr>
          <w:rFonts w:ascii="Arial" w:hAnsi="Arial" w:cs="Arial"/>
          <w:lang w:val="tr-TR"/>
        </w:rPr>
        <w:t>Şirket aynı zamanda, portföyünde bulunan hisse senetlerinde meydana gelebilecek fiyat değişimlerinin yol açacağı hisse senedi fiyat riskine maruz kalmaktadır</w:t>
      </w:r>
      <w:r w:rsidRPr="002F17FA">
        <w:rPr>
          <w:rFonts w:ascii="Arial" w:hAnsi="Arial" w:cs="Arial"/>
          <w:lang w:val="tr-TR"/>
        </w:rPr>
        <w:t xml:space="preserve">. Bu risk 31 </w:t>
      </w:r>
      <w:r w:rsidR="00E97FA3">
        <w:rPr>
          <w:rFonts w:ascii="Arial" w:hAnsi="Arial" w:cs="Arial"/>
          <w:lang w:val="tr-TR"/>
        </w:rPr>
        <w:t>Mart</w:t>
      </w:r>
      <w:r w:rsidRPr="002F17FA">
        <w:rPr>
          <w:rFonts w:ascii="Arial" w:hAnsi="Arial" w:cs="Arial"/>
          <w:lang w:val="tr-TR"/>
        </w:rPr>
        <w:t xml:space="preserve"> 201</w:t>
      </w:r>
      <w:r w:rsidR="00E97FA3">
        <w:rPr>
          <w:rFonts w:ascii="Arial" w:hAnsi="Arial" w:cs="Arial"/>
          <w:lang w:val="tr-TR"/>
        </w:rPr>
        <w:t>5</w:t>
      </w:r>
      <w:r w:rsidRPr="002F17FA">
        <w:rPr>
          <w:rFonts w:ascii="Arial" w:hAnsi="Arial" w:cs="Arial"/>
          <w:lang w:val="tr-TR"/>
        </w:rPr>
        <w:t xml:space="preserve"> tarihi itibariyle bulunmamaktadır (31 Aralık 201</w:t>
      </w:r>
      <w:r w:rsidR="00E97FA3">
        <w:rPr>
          <w:rFonts w:ascii="Arial" w:hAnsi="Arial" w:cs="Arial"/>
          <w:lang w:val="tr-TR"/>
        </w:rPr>
        <w:t>4</w:t>
      </w:r>
      <w:r w:rsidRPr="002F17FA">
        <w:rPr>
          <w:rFonts w:ascii="Arial" w:hAnsi="Arial" w:cs="Arial"/>
          <w:lang w:val="tr-TR"/>
        </w:rPr>
        <w:t xml:space="preserve"> – Yoktur).</w:t>
      </w:r>
    </w:p>
    <w:p w:rsidR="00D322FB" w:rsidRDefault="00D322FB" w:rsidP="0090567F">
      <w:pPr>
        <w:rPr>
          <w:rFonts w:ascii="Arial" w:hAnsi="Arial" w:cs="Arial"/>
          <w:b/>
          <w:highlight w:val="yellow"/>
          <w:lang w:val="tr-TR"/>
        </w:rPr>
      </w:pPr>
    </w:p>
    <w:p w:rsidR="00D322FB" w:rsidRPr="005B441C" w:rsidRDefault="00D322FB" w:rsidP="00FA6F56">
      <w:pPr>
        <w:widowControl w:val="0"/>
        <w:ind w:right="-23"/>
        <w:rPr>
          <w:rFonts w:ascii="Arial" w:hAnsi="Arial" w:cs="Arial"/>
          <w:i/>
          <w:lang w:val="tr-TR"/>
        </w:rPr>
      </w:pPr>
      <w:r w:rsidRPr="005B441C">
        <w:rPr>
          <w:rFonts w:ascii="Arial" w:hAnsi="Arial" w:cs="Arial"/>
          <w:i/>
          <w:lang w:val="tr-TR"/>
        </w:rPr>
        <w:t>Faiz oranı riski</w:t>
      </w:r>
    </w:p>
    <w:p w:rsidR="00D322FB" w:rsidRPr="00727376" w:rsidRDefault="00D322FB" w:rsidP="00FA6F56">
      <w:pPr>
        <w:rPr>
          <w:rFonts w:ascii="Arial" w:hAnsi="Arial" w:cs="Arial"/>
          <w:highlight w:val="yellow"/>
          <w:lang w:val="tr-TR"/>
        </w:rPr>
      </w:pPr>
    </w:p>
    <w:p w:rsidR="00D322FB" w:rsidRPr="005B441C" w:rsidRDefault="00D322FB" w:rsidP="00FA6F56">
      <w:pPr>
        <w:rPr>
          <w:rFonts w:ascii="Arial" w:hAnsi="Arial" w:cs="Arial"/>
          <w:lang w:val="tr-TR"/>
        </w:rPr>
      </w:pPr>
      <w:r w:rsidRPr="005B441C">
        <w:rPr>
          <w:rFonts w:ascii="Arial" w:hAnsi="Arial" w:cs="Arial"/>
          <w:lang w:val="tr-TR"/>
        </w:rPr>
        <w:t>Şirket’in faize duyarlı varlık ve yükümlülüğü ve dolayısıyla faiz oranı riski önemli seviyede değildir. Faiz oranı riski, faiz oranı duyarlılığı olan varlık ve yükümlülüklerini dengelemek suretiyle oluşan doğal tedbirlerle yönetilmektedir. Şirket’in değişken faizli finansal varlık veya finans</w:t>
      </w:r>
      <w:r>
        <w:rPr>
          <w:rFonts w:ascii="Arial" w:hAnsi="Arial" w:cs="Arial"/>
          <w:lang w:val="tr-TR"/>
        </w:rPr>
        <w:t>al yükümlülüğü bulunmamaktadır.</w:t>
      </w:r>
    </w:p>
    <w:p w:rsidR="00D322FB" w:rsidRPr="005B441C" w:rsidRDefault="00D322FB" w:rsidP="00FA6F56">
      <w:pPr>
        <w:rPr>
          <w:rFonts w:ascii="Arial" w:hAnsi="Arial" w:cs="Arial"/>
          <w:lang w:val="tr-TR"/>
        </w:rPr>
      </w:pPr>
    </w:p>
    <w:p w:rsidR="00D322FB" w:rsidRPr="005B441C" w:rsidRDefault="00D322FB" w:rsidP="00FA6F56">
      <w:pPr>
        <w:rPr>
          <w:rFonts w:ascii="Arial" w:hAnsi="Arial" w:cs="Arial"/>
          <w:lang w:val="tr-TR"/>
        </w:rPr>
      </w:pPr>
      <w:r w:rsidRPr="005B441C">
        <w:rPr>
          <w:rFonts w:ascii="Arial" w:hAnsi="Arial" w:cs="Arial"/>
          <w:lang w:val="tr-TR"/>
        </w:rPr>
        <w:t>Şirket, finansal araçların tahmini rayiç değerlerini hali hazırda mevcut piyasa bilgileri ve uygun değerleme yöntemlerini kullanarak belirlemiştir. Fakat piyasa bilgilerini değerlendirip rayiç değerleri tahmin edebilmek yorum ve muhakeme gerektirir. Sonuç olarak burada sunulan tahminler, Şirket’in cari bir piyasa işleminde elde edebileceği miktarların göstergesi olmayabilir. Rayiç değerleri tahmin edilebilir finansal enstrümanların, değerlerinin tahmini için aşağıdaki yöntem ve varsayımlar kullanılmıştır:</w:t>
      </w:r>
    </w:p>
    <w:p w:rsidR="00D322FB" w:rsidRPr="002C2B61" w:rsidRDefault="00D322FB" w:rsidP="00FA6F56">
      <w:pPr>
        <w:rPr>
          <w:rFonts w:ascii="Arial" w:hAnsi="Arial" w:cs="Arial"/>
          <w:lang w:val="tr-TR"/>
        </w:rPr>
      </w:pPr>
    </w:p>
    <w:p w:rsidR="00D322FB" w:rsidRPr="002C2B61" w:rsidRDefault="00D322FB" w:rsidP="00FA6F56">
      <w:pPr>
        <w:rPr>
          <w:rFonts w:ascii="Arial" w:hAnsi="Arial" w:cs="Arial"/>
          <w:i/>
          <w:lang w:val="tr-TR"/>
        </w:rPr>
      </w:pPr>
      <w:r w:rsidRPr="002C2B61">
        <w:rPr>
          <w:rFonts w:ascii="Arial" w:hAnsi="Arial" w:cs="Arial"/>
          <w:i/>
          <w:lang w:val="tr-TR"/>
        </w:rPr>
        <w:t>Finansal varlıklar</w:t>
      </w:r>
    </w:p>
    <w:p w:rsidR="00D322FB" w:rsidRPr="002C2B61" w:rsidRDefault="00D322FB" w:rsidP="00FA6F56">
      <w:pPr>
        <w:rPr>
          <w:rFonts w:ascii="Arial" w:hAnsi="Arial" w:cs="Arial"/>
          <w:lang w:val="tr-TR"/>
        </w:rPr>
      </w:pPr>
    </w:p>
    <w:p w:rsidR="00D322FB" w:rsidRPr="002C2B61" w:rsidRDefault="00D322FB" w:rsidP="00FA6F56">
      <w:pPr>
        <w:rPr>
          <w:rFonts w:ascii="Arial" w:hAnsi="Arial" w:cs="Arial"/>
          <w:lang w:val="tr-TR"/>
        </w:rPr>
      </w:pPr>
      <w:r w:rsidRPr="002C2B61">
        <w:rPr>
          <w:rFonts w:ascii="Arial" w:hAnsi="Arial" w:cs="Arial"/>
          <w:lang w:val="tr-TR"/>
        </w:rPr>
        <w:t xml:space="preserve">Şirket’in 31 </w:t>
      </w:r>
      <w:r w:rsidR="00E97FA3">
        <w:rPr>
          <w:rFonts w:ascii="Arial" w:hAnsi="Arial" w:cs="Arial"/>
          <w:lang w:val="tr-TR"/>
        </w:rPr>
        <w:t>Mart</w:t>
      </w:r>
      <w:r w:rsidRPr="002C2B61">
        <w:rPr>
          <w:rFonts w:ascii="Arial" w:hAnsi="Arial" w:cs="Arial"/>
          <w:lang w:val="tr-TR"/>
        </w:rPr>
        <w:t xml:space="preserve"> 201</w:t>
      </w:r>
      <w:r w:rsidR="00E97FA3">
        <w:rPr>
          <w:rFonts w:ascii="Arial" w:hAnsi="Arial" w:cs="Arial"/>
          <w:lang w:val="tr-TR"/>
        </w:rPr>
        <w:t>5</w:t>
      </w:r>
      <w:r w:rsidRPr="002C2B61">
        <w:rPr>
          <w:rFonts w:ascii="Arial" w:hAnsi="Arial" w:cs="Arial"/>
          <w:lang w:val="tr-TR"/>
        </w:rPr>
        <w:t xml:space="preserve"> ve </w:t>
      </w:r>
      <w:r w:rsidR="00E97FA3">
        <w:rPr>
          <w:rFonts w:ascii="Arial" w:hAnsi="Arial" w:cs="Arial"/>
          <w:lang w:val="tr-TR"/>
        </w:rPr>
        <w:t xml:space="preserve">31 Aralık </w:t>
      </w:r>
      <w:r w:rsidRPr="002C2B61">
        <w:rPr>
          <w:rFonts w:ascii="Arial" w:hAnsi="Arial" w:cs="Arial"/>
          <w:lang w:val="tr-TR"/>
        </w:rPr>
        <w:t>201</w:t>
      </w:r>
      <w:r w:rsidR="00E97FA3">
        <w:rPr>
          <w:rFonts w:ascii="Arial" w:hAnsi="Arial" w:cs="Arial"/>
          <w:lang w:val="tr-TR"/>
        </w:rPr>
        <w:t>4</w:t>
      </w:r>
      <w:r w:rsidRPr="002C2B61">
        <w:rPr>
          <w:rFonts w:ascii="Arial" w:hAnsi="Arial" w:cs="Arial"/>
          <w:lang w:val="tr-TR"/>
        </w:rPr>
        <w:t xml:space="preserve"> tarihleri itibariyle Şirket’in finansal aktiflerinin, kısa vadeli olmaları ve kredi kaybının önemsenmeyecek ölçüde olmasından dolayı, rayiç değerlerin taşınan değerlerine yakın olduğu kabul edilir.</w:t>
      </w:r>
    </w:p>
    <w:p w:rsidR="00D322FB" w:rsidRPr="002C2B61" w:rsidRDefault="00D322FB" w:rsidP="00FA6F56">
      <w:pPr>
        <w:rPr>
          <w:rFonts w:ascii="Arial" w:hAnsi="Arial" w:cs="Arial"/>
          <w:lang w:val="tr-TR"/>
        </w:rPr>
      </w:pPr>
    </w:p>
    <w:p w:rsidR="00D322FB" w:rsidRPr="002C2B61" w:rsidRDefault="00D322FB" w:rsidP="00FA6F56">
      <w:pPr>
        <w:rPr>
          <w:rFonts w:ascii="Arial" w:hAnsi="Arial" w:cs="Arial"/>
          <w:i/>
          <w:lang w:val="tr-TR"/>
        </w:rPr>
      </w:pPr>
      <w:r w:rsidRPr="002C2B61">
        <w:rPr>
          <w:rFonts w:ascii="Arial" w:hAnsi="Arial" w:cs="Arial"/>
          <w:i/>
          <w:lang w:val="tr-TR"/>
        </w:rPr>
        <w:t xml:space="preserve">Finansal yükümlülükler </w:t>
      </w:r>
    </w:p>
    <w:p w:rsidR="00D322FB" w:rsidRPr="002C2B61" w:rsidRDefault="00D322FB" w:rsidP="00FA6F56">
      <w:pPr>
        <w:rPr>
          <w:rFonts w:ascii="Arial" w:hAnsi="Arial" w:cs="Arial"/>
          <w:lang w:val="tr-TR"/>
        </w:rPr>
      </w:pPr>
    </w:p>
    <w:p w:rsidR="00D322FB" w:rsidRPr="002C2B61" w:rsidRDefault="00D322FB" w:rsidP="00FA6F56">
      <w:pPr>
        <w:rPr>
          <w:rFonts w:ascii="Arial" w:hAnsi="Arial" w:cs="Arial"/>
          <w:lang w:val="tr-TR"/>
        </w:rPr>
      </w:pPr>
      <w:r w:rsidRPr="002C2B61">
        <w:rPr>
          <w:rFonts w:ascii="Arial" w:hAnsi="Arial" w:cs="Arial"/>
          <w:lang w:val="tr-TR"/>
        </w:rPr>
        <w:t xml:space="preserve">Şirket’in </w:t>
      </w:r>
      <w:r w:rsidR="00E97FA3" w:rsidRPr="002C2B61">
        <w:rPr>
          <w:rFonts w:ascii="Arial" w:hAnsi="Arial" w:cs="Arial"/>
          <w:lang w:val="tr-TR"/>
        </w:rPr>
        <w:t xml:space="preserve">31 </w:t>
      </w:r>
      <w:r w:rsidR="00E97FA3">
        <w:rPr>
          <w:rFonts w:ascii="Arial" w:hAnsi="Arial" w:cs="Arial"/>
          <w:lang w:val="tr-TR"/>
        </w:rPr>
        <w:t>Mart</w:t>
      </w:r>
      <w:r w:rsidR="00E97FA3" w:rsidRPr="002C2B61">
        <w:rPr>
          <w:rFonts w:ascii="Arial" w:hAnsi="Arial" w:cs="Arial"/>
          <w:lang w:val="tr-TR"/>
        </w:rPr>
        <w:t xml:space="preserve"> 201</w:t>
      </w:r>
      <w:r w:rsidR="00E97FA3">
        <w:rPr>
          <w:rFonts w:ascii="Arial" w:hAnsi="Arial" w:cs="Arial"/>
          <w:lang w:val="tr-TR"/>
        </w:rPr>
        <w:t>5</w:t>
      </w:r>
      <w:r w:rsidR="00E97FA3" w:rsidRPr="002C2B61">
        <w:rPr>
          <w:rFonts w:ascii="Arial" w:hAnsi="Arial" w:cs="Arial"/>
          <w:lang w:val="tr-TR"/>
        </w:rPr>
        <w:t xml:space="preserve"> ve </w:t>
      </w:r>
      <w:r w:rsidR="00E97FA3">
        <w:rPr>
          <w:rFonts w:ascii="Arial" w:hAnsi="Arial" w:cs="Arial"/>
          <w:lang w:val="tr-TR"/>
        </w:rPr>
        <w:t xml:space="preserve">31 Aralık </w:t>
      </w:r>
      <w:r w:rsidR="00E97FA3" w:rsidRPr="002C2B61">
        <w:rPr>
          <w:rFonts w:ascii="Arial" w:hAnsi="Arial" w:cs="Arial"/>
          <w:lang w:val="tr-TR"/>
        </w:rPr>
        <w:t>201</w:t>
      </w:r>
      <w:r w:rsidR="00E97FA3">
        <w:rPr>
          <w:rFonts w:ascii="Arial" w:hAnsi="Arial" w:cs="Arial"/>
          <w:lang w:val="tr-TR"/>
        </w:rPr>
        <w:t>4</w:t>
      </w:r>
      <w:r w:rsidRPr="002C2B61">
        <w:rPr>
          <w:rFonts w:ascii="Arial" w:hAnsi="Arial" w:cs="Arial"/>
          <w:lang w:val="tr-TR"/>
        </w:rPr>
        <w:t xml:space="preserve"> tarihleri itibariyle Şirket’in ticari borçlarının ve diğer parasal yükümlülüklerinin, kısa vadeli olmasından dolayı, rayiç değerlerin taşınan değerlerine yakın olduğu kabul edilir.</w:t>
      </w:r>
    </w:p>
    <w:p w:rsidR="00D322FB" w:rsidRPr="009665AF" w:rsidRDefault="00D322FB" w:rsidP="0090567F">
      <w:pPr>
        <w:rPr>
          <w:rFonts w:ascii="Arial" w:hAnsi="Arial" w:cs="Arial"/>
          <w:b/>
          <w:lang w:val="tr-TR"/>
        </w:rPr>
      </w:pPr>
    </w:p>
    <w:p w:rsidR="00D322FB" w:rsidRPr="009665AF" w:rsidRDefault="00D322FB" w:rsidP="009665AF">
      <w:pPr>
        <w:pStyle w:val="BodyText2"/>
        <w:tabs>
          <w:tab w:val="clear" w:pos="-720"/>
          <w:tab w:val="clear" w:pos="0"/>
        </w:tabs>
        <w:jc w:val="left"/>
        <w:rPr>
          <w:rFonts w:ascii="Arial" w:hAnsi="Arial" w:cs="Arial"/>
          <w:bCs/>
          <w:i/>
          <w:iCs/>
          <w:spacing w:val="-2"/>
          <w:sz w:val="20"/>
          <w:lang w:val="tr-TR"/>
        </w:rPr>
      </w:pPr>
      <w:r w:rsidRPr="009665AF">
        <w:rPr>
          <w:rFonts w:ascii="Arial" w:hAnsi="Arial" w:cs="Arial"/>
          <w:bCs/>
          <w:i/>
          <w:iCs/>
          <w:spacing w:val="-2"/>
          <w:sz w:val="20"/>
          <w:lang w:val="tr-TR"/>
        </w:rPr>
        <w:t>Kur riski</w:t>
      </w:r>
    </w:p>
    <w:p w:rsidR="00D322FB" w:rsidRPr="009665AF" w:rsidRDefault="00D322FB" w:rsidP="009665AF">
      <w:pPr>
        <w:pStyle w:val="BodyText2"/>
        <w:tabs>
          <w:tab w:val="clear" w:pos="-720"/>
          <w:tab w:val="clear" w:pos="0"/>
        </w:tabs>
        <w:jc w:val="left"/>
        <w:rPr>
          <w:rFonts w:ascii="Arial" w:hAnsi="Arial" w:cs="Arial"/>
          <w:sz w:val="20"/>
          <w:lang w:val="tr-TR"/>
        </w:rPr>
      </w:pPr>
    </w:p>
    <w:p w:rsidR="00D322FB" w:rsidRPr="009665AF" w:rsidRDefault="00D322FB" w:rsidP="009665AF">
      <w:pPr>
        <w:widowControl w:val="0"/>
        <w:ind w:right="-23"/>
        <w:rPr>
          <w:rFonts w:ascii="Arial" w:hAnsi="Arial" w:cs="Arial"/>
          <w:lang w:val="tr-TR"/>
        </w:rPr>
      </w:pPr>
      <w:r w:rsidRPr="009665AF">
        <w:rPr>
          <w:rFonts w:ascii="Arial" w:hAnsi="Arial" w:cs="Arial"/>
          <w:lang w:val="tr-TR"/>
        </w:rPr>
        <w:t xml:space="preserve">Yabancı para varlıklar, yükümlülükler ve bilanço dışı yükümlülüklere sahip olma durumunda ortaya çıkan kur hareketlerinden kaynaklanacak etkiler kur riskini oluşturmaktadır. Şirket’in </w:t>
      </w:r>
      <w:r w:rsidR="00E97FA3" w:rsidRPr="002C2B61">
        <w:rPr>
          <w:rFonts w:ascii="Arial" w:hAnsi="Arial" w:cs="Arial"/>
          <w:lang w:val="tr-TR"/>
        </w:rPr>
        <w:t xml:space="preserve">31 </w:t>
      </w:r>
      <w:r w:rsidR="00E97FA3">
        <w:rPr>
          <w:rFonts w:ascii="Arial" w:hAnsi="Arial" w:cs="Arial"/>
          <w:lang w:val="tr-TR"/>
        </w:rPr>
        <w:t>Mart</w:t>
      </w:r>
      <w:r w:rsidR="00E97FA3" w:rsidRPr="002C2B61">
        <w:rPr>
          <w:rFonts w:ascii="Arial" w:hAnsi="Arial" w:cs="Arial"/>
          <w:lang w:val="tr-TR"/>
        </w:rPr>
        <w:t xml:space="preserve"> 201</w:t>
      </w:r>
      <w:r w:rsidR="00E97FA3">
        <w:rPr>
          <w:rFonts w:ascii="Arial" w:hAnsi="Arial" w:cs="Arial"/>
          <w:lang w:val="tr-TR"/>
        </w:rPr>
        <w:t>5</w:t>
      </w:r>
      <w:r w:rsidR="00E97FA3" w:rsidRPr="002C2B61">
        <w:rPr>
          <w:rFonts w:ascii="Arial" w:hAnsi="Arial" w:cs="Arial"/>
          <w:lang w:val="tr-TR"/>
        </w:rPr>
        <w:t xml:space="preserve"> ve </w:t>
      </w:r>
      <w:r w:rsidR="00E97FA3">
        <w:rPr>
          <w:rFonts w:ascii="Arial" w:hAnsi="Arial" w:cs="Arial"/>
          <w:lang w:val="tr-TR"/>
        </w:rPr>
        <w:t xml:space="preserve">31 Aralık </w:t>
      </w:r>
      <w:r w:rsidR="00E97FA3" w:rsidRPr="002C2B61">
        <w:rPr>
          <w:rFonts w:ascii="Arial" w:hAnsi="Arial" w:cs="Arial"/>
          <w:lang w:val="tr-TR"/>
        </w:rPr>
        <w:t>201</w:t>
      </w:r>
      <w:r w:rsidR="00E97FA3">
        <w:rPr>
          <w:rFonts w:ascii="Arial" w:hAnsi="Arial" w:cs="Arial"/>
          <w:lang w:val="tr-TR"/>
        </w:rPr>
        <w:t>4</w:t>
      </w:r>
      <w:r w:rsidRPr="009665AF">
        <w:rPr>
          <w:rFonts w:ascii="Arial" w:hAnsi="Arial" w:cs="Arial"/>
          <w:lang w:val="tr-TR"/>
        </w:rPr>
        <w:t xml:space="preserve"> tarihleri itibariyle dövize dayalı varlık ve yükümlülükleri bulunmadığından kur riskine maruz kalmamıştır.</w:t>
      </w:r>
    </w:p>
    <w:p w:rsidR="00D322FB" w:rsidRPr="00727376" w:rsidRDefault="00D322FB" w:rsidP="009665AF">
      <w:pPr>
        <w:pStyle w:val="BodyTextIndent"/>
        <w:ind w:left="567" w:hanging="567"/>
        <w:jc w:val="both"/>
        <w:rPr>
          <w:rFonts w:ascii="Arial" w:hAnsi="Arial" w:cs="Arial"/>
          <w:b/>
          <w:sz w:val="20"/>
          <w:highlight w:val="yellow"/>
          <w:lang w:val="tr-TR"/>
        </w:rPr>
      </w:pPr>
    </w:p>
    <w:p w:rsidR="00D322FB" w:rsidRDefault="00D322FB" w:rsidP="0090567F">
      <w:pPr>
        <w:autoSpaceDE w:val="0"/>
        <w:autoSpaceDN w:val="0"/>
        <w:adjustRightInd w:val="0"/>
        <w:rPr>
          <w:rFonts w:ascii="Arial" w:hAnsi="Arial" w:cs="Arial"/>
          <w:highlight w:val="yellow"/>
          <w:u w:val="single"/>
          <w:lang w:val="tr-TR"/>
        </w:rPr>
        <w:sectPr w:rsidR="00D322FB" w:rsidSect="00CC2DFF">
          <w:headerReference w:type="default" r:id="rId16"/>
          <w:pgSz w:w="11907" w:h="16834" w:code="9"/>
          <w:pgMar w:top="1418" w:right="1107" w:bottom="1418" w:left="1418" w:header="709" w:footer="709" w:gutter="0"/>
          <w:cols w:space="708"/>
          <w:docGrid w:linePitch="272"/>
        </w:sectPr>
      </w:pPr>
    </w:p>
    <w:p w:rsidR="00D322FB" w:rsidRPr="00FA6F56" w:rsidRDefault="00D322FB" w:rsidP="009665AF">
      <w:pPr>
        <w:pStyle w:val="body0"/>
        <w:spacing w:after="0" w:line="240" w:lineRule="auto"/>
        <w:ind w:left="567" w:hanging="567"/>
        <w:jc w:val="left"/>
        <w:rPr>
          <w:rFonts w:ascii="Arial" w:hAnsi="Arial" w:cs="Arial"/>
          <w:b/>
          <w:spacing w:val="-2"/>
          <w:sz w:val="20"/>
          <w:szCs w:val="20"/>
          <w:lang w:val="tr-TR"/>
        </w:rPr>
      </w:pPr>
      <w:r w:rsidRPr="00FA6F56">
        <w:rPr>
          <w:rFonts w:ascii="Arial" w:hAnsi="Arial" w:cs="Arial"/>
          <w:b/>
          <w:spacing w:val="-2"/>
          <w:sz w:val="20"/>
          <w:szCs w:val="20"/>
          <w:lang w:val="tr-TR"/>
        </w:rPr>
        <w:lastRenderedPageBreak/>
        <w:t>24.</w:t>
      </w:r>
      <w:r w:rsidRPr="00FA6F56">
        <w:rPr>
          <w:rFonts w:ascii="Arial" w:hAnsi="Arial" w:cs="Arial"/>
          <w:b/>
          <w:spacing w:val="-2"/>
          <w:sz w:val="20"/>
          <w:szCs w:val="20"/>
          <w:lang w:val="tr-TR"/>
        </w:rPr>
        <w:tab/>
        <w:t>Finansal araçlardan kaynaklanan risklerin niteliği ve düzeyi (devamı)</w:t>
      </w:r>
    </w:p>
    <w:p w:rsidR="00D322FB" w:rsidRDefault="00D322FB" w:rsidP="0090567F">
      <w:pPr>
        <w:autoSpaceDE w:val="0"/>
        <w:autoSpaceDN w:val="0"/>
        <w:adjustRightInd w:val="0"/>
        <w:rPr>
          <w:rFonts w:ascii="Arial" w:hAnsi="Arial" w:cs="Arial"/>
          <w:highlight w:val="yellow"/>
          <w:u w:val="single"/>
          <w:lang w:val="tr-TR"/>
        </w:rPr>
      </w:pPr>
    </w:p>
    <w:p w:rsidR="00D322FB" w:rsidRPr="009665AF" w:rsidRDefault="00D322FB" w:rsidP="0090567F">
      <w:pPr>
        <w:autoSpaceDE w:val="0"/>
        <w:autoSpaceDN w:val="0"/>
        <w:adjustRightInd w:val="0"/>
        <w:rPr>
          <w:rFonts w:ascii="Arial" w:hAnsi="Arial" w:cs="Arial"/>
          <w:i/>
          <w:lang w:val="tr-TR"/>
        </w:rPr>
      </w:pPr>
      <w:r w:rsidRPr="009665AF">
        <w:rPr>
          <w:rFonts w:ascii="Arial" w:hAnsi="Arial" w:cs="Arial"/>
          <w:i/>
          <w:lang w:val="tr-TR"/>
        </w:rPr>
        <w:t>Likidite riski</w:t>
      </w:r>
    </w:p>
    <w:p w:rsidR="00D322FB" w:rsidRPr="009665AF" w:rsidRDefault="00D322FB" w:rsidP="0090567F">
      <w:pPr>
        <w:rPr>
          <w:rFonts w:ascii="Arial" w:hAnsi="Arial" w:cs="Arial"/>
          <w:lang w:val="tr-TR"/>
        </w:rPr>
      </w:pPr>
    </w:p>
    <w:p w:rsidR="00D322FB" w:rsidRPr="009665AF" w:rsidRDefault="00D322FB" w:rsidP="0090567F">
      <w:pPr>
        <w:widowControl w:val="0"/>
        <w:ind w:right="-23"/>
        <w:rPr>
          <w:rFonts w:ascii="Arial" w:hAnsi="Arial" w:cs="Arial"/>
          <w:lang w:val="tr-TR"/>
        </w:rPr>
      </w:pPr>
      <w:r w:rsidRPr="009665AF">
        <w:rPr>
          <w:rFonts w:ascii="Arial" w:hAnsi="Arial" w:cs="Arial"/>
          <w:lang w:val="tr-TR"/>
        </w:rPr>
        <w:t xml:space="preserve">Likidite riski, uzun vadeli varlıkların kısa vadeli kaynaklarla fonlanmasının bir sonucu olarak ortaya çıkabilmektedir. Şirket’in faaliyeti gereği varlıklarının tamamına yakın kısmını nakit ve benzeri kalemler ile finansal yatırımlar oluşturmaktadır. Şirket yönetimi, varlıkları özsermaye ile finanse ederek, likidite riskini asgari seviyede tutmaktadır. Aşağıdaki tablo </w:t>
      </w:r>
      <w:r w:rsidR="00E97FA3" w:rsidRPr="002C2B61">
        <w:rPr>
          <w:rFonts w:ascii="Arial" w:hAnsi="Arial" w:cs="Arial"/>
          <w:lang w:val="tr-TR"/>
        </w:rPr>
        <w:t xml:space="preserve">31 </w:t>
      </w:r>
      <w:r w:rsidR="00E97FA3">
        <w:rPr>
          <w:rFonts w:ascii="Arial" w:hAnsi="Arial" w:cs="Arial"/>
          <w:lang w:val="tr-TR"/>
        </w:rPr>
        <w:t>Mart</w:t>
      </w:r>
      <w:r w:rsidR="00E97FA3" w:rsidRPr="002C2B61">
        <w:rPr>
          <w:rFonts w:ascii="Arial" w:hAnsi="Arial" w:cs="Arial"/>
          <w:lang w:val="tr-TR"/>
        </w:rPr>
        <w:t xml:space="preserve"> 201</w:t>
      </w:r>
      <w:r w:rsidR="00E97FA3">
        <w:rPr>
          <w:rFonts w:ascii="Arial" w:hAnsi="Arial" w:cs="Arial"/>
          <w:lang w:val="tr-TR"/>
        </w:rPr>
        <w:t>5</w:t>
      </w:r>
      <w:r w:rsidR="00E97FA3" w:rsidRPr="002C2B61">
        <w:rPr>
          <w:rFonts w:ascii="Arial" w:hAnsi="Arial" w:cs="Arial"/>
          <w:lang w:val="tr-TR"/>
        </w:rPr>
        <w:t xml:space="preserve"> ve </w:t>
      </w:r>
      <w:r w:rsidR="00E97FA3">
        <w:rPr>
          <w:rFonts w:ascii="Arial" w:hAnsi="Arial" w:cs="Arial"/>
          <w:lang w:val="tr-TR"/>
        </w:rPr>
        <w:t xml:space="preserve">31 Aralık </w:t>
      </w:r>
      <w:r w:rsidR="00E97FA3" w:rsidRPr="002C2B61">
        <w:rPr>
          <w:rFonts w:ascii="Arial" w:hAnsi="Arial" w:cs="Arial"/>
          <w:lang w:val="tr-TR"/>
        </w:rPr>
        <w:t>201</w:t>
      </w:r>
      <w:r w:rsidR="00E97FA3">
        <w:rPr>
          <w:rFonts w:ascii="Arial" w:hAnsi="Arial" w:cs="Arial"/>
          <w:lang w:val="tr-TR"/>
        </w:rPr>
        <w:t>4</w:t>
      </w:r>
      <w:r w:rsidRPr="009665AF">
        <w:rPr>
          <w:rFonts w:ascii="Arial" w:hAnsi="Arial" w:cs="Arial"/>
          <w:lang w:val="tr-TR"/>
        </w:rPr>
        <w:t xml:space="preserve"> tarihleri </w:t>
      </w:r>
      <w:r>
        <w:rPr>
          <w:rFonts w:ascii="Arial" w:hAnsi="Arial" w:cs="Arial"/>
          <w:lang w:val="tr-TR"/>
        </w:rPr>
        <w:t>itibariyle</w:t>
      </w:r>
      <w:r w:rsidRPr="009665AF">
        <w:rPr>
          <w:rFonts w:ascii="Arial" w:hAnsi="Arial" w:cs="Arial"/>
          <w:lang w:val="tr-TR"/>
        </w:rPr>
        <w:t xml:space="preserve"> Şirket’in varlık ve yükümlülüklerin bilanço tarihinde kalan vadeleri baz alınarak ilgili vade gruplamalarına göre dağılımını göstermektedir:</w:t>
      </w:r>
    </w:p>
    <w:p w:rsidR="00D322FB" w:rsidRDefault="00D322FB" w:rsidP="00EE69AC">
      <w:pPr>
        <w:pStyle w:val="BodyText2"/>
        <w:tabs>
          <w:tab w:val="clear" w:pos="-720"/>
          <w:tab w:val="clear" w:pos="0"/>
        </w:tabs>
        <w:rPr>
          <w:rFonts w:ascii="Arial" w:hAnsi="Arial" w:cs="Arial"/>
          <w:sz w:val="20"/>
          <w:highlight w:val="yellow"/>
          <w:lang w:val="tr-TR"/>
        </w:rPr>
      </w:pPr>
    </w:p>
    <w:tbl>
      <w:tblPr>
        <w:tblW w:w="4654" w:type="pct"/>
        <w:tblInd w:w="108" w:type="dxa"/>
        <w:tblBorders>
          <w:bottom w:val="single" w:sz="4" w:space="0" w:color="auto"/>
        </w:tblBorders>
        <w:tblLayout w:type="fixed"/>
        <w:tblLook w:val="0000" w:firstRow="0" w:lastRow="0" w:firstColumn="0" w:lastColumn="0" w:noHBand="0" w:noVBand="0"/>
      </w:tblPr>
      <w:tblGrid>
        <w:gridCol w:w="2788"/>
        <w:gridCol w:w="1735"/>
        <w:gridCol w:w="1146"/>
        <w:gridCol w:w="908"/>
        <w:gridCol w:w="1164"/>
        <w:gridCol w:w="860"/>
        <w:gridCol w:w="1215"/>
        <w:gridCol w:w="966"/>
        <w:gridCol w:w="2448"/>
      </w:tblGrid>
      <w:tr w:rsidR="00D322FB" w:rsidRPr="006C229C" w:rsidTr="004A664C">
        <w:trPr>
          <w:trHeight w:val="113"/>
        </w:trPr>
        <w:tc>
          <w:tcPr>
            <w:tcW w:w="1054" w:type="pct"/>
            <w:tcBorders>
              <w:top w:val="single" w:sz="4" w:space="0" w:color="auto"/>
              <w:bottom w:val="single" w:sz="4" w:space="0" w:color="auto"/>
            </w:tcBorders>
            <w:vAlign w:val="bottom"/>
          </w:tcPr>
          <w:p w:rsidR="00D322FB" w:rsidRPr="006C229C" w:rsidRDefault="00D322FB" w:rsidP="00E125AB">
            <w:pPr>
              <w:pStyle w:val="Teknik4"/>
              <w:tabs>
                <w:tab w:val="clear" w:pos="-720"/>
              </w:tabs>
              <w:suppressAutoHyphens w:val="0"/>
              <w:ind w:left="34" w:hanging="142"/>
              <w:jc w:val="both"/>
              <w:rPr>
                <w:rFonts w:ascii="Arial" w:hAnsi="Arial" w:cs="Arial"/>
                <w:sz w:val="14"/>
                <w:szCs w:val="14"/>
                <w:highlight w:val="yellow"/>
                <w:lang w:val="tr-TR"/>
              </w:rPr>
            </w:pPr>
          </w:p>
        </w:tc>
        <w:tc>
          <w:tcPr>
            <w:tcW w:w="656" w:type="pct"/>
            <w:tcBorders>
              <w:top w:val="single" w:sz="4" w:space="0" w:color="auto"/>
              <w:bottom w:val="single" w:sz="4" w:space="0" w:color="auto"/>
            </w:tcBorders>
          </w:tcPr>
          <w:p w:rsidR="00D322FB" w:rsidRPr="006C229C" w:rsidRDefault="00D322FB" w:rsidP="00E125AB">
            <w:pPr>
              <w:pStyle w:val="Teknik4"/>
              <w:tabs>
                <w:tab w:val="clear" w:pos="-720"/>
              </w:tabs>
              <w:suppressAutoHyphens w:val="0"/>
              <w:ind w:left="1634"/>
              <w:jc w:val="right"/>
              <w:rPr>
                <w:rFonts w:ascii="Arial" w:hAnsi="Arial" w:cs="Arial"/>
                <w:bCs/>
                <w:sz w:val="14"/>
                <w:szCs w:val="14"/>
                <w:highlight w:val="yellow"/>
                <w:lang w:val="tr-TR"/>
              </w:rPr>
            </w:pPr>
          </w:p>
        </w:tc>
        <w:tc>
          <w:tcPr>
            <w:tcW w:w="3291" w:type="pct"/>
            <w:gridSpan w:val="7"/>
            <w:tcBorders>
              <w:top w:val="single" w:sz="4" w:space="0" w:color="auto"/>
              <w:bottom w:val="single" w:sz="4" w:space="0" w:color="auto"/>
            </w:tcBorders>
            <w:vAlign w:val="bottom"/>
          </w:tcPr>
          <w:p w:rsidR="00D322FB" w:rsidRPr="00906EB5" w:rsidRDefault="00D322FB" w:rsidP="00E86C72">
            <w:pPr>
              <w:pStyle w:val="Teknik4"/>
              <w:tabs>
                <w:tab w:val="clear" w:pos="-720"/>
              </w:tabs>
              <w:suppressAutoHyphens w:val="0"/>
              <w:ind w:left="1634"/>
              <w:jc w:val="right"/>
              <w:rPr>
                <w:rFonts w:ascii="Arial" w:hAnsi="Arial" w:cs="Arial"/>
                <w:bCs/>
                <w:sz w:val="14"/>
                <w:szCs w:val="14"/>
                <w:lang w:val="tr-TR"/>
              </w:rPr>
            </w:pPr>
            <w:r w:rsidRPr="00906EB5">
              <w:rPr>
                <w:rFonts w:ascii="Arial" w:hAnsi="Arial" w:cs="Arial"/>
                <w:bCs/>
                <w:sz w:val="14"/>
                <w:szCs w:val="14"/>
                <w:lang w:val="tr-TR"/>
              </w:rPr>
              <w:t xml:space="preserve">31 </w:t>
            </w:r>
            <w:r w:rsidR="00E86C72">
              <w:rPr>
                <w:rFonts w:ascii="Arial" w:hAnsi="Arial" w:cs="Arial"/>
                <w:bCs/>
                <w:sz w:val="14"/>
                <w:szCs w:val="14"/>
                <w:lang w:val="tr-TR"/>
              </w:rPr>
              <w:t>Mart</w:t>
            </w:r>
            <w:r w:rsidRPr="00906EB5">
              <w:rPr>
                <w:rFonts w:ascii="Arial" w:hAnsi="Arial" w:cs="Arial"/>
                <w:bCs/>
                <w:sz w:val="14"/>
                <w:szCs w:val="14"/>
                <w:lang w:val="tr-TR"/>
              </w:rPr>
              <w:t xml:space="preserve"> 201</w:t>
            </w:r>
            <w:r w:rsidR="00E86C72">
              <w:rPr>
                <w:rFonts w:ascii="Arial" w:hAnsi="Arial" w:cs="Arial"/>
                <w:bCs/>
                <w:sz w:val="14"/>
                <w:szCs w:val="14"/>
                <w:lang w:val="tr-TR"/>
              </w:rPr>
              <w:t>5</w:t>
            </w:r>
          </w:p>
        </w:tc>
      </w:tr>
      <w:tr w:rsidR="00D322FB" w:rsidRPr="00906EB5" w:rsidTr="00155F70">
        <w:trPr>
          <w:trHeight w:val="113"/>
        </w:trPr>
        <w:tc>
          <w:tcPr>
            <w:tcW w:w="1054" w:type="pct"/>
            <w:tcBorders>
              <w:top w:val="single" w:sz="4" w:space="0" w:color="auto"/>
              <w:bottom w:val="single" w:sz="4" w:space="0" w:color="auto"/>
            </w:tcBorders>
            <w:vAlign w:val="bottom"/>
          </w:tcPr>
          <w:p w:rsidR="00D322FB" w:rsidRPr="00906EB5" w:rsidRDefault="00D322FB" w:rsidP="00E125AB">
            <w:pPr>
              <w:pStyle w:val="Teknik4"/>
              <w:tabs>
                <w:tab w:val="clear" w:pos="-720"/>
              </w:tabs>
              <w:suppressAutoHyphens w:val="0"/>
              <w:ind w:left="34" w:hanging="142"/>
              <w:jc w:val="both"/>
              <w:rPr>
                <w:rFonts w:ascii="Arial" w:hAnsi="Arial" w:cs="Arial"/>
                <w:sz w:val="14"/>
                <w:szCs w:val="14"/>
                <w:lang w:val="tr-TR"/>
              </w:rPr>
            </w:pPr>
          </w:p>
        </w:tc>
        <w:tc>
          <w:tcPr>
            <w:tcW w:w="656" w:type="pct"/>
            <w:tcBorders>
              <w:top w:val="single" w:sz="4" w:space="0" w:color="auto"/>
              <w:bottom w:val="single" w:sz="4" w:space="0" w:color="auto"/>
            </w:tcBorders>
          </w:tcPr>
          <w:p w:rsidR="00D322FB" w:rsidRPr="00906EB5" w:rsidRDefault="00D322FB" w:rsidP="007F34B0">
            <w:pPr>
              <w:pStyle w:val="Teknik4"/>
              <w:tabs>
                <w:tab w:val="clear" w:pos="-720"/>
              </w:tabs>
              <w:suppressAutoHyphens w:val="0"/>
              <w:jc w:val="right"/>
              <w:rPr>
                <w:rFonts w:ascii="Arial" w:hAnsi="Arial" w:cs="Arial"/>
                <w:sz w:val="14"/>
                <w:szCs w:val="14"/>
                <w:lang w:val="tr-TR"/>
              </w:rPr>
            </w:pPr>
          </w:p>
        </w:tc>
        <w:tc>
          <w:tcPr>
            <w:tcW w:w="433" w:type="pct"/>
            <w:tcBorders>
              <w:top w:val="single" w:sz="4" w:space="0" w:color="auto"/>
              <w:bottom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1 aya kadar</w:t>
            </w:r>
          </w:p>
        </w:tc>
        <w:tc>
          <w:tcPr>
            <w:tcW w:w="343" w:type="pct"/>
            <w:tcBorders>
              <w:top w:val="single" w:sz="4" w:space="0" w:color="auto"/>
              <w:bottom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1 ay-3 ay</w:t>
            </w:r>
          </w:p>
        </w:tc>
        <w:tc>
          <w:tcPr>
            <w:tcW w:w="440" w:type="pct"/>
            <w:tcBorders>
              <w:top w:val="single" w:sz="4" w:space="0" w:color="auto"/>
              <w:bottom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3 ay –1 yıl</w:t>
            </w:r>
          </w:p>
        </w:tc>
        <w:tc>
          <w:tcPr>
            <w:tcW w:w="325" w:type="pct"/>
            <w:tcBorders>
              <w:top w:val="single" w:sz="4" w:space="0" w:color="auto"/>
              <w:bottom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1 yıl-5 yıl</w:t>
            </w:r>
          </w:p>
        </w:tc>
        <w:tc>
          <w:tcPr>
            <w:tcW w:w="459" w:type="pct"/>
            <w:tcBorders>
              <w:top w:val="single" w:sz="4" w:space="0" w:color="auto"/>
              <w:bottom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5 yıl üzeri</w:t>
            </w:r>
          </w:p>
        </w:tc>
        <w:tc>
          <w:tcPr>
            <w:tcW w:w="365" w:type="pct"/>
            <w:tcBorders>
              <w:top w:val="single" w:sz="4" w:space="0" w:color="auto"/>
              <w:bottom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bCs/>
                <w:sz w:val="14"/>
                <w:szCs w:val="14"/>
                <w:lang w:val="tr-TR"/>
              </w:rPr>
            </w:pPr>
            <w:r w:rsidRPr="00906EB5">
              <w:rPr>
                <w:rFonts w:ascii="Arial" w:hAnsi="Arial" w:cs="Arial"/>
                <w:bCs/>
                <w:sz w:val="14"/>
                <w:szCs w:val="14"/>
                <w:lang w:val="tr-TR"/>
              </w:rPr>
              <w:t>Vadesiz</w:t>
            </w:r>
          </w:p>
        </w:tc>
        <w:tc>
          <w:tcPr>
            <w:tcW w:w="925" w:type="pct"/>
            <w:tcBorders>
              <w:top w:val="single" w:sz="4" w:space="0" w:color="auto"/>
              <w:bottom w:val="single" w:sz="4" w:space="0" w:color="auto"/>
            </w:tcBorders>
          </w:tcPr>
          <w:p w:rsidR="00D322FB" w:rsidRPr="00906EB5" w:rsidRDefault="00D322FB"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Defter değeri</w:t>
            </w:r>
          </w:p>
        </w:tc>
      </w:tr>
      <w:tr w:rsidR="00D322FB" w:rsidRPr="00906EB5" w:rsidTr="00155F70">
        <w:trPr>
          <w:trHeight w:val="93"/>
        </w:trPr>
        <w:tc>
          <w:tcPr>
            <w:tcW w:w="1054" w:type="pct"/>
            <w:tcBorders>
              <w:top w:val="single" w:sz="4" w:space="0" w:color="auto"/>
            </w:tcBorders>
            <w:vAlign w:val="bottom"/>
          </w:tcPr>
          <w:p w:rsidR="00D322FB" w:rsidRPr="00906EB5" w:rsidRDefault="00D322FB" w:rsidP="00E125AB">
            <w:pPr>
              <w:pStyle w:val="Teknik4"/>
              <w:tabs>
                <w:tab w:val="clear" w:pos="-720"/>
              </w:tabs>
              <w:suppressAutoHyphens w:val="0"/>
              <w:ind w:left="34" w:hanging="142"/>
              <w:jc w:val="both"/>
              <w:rPr>
                <w:rFonts w:ascii="Arial" w:hAnsi="Arial" w:cs="Arial"/>
                <w:b w:val="0"/>
                <w:sz w:val="14"/>
                <w:szCs w:val="14"/>
                <w:lang w:val="tr-TR"/>
              </w:rPr>
            </w:pPr>
          </w:p>
        </w:tc>
        <w:tc>
          <w:tcPr>
            <w:tcW w:w="656" w:type="pct"/>
            <w:tcBorders>
              <w:top w:val="single" w:sz="4" w:space="0" w:color="auto"/>
            </w:tcBorders>
          </w:tcPr>
          <w:p w:rsidR="00D322FB" w:rsidRPr="00906EB5" w:rsidRDefault="00D322FB" w:rsidP="007F34B0">
            <w:pPr>
              <w:pStyle w:val="Teknik4"/>
              <w:tabs>
                <w:tab w:val="clear" w:pos="-720"/>
              </w:tabs>
              <w:suppressAutoHyphens w:val="0"/>
              <w:jc w:val="right"/>
              <w:rPr>
                <w:rFonts w:ascii="Arial" w:hAnsi="Arial" w:cs="Arial"/>
                <w:b w:val="0"/>
                <w:sz w:val="14"/>
                <w:szCs w:val="14"/>
                <w:lang w:val="tr-TR"/>
              </w:rPr>
            </w:pPr>
          </w:p>
        </w:tc>
        <w:tc>
          <w:tcPr>
            <w:tcW w:w="433" w:type="pct"/>
            <w:tcBorders>
              <w:top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b w:val="0"/>
                <w:sz w:val="14"/>
                <w:szCs w:val="14"/>
                <w:lang w:val="tr-TR"/>
              </w:rPr>
            </w:pPr>
          </w:p>
        </w:tc>
        <w:tc>
          <w:tcPr>
            <w:tcW w:w="343" w:type="pct"/>
            <w:tcBorders>
              <w:top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b w:val="0"/>
                <w:sz w:val="14"/>
                <w:szCs w:val="14"/>
                <w:lang w:val="tr-TR"/>
              </w:rPr>
            </w:pPr>
          </w:p>
        </w:tc>
        <w:tc>
          <w:tcPr>
            <w:tcW w:w="440" w:type="pct"/>
            <w:tcBorders>
              <w:top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b w:val="0"/>
                <w:sz w:val="14"/>
                <w:szCs w:val="14"/>
                <w:lang w:val="tr-TR"/>
              </w:rPr>
            </w:pPr>
          </w:p>
        </w:tc>
        <w:tc>
          <w:tcPr>
            <w:tcW w:w="325" w:type="pct"/>
            <w:tcBorders>
              <w:top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b w:val="0"/>
                <w:sz w:val="14"/>
                <w:szCs w:val="14"/>
                <w:lang w:val="tr-TR"/>
              </w:rPr>
            </w:pPr>
          </w:p>
        </w:tc>
        <w:tc>
          <w:tcPr>
            <w:tcW w:w="459" w:type="pct"/>
            <w:tcBorders>
              <w:top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b w:val="0"/>
                <w:sz w:val="14"/>
                <w:szCs w:val="14"/>
                <w:lang w:val="tr-TR"/>
              </w:rPr>
            </w:pPr>
          </w:p>
        </w:tc>
        <w:tc>
          <w:tcPr>
            <w:tcW w:w="365" w:type="pct"/>
            <w:tcBorders>
              <w:top w:val="single" w:sz="4" w:space="0" w:color="auto"/>
            </w:tcBorders>
            <w:vAlign w:val="bottom"/>
          </w:tcPr>
          <w:p w:rsidR="00D322FB" w:rsidRPr="00906EB5" w:rsidRDefault="00D322FB" w:rsidP="007F34B0">
            <w:pPr>
              <w:pStyle w:val="Teknik4"/>
              <w:tabs>
                <w:tab w:val="clear" w:pos="-720"/>
              </w:tabs>
              <w:suppressAutoHyphens w:val="0"/>
              <w:jc w:val="right"/>
              <w:rPr>
                <w:rFonts w:ascii="Arial" w:hAnsi="Arial" w:cs="Arial"/>
                <w:b w:val="0"/>
                <w:sz w:val="14"/>
                <w:szCs w:val="14"/>
                <w:lang w:val="tr-TR"/>
              </w:rPr>
            </w:pPr>
          </w:p>
        </w:tc>
        <w:tc>
          <w:tcPr>
            <w:tcW w:w="925" w:type="pct"/>
            <w:tcBorders>
              <w:top w:val="single" w:sz="4" w:space="0" w:color="auto"/>
            </w:tcBorders>
          </w:tcPr>
          <w:p w:rsidR="00D322FB" w:rsidRPr="00906EB5" w:rsidRDefault="00D322FB" w:rsidP="007F34B0">
            <w:pPr>
              <w:pStyle w:val="Teknik4"/>
              <w:tabs>
                <w:tab w:val="clear" w:pos="-720"/>
              </w:tabs>
              <w:suppressAutoHyphens w:val="0"/>
              <w:jc w:val="right"/>
              <w:rPr>
                <w:rFonts w:ascii="Arial" w:hAnsi="Arial" w:cs="Arial"/>
                <w:b w:val="0"/>
                <w:sz w:val="14"/>
                <w:szCs w:val="14"/>
                <w:lang w:val="tr-TR"/>
              </w:rPr>
            </w:pPr>
          </w:p>
        </w:tc>
      </w:tr>
      <w:tr w:rsidR="00D322FB" w:rsidRPr="00906EB5" w:rsidTr="00155F70">
        <w:trPr>
          <w:trHeight w:val="113"/>
        </w:trPr>
        <w:tc>
          <w:tcPr>
            <w:tcW w:w="1054" w:type="pct"/>
            <w:vAlign w:val="bottom"/>
          </w:tcPr>
          <w:p w:rsidR="00D322FB" w:rsidRPr="00906EB5" w:rsidRDefault="00D322FB" w:rsidP="00E125AB">
            <w:pPr>
              <w:ind w:left="34" w:hanging="142"/>
              <w:rPr>
                <w:rFonts w:ascii="Arial" w:hAnsi="Arial" w:cs="Arial"/>
                <w:color w:val="000000"/>
                <w:sz w:val="14"/>
                <w:szCs w:val="14"/>
              </w:rPr>
            </w:pPr>
            <w:r w:rsidRPr="00906EB5">
              <w:rPr>
                <w:rFonts w:ascii="Arial" w:hAnsi="Arial" w:cs="Arial"/>
                <w:color w:val="000000"/>
                <w:sz w:val="14"/>
                <w:szCs w:val="14"/>
              </w:rPr>
              <w:t>Nakit ve nakit benzerleri</w:t>
            </w:r>
          </w:p>
        </w:tc>
        <w:tc>
          <w:tcPr>
            <w:tcW w:w="656" w:type="pct"/>
            <w:vAlign w:val="bottom"/>
          </w:tcPr>
          <w:p w:rsidR="00D322FB" w:rsidRPr="00121AF9" w:rsidRDefault="00D322FB" w:rsidP="00121AF9">
            <w:pPr>
              <w:jc w:val="right"/>
              <w:rPr>
                <w:rFonts w:ascii="Arial" w:hAnsi="Arial" w:cs="Arial"/>
                <w:b/>
                <w:bCs/>
                <w:color w:val="000000"/>
                <w:sz w:val="16"/>
                <w:szCs w:val="16"/>
              </w:rPr>
            </w:pPr>
          </w:p>
        </w:tc>
        <w:tc>
          <w:tcPr>
            <w:tcW w:w="433" w:type="pct"/>
            <w:vAlign w:val="bottom"/>
          </w:tcPr>
          <w:p w:rsidR="00D322FB" w:rsidRPr="00121AF9" w:rsidRDefault="00D322FB" w:rsidP="00217E34">
            <w:pPr>
              <w:jc w:val="right"/>
              <w:rPr>
                <w:rFonts w:ascii="Arial" w:hAnsi="Arial" w:cs="Arial"/>
                <w:b/>
                <w:bCs/>
                <w:color w:val="000000"/>
                <w:sz w:val="16"/>
                <w:szCs w:val="16"/>
              </w:rPr>
            </w:pPr>
            <w:r w:rsidRPr="00121AF9">
              <w:rPr>
                <w:rFonts w:ascii="Arial" w:hAnsi="Arial" w:cs="Arial"/>
                <w:b/>
                <w:bCs/>
                <w:color w:val="000000"/>
                <w:sz w:val="16"/>
                <w:szCs w:val="16"/>
              </w:rPr>
              <w:t>1.1</w:t>
            </w:r>
            <w:r w:rsidR="00217E34">
              <w:rPr>
                <w:rFonts w:ascii="Arial" w:hAnsi="Arial" w:cs="Arial"/>
                <w:b/>
                <w:bCs/>
                <w:color w:val="000000"/>
                <w:sz w:val="16"/>
                <w:szCs w:val="16"/>
              </w:rPr>
              <w:t>68</w:t>
            </w:r>
            <w:r w:rsidRPr="00121AF9">
              <w:rPr>
                <w:rFonts w:ascii="Arial" w:hAnsi="Arial" w:cs="Arial"/>
                <w:b/>
                <w:bCs/>
                <w:color w:val="000000"/>
                <w:sz w:val="16"/>
                <w:szCs w:val="16"/>
              </w:rPr>
              <w:t>.</w:t>
            </w:r>
            <w:r w:rsidR="00217E34">
              <w:rPr>
                <w:rFonts w:ascii="Arial" w:hAnsi="Arial" w:cs="Arial"/>
                <w:b/>
                <w:bCs/>
                <w:color w:val="000000"/>
                <w:sz w:val="16"/>
                <w:szCs w:val="16"/>
              </w:rPr>
              <w:t>385</w:t>
            </w:r>
          </w:p>
        </w:tc>
        <w:tc>
          <w:tcPr>
            <w:tcW w:w="343"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40"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25"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59"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65" w:type="pct"/>
            <w:vAlign w:val="bottom"/>
          </w:tcPr>
          <w:p w:rsidR="00D322FB" w:rsidRPr="00121AF9" w:rsidRDefault="00217E34" w:rsidP="00217E34">
            <w:pPr>
              <w:jc w:val="right"/>
              <w:rPr>
                <w:rFonts w:ascii="Arial" w:hAnsi="Arial" w:cs="Arial"/>
                <w:b/>
                <w:bCs/>
                <w:color w:val="000000"/>
                <w:sz w:val="16"/>
                <w:szCs w:val="16"/>
              </w:rPr>
            </w:pPr>
            <w:r>
              <w:rPr>
                <w:rFonts w:ascii="Arial" w:hAnsi="Arial" w:cs="Arial"/>
                <w:b/>
                <w:bCs/>
                <w:color w:val="000000"/>
                <w:sz w:val="16"/>
                <w:szCs w:val="16"/>
              </w:rPr>
              <w:t>61.266</w:t>
            </w:r>
          </w:p>
        </w:tc>
        <w:tc>
          <w:tcPr>
            <w:tcW w:w="925" w:type="pct"/>
            <w:vAlign w:val="bottom"/>
          </w:tcPr>
          <w:p w:rsidR="00D322FB" w:rsidRPr="00121AF9" w:rsidRDefault="00D322FB" w:rsidP="00217E34">
            <w:pPr>
              <w:jc w:val="right"/>
              <w:rPr>
                <w:rFonts w:ascii="Arial" w:hAnsi="Arial" w:cs="Arial"/>
                <w:b/>
                <w:color w:val="000000"/>
                <w:sz w:val="16"/>
                <w:szCs w:val="16"/>
              </w:rPr>
            </w:pPr>
            <w:r w:rsidRPr="00121AF9">
              <w:rPr>
                <w:rFonts w:ascii="Arial" w:hAnsi="Arial" w:cs="Arial"/>
                <w:b/>
                <w:bCs/>
                <w:color w:val="000000"/>
                <w:sz w:val="16"/>
                <w:szCs w:val="16"/>
              </w:rPr>
              <w:t>1.</w:t>
            </w:r>
            <w:r w:rsidR="00217E34">
              <w:rPr>
                <w:rFonts w:ascii="Arial" w:hAnsi="Arial" w:cs="Arial"/>
                <w:b/>
                <w:bCs/>
                <w:color w:val="000000"/>
                <w:sz w:val="16"/>
                <w:szCs w:val="16"/>
              </w:rPr>
              <w:t>229</w:t>
            </w:r>
            <w:r w:rsidRPr="00121AF9">
              <w:rPr>
                <w:rFonts w:ascii="Arial" w:hAnsi="Arial" w:cs="Arial"/>
                <w:b/>
                <w:bCs/>
                <w:color w:val="000000"/>
                <w:sz w:val="16"/>
                <w:szCs w:val="16"/>
              </w:rPr>
              <w:t>.</w:t>
            </w:r>
            <w:r w:rsidR="00217E34">
              <w:rPr>
                <w:rFonts w:ascii="Arial" w:hAnsi="Arial" w:cs="Arial"/>
                <w:b/>
                <w:bCs/>
                <w:color w:val="000000"/>
                <w:sz w:val="16"/>
                <w:szCs w:val="16"/>
              </w:rPr>
              <w:t>651</w:t>
            </w:r>
          </w:p>
        </w:tc>
      </w:tr>
      <w:tr w:rsidR="00D322FB" w:rsidRPr="00906EB5" w:rsidTr="00155F70">
        <w:trPr>
          <w:trHeight w:val="113"/>
        </w:trPr>
        <w:tc>
          <w:tcPr>
            <w:tcW w:w="1054" w:type="pct"/>
            <w:vAlign w:val="bottom"/>
          </w:tcPr>
          <w:p w:rsidR="00D322FB" w:rsidRPr="00906EB5" w:rsidRDefault="00D322FB" w:rsidP="00E125AB">
            <w:pPr>
              <w:ind w:left="34" w:hanging="142"/>
              <w:rPr>
                <w:rFonts w:ascii="Arial" w:hAnsi="Arial" w:cs="Arial"/>
                <w:color w:val="000000"/>
                <w:sz w:val="14"/>
                <w:szCs w:val="14"/>
              </w:rPr>
            </w:pPr>
            <w:r w:rsidRPr="00906EB5">
              <w:rPr>
                <w:rFonts w:ascii="Arial" w:hAnsi="Arial" w:cs="Arial"/>
                <w:color w:val="000000"/>
                <w:sz w:val="14"/>
                <w:szCs w:val="14"/>
              </w:rPr>
              <w:t>Finansal yatırımlar</w:t>
            </w:r>
          </w:p>
        </w:tc>
        <w:tc>
          <w:tcPr>
            <w:tcW w:w="656" w:type="pct"/>
            <w:vAlign w:val="bottom"/>
          </w:tcPr>
          <w:p w:rsidR="00D322FB" w:rsidRPr="00121AF9" w:rsidRDefault="00D322FB" w:rsidP="00121AF9">
            <w:pPr>
              <w:jc w:val="right"/>
              <w:rPr>
                <w:rFonts w:ascii="Arial" w:hAnsi="Arial" w:cs="Arial"/>
                <w:b/>
                <w:bCs/>
                <w:color w:val="000000"/>
                <w:sz w:val="16"/>
                <w:szCs w:val="16"/>
              </w:rPr>
            </w:pPr>
          </w:p>
        </w:tc>
        <w:tc>
          <w:tcPr>
            <w:tcW w:w="433"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43"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40"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25" w:type="pct"/>
            <w:vAlign w:val="bottom"/>
          </w:tcPr>
          <w:p w:rsidR="00D322FB" w:rsidRPr="00121AF9" w:rsidRDefault="00217E34" w:rsidP="00217E34">
            <w:pPr>
              <w:jc w:val="right"/>
              <w:rPr>
                <w:rFonts w:ascii="Arial" w:hAnsi="Arial" w:cs="Arial"/>
                <w:b/>
                <w:bCs/>
                <w:color w:val="000000"/>
                <w:sz w:val="16"/>
                <w:szCs w:val="16"/>
              </w:rPr>
            </w:pPr>
            <w:r>
              <w:rPr>
                <w:rFonts w:ascii="Arial" w:hAnsi="Arial" w:cs="Arial"/>
                <w:b/>
                <w:bCs/>
                <w:color w:val="000000"/>
                <w:sz w:val="16"/>
                <w:szCs w:val="16"/>
              </w:rPr>
              <w:t>101.409</w:t>
            </w:r>
          </w:p>
        </w:tc>
        <w:tc>
          <w:tcPr>
            <w:tcW w:w="459"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65"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925" w:type="pct"/>
            <w:vAlign w:val="bottom"/>
          </w:tcPr>
          <w:p w:rsidR="00D322FB" w:rsidRPr="00121AF9" w:rsidRDefault="00217E34" w:rsidP="00217E34">
            <w:pPr>
              <w:jc w:val="right"/>
              <w:rPr>
                <w:rFonts w:ascii="Arial" w:hAnsi="Arial" w:cs="Arial"/>
                <w:b/>
                <w:bCs/>
                <w:color w:val="000000"/>
                <w:sz w:val="16"/>
                <w:szCs w:val="16"/>
              </w:rPr>
            </w:pPr>
            <w:r>
              <w:rPr>
                <w:rFonts w:ascii="Arial" w:hAnsi="Arial" w:cs="Arial"/>
                <w:b/>
                <w:bCs/>
                <w:color w:val="000000"/>
                <w:sz w:val="16"/>
                <w:szCs w:val="16"/>
              </w:rPr>
              <w:t>101</w:t>
            </w:r>
            <w:r w:rsidR="00D322FB" w:rsidRPr="00121AF9">
              <w:rPr>
                <w:rFonts w:ascii="Arial" w:hAnsi="Arial" w:cs="Arial"/>
                <w:b/>
                <w:bCs/>
                <w:color w:val="000000"/>
                <w:sz w:val="16"/>
                <w:szCs w:val="16"/>
              </w:rPr>
              <w:t>.</w:t>
            </w:r>
            <w:r>
              <w:rPr>
                <w:rFonts w:ascii="Arial" w:hAnsi="Arial" w:cs="Arial"/>
                <w:b/>
                <w:bCs/>
                <w:color w:val="000000"/>
                <w:sz w:val="16"/>
                <w:szCs w:val="16"/>
              </w:rPr>
              <w:t>409</w:t>
            </w:r>
          </w:p>
        </w:tc>
      </w:tr>
      <w:tr w:rsidR="00D322FB" w:rsidRPr="00906EB5" w:rsidTr="00155F70">
        <w:trPr>
          <w:trHeight w:val="113"/>
        </w:trPr>
        <w:tc>
          <w:tcPr>
            <w:tcW w:w="1054" w:type="pct"/>
            <w:vAlign w:val="bottom"/>
          </w:tcPr>
          <w:p w:rsidR="00D322FB" w:rsidRPr="00906EB5" w:rsidRDefault="00D322FB" w:rsidP="00E125AB">
            <w:pPr>
              <w:ind w:left="34" w:hanging="142"/>
              <w:rPr>
                <w:rFonts w:ascii="Arial" w:hAnsi="Arial" w:cs="Arial"/>
                <w:color w:val="000000"/>
                <w:sz w:val="14"/>
                <w:szCs w:val="14"/>
              </w:rPr>
            </w:pPr>
            <w:r w:rsidRPr="00906EB5">
              <w:rPr>
                <w:rFonts w:ascii="Arial" w:hAnsi="Arial" w:cs="Arial"/>
                <w:color w:val="000000"/>
                <w:sz w:val="14"/>
                <w:szCs w:val="14"/>
              </w:rPr>
              <w:t>Ticari alacaklar</w:t>
            </w:r>
          </w:p>
        </w:tc>
        <w:tc>
          <w:tcPr>
            <w:tcW w:w="656" w:type="pct"/>
            <w:vAlign w:val="bottom"/>
          </w:tcPr>
          <w:p w:rsidR="00D322FB" w:rsidRPr="00121AF9" w:rsidRDefault="00D322FB" w:rsidP="00121AF9">
            <w:pPr>
              <w:jc w:val="right"/>
              <w:rPr>
                <w:rFonts w:ascii="Arial" w:hAnsi="Arial" w:cs="Arial"/>
                <w:b/>
                <w:bCs/>
                <w:color w:val="000000"/>
                <w:sz w:val="16"/>
                <w:szCs w:val="16"/>
              </w:rPr>
            </w:pPr>
          </w:p>
        </w:tc>
        <w:tc>
          <w:tcPr>
            <w:tcW w:w="433" w:type="pct"/>
            <w:vAlign w:val="bottom"/>
          </w:tcPr>
          <w:p w:rsidR="00D322FB" w:rsidRPr="00121AF9" w:rsidRDefault="00D322FB" w:rsidP="00217E34">
            <w:pPr>
              <w:jc w:val="right"/>
              <w:rPr>
                <w:rFonts w:ascii="Arial" w:hAnsi="Arial" w:cs="Arial"/>
                <w:b/>
                <w:bCs/>
                <w:color w:val="000000"/>
                <w:sz w:val="16"/>
                <w:szCs w:val="16"/>
              </w:rPr>
            </w:pPr>
            <w:r w:rsidRPr="00121AF9">
              <w:rPr>
                <w:rFonts w:ascii="Arial" w:hAnsi="Arial" w:cs="Arial"/>
                <w:b/>
                <w:bCs/>
                <w:color w:val="000000"/>
                <w:sz w:val="16"/>
                <w:szCs w:val="16"/>
              </w:rPr>
              <w:t>11.</w:t>
            </w:r>
            <w:r w:rsidR="00217E34">
              <w:rPr>
                <w:rFonts w:ascii="Arial" w:hAnsi="Arial" w:cs="Arial"/>
                <w:b/>
                <w:bCs/>
                <w:color w:val="000000"/>
                <w:sz w:val="16"/>
                <w:szCs w:val="16"/>
              </w:rPr>
              <w:t>472</w:t>
            </w:r>
          </w:p>
        </w:tc>
        <w:tc>
          <w:tcPr>
            <w:tcW w:w="343"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40"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25"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59"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65" w:type="pct"/>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w:t>
            </w:r>
          </w:p>
        </w:tc>
        <w:tc>
          <w:tcPr>
            <w:tcW w:w="925" w:type="pct"/>
            <w:vAlign w:val="bottom"/>
          </w:tcPr>
          <w:p w:rsidR="00D322FB" w:rsidRPr="00121AF9" w:rsidRDefault="00D322FB" w:rsidP="00217E34">
            <w:pPr>
              <w:jc w:val="right"/>
              <w:rPr>
                <w:rFonts w:ascii="Arial" w:hAnsi="Arial" w:cs="Arial"/>
                <w:b/>
                <w:bCs/>
                <w:color w:val="000000"/>
                <w:sz w:val="16"/>
                <w:szCs w:val="16"/>
              </w:rPr>
            </w:pPr>
            <w:r w:rsidRPr="00121AF9">
              <w:rPr>
                <w:rFonts w:ascii="Arial" w:hAnsi="Arial" w:cs="Arial"/>
                <w:b/>
                <w:bCs/>
                <w:color w:val="000000"/>
                <w:sz w:val="16"/>
                <w:szCs w:val="16"/>
              </w:rPr>
              <w:t>11.</w:t>
            </w:r>
            <w:r w:rsidR="00217E34">
              <w:rPr>
                <w:rFonts w:ascii="Arial" w:hAnsi="Arial" w:cs="Arial"/>
                <w:b/>
                <w:bCs/>
                <w:color w:val="000000"/>
                <w:sz w:val="16"/>
                <w:szCs w:val="16"/>
              </w:rPr>
              <w:t>472</w:t>
            </w:r>
          </w:p>
        </w:tc>
      </w:tr>
      <w:tr w:rsidR="00D322FB" w:rsidRPr="00906EB5" w:rsidTr="00155F70">
        <w:trPr>
          <w:trHeight w:val="113"/>
        </w:trPr>
        <w:tc>
          <w:tcPr>
            <w:tcW w:w="1054" w:type="pct"/>
            <w:tcBorders>
              <w:bottom w:val="nil"/>
            </w:tcBorders>
            <w:vAlign w:val="bottom"/>
          </w:tcPr>
          <w:p w:rsidR="00D322FB" w:rsidRPr="00906EB5" w:rsidRDefault="00D322FB" w:rsidP="00E125AB">
            <w:pPr>
              <w:ind w:left="34" w:hanging="142"/>
              <w:rPr>
                <w:rFonts w:ascii="Arial" w:hAnsi="Arial" w:cs="Arial"/>
                <w:color w:val="000000"/>
                <w:sz w:val="14"/>
                <w:szCs w:val="14"/>
              </w:rPr>
            </w:pPr>
          </w:p>
        </w:tc>
        <w:tc>
          <w:tcPr>
            <w:tcW w:w="656" w:type="pct"/>
            <w:vAlign w:val="bottom"/>
          </w:tcPr>
          <w:p w:rsidR="00D322FB" w:rsidRPr="00121AF9" w:rsidRDefault="00D322FB" w:rsidP="00121AF9">
            <w:pPr>
              <w:jc w:val="right"/>
              <w:rPr>
                <w:rFonts w:ascii="Arial" w:hAnsi="Arial" w:cs="Arial"/>
                <w:b/>
                <w:color w:val="000000"/>
                <w:sz w:val="16"/>
                <w:szCs w:val="16"/>
              </w:rPr>
            </w:pPr>
          </w:p>
        </w:tc>
        <w:tc>
          <w:tcPr>
            <w:tcW w:w="433" w:type="pct"/>
            <w:vAlign w:val="bottom"/>
          </w:tcPr>
          <w:p w:rsidR="00D322FB" w:rsidRPr="00121AF9" w:rsidRDefault="00D322FB">
            <w:pPr>
              <w:jc w:val="right"/>
              <w:rPr>
                <w:rFonts w:ascii="Arial" w:hAnsi="Arial" w:cs="Arial"/>
                <w:b/>
                <w:color w:val="000000"/>
                <w:sz w:val="16"/>
                <w:szCs w:val="16"/>
              </w:rPr>
            </w:pPr>
          </w:p>
        </w:tc>
        <w:tc>
          <w:tcPr>
            <w:tcW w:w="343" w:type="pct"/>
            <w:vAlign w:val="bottom"/>
          </w:tcPr>
          <w:p w:rsidR="00D322FB" w:rsidRPr="00121AF9" w:rsidRDefault="00D322FB">
            <w:pPr>
              <w:jc w:val="right"/>
              <w:rPr>
                <w:rFonts w:ascii="Arial" w:hAnsi="Arial" w:cs="Arial"/>
                <w:b/>
                <w:color w:val="000000"/>
                <w:sz w:val="16"/>
                <w:szCs w:val="16"/>
              </w:rPr>
            </w:pPr>
          </w:p>
        </w:tc>
        <w:tc>
          <w:tcPr>
            <w:tcW w:w="440" w:type="pct"/>
            <w:vAlign w:val="bottom"/>
          </w:tcPr>
          <w:p w:rsidR="00D322FB" w:rsidRPr="00121AF9" w:rsidRDefault="00D322FB">
            <w:pPr>
              <w:jc w:val="right"/>
              <w:rPr>
                <w:rFonts w:ascii="Arial" w:hAnsi="Arial" w:cs="Arial"/>
                <w:b/>
                <w:color w:val="000000"/>
                <w:sz w:val="16"/>
                <w:szCs w:val="16"/>
              </w:rPr>
            </w:pPr>
          </w:p>
        </w:tc>
        <w:tc>
          <w:tcPr>
            <w:tcW w:w="325" w:type="pct"/>
            <w:vAlign w:val="bottom"/>
          </w:tcPr>
          <w:p w:rsidR="00D322FB" w:rsidRPr="00121AF9" w:rsidRDefault="00D322FB">
            <w:pPr>
              <w:jc w:val="right"/>
              <w:rPr>
                <w:rFonts w:ascii="Arial" w:hAnsi="Arial" w:cs="Arial"/>
                <w:b/>
                <w:color w:val="000000"/>
                <w:sz w:val="16"/>
                <w:szCs w:val="16"/>
              </w:rPr>
            </w:pPr>
          </w:p>
        </w:tc>
        <w:tc>
          <w:tcPr>
            <w:tcW w:w="459" w:type="pct"/>
            <w:vAlign w:val="bottom"/>
          </w:tcPr>
          <w:p w:rsidR="00D322FB" w:rsidRPr="00121AF9" w:rsidRDefault="00D322FB">
            <w:pPr>
              <w:jc w:val="right"/>
              <w:rPr>
                <w:rFonts w:ascii="Arial" w:hAnsi="Arial" w:cs="Arial"/>
                <w:b/>
                <w:color w:val="000000"/>
                <w:sz w:val="16"/>
                <w:szCs w:val="16"/>
              </w:rPr>
            </w:pPr>
          </w:p>
        </w:tc>
        <w:tc>
          <w:tcPr>
            <w:tcW w:w="365" w:type="pct"/>
            <w:vAlign w:val="bottom"/>
          </w:tcPr>
          <w:p w:rsidR="00D322FB" w:rsidRPr="00121AF9" w:rsidRDefault="00D322FB">
            <w:pPr>
              <w:jc w:val="right"/>
              <w:rPr>
                <w:rFonts w:ascii="Arial" w:hAnsi="Arial" w:cs="Arial"/>
                <w:b/>
                <w:color w:val="000000"/>
                <w:sz w:val="16"/>
                <w:szCs w:val="16"/>
              </w:rPr>
            </w:pPr>
          </w:p>
        </w:tc>
        <w:tc>
          <w:tcPr>
            <w:tcW w:w="925" w:type="pct"/>
            <w:vAlign w:val="bottom"/>
          </w:tcPr>
          <w:p w:rsidR="00D322FB" w:rsidRPr="00121AF9" w:rsidRDefault="00D322FB">
            <w:pPr>
              <w:jc w:val="right"/>
              <w:rPr>
                <w:rFonts w:ascii="Arial" w:hAnsi="Arial" w:cs="Arial"/>
                <w:b/>
                <w:color w:val="000000"/>
                <w:sz w:val="16"/>
                <w:szCs w:val="16"/>
              </w:rPr>
            </w:pPr>
          </w:p>
        </w:tc>
      </w:tr>
      <w:tr w:rsidR="00D322FB" w:rsidRPr="00906EB5" w:rsidTr="00155F70">
        <w:trPr>
          <w:trHeight w:val="113"/>
        </w:trPr>
        <w:tc>
          <w:tcPr>
            <w:tcW w:w="1054" w:type="pct"/>
            <w:tcBorders>
              <w:top w:val="single" w:sz="4" w:space="0" w:color="auto"/>
              <w:bottom w:val="single" w:sz="4" w:space="0" w:color="auto"/>
            </w:tcBorders>
            <w:vAlign w:val="bottom"/>
          </w:tcPr>
          <w:p w:rsidR="00D322FB" w:rsidRPr="00906EB5" w:rsidRDefault="00D322FB" w:rsidP="00E125AB">
            <w:pPr>
              <w:ind w:left="34" w:hanging="142"/>
              <w:rPr>
                <w:rFonts w:ascii="Arial" w:hAnsi="Arial" w:cs="Arial"/>
                <w:b/>
                <w:color w:val="000000"/>
                <w:sz w:val="14"/>
                <w:szCs w:val="14"/>
              </w:rPr>
            </w:pPr>
            <w:r w:rsidRPr="00906EB5">
              <w:rPr>
                <w:rFonts w:ascii="Arial" w:hAnsi="Arial" w:cs="Arial"/>
                <w:b/>
                <w:color w:val="000000"/>
                <w:sz w:val="14"/>
                <w:szCs w:val="14"/>
              </w:rPr>
              <w:t>Toplam varlıklar</w:t>
            </w:r>
          </w:p>
        </w:tc>
        <w:tc>
          <w:tcPr>
            <w:tcW w:w="656" w:type="pct"/>
            <w:tcBorders>
              <w:top w:val="single" w:sz="4" w:space="0" w:color="auto"/>
              <w:bottom w:val="single" w:sz="4" w:space="0" w:color="auto"/>
            </w:tcBorders>
            <w:vAlign w:val="bottom"/>
          </w:tcPr>
          <w:p w:rsidR="00D322FB" w:rsidRPr="00121AF9" w:rsidRDefault="00D322FB" w:rsidP="00121AF9">
            <w:pPr>
              <w:jc w:val="right"/>
              <w:rPr>
                <w:rFonts w:ascii="Arial" w:hAnsi="Arial" w:cs="Arial"/>
                <w:b/>
                <w:bCs/>
                <w:color w:val="000000"/>
                <w:sz w:val="16"/>
                <w:szCs w:val="16"/>
              </w:rPr>
            </w:pPr>
          </w:p>
        </w:tc>
        <w:tc>
          <w:tcPr>
            <w:tcW w:w="433" w:type="pct"/>
            <w:tcBorders>
              <w:top w:val="single" w:sz="4" w:space="0" w:color="auto"/>
              <w:bottom w:val="single" w:sz="4" w:space="0" w:color="auto"/>
            </w:tcBorders>
            <w:vAlign w:val="bottom"/>
          </w:tcPr>
          <w:p w:rsidR="00D322FB" w:rsidRPr="00121AF9" w:rsidRDefault="00D322FB">
            <w:pPr>
              <w:jc w:val="right"/>
              <w:rPr>
                <w:rFonts w:ascii="Arial" w:hAnsi="Arial" w:cs="Arial"/>
                <w:b/>
                <w:bCs/>
                <w:color w:val="000000"/>
                <w:sz w:val="16"/>
                <w:szCs w:val="16"/>
              </w:rPr>
            </w:pPr>
            <w:r w:rsidRPr="00121AF9">
              <w:rPr>
                <w:rFonts w:ascii="Arial" w:hAnsi="Arial" w:cs="Arial"/>
                <w:b/>
                <w:bCs/>
                <w:color w:val="000000"/>
                <w:sz w:val="16"/>
                <w:szCs w:val="16"/>
              </w:rPr>
              <w:t>1.130.907</w:t>
            </w:r>
          </w:p>
        </w:tc>
        <w:tc>
          <w:tcPr>
            <w:tcW w:w="343"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tcBorders>
              <w:top w:val="single" w:sz="4" w:space="0" w:color="auto"/>
              <w:bottom w:val="single" w:sz="4" w:space="0" w:color="auto"/>
            </w:tcBorders>
            <w:vAlign w:val="bottom"/>
          </w:tcPr>
          <w:p w:rsidR="00D322FB" w:rsidRPr="00121AF9" w:rsidRDefault="00D14C1D" w:rsidP="00D14C1D">
            <w:pPr>
              <w:jc w:val="right"/>
              <w:rPr>
                <w:rFonts w:ascii="Arial" w:hAnsi="Arial" w:cs="Arial"/>
                <w:b/>
                <w:color w:val="000000"/>
                <w:sz w:val="16"/>
                <w:szCs w:val="16"/>
              </w:rPr>
            </w:pPr>
            <w:r>
              <w:rPr>
                <w:rFonts w:ascii="Arial" w:hAnsi="Arial" w:cs="Arial"/>
                <w:b/>
                <w:color w:val="000000"/>
                <w:sz w:val="16"/>
                <w:szCs w:val="16"/>
              </w:rPr>
              <w:t>101.409</w:t>
            </w:r>
          </w:p>
        </w:tc>
        <w:tc>
          <w:tcPr>
            <w:tcW w:w="459"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tcBorders>
              <w:top w:val="single" w:sz="4" w:space="0" w:color="auto"/>
              <w:bottom w:val="single" w:sz="4" w:space="0" w:color="auto"/>
            </w:tcBorders>
            <w:vAlign w:val="bottom"/>
          </w:tcPr>
          <w:p w:rsidR="00D322FB" w:rsidRPr="00121AF9" w:rsidRDefault="00D14C1D" w:rsidP="00D14C1D">
            <w:pPr>
              <w:jc w:val="right"/>
              <w:rPr>
                <w:rFonts w:ascii="Arial" w:hAnsi="Arial" w:cs="Arial"/>
                <w:b/>
                <w:color w:val="000000"/>
                <w:sz w:val="16"/>
                <w:szCs w:val="16"/>
              </w:rPr>
            </w:pPr>
            <w:r>
              <w:rPr>
                <w:rFonts w:ascii="Arial" w:hAnsi="Arial" w:cs="Arial"/>
                <w:b/>
                <w:color w:val="000000"/>
                <w:sz w:val="16"/>
                <w:szCs w:val="16"/>
              </w:rPr>
              <w:t>61.266</w:t>
            </w:r>
          </w:p>
        </w:tc>
        <w:tc>
          <w:tcPr>
            <w:tcW w:w="925" w:type="pct"/>
            <w:tcBorders>
              <w:top w:val="single" w:sz="4" w:space="0" w:color="auto"/>
              <w:bottom w:val="single" w:sz="4" w:space="0" w:color="auto"/>
            </w:tcBorders>
            <w:vAlign w:val="bottom"/>
          </w:tcPr>
          <w:p w:rsidR="00D322FB" w:rsidRPr="00121AF9" w:rsidRDefault="00D322FB" w:rsidP="00217E34">
            <w:pPr>
              <w:jc w:val="right"/>
              <w:rPr>
                <w:rFonts w:ascii="Arial" w:hAnsi="Arial" w:cs="Arial"/>
                <w:b/>
                <w:color w:val="000000"/>
                <w:sz w:val="16"/>
                <w:szCs w:val="16"/>
              </w:rPr>
            </w:pPr>
            <w:r w:rsidRPr="00121AF9">
              <w:rPr>
                <w:rFonts w:ascii="Arial" w:hAnsi="Arial" w:cs="Arial"/>
                <w:b/>
                <w:bCs/>
                <w:color w:val="000000"/>
                <w:sz w:val="16"/>
                <w:szCs w:val="16"/>
              </w:rPr>
              <w:t>1.</w:t>
            </w:r>
            <w:r w:rsidR="00217E34">
              <w:rPr>
                <w:rFonts w:ascii="Arial" w:hAnsi="Arial" w:cs="Arial"/>
                <w:b/>
                <w:bCs/>
                <w:color w:val="000000"/>
                <w:sz w:val="16"/>
                <w:szCs w:val="16"/>
              </w:rPr>
              <w:t>342</w:t>
            </w:r>
            <w:r w:rsidRPr="00121AF9">
              <w:rPr>
                <w:rFonts w:ascii="Arial" w:hAnsi="Arial" w:cs="Arial"/>
                <w:b/>
                <w:bCs/>
                <w:color w:val="000000"/>
                <w:sz w:val="16"/>
                <w:szCs w:val="16"/>
              </w:rPr>
              <w:t>.</w:t>
            </w:r>
            <w:r w:rsidR="00217E34">
              <w:rPr>
                <w:rFonts w:ascii="Arial" w:hAnsi="Arial" w:cs="Arial"/>
                <w:b/>
                <w:bCs/>
                <w:color w:val="000000"/>
                <w:sz w:val="16"/>
                <w:szCs w:val="16"/>
              </w:rPr>
              <w:t>533</w:t>
            </w:r>
          </w:p>
        </w:tc>
      </w:tr>
      <w:tr w:rsidR="00D322FB" w:rsidRPr="00906EB5" w:rsidTr="00155F70">
        <w:trPr>
          <w:trHeight w:val="113"/>
        </w:trPr>
        <w:tc>
          <w:tcPr>
            <w:tcW w:w="1054" w:type="pct"/>
            <w:tcBorders>
              <w:bottom w:val="nil"/>
            </w:tcBorders>
            <w:vAlign w:val="bottom"/>
          </w:tcPr>
          <w:p w:rsidR="00D322FB" w:rsidRPr="00906EB5" w:rsidRDefault="00D322FB" w:rsidP="00E125AB">
            <w:pPr>
              <w:ind w:left="34" w:hanging="142"/>
              <w:rPr>
                <w:rFonts w:ascii="Arial" w:hAnsi="Arial" w:cs="Arial"/>
                <w:color w:val="FF0000"/>
                <w:sz w:val="14"/>
                <w:szCs w:val="14"/>
              </w:rPr>
            </w:pPr>
          </w:p>
        </w:tc>
        <w:tc>
          <w:tcPr>
            <w:tcW w:w="656" w:type="pct"/>
            <w:vAlign w:val="bottom"/>
          </w:tcPr>
          <w:p w:rsidR="00D322FB" w:rsidRPr="00121AF9" w:rsidRDefault="00D322FB" w:rsidP="00121AF9">
            <w:pPr>
              <w:jc w:val="right"/>
              <w:rPr>
                <w:rFonts w:ascii="Arial" w:hAnsi="Arial" w:cs="Arial"/>
                <w:b/>
                <w:color w:val="FF0000"/>
                <w:sz w:val="16"/>
                <w:szCs w:val="16"/>
              </w:rPr>
            </w:pPr>
          </w:p>
        </w:tc>
        <w:tc>
          <w:tcPr>
            <w:tcW w:w="433" w:type="pct"/>
            <w:vAlign w:val="bottom"/>
          </w:tcPr>
          <w:p w:rsidR="00D322FB" w:rsidRPr="00121AF9" w:rsidRDefault="00D322FB">
            <w:pPr>
              <w:jc w:val="right"/>
              <w:rPr>
                <w:rFonts w:ascii="Arial" w:hAnsi="Arial" w:cs="Arial"/>
                <w:b/>
                <w:color w:val="FF0000"/>
                <w:sz w:val="16"/>
                <w:szCs w:val="16"/>
              </w:rPr>
            </w:pPr>
          </w:p>
        </w:tc>
        <w:tc>
          <w:tcPr>
            <w:tcW w:w="343" w:type="pct"/>
            <w:vAlign w:val="bottom"/>
          </w:tcPr>
          <w:p w:rsidR="00D322FB" w:rsidRPr="00121AF9" w:rsidRDefault="00D322FB">
            <w:pPr>
              <w:jc w:val="right"/>
              <w:rPr>
                <w:rFonts w:ascii="Arial" w:hAnsi="Arial" w:cs="Arial"/>
                <w:b/>
                <w:color w:val="FF0000"/>
                <w:sz w:val="16"/>
                <w:szCs w:val="16"/>
              </w:rPr>
            </w:pPr>
          </w:p>
        </w:tc>
        <w:tc>
          <w:tcPr>
            <w:tcW w:w="440" w:type="pct"/>
            <w:vAlign w:val="bottom"/>
          </w:tcPr>
          <w:p w:rsidR="00D322FB" w:rsidRPr="00121AF9" w:rsidRDefault="00D322FB">
            <w:pPr>
              <w:jc w:val="right"/>
              <w:rPr>
                <w:rFonts w:ascii="Arial" w:hAnsi="Arial" w:cs="Arial"/>
                <w:b/>
                <w:color w:val="FF0000"/>
                <w:sz w:val="16"/>
                <w:szCs w:val="16"/>
              </w:rPr>
            </w:pPr>
          </w:p>
        </w:tc>
        <w:tc>
          <w:tcPr>
            <w:tcW w:w="325" w:type="pct"/>
            <w:vAlign w:val="bottom"/>
          </w:tcPr>
          <w:p w:rsidR="00D322FB" w:rsidRPr="00121AF9" w:rsidRDefault="00D322FB">
            <w:pPr>
              <w:jc w:val="right"/>
              <w:rPr>
                <w:rFonts w:ascii="Arial" w:hAnsi="Arial" w:cs="Arial"/>
                <w:b/>
                <w:color w:val="FF0000"/>
                <w:sz w:val="16"/>
                <w:szCs w:val="16"/>
              </w:rPr>
            </w:pPr>
          </w:p>
        </w:tc>
        <w:tc>
          <w:tcPr>
            <w:tcW w:w="459" w:type="pct"/>
            <w:vAlign w:val="bottom"/>
          </w:tcPr>
          <w:p w:rsidR="00D322FB" w:rsidRPr="00121AF9" w:rsidRDefault="00D322FB">
            <w:pPr>
              <w:jc w:val="right"/>
              <w:rPr>
                <w:rFonts w:ascii="Arial" w:hAnsi="Arial" w:cs="Arial"/>
                <w:b/>
                <w:color w:val="FF0000"/>
                <w:sz w:val="16"/>
                <w:szCs w:val="16"/>
              </w:rPr>
            </w:pPr>
          </w:p>
        </w:tc>
        <w:tc>
          <w:tcPr>
            <w:tcW w:w="365" w:type="pct"/>
            <w:vAlign w:val="bottom"/>
          </w:tcPr>
          <w:p w:rsidR="00D322FB" w:rsidRPr="00121AF9" w:rsidRDefault="00D322FB">
            <w:pPr>
              <w:jc w:val="right"/>
              <w:rPr>
                <w:rFonts w:ascii="Arial" w:hAnsi="Arial" w:cs="Arial"/>
                <w:b/>
                <w:color w:val="FF0000"/>
                <w:sz w:val="16"/>
                <w:szCs w:val="16"/>
              </w:rPr>
            </w:pPr>
          </w:p>
        </w:tc>
        <w:tc>
          <w:tcPr>
            <w:tcW w:w="925" w:type="pct"/>
            <w:vAlign w:val="bottom"/>
          </w:tcPr>
          <w:p w:rsidR="00D322FB" w:rsidRPr="00121AF9" w:rsidRDefault="00D322FB">
            <w:pPr>
              <w:jc w:val="right"/>
              <w:rPr>
                <w:rFonts w:ascii="Arial" w:hAnsi="Arial" w:cs="Arial"/>
                <w:b/>
                <w:color w:val="FF0000"/>
                <w:sz w:val="16"/>
                <w:szCs w:val="16"/>
              </w:rPr>
            </w:pPr>
          </w:p>
        </w:tc>
      </w:tr>
      <w:tr w:rsidR="00D322FB" w:rsidRPr="00906EB5" w:rsidTr="00155F70">
        <w:trPr>
          <w:trHeight w:val="113"/>
        </w:trPr>
        <w:tc>
          <w:tcPr>
            <w:tcW w:w="1054" w:type="pct"/>
            <w:vAlign w:val="bottom"/>
          </w:tcPr>
          <w:p w:rsidR="00D322FB" w:rsidRPr="00906EB5" w:rsidRDefault="00D322FB" w:rsidP="00E125AB">
            <w:pPr>
              <w:ind w:left="34" w:hanging="142"/>
              <w:rPr>
                <w:rFonts w:ascii="Arial" w:hAnsi="Arial" w:cs="Arial"/>
                <w:color w:val="000000"/>
                <w:sz w:val="14"/>
                <w:szCs w:val="14"/>
              </w:rPr>
            </w:pPr>
            <w:r w:rsidRPr="00906EB5">
              <w:rPr>
                <w:rFonts w:ascii="Arial" w:hAnsi="Arial" w:cs="Arial"/>
                <w:color w:val="000000"/>
                <w:sz w:val="14"/>
                <w:szCs w:val="14"/>
              </w:rPr>
              <w:t>Ticari borçlar</w:t>
            </w:r>
          </w:p>
        </w:tc>
        <w:tc>
          <w:tcPr>
            <w:tcW w:w="656" w:type="pct"/>
            <w:vAlign w:val="bottom"/>
          </w:tcPr>
          <w:p w:rsidR="00D322FB" w:rsidRPr="00121AF9" w:rsidRDefault="00D322FB" w:rsidP="00121AF9">
            <w:pPr>
              <w:jc w:val="right"/>
              <w:rPr>
                <w:rFonts w:ascii="Arial" w:hAnsi="Arial" w:cs="Arial"/>
                <w:b/>
                <w:bCs/>
                <w:color w:val="000000"/>
                <w:sz w:val="16"/>
                <w:szCs w:val="16"/>
              </w:rPr>
            </w:pPr>
          </w:p>
        </w:tc>
        <w:tc>
          <w:tcPr>
            <w:tcW w:w="433" w:type="pct"/>
            <w:vAlign w:val="bottom"/>
          </w:tcPr>
          <w:p w:rsidR="00D322FB" w:rsidRPr="00121AF9" w:rsidRDefault="00217E34" w:rsidP="00217E34">
            <w:pPr>
              <w:jc w:val="right"/>
              <w:rPr>
                <w:rFonts w:ascii="Arial" w:hAnsi="Arial" w:cs="Arial"/>
                <w:b/>
                <w:bCs/>
                <w:color w:val="000000"/>
                <w:sz w:val="16"/>
                <w:szCs w:val="16"/>
              </w:rPr>
            </w:pPr>
            <w:r>
              <w:rPr>
                <w:rFonts w:ascii="Arial" w:hAnsi="Arial" w:cs="Arial"/>
                <w:b/>
                <w:bCs/>
                <w:color w:val="000000"/>
                <w:sz w:val="16"/>
                <w:szCs w:val="16"/>
              </w:rPr>
              <w:t>55.093</w:t>
            </w:r>
          </w:p>
        </w:tc>
        <w:tc>
          <w:tcPr>
            <w:tcW w:w="343"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459"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925" w:type="pct"/>
            <w:vAlign w:val="bottom"/>
          </w:tcPr>
          <w:p w:rsidR="00D322FB" w:rsidRPr="00121AF9" w:rsidRDefault="00217E34" w:rsidP="00217E34">
            <w:pPr>
              <w:jc w:val="right"/>
              <w:rPr>
                <w:rFonts w:ascii="Arial" w:hAnsi="Arial" w:cs="Arial"/>
                <w:b/>
                <w:bCs/>
                <w:color w:val="000000"/>
                <w:sz w:val="16"/>
                <w:szCs w:val="16"/>
              </w:rPr>
            </w:pPr>
            <w:r>
              <w:rPr>
                <w:rFonts w:ascii="Arial" w:hAnsi="Arial" w:cs="Arial"/>
                <w:b/>
                <w:bCs/>
                <w:color w:val="000000"/>
                <w:sz w:val="16"/>
                <w:szCs w:val="16"/>
              </w:rPr>
              <w:t>55.093</w:t>
            </w:r>
          </w:p>
        </w:tc>
      </w:tr>
      <w:tr w:rsidR="00D322FB" w:rsidRPr="00906EB5" w:rsidTr="00155F70">
        <w:trPr>
          <w:trHeight w:val="113"/>
        </w:trPr>
        <w:tc>
          <w:tcPr>
            <w:tcW w:w="1054" w:type="pct"/>
            <w:vAlign w:val="bottom"/>
          </w:tcPr>
          <w:p w:rsidR="00D322FB" w:rsidRPr="00906EB5" w:rsidRDefault="00D322FB" w:rsidP="00E125AB">
            <w:pPr>
              <w:ind w:left="34" w:hanging="142"/>
              <w:rPr>
                <w:rFonts w:ascii="Arial" w:hAnsi="Arial" w:cs="Arial"/>
                <w:color w:val="000000"/>
                <w:sz w:val="14"/>
                <w:szCs w:val="14"/>
              </w:rPr>
            </w:pPr>
            <w:r w:rsidRPr="00906EB5">
              <w:rPr>
                <w:rFonts w:ascii="Arial" w:hAnsi="Arial" w:cs="Arial"/>
                <w:color w:val="000000"/>
                <w:sz w:val="14"/>
                <w:szCs w:val="14"/>
              </w:rPr>
              <w:t>Diğer borçlar</w:t>
            </w:r>
          </w:p>
        </w:tc>
        <w:tc>
          <w:tcPr>
            <w:tcW w:w="656" w:type="pct"/>
            <w:vAlign w:val="bottom"/>
          </w:tcPr>
          <w:p w:rsidR="00D322FB" w:rsidRPr="00121AF9" w:rsidRDefault="00D322FB" w:rsidP="00121AF9">
            <w:pPr>
              <w:jc w:val="right"/>
              <w:rPr>
                <w:rFonts w:ascii="Arial" w:hAnsi="Arial" w:cs="Arial"/>
                <w:b/>
                <w:bCs/>
                <w:color w:val="000000"/>
                <w:sz w:val="16"/>
                <w:szCs w:val="16"/>
              </w:rPr>
            </w:pPr>
          </w:p>
        </w:tc>
        <w:tc>
          <w:tcPr>
            <w:tcW w:w="433" w:type="pct"/>
            <w:vAlign w:val="bottom"/>
          </w:tcPr>
          <w:p w:rsidR="00D322FB" w:rsidRPr="00121AF9" w:rsidRDefault="00217E34" w:rsidP="00217E34">
            <w:pPr>
              <w:jc w:val="right"/>
              <w:rPr>
                <w:rFonts w:ascii="Arial" w:hAnsi="Arial" w:cs="Arial"/>
                <w:b/>
                <w:bCs/>
                <w:color w:val="000000"/>
                <w:sz w:val="16"/>
                <w:szCs w:val="16"/>
              </w:rPr>
            </w:pPr>
            <w:r>
              <w:rPr>
                <w:rFonts w:ascii="Arial" w:hAnsi="Arial" w:cs="Arial"/>
                <w:b/>
                <w:bCs/>
                <w:color w:val="000000"/>
                <w:sz w:val="16"/>
                <w:szCs w:val="16"/>
              </w:rPr>
              <w:t>18.491</w:t>
            </w:r>
          </w:p>
        </w:tc>
        <w:tc>
          <w:tcPr>
            <w:tcW w:w="343"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459"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925" w:type="pct"/>
            <w:vAlign w:val="bottom"/>
          </w:tcPr>
          <w:p w:rsidR="00D322FB" w:rsidRPr="00121AF9" w:rsidRDefault="00217E34" w:rsidP="00217E34">
            <w:pPr>
              <w:jc w:val="right"/>
              <w:rPr>
                <w:rFonts w:ascii="Arial" w:hAnsi="Arial" w:cs="Arial"/>
                <w:b/>
                <w:bCs/>
                <w:color w:val="000000"/>
                <w:sz w:val="16"/>
                <w:szCs w:val="16"/>
              </w:rPr>
            </w:pPr>
            <w:r>
              <w:rPr>
                <w:rFonts w:ascii="Arial" w:hAnsi="Arial" w:cs="Arial"/>
                <w:b/>
                <w:bCs/>
                <w:color w:val="000000"/>
                <w:sz w:val="16"/>
                <w:szCs w:val="16"/>
              </w:rPr>
              <w:t>18</w:t>
            </w:r>
            <w:r w:rsidR="00D322FB" w:rsidRPr="00121AF9">
              <w:rPr>
                <w:rFonts w:ascii="Arial" w:hAnsi="Arial" w:cs="Arial"/>
                <w:b/>
                <w:bCs/>
                <w:color w:val="000000"/>
                <w:sz w:val="16"/>
                <w:szCs w:val="16"/>
              </w:rPr>
              <w:t>.</w:t>
            </w:r>
            <w:r>
              <w:rPr>
                <w:rFonts w:ascii="Arial" w:hAnsi="Arial" w:cs="Arial"/>
                <w:b/>
                <w:bCs/>
                <w:color w:val="000000"/>
                <w:sz w:val="16"/>
                <w:szCs w:val="16"/>
              </w:rPr>
              <w:t>491</w:t>
            </w:r>
          </w:p>
        </w:tc>
      </w:tr>
      <w:tr w:rsidR="00D322FB" w:rsidRPr="00906EB5" w:rsidTr="00155F70">
        <w:trPr>
          <w:trHeight w:val="113"/>
        </w:trPr>
        <w:tc>
          <w:tcPr>
            <w:tcW w:w="1054" w:type="pct"/>
            <w:tcBorders>
              <w:top w:val="nil"/>
              <w:bottom w:val="single" w:sz="4" w:space="0" w:color="auto"/>
            </w:tcBorders>
            <w:vAlign w:val="bottom"/>
          </w:tcPr>
          <w:p w:rsidR="00D322FB" w:rsidRPr="00906EB5" w:rsidRDefault="00D322FB" w:rsidP="00E125AB">
            <w:pPr>
              <w:ind w:left="34" w:hanging="142"/>
              <w:rPr>
                <w:rFonts w:ascii="Arial" w:hAnsi="Arial" w:cs="Arial"/>
                <w:color w:val="000000"/>
                <w:sz w:val="14"/>
                <w:szCs w:val="14"/>
              </w:rPr>
            </w:pPr>
          </w:p>
        </w:tc>
        <w:tc>
          <w:tcPr>
            <w:tcW w:w="656" w:type="pct"/>
            <w:tcBorders>
              <w:top w:val="nil"/>
              <w:bottom w:val="single" w:sz="4" w:space="0" w:color="auto"/>
            </w:tcBorders>
            <w:vAlign w:val="bottom"/>
          </w:tcPr>
          <w:p w:rsidR="00D322FB" w:rsidRPr="00121AF9" w:rsidRDefault="00D322FB" w:rsidP="00121AF9">
            <w:pPr>
              <w:jc w:val="right"/>
              <w:rPr>
                <w:rFonts w:ascii="Arial" w:hAnsi="Arial" w:cs="Arial"/>
                <w:b/>
                <w:bCs/>
                <w:color w:val="000000"/>
                <w:sz w:val="16"/>
                <w:szCs w:val="16"/>
              </w:rPr>
            </w:pPr>
          </w:p>
        </w:tc>
        <w:tc>
          <w:tcPr>
            <w:tcW w:w="433" w:type="pct"/>
            <w:tcBorders>
              <w:top w:val="nil"/>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343" w:type="pct"/>
            <w:tcBorders>
              <w:top w:val="nil"/>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440" w:type="pct"/>
            <w:tcBorders>
              <w:top w:val="nil"/>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325" w:type="pct"/>
            <w:tcBorders>
              <w:top w:val="nil"/>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459" w:type="pct"/>
            <w:tcBorders>
              <w:top w:val="nil"/>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365" w:type="pct"/>
            <w:tcBorders>
              <w:top w:val="nil"/>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925" w:type="pct"/>
            <w:tcBorders>
              <w:top w:val="nil"/>
              <w:bottom w:val="single" w:sz="4" w:space="0" w:color="auto"/>
            </w:tcBorders>
            <w:vAlign w:val="bottom"/>
          </w:tcPr>
          <w:p w:rsidR="00D322FB" w:rsidRPr="00121AF9" w:rsidRDefault="00D322FB">
            <w:pPr>
              <w:jc w:val="right"/>
              <w:rPr>
                <w:rFonts w:ascii="Arial" w:hAnsi="Arial" w:cs="Arial"/>
                <w:b/>
                <w:bCs/>
                <w:color w:val="000000"/>
                <w:sz w:val="16"/>
                <w:szCs w:val="16"/>
              </w:rPr>
            </w:pPr>
          </w:p>
        </w:tc>
      </w:tr>
      <w:tr w:rsidR="00D322FB" w:rsidRPr="00906EB5" w:rsidTr="00155F70">
        <w:trPr>
          <w:trHeight w:val="113"/>
        </w:trPr>
        <w:tc>
          <w:tcPr>
            <w:tcW w:w="1054" w:type="pct"/>
            <w:tcBorders>
              <w:top w:val="single" w:sz="4" w:space="0" w:color="auto"/>
              <w:bottom w:val="single" w:sz="4" w:space="0" w:color="auto"/>
            </w:tcBorders>
            <w:vAlign w:val="bottom"/>
          </w:tcPr>
          <w:p w:rsidR="00D322FB" w:rsidRPr="00906EB5" w:rsidRDefault="00D322FB" w:rsidP="00E125AB">
            <w:pPr>
              <w:ind w:left="34" w:hanging="142"/>
              <w:rPr>
                <w:rFonts w:ascii="Arial" w:hAnsi="Arial" w:cs="Arial"/>
                <w:b/>
                <w:color w:val="000000"/>
                <w:sz w:val="14"/>
                <w:szCs w:val="14"/>
              </w:rPr>
            </w:pPr>
            <w:r w:rsidRPr="00906EB5">
              <w:rPr>
                <w:rFonts w:ascii="Arial" w:hAnsi="Arial" w:cs="Arial"/>
                <w:b/>
                <w:color w:val="000000"/>
                <w:sz w:val="14"/>
                <w:szCs w:val="14"/>
              </w:rPr>
              <w:t>Toplam kaynaklar</w:t>
            </w:r>
          </w:p>
        </w:tc>
        <w:tc>
          <w:tcPr>
            <w:tcW w:w="656" w:type="pct"/>
            <w:tcBorders>
              <w:top w:val="single" w:sz="4" w:space="0" w:color="auto"/>
              <w:bottom w:val="single" w:sz="4" w:space="0" w:color="auto"/>
            </w:tcBorders>
            <w:vAlign w:val="bottom"/>
          </w:tcPr>
          <w:p w:rsidR="00D322FB" w:rsidRPr="00121AF9" w:rsidRDefault="00D322FB" w:rsidP="00121AF9">
            <w:pPr>
              <w:jc w:val="right"/>
              <w:rPr>
                <w:rFonts w:ascii="Arial" w:hAnsi="Arial" w:cs="Arial"/>
                <w:b/>
                <w:bCs/>
                <w:color w:val="000000"/>
                <w:sz w:val="16"/>
                <w:szCs w:val="16"/>
              </w:rPr>
            </w:pPr>
          </w:p>
        </w:tc>
        <w:tc>
          <w:tcPr>
            <w:tcW w:w="433" w:type="pct"/>
            <w:tcBorders>
              <w:top w:val="single" w:sz="4" w:space="0" w:color="auto"/>
              <w:bottom w:val="single" w:sz="4" w:space="0" w:color="auto"/>
            </w:tcBorders>
            <w:vAlign w:val="bottom"/>
          </w:tcPr>
          <w:p w:rsidR="00D322FB" w:rsidRPr="00121AF9" w:rsidRDefault="00D14C1D" w:rsidP="00D14C1D">
            <w:pPr>
              <w:jc w:val="right"/>
              <w:rPr>
                <w:rFonts w:ascii="Arial" w:hAnsi="Arial" w:cs="Arial"/>
                <w:b/>
                <w:bCs/>
                <w:color w:val="000000"/>
                <w:sz w:val="16"/>
                <w:szCs w:val="16"/>
              </w:rPr>
            </w:pPr>
            <w:r>
              <w:rPr>
                <w:rFonts w:ascii="Arial" w:hAnsi="Arial" w:cs="Arial"/>
                <w:b/>
                <w:bCs/>
                <w:color w:val="000000"/>
                <w:sz w:val="16"/>
                <w:szCs w:val="16"/>
              </w:rPr>
              <w:t>73</w:t>
            </w:r>
            <w:r w:rsidR="00D322FB" w:rsidRPr="00121AF9">
              <w:rPr>
                <w:rFonts w:ascii="Arial" w:hAnsi="Arial" w:cs="Arial"/>
                <w:b/>
                <w:bCs/>
                <w:color w:val="000000"/>
                <w:sz w:val="16"/>
                <w:szCs w:val="16"/>
              </w:rPr>
              <w:t>.</w:t>
            </w:r>
            <w:r>
              <w:rPr>
                <w:rFonts w:ascii="Arial" w:hAnsi="Arial" w:cs="Arial"/>
                <w:b/>
                <w:bCs/>
                <w:color w:val="000000"/>
                <w:sz w:val="16"/>
                <w:szCs w:val="16"/>
              </w:rPr>
              <w:t>584</w:t>
            </w:r>
          </w:p>
        </w:tc>
        <w:tc>
          <w:tcPr>
            <w:tcW w:w="343"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459"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925" w:type="pct"/>
            <w:tcBorders>
              <w:top w:val="single" w:sz="4" w:space="0" w:color="auto"/>
              <w:bottom w:val="single" w:sz="4" w:space="0" w:color="auto"/>
            </w:tcBorders>
            <w:vAlign w:val="bottom"/>
          </w:tcPr>
          <w:p w:rsidR="00D322FB" w:rsidRPr="00121AF9" w:rsidRDefault="00D14C1D" w:rsidP="00D14C1D">
            <w:pPr>
              <w:jc w:val="right"/>
              <w:rPr>
                <w:rFonts w:ascii="Arial" w:hAnsi="Arial" w:cs="Arial"/>
                <w:b/>
                <w:bCs/>
                <w:color w:val="000000"/>
                <w:sz w:val="16"/>
                <w:szCs w:val="16"/>
              </w:rPr>
            </w:pPr>
            <w:r>
              <w:rPr>
                <w:rFonts w:ascii="Arial" w:hAnsi="Arial" w:cs="Arial"/>
                <w:b/>
                <w:bCs/>
                <w:color w:val="000000"/>
                <w:sz w:val="16"/>
                <w:szCs w:val="16"/>
              </w:rPr>
              <w:t>73.584</w:t>
            </w:r>
          </w:p>
        </w:tc>
      </w:tr>
      <w:tr w:rsidR="00D322FB" w:rsidRPr="00906EB5" w:rsidTr="00155F70">
        <w:trPr>
          <w:trHeight w:val="113"/>
        </w:trPr>
        <w:tc>
          <w:tcPr>
            <w:tcW w:w="1054" w:type="pct"/>
            <w:tcBorders>
              <w:top w:val="single" w:sz="4" w:space="0" w:color="auto"/>
              <w:bottom w:val="single" w:sz="4" w:space="0" w:color="auto"/>
            </w:tcBorders>
            <w:vAlign w:val="bottom"/>
          </w:tcPr>
          <w:p w:rsidR="00D322FB" w:rsidRPr="00906EB5" w:rsidRDefault="00D322FB" w:rsidP="00E125AB">
            <w:pPr>
              <w:ind w:left="34" w:hanging="142"/>
              <w:rPr>
                <w:rFonts w:ascii="Arial" w:hAnsi="Arial" w:cs="Arial"/>
                <w:b/>
                <w:color w:val="000000"/>
                <w:sz w:val="14"/>
                <w:szCs w:val="14"/>
              </w:rPr>
            </w:pPr>
          </w:p>
        </w:tc>
        <w:tc>
          <w:tcPr>
            <w:tcW w:w="656" w:type="pct"/>
            <w:tcBorders>
              <w:top w:val="single" w:sz="4" w:space="0" w:color="auto"/>
              <w:bottom w:val="single" w:sz="4" w:space="0" w:color="auto"/>
            </w:tcBorders>
            <w:vAlign w:val="bottom"/>
          </w:tcPr>
          <w:p w:rsidR="00D322FB" w:rsidRPr="00121AF9" w:rsidRDefault="00D322FB" w:rsidP="00121AF9">
            <w:pPr>
              <w:jc w:val="right"/>
              <w:rPr>
                <w:rFonts w:ascii="Arial" w:hAnsi="Arial" w:cs="Arial"/>
                <w:b/>
                <w:color w:val="000000"/>
                <w:sz w:val="16"/>
                <w:szCs w:val="16"/>
              </w:rPr>
            </w:pPr>
          </w:p>
        </w:tc>
        <w:tc>
          <w:tcPr>
            <w:tcW w:w="433"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343"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440"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325"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459"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365"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p>
        </w:tc>
        <w:tc>
          <w:tcPr>
            <w:tcW w:w="925" w:type="pct"/>
            <w:tcBorders>
              <w:top w:val="single" w:sz="4" w:space="0" w:color="auto"/>
              <w:bottom w:val="single" w:sz="4" w:space="0" w:color="auto"/>
            </w:tcBorders>
            <w:vAlign w:val="bottom"/>
          </w:tcPr>
          <w:p w:rsidR="00D322FB" w:rsidRPr="00121AF9" w:rsidRDefault="00D322FB">
            <w:pPr>
              <w:jc w:val="right"/>
              <w:rPr>
                <w:rFonts w:ascii="Arial" w:hAnsi="Arial" w:cs="Arial"/>
                <w:b/>
                <w:color w:val="000000"/>
                <w:sz w:val="16"/>
                <w:szCs w:val="16"/>
              </w:rPr>
            </w:pPr>
          </w:p>
        </w:tc>
      </w:tr>
      <w:tr w:rsidR="00D322FB" w:rsidRPr="00906EB5" w:rsidTr="00155F70">
        <w:trPr>
          <w:trHeight w:val="113"/>
        </w:trPr>
        <w:tc>
          <w:tcPr>
            <w:tcW w:w="1054" w:type="pct"/>
            <w:tcBorders>
              <w:top w:val="single" w:sz="4" w:space="0" w:color="auto"/>
              <w:bottom w:val="double" w:sz="4" w:space="0" w:color="auto"/>
            </w:tcBorders>
            <w:vAlign w:val="bottom"/>
          </w:tcPr>
          <w:p w:rsidR="00D322FB" w:rsidRPr="00906EB5" w:rsidRDefault="00D322FB" w:rsidP="00E125AB">
            <w:pPr>
              <w:ind w:left="34" w:hanging="142"/>
              <w:rPr>
                <w:rFonts w:ascii="Arial" w:hAnsi="Arial" w:cs="Arial"/>
                <w:b/>
                <w:color w:val="000000"/>
                <w:sz w:val="14"/>
                <w:szCs w:val="14"/>
              </w:rPr>
            </w:pPr>
            <w:r w:rsidRPr="00906EB5">
              <w:rPr>
                <w:rFonts w:ascii="Arial" w:hAnsi="Arial" w:cs="Arial"/>
                <w:b/>
                <w:color w:val="000000"/>
                <w:sz w:val="14"/>
                <w:szCs w:val="14"/>
              </w:rPr>
              <w:t>Net likidite fazlası / (açığı)</w:t>
            </w:r>
          </w:p>
        </w:tc>
        <w:tc>
          <w:tcPr>
            <w:tcW w:w="656" w:type="pct"/>
            <w:tcBorders>
              <w:top w:val="single" w:sz="4" w:space="0" w:color="auto"/>
              <w:bottom w:val="double" w:sz="4" w:space="0" w:color="auto"/>
            </w:tcBorders>
            <w:vAlign w:val="bottom"/>
          </w:tcPr>
          <w:p w:rsidR="00D322FB" w:rsidRPr="00121AF9" w:rsidRDefault="00D322FB" w:rsidP="00121AF9">
            <w:pPr>
              <w:jc w:val="right"/>
              <w:rPr>
                <w:rFonts w:ascii="Arial" w:hAnsi="Arial" w:cs="Arial"/>
                <w:b/>
                <w:bCs/>
                <w:color w:val="000000"/>
                <w:sz w:val="16"/>
                <w:szCs w:val="16"/>
              </w:rPr>
            </w:pPr>
          </w:p>
        </w:tc>
        <w:tc>
          <w:tcPr>
            <w:tcW w:w="433" w:type="pct"/>
            <w:tcBorders>
              <w:top w:val="single" w:sz="4" w:space="0" w:color="auto"/>
              <w:bottom w:val="double" w:sz="4" w:space="0" w:color="auto"/>
            </w:tcBorders>
            <w:vAlign w:val="bottom"/>
          </w:tcPr>
          <w:p w:rsidR="00D322FB" w:rsidRPr="00121AF9" w:rsidRDefault="00D322FB" w:rsidP="00D14C1D">
            <w:pPr>
              <w:jc w:val="right"/>
              <w:rPr>
                <w:rFonts w:ascii="Arial" w:hAnsi="Arial" w:cs="Arial"/>
                <w:b/>
                <w:bCs/>
                <w:color w:val="000000"/>
                <w:sz w:val="16"/>
                <w:szCs w:val="16"/>
              </w:rPr>
            </w:pPr>
            <w:r w:rsidRPr="00121AF9">
              <w:rPr>
                <w:rFonts w:ascii="Arial" w:hAnsi="Arial" w:cs="Arial"/>
                <w:b/>
                <w:bCs/>
                <w:color w:val="000000"/>
                <w:sz w:val="16"/>
                <w:szCs w:val="16"/>
              </w:rPr>
              <w:t>1.</w:t>
            </w:r>
            <w:r w:rsidR="00D14C1D">
              <w:rPr>
                <w:rFonts w:ascii="Arial" w:hAnsi="Arial" w:cs="Arial"/>
                <w:b/>
                <w:bCs/>
                <w:color w:val="000000"/>
                <w:sz w:val="16"/>
                <w:szCs w:val="16"/>
              </w:rPr>
              <w:t>106</w:t>
            </w:r>
            <w:r w:rsidRPr="00121AF9">
              <w:rPr>
                <w:rFonts w:ascii="Arial" w:hAnsi="Arial" w:cs="Arial"/>
                <w:b/>
                <w:bCs/>
                <w:color w:val="000000"/>
                <w:sz w:val="16"/>
                <w:szCs w:val="16"/>
              </w:rPr>
              <w:t>.</w:t>
            </w:r>
            <w:r w:rsidR="00D14C1D">
              <w:rPr>
                <w:rFonts w:ascii="Arial" w:hAnsi="Arial" w:cs="Arial"/>
                <w:b/>
                <w:bCs/>
                <w:color w:val="000000"/>
                <w:sz w:val="16"/>
                <w:szCs w:val="16"/>
              </w:rPr>
              <w:t>273</w:t>
            </w:r>
          </w:p>
        </w:tc>
        <w:tc>
          <w:tcPr>
            <w:tcW w:w="343" w:type="pct"/>
            <w:tcBorders>
              <w:top w:val="single" w:sz="4" w:space="0" w:color="auto"/>
              <w:bottom w:val="doub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tcBorders>
              <w:top w:val="single" w:sz="4" w:space="0" w:color="auto"/>
              <w:bottom w:val="doub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tcBorders>
              <w:top w:val="single" w:sz="4" w:space="0" w:color="auto"/>
              <w:bottom w:val="double" w:sz="4" w:space="0" w:color="auto"/>
            </w:tcBorders>
            <w:vAlign w:val="bottom"/>
          </w:tcPr>
          <w:p w:rsidR="00D322FB" w:rsidRPr="00121AF9" w:rsidRDefault="00D14C1D" w:rsidP="00D14C1D">
            <w:pPr>
              <w:jc w:val="right"/>
              <w:rPr>
                <w:rFonts w:ascii="Arial" w:hAnsi="Arial" w:cs="Arial"/>
                <w:b/>
                <w:color w:val="000000"/>
                <w:sz w:val="16"/>
                <w:szCs w:val="16"/>
              </w:rPr>
            </w:pPr>
            <w:r>
              <w:rPr>
                <w:rFonts w:ascii="Arial" w:hAnsi="Arial" w:cs="Arial"/>
                <w:b/>
                <w:color w:val="000000"/>
                <w:sz w:val="16"/>
                <w:szCs w:val="16"/>
              </w:rPr>
              <w:t>101.409</w:t>
            </w:r>
          </w:p>
        </w:tc>
        <w:tc>
          <w:tcPr>
            <w:tcW w:w="459" w:type="pct"/>
            <w:tcBorders>
              <w:top w:val="single" w:sz="4" w:space="0" w:color="auto"/>
              <w:bottom w:val="double" w:sz="4" w:space="0" w:color="auto"/>
            </w:tcBorders>
            <w:vAlign w:val="bottom"/>
          </w:tcPr>
          <w:p w:rsidR="00D322FB" w:rsidRPr="00121AF9" w:rsidRDefault="00D322FB">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tcBorders>
              <w:top w:val="single" w:sz="4" w:space="0" w:color="auto"/>
              <w:bottom w:val="double" w:sz="4" w:space="0" w:color="auto"/>
            </w:tcBorders>
            <w:vAlign w:val="bottom"/>
          </w:tcPr>
          <w:p w:rsidR="00D322FB" w:rsidRPr="00121AF9" w:rsidRDefault="00D14C1D" w:rsidP="00D14C1D">
            <w:pPr>
              <w:jc w:val="right"/>
              <w:rPr>
                <w:rFonts w:ascii="Arial" w:hAnsi="Arial" w:cs="Arial"/>
                <w:b/>
                <w:color w:val="000000"/>
                <w:sz w:val="16"/>
                <w:szCs w:val="16"/>
              </w:rPr>
            </w:pPr>
            <w:r>
              <w:rPr>
                <w:rFonts w:ascii="Arial" w:hAnsi="Arial" w:cs="Arial"/>
                <w:b/>
                <w:color w:val="000000"/>
                <w:sz w:val="16"/>
                <w:szCs w:val="16"/>
              </w:rPr>
              <w:t>61</w:t>
            </w:r>
            <w:r w:rsidR="00D322FB" w:rsidRPr="00121AF9">
              <w:rPr>
                <w:rFonts w:ascii="Arial" w:hAnsi="Arial" w:cs="Arial"/>
                <w:b/>
                <w:color w:val="000000"/>
                <w:sz w:val="16"/>
                <w:szCs w:val="16"/>
              </w:rPr>
              <w:t>.</w:t>
            </w:r>
            <w:r>
              <w:rPr>
                <w:rFonts w:ascii="Arial" w:hAnsi="Arial" w:cs="Arial"/>
                <w:b/>
                <w:color w:val="000000"/>
                <w:sz w:val="16"/>
                <w:szCs w:val="16"/>
              </w:rPr>
              <w:t>266</w:t>
            </w:r>
          </w:p>
        </w:tc>
        <w:tc>
          <w:tcPr>
            <w:tcW w:w="925" w:type="pct"/>
            <w:tcBorders>
              <w:top w:val="single" w:sz="4" w:space="0" w:color="auto"/>
              <w:bottom w:val="double" w:sz="4" w:space="0" w:color="auto"/>
            </w:tcBorders>
            <w:vAlign w:val="bottom"/>
          </w:tcPr>
          <w:p w:rsidR="00D322FB" w:rsidRPr="00121AF9" w:rsidRDefault="00D322FB" w:rsidP="00D14C1D">
            <w:pPr>
              <w:jc w:val="right"/>
              <w:rPr>
                <w:rFonts w:ascii="Arial" w:hAnsi="Arial" w:cs="Arial"/>
                <w:b/>
                <w:color w:val="000000"/>
                <w:sz w:val="16"/>
                <w:szCs w:val="16"/>
              </w:rPr>
            </w:pPr>
            <w:r w:rsidRPr="00121AF9">
              <w:rPr>
                <w:rFonts w:ascii="Arial" w:hAnsi="Arial" w:cs="Arial"/>
                <w:b/>
                <w:bCs/>
                <w:color w:val="000000"/>
                <w:sz w:val="16"/>
                <w:szCs w:val="16"/>
              </w:rPr>
              <w:t>1.</w:t>
            </w:r>
            <w:r w:rsidR="00D14C1D">
              <w:rPr>
                <w:rFonts w:ascii="Arial" w:hAnsi="Arial" w:cs="Arial"/>
                <w:b/>
                <w:bCs/>
                <w:color w:val="000000"/>
                <w:sz w:val="16"/>
                <w:szCs w:val="16"/>
              </w:rPr>
              <w:t>268</w:t>
            </w:r>
            <w:r w:rsidRPr="00121AF9">
              <w:rPr>
                <w:rFonts w:ascii="Arial" w:hAnsi="Arial" w:cs="Arial"/>
                <w:b/>
                <w:bCs/>
                <w:color w:val="000000"/>
                <w:sz w:val="16"/>
                <w:szCs w:val="16"/>
              </w:rPr>
              <w:t>.</w:t>
            </w:r>
            <w:r w:rsidR="00D14C1D">
              <w:rPr>
                <w:rFonts w:ascii="Arial" w:hAnsi="Arial" w:cs="Arial"/>
                <w:b/>
                <w:bCs/>
                <w:color w:val="000000"/>
                <w:sz w:val="16"/>
                <w:szCs w:val="16"/>
              </w:rPr>
              <w:t>949</w:t>
            </w:r>
          </w:p>
        </w:tc>
      </w:tr>
    </w:tbl>
    <w:p w:rsidR="00D322FB" w:rsidRDefault="00D322FB" w:rsidP="00EE69AC">
      <w:pPr>
        <w:pStyle w:val="BodyText2"/>
        <w:tabs>
          <w:tab w:val="clear" w:pos="-720"/>
          <w:tab w:val="clear" w:pos="0"/>
        </w:tabs>
        <w:rPr>
          <w:rFonts w:ascii="Arial" w:hAnsi="Arial" w:cs="Arial"/>
          <w:sz w:val="20"/>
          <w:lang w:val="tr-TR"/>
        </w:rPr>
      </w:pPr>
    </w:p>
    <w:p w:rsidR="00E86C72" w:rsidRDefault="00E86C72" w:rsidP="00EE69AC">
      <w:pPr>
        <w:pStyle w:val="BodyText2"/>
        <w:tabs>
          <w:tab w:val="clear" w:pos="-720"/>
          <w:tab w:val="clear" w:pos="0"/>
        </w:tabs>
        <w:rPr>
          <w:rFonts w:ascii="Arial" w:hAnsi="Arial" w:cs="Arial"/>
          <w:sz w:val="20"/>
          <w:lang w:val="tr-TR"/>
        </w:rPr>
      </w:pPr>
    </w:p>
    <w:p w:rsidR="00E86C72" w:rsidRPr="00906EB5" w:rsidRDefault="00E86C72" w:rsidP="00EE69AC">
      <w:pPr>
        <w:pStyle w:val="BodyText2"/>
        <w:tabs>
          <w:tab w:val="clear" w:pos="-720"/>
          <w:tab w:val="clear" w:pos="0"/>
        </w:tabs>
        <w:rPr>
          <w:rFonts w:ascii="Arial" w:hAnsi="Arial" w:cs="Arial"/>
          <w:sz w:val="20"/>
          <w:lang w:val="tr-TR"/>
        </w:rPr>
      </w:pPr>
    </w:p>
    <w:tbl>
      <w:tblPr>
        <w:tblW w:w="4654" w:type="pct"/>
        <w:tblInd w:w="108" w:type="dxa"/>
        <w:tblBorders>
          <w:bottom w:val="single" w:sz="4" w:space="0" w:color="auto"/>
        </w:tblBorders>
        <w:tblLayout w:type="fixed"/>
        <w:tblLook w:val="0000" w:firstRow="0" w:lastRow="0" w:firstColumn="0" w:lastColumn="0" w:noHBand="0" w:noVBand="0"/>
      </w:tblPr>
      <w:tblGrid>
        <w:gridCol w:w="2788"/>
        <w:gridCol w:w="1736"/>
        <w:gridCol w:w="1146"/>
        <w:gridCol w:w="910"/>
        <w:gridCol w:w="1164"/>
        <w:gridCol w:w="860"/>
        <w:gridCol w:w="1215"/>
        <w:gridCol w:w="966"/>
        <w:gridCol w:w="2445"/>
      </w:tblGrid>
      <w:tr w:rsidR="00E86C72" w:rsidRPr="006C229C" w:rsidTr="00E86C72">
        <w:trPr>
          <w:trHeight w:val="113"/>
        </w:trPr>
        <w:tc>
          <w:tcPr>
            <w:tcW w:w="1054" w:type="pct"/>
            <w:tcBorders>
              <w:top w:val="single" w:sz="4" w:space="0" w:color="auto"/>
              <w:bottom w:val="single" w:sz="4" w:space="0" w:color="auto"/>
            </w:tcBorders>
            <w:vAlign w:val="bottom"/>
          </w:tcPr>
          <w:p w:rsidR="00E86C72" w:rsidRPr="006C229C" w:rsidRDefault="00E86C72" w:rsidP="00224B5D">
            <w:pPr>
              <w:pStyle w:val="Teknik4"/>
              <w:tabs>
                <w:tab w:val="clear" w:pos="-720"/>
              </w:tabs>
              <w:suppressAutoHyphens w:val="0"/>
              <w:ind w:left="34" w:hanging="142"/>
              <w:jc w:val="both"/>
              <w:rPr>
                <w:rFonts w:ascii="Arial" w:hAnsi="Arial" w:cs="Arial"/>
                <w:sz w:val="14"/>
                <w:szCs w:val="14"/>
                <w:highlight w:val="yellow"/>
                <w:lang w:val="tr-TR"/>
              </w:rPr>
            </w:pPr>
          </w:p>
        </w:tc>
        <w:tc>
          <w:tcPr>
            <w:tcW w:w="656" w:type="pct"/>
            <w:tcBorders>
              <w:top w:val="single" w:sz="4" w:space="0" w:color="auto"/>
              <w:bottom w:val="single" w:sz="4" w:space="0" w:color="auto"/>
            </w:tcBorders>
          </w:tcPr>
          <w:p w:rsidR="00E86C72" w:rsidRPr="006C229C" w:rsidRDefault="00E86C72" w:rsidP="00224B5D">
            <w:pPr>
              <w:pStyle w:val="Teknik4"/>
              <w:tabs>
                <w:tab w:val="clear" w:pos="-720"/>
              </w:tabs>
              <w:suppressAutoHyphens w:val="0"/>
              <w:ind w:left="1634"/>
              <w:jc w:val="right"/>
              <w:rPr>
                <w:rFonts w:ascii="Arial" w:hAnsi="Arial" w:cs="Arial"/>
                <w:bCs/>
                <w:sz w:val="14"/>
                <w:szCs w:val="14"/>
                <w:highlight w:val="yellow"/>
                <w:lang w:val="tr-TR"/>
              </w:rPr>
            </w:pPr>
          </w:p>
        </w:tc>
        <w:tc>
          <w:tcPr>
            <w:tcW w:w="3290" w:type="pct"/>
            <w:gridSpan w:val="7"/>
            <w:tcBorders>
              <w:top w:val="single" w:sz="4" w:space="0" w:color="auto"/>
              <w:bottom w:val="single" w:sz="4" w:space="0" w:color="auto"/>
            </w:tcBorders>
            <w:vAlign w:val="bottom"/>
          </w:tcPr>
          <w:p w:rsidR="00E86C72" w:rsidRPr="00906EB5" w:rsidRDefault="00E86C72" w:rsidP="00224B5D">
            <w:pPr>
              <w:pStyle w:val="Teknik4"/>
              <w:tabs>
                <w:tab w:val="clear" w:pos="-720"/>
              </w:tabs>
              <w:suppressAutoHyphens w:val="0"/>
              <w:ind w:left="1634"/>
              <w:jc w:val="right"/>
              <w:rPr>
                <w:rFonts w:ascii="Arial" w:hAnsi="Arial" w:cs="Arial"/>
                <w:bCs/>
                <w:sz w:val="14"/>
                <w:szCs w:val="14"/>
                <w:lang w:val="tr-TR"/>
              </w:rPr>
            </w:pPr>
            <w:r w:rsidRPr="00906EB5">
              <w:rPr>
                <w:rFonts w:ascii="Arial" w:hAnsi="Arial" w:cs="Arial"/>
                <w:bCs/>
                <w:sz w:val="14"/>
                <w:szCs w:val="14"/>
                <w:lang w:val="tr-TR"/>
              </w:rPr>
              <w:t>31 Aralık 2014</w:t>
            </w:r>
          </w:p>
        </w:tc>
      </w:tr>
      <w:tr w:rsidR="00E86C72" w:rsidRPr="00906EB5" w:rsidTr="00E86C72">
        <w:trPr>
          <w:trHeight w:val="113"/>
        </w:trPr>
        <w:tc>
          <w:tcPr>
            <w:tcW w:w="1054" w:type="pct"/>
            <w:tcBorders>
              <w:top w:val="single" w:sz="4" w:space="0" w:color="auto"/>
              <w:bottom w:val="single" w:sz="4" w:space="0" w:color="auto"/>
            </w:tcBorders>
            <w:vAlign w:val="bottom"/>
          </w:tcPr>
          <w:p w:rsidR="00E86C72" w:rsidRPr="00906EB5" w:rsidRDefault="00E86C72" w:rsidP="00224B5D">
            <w:pPr>
              <w:pStyle w:val="Teknik4"/>
              <w:tabs>
                <w:tab w:val="clear" w:pos="-720"/>
              </w:tabs>
              <w:suppressAutoHyphens w:val="0"/>
              <w:ind w:left="34" w:hanging="142"/>
              <w:jc w:val="both"/>
              <w:rPr>
                <w:rFonts w:ascii="Arial" w:hAnsi="Arial" w:cs="Arial"/>
                <w:sz w:val="14"/>
                <w:szCs w:val="14"/>
                <w:lang w:val="tr-TR"/>
              </w:rPr>
            </w:pPr>
          </w:p>
        </w:tc>
        <w:tc>
          <w:tcPr>
            <w:tcW w:w="656" w:type="pct"/>
            <w:tcBorders>
              <w:top w:val="single" w:sz="4" w:space="0" w:color="auto"/>
              <w:bottom w:val="single" w:sz="4" w:space="0" w:color="auto"/>
            </w:tcBorders>
          </w:tcPr>
          <w:p w:rsidR="00E86C72" w:rsidRPr="00906EB5" w:rsidRDefault="00E86C72" w:rsidP="00224B5D">
            <w:pPr>
              <w:pStyle w:val="Teknik4"/>
              <w:tabs>
                <w:tab w:val="clear" w:pos="-720"/>
              </w:tabs>
              <w:suppressAutoHyphens w:val="0"/>
              <w:jc w:val="right"/>
              <w:rPr>
                <w:rFonts w:ascii="Arial" w:hAnsi="Arial" w:cs="Arial"/>
                <w:sz w:val="14"/>
                <w:szCs w:val="14"/>
                <w:lang w:val="tr-TR"/>
              </w:rPr>
            </w:pPr>
          </w:p>
        </w:tc>
        <w:tc>
          <w:tcPr>
            <w:tcW w:w="433" w:type="pct"/>
            <w:tcBorders>
              <w:top w:val="single" w:sz="4" w:space="0" w:color="auto"/>
              <w:bottom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1 aya kadar</w:t>
            </w:r>
          </w:p>
        </w:tc>
        <w:tc>
          <w:tcPr>
            <w:tcW w:w="344" w:type="pct"/>
            <w:tcBorders>
              <w:top w:val="single" w:sz="4" w:space="0" w:color="auto"/>
              <w:bottom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1 ay-3 ay</w:t>
            </w:r>
          </w:p>
        </w:tc>
        <w:tc>
          <w:tcPr>
            <w:tcW w:w="440" w:type="pct"/>
            <w:tcBorders>
              <w:top w:val="single" w:sz="4" w:space="0" w:color="auto"/>
              <w:bottom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3 ay –1 yıl</w:t>
            </w:r>
          </w:p>
        </w:tc>
        <w:tc>
          <w:tcPr>
            <w:tcW w:w="325" w:type="pct"/>
            <w:tcBorders>
              <w:top w:val="single" w:sz="4" w:space="0" w:color="auto"/>
              <w:bottom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1 yıl-5 yıl</w:t>
            </w:r>
          </w:p>
        </w:tc>
        <w:tc>
          <w:tcPr>
            <w:tcW w:w="459" w:type="pct"/>
            <w:tcBorders>
              <w:top w:val="single" w:sz="4" w:space="0" w:color="auto"/>
              <w:bottom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5 yıl üzeri</w:t>
            </w:r>
          </w:p>
        </w:tc>
        <w:tc>
          <w:tcPr>
            <w:tcW w:w="365" w:type="pct"/>
            <w:tcBorders>
              <w:top w:val="single" w:sz="4" w:space="0" w:color="auto"/>
              <w:bottom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bCs/>
                <w:sz w:val="14"/>
                <w:szCs w:val="14"/>
                <w:lang w:val="tr-TR"/>
              </w:rPr>
            </w:pPr>
            <w:r w:rsidRPr="00906EB5">
              <w:rPr>
                <w:rFonts w:ascii="Arial" w:hAnsi="Arial" w:cs="Arial"/>
                <w:bCs/>
                <w:sz w:val="14"/>
                <w:szCs w:val="14"/>
                <w:lang w:val="tr-TR"/>
              </w:rPr>
              <w:t>Vadesiz</w:t>
            </w:r>
          </w:p>
        </w:tc>
        <w:tc>
          <w:tcPr>
            <w:tcW w:w="924" w:type="pct"/>
            <w:tcBorders>
              <w:top w:val="single" w:sz="4" w:space="0" w:color="auto"/>
              <w:bottom w:val="single" w:sz="4" w:space="0" w:color="auto"/>
            </w:tcBorders>
          </w:tcPr>
          <w:p w:rsidR="00E86C72" w:rsidRPr="00906EB5" w:rsidRDefault="00E86C72" w:rsidP="00224B5D">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Defter değeri</w:t>
            </w:r>
          </w:p>
        </w:tc>
      </w:tr>
      <w:tr w:rsidR="00E86C72" w:rsidRPr="00906EB5" w:rsidTr="00E86C72">
        <w:trPr>
          <w:trHeight w:val="93"/>
        </w:trPr>
        <w:tc>
          <w:tcPr>
            <w:tcW w:w="1054" w:type="pct"/>
            <w:tcBorders>
              <w:top w:val="single" w:sz="4" w:space="0" w:color="auto"/>
            </w:tcBorders>
            <w:vAlign w:val="bottom"/>
          </w:tcPr>
          <w:p w:rsidR="00E86C72" w:rsidRPr="00906EB5" w:rsidRDefault="00E86C72" w:rsidP="00224B5D">
            <w:pPr>
              <w:pStyle w:val="Teknik4"/>
              <w:tabs>
                <w:tab w:val="clear" w:pos="-720"/>
              </w:tabs>
              <w:suppressAutoHyphens w:val="0"/>
              <w:ind w:left="34" w:hanging="142"/>
              <w:jc w:val="both"/>
              <w:rPr>
                <w:rFonts w:ascii="Arial" w:hAnsi="Arial" w:cs="Arial"/>
                <w:b w:val="0"/>
                <w:sz w:val="14"/>
                <w:szCs w:val="14"/>
                <w:lang w:val="tr-TR"/>
              </w:rPr>
            </w:pPr>
          </w:p>
        </w:tc>
        <w:tc>
          <w:tcPr>
            <w:tcW w:w="656" w:type="pct"/>
            <w:tcBorders>
              <w:top w:val="single" w:sz="4" w:space="0" w:color="auto"/>
            </w:tcBorders>
          </w:tcPr>
          <w:p w:rsidR="00E86C72" w:rsidRPr="00906EB5" w:rsidRDefault="00E86C72" w:rsidP="00224B5D">
            <w:pPr>
              <w:pStyle w:val="Teknik4"/>
              <w:tabs>
                <w:tab w:val="clear" w:pos="-720"/>
              </w:tabs>
              <w:suppressAutoHyphens w:val="0"/>
              <w:jc w:val="right"/>
              <w:rPr>
                <w:rFonts w:ascii="Arial" w:hAnsi="Arial" w:cs="Arial"/>
                <w:b w:val="0"/>
                <w:sz w:val="14"/>
                <w:szCs w:val="14"/>
                <w:lang w:val="tr-TR"/>
              </w:rPr>
            </w:pPr>
          </w:p>
        </w:tc>
        <w:tc>
          <w:tcPr>
            <w:tcW w:w="433" w:type="pct"/>
            <w:tcBorders>
              <w:top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b w:val="0"/>
                <w:sz w:val="14"/>
                <w:szCs w:val="14"/>
                <w:lang w:val="tr-TR"/>
              </w:rPr>
            </w:pPr>
          </w:p>
        </w:tc>
        <w:tc>
          <w:tcPr>
            <w:tcW w:w="344" w:type="pct"/>
            <w:tcBorders>
              <w:top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b w:val="0"/>
                <w:sz w:val="14"/>
                <w:szCs w:val="14"/>
                <w:lang w:val="tr-TR"/>
              </w:rPr>
            </w:pPr>
          </w:p>
        </w:tc>
        <w:tc>
          <w:tcPr>
            <w:tcW w:w="440" w:type="pct"/>
            <w:tcBorders>
              <w:top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b w:val="0"/>
                <w:sz w:val="14"/>
                <w:szCs w:val="14"/>
                <w:lang w:val="tr-TR"/>
              </w:rPr>
            </w:pPr>
          </w:p>
        </w:tc>
        <w:tc>
          <w:tcPr>
            <w:tcW w:w="325" w:type="pct"/>
            <w:tcBorders>
              <w:top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b w:val="0"/>
                <w:sz w:val="14"/>
                <w:szCs w:val="14"/>
                <w:lang w:val="tr-TR"/>
              </w:rPr>
            </w:pPr>
          </w:p>
        </w:tc>
        <w:tc>
          <w:tcPr>
            <w:tcW w:w="459" w:type="pct"/>
            <w:tcBorders>
              <w:top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b w:val="0"/>
                <w:sz w:val="14"/>
                <w:szCs w:val="14"/>
                <w:lang w:val="tr-TR"/>
              </w:rPr>
            </w:pPr>
          </w:p>
        </w:tc>
        <w:tc>
          <w:tcPr>
            <w:tcW w:w="365" w:type="pct"/>
            <w:tcBorders>
              <w:top w:val="single" w:sz="4" w:space="0" w:color="auto"/>
            </w:tcBorders>
            <w:vAlign w:val="bottom"/>
          </w:tcPr>
          <w:p w:rsidR="00E86C72" w:rsidRPr="00906EB5" w:rsidRDefault="00E86C72" w:rsidP="00224B5D">
            <w:pPr>
              <w:pStyle w:val="Teknik4"/>
              <w:tabs>
                <w:tab w:val="clear" w:pos="-720"/>
              </w:tabs>
              <w:suppressAutoHyphens w:val="0"/>
              <w:jc w:val="right"/>
              <w:rPr>
                <w:rFonts w:ascii="Arial" w:hAnsi="Arial" w:cs="Arial"/>
                <w:b w:val="0"/>
                <w:sz w:val="14"/>
                <w:szCs w:val="14"/>
                <w:lang w:val="tr-TR"/>
              </w:rPr>
            </w:pPr>
          </w:p>
        </w:tc>
        <w:tc>
          <w:tcPr>
            <w:tcW w:w="924" w:type="pct"/>
            <w:tcBorders>
              <w:top w:val="single" w:sz="4" w:space="0" w:color="auto"/>
            </w:tcBorders>
          </w:tcPr>
          <w:p w:rsidR="00E86C72" w:rsidRPr="00906EB5" w:rsidRDefault="00E86C72" w:rsidP="00224B5D">
            <w:pPr>
              <w:pStyle w:val="Teknik4"/>
              <w:tabs>
                <w:tab w:val="clear" w:pos="-720"/>
              </w:tabs>
              <w:suppressAutoHyphens w:val="0"/>
              <w:jc w:val="right"/>
              <w:rPr>
                <w:rFonts w:ascii="Arial" w:hAnsi="Arial" w:cs="Arial"/>
                <w:b w:val="0"/>
                <w:sz w:val="14"/>
                <w:szCs w:val="14"/>
                <w:lang w:val="tr-TR"/>
              </w:rPr>
            </w:pPr>
          </w:p>
        </w:tc>
      </w:tr>
      <w:tr w:rsidR="00E86C72" w:rsidRPr="00906EB5" w:rsidTr="00E86C72">
        <w:trPr>
          <w:trHeight w:val="113"/>
        </w:trPr>
        <w:tc>
          <w:tcPr>
            <w:tcW w:w="1054" w:type="pct"/>
            <w:vAlign w:val="bottom"/>
          </w:tcPr>
          <w:p w:rsidR="00E86C72" w:rsidRPr="00906EB5" w:rsidRDefault="00E86C72" w:rsidP="00224B5D">
            <w:pPr>
              <w:ind w:left="34" w:hanging="142"/>
              <w:rPr>
                <w:rFonts w:ascii="Arial" w:hAnsi="Arial" w:cs="Arial"/>
                <w:color w:val="000000"/>
                <w:sz w:val="14"/>
                <w:szCs w:val="14"/>
              </w:rPr>
            </w:pPr>
            <w:r w:rsidRPr="00906EB5">
              <w:rPr>
                <w:rFonts w:ascii="Arial" w:hAnsi="Arial" w:cs="Arial"/>
                <w:color w:val="000000"/>
                <w:sz w:val="14"/>
                <w:szCs w:val="14"/>
              </w:rPr>
              <w:t>Nakit ve nakit benzerleri</w:t>
            </w:r>
          </w:p>
        </w:tc>
        <w:tc>
          <w:tcPr>
            <w:tcW w:w="656" w:type="pct"/>
            <w:vAlign w:val="bottom"/>
          </w:tcPr>
          <w:p w:rsidR="00E86C72" w:rsidRPr="00121AF9" w:rsidRDefault="00E86C72" w:rsidP="00224B5D">
            <w:pPr>
              <w:jc w:val="right"/>
              <w:rPr>
                <w:rFonts w:ascii="Arial" w:hAnsi="Arial" w:cs="Arial"/>
                <w:b/>
                <w:bCs/>
                <w:color w:val="000000"/>
                <w:sz w:val="16"/>
                <w:szCs w:val="16"/>
              </w:rPr>
            </w:pPr>
          </w:p>
        </w:tc>
        <w:tc>
          <w:tcPr>
            <w:tcW w:w="433"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1.119.115</w:t>
            </w:r>
          </w:p>
        </w:tc>
        <w:tc>
          <w:tcPr>
            <w:tcW w:w="344"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40"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25"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59"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65"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5.347</w:t>
            </w:r>
          </w:p>
        </w:tc>
        <w:tc>
          <w:tcPr>
            <w:tcW w:w="924"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bCs/>
                <w:color w:val="000000"/>
                <w:sz w:val="16"/>
                <w:szCs w:val="16"/>
              </w:rPr>
              <w:t>1.124.462</w:t>
            </w:r>
          </w:p>
        </w:tc>
      </w:tr>
      <w:tr w:rsidR="00E86C72" w:rsidRPr="00906EB5" w:rsidTr="00E86C72">
        <w:trPr>
          <w:trHeight w:val="113"/>
        </w:trPr>
        <w:tc>
          <w:tcPr>
            <w:tcW w:w="1054" w:type="pct"/>
            <w:vAlign w:val="bottom"/>
          </w:tcPr>
          <w:p w:rsidR="00E86C72" w:rsidRPr="00906EB5" w:rsidRDefault="00E86C72" w:rsidP="00224B5D">
            <w:pPr>
              <w:ind w:left="34" w:hanging="142"/>
              <w:rPr>
                <w:rFonts w:ascii="Arial" w:hAnsi="Arial" w:cs="Arial"/>
                <w:color w:val="000000"/>
                <w:sz w:val="14"/>
                <w:szCs w:val="14"/>
              </w:rPr>
            </w:pPr>
            <w:r w:rsidRPr="00906EB5">
              <w:rPr>
                <w:rFonts w:ascii="Arial" w:hAnsi="Arial" w:cs="Arial"/>
                <w:color w:val="000000"/>
                <w:sz w:val="14"/>
                <w:szCs w:val="14"/>
              </w:rPr>
              <w:t>Finansal yatırımlar</w:t>
            </w:r>
          </w:p>
        </w:tc>
        <w:tc>
          <w:tcPr>
            <w:tcW w:w="656" w:type="pct"/>
            <w:vAlign w:val="bottom"/>
          </w:tcPr>
          <w:p w:rsidR="00E86C72" w:rsidRPr="00121AF9" w:rsidRDefault="00E86C72" w:rsidP="00224B5D">
            <w:pPr>
              <w:jc w:val="right"/>
              <w:rPr>
                <w:rFonts w:ascii="Arial" w:hAnsi="Arial" w:cs="Arial"/>
                <w:b/>
                <w:bCs/>
                <w:color w:val="000000"/>
                <w:sz w:val="16"/>
                <w:szCs w:val="16"/>
              </w:rPr>
            </w:pPr>
          </w:p>
        </w:tc>
        <w:tc>
          <w:tcPr>
            <w:tcW w:w="433"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44"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40"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25"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99.348</w:t>
            </w:r>
          </w:p>
        </w:tc>
        <w:tc>
          <w:tcPr>
            <w:tcW w:w="459"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65"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924"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99.348</w:t>
            </w:r>
          </w:p>
        </w:tc>
      </w:tr>
      <w:tr w:rsidR="00E86C72" w:rsidRPr="00906EB5" w:rsidTr="00E86C72">
        <w:trPr>
          <w:trHeight w:val="113"/>
        </w:trPr>
        <w:tc>
          <w:tcPr>
            <w:tcW w:w="1054" w:type="pct"/>
            <w:vAlign w:val="bottom"/>
          </w:tcPr>
          <w:p w:rsidR="00E86C72" w:rsidRPr="00906EB5" w:rsidRDefault="00E86C72" w:rsidP="00224B5D">
            <w:pPr>
              <w:ind w:left="34" w:hanging="142"/>
              <w:rPr>
                <w:rFonts w:ascii="Arial" w:hAnsi="Arial" w:cs="Arial"/>
                <w:color w:val="000000"/>
                <w:sz w:val="14"/>
                <w:szCs w:val="14"/>
              </w:rPr>
            </w:pPr>
            <w:r w:rsidRPr="00906EB5">
              <w:rPr>
                <w:rFonts w:ascii="Arial" w:hAnsi="Arial" w:cs="Arial"/>
                <w:color w:val="000000"/>
                <w:sz w:val="14"/>
                <w:szCs w:val="14"/>
              </w:rPr>
              <w:t>Ticari alacaklar</w:t>
            </w:r>
          </w:p>
        </w:tc>
        <w:tc>
          <w:tcPr>
            <w:tcW w:w="656" w:type="pct"/>
            <w:vAlign w:val="bottom"/>
          </w:tcPr>
          <w:p w:rsidR="00E86C72" w:rsidRPr="00121AF9" w:rsidRDefault="00E86C72" w:rsidP="00224B5D">
            <w:pPr>
              <w:jc w:val="right"/>
              <w:rPr>
                <w:rFonts w:ascii="Arial" w:hAnsi="Arial" w:cs="Arial"/>
                <w:b/>
                <w:bCs/>
                <w:color w:val="000000"/>
                <w:sz w:val="16"/>
                <w:szCs w:val="16"/>
              </w:rPr>
            </w:pPr>
          </w:p>
        </w:tc>
        <w:tc>
          <w:tcPr>
            <w:tcW w:w="433"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11.792</w:t>
            </w:r>
          </w:p>
        </w:tc>
        <w:tc>
          <w:tcPr>
            <w:tcW w:w="344"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40"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25"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59"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65"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w:t>
            </w:r>
          </w:p>
        </w:tc>
        <w:tc>
          <w:tcPr>
            <w:tcW w:w="924"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11.792</w:t>
            </w:r>
          </w:p>
        </w:tc>
      </w:tr>
      <w:tr w:rsidR="00E86C72" w:rsidRPr="00906EB5" w:rsidTr="00E86C72">
        <w:trPr>
          <w:trHeight w:val="113"/>
        </w:trPr>
        <w:tc>
          <w:tcPr>
            <w:tcW w:w="1054" w:type="pct"/>
            <w:tcBorders>
              <w:bottom w:val="nil"/>
            </w:tcBorders>
            <w:vAlign w:val="bottom"/>
          </w:tcPr>
          <w:p w:rsidR="00E86C72" w:rsidRPr="00906EB5" w:rsidRDefault="00E86C72" w:rsidP="00224B5D">
            <w:pPr>
              <w:ind w:left="34" w:hanging="142"/>
              <w:rPr>
                <w:rFonts w:ascii="Arial" w:hAnsi="Arial" w:cs="Arial"/>
                <w:color w:val="000000"/>
                <w:sz w:val="14"/>
                <w:szCs w:val="14"/>
              </w:rPr>
            </w:pPr>
          </w:p>
        </w:tc>
        <w:tc>
          <w:tcPr>
            <w:tcW w:w="656" w:type="pct"/>
            <w:vAlign w:val="bottom"/>
          </w:tcPr>
          <w:p w:rsidR="00E86C72" w:rsidRPr="00121AF9" w:rsidRDefault="00E86C72" w:rsidP="00224B5D">
            <w:pPr>
              <w:jc w:val="right"/>
              <w:rPr>
                <w:rFonts w:ascii="Arial" w:hAnsi="Arial" w:cs="Arial"/>
                <w:b/>
                <w:color w:val="000000"/>
                <w:sz w:val="16"/>
                <w:szCs w:val="16"/>
              </w:rPr>
            </w:pPr>
          </w:p>
        </w:tc>
        <w:tc>
          <w:tcPr>
            <w:tcW w:w="433" w:type="pct"/>
            <w:vAlign w:val="bottom"/>
          </w:tcPr>
          <w:p w:rsidR="00E86C72" w:rsidRPr="00121AF9" w:rsidRDefault="00E86C72" w:rsidP="00224B5D">
            <w:pPr>
              <w:jc w:val="right"/>
              <w:rPr>
                <w:rFonts w:ascii="Arial" w:hAnsi="Arial" w:cs="Arial"/>
                <w:b/>
                <w:color w:val="000000"/>
                <w:sz w:val="16"/>
                <w:szCs w:val="16"/>
              </w:rPr>
            </w:pPr>
          </w:p>
        </w:tc>
        <w:tc>
          <w:tcPr>
            <w:tcW w:w="344" w:type="pct"/>
            <w:vAlign w:val="bottom"/>
          </w:tcPr>
          <w:p w:rsidR="00E86C72" w:rsidRPr="00121AF9" w:rsidRDefault="00E86C72" w:rsidP="00224B5D">
            <w:pPr>
              <w:jc w:val="right"/>
              <w:rPr>
                <w:rFonts w:ascii="Arial" w:hAnsi="Arial" w:cs="Arial"/>
                <w:b/>
                <w:color w:val="000000"/>
                <w:sz w:val="16"/>
                <w:szCs w:val="16"/>
              </w:rPr>
            </w:pPr>
          </w:p>
        </w:tc>
        <w:tc>
          <w:tcPr>
            <w:tcW w:w="440" w:type="pct"/>
            <w:vAlign w:val="bottom"/>
          </w:tcPr>
          <w:p w:rsidR="00E86C72" w:rsidRPr="00121AF9" w:rsidRDefault="00E86C72" w:rsidP="00224B5D">
            <w:pPr>
              <w:jc w:val="right"/>
              <w:rPr>
                <w:rFonts w:ascii="Arial" w:hAnsi="Arial" w:cs="Arial"/>
                <w:b/>
                <w:color w:val="000000"/>
                <w:sz w:val="16"/>
                <w:szCs w:val="16"/>
              </w:rPr>
            </w:pPr>
          </w:p>
        </w:tc>
        <w:tc>
          <w:tcPr>
            <w:tcW w:w="325" w:type="pct"/>
            <w:vAlign w:val="bottom"/>
          </w:tcPr>
          <w:p w:rsidR="00E86C72" w:rsidRPr="00121AF9" w:rsidRDefault="00E86C72" w:rsidP="00224B5D">
            <w:pPr>
              <w:jc w:val="right"/>
              <w:rPr>
                <w:rFonts w:ascii="Arial" w:hAnsi="Arial" w:cs="Arial"/>
                <w:b/>
                <w:color w:val="000000"/>
                <w:sz w:val="16"/>
                <w:szCs w:val="16"/>
              </w:rPr>
            </w:pPr>
          </w:p>
        </w:tc>
        <w:tc>
          <w:tcPr>
            <w:tcW w:w="459" w:type="pct"/>
            <w:vAlign w:val="bottom"/>
          </w:tcPr>
          <w:p w:rsidR="00E86C72" w:rsidRPr="00121AF9" w:rsidRDefault="00E86C72" w:rsidP="00224B5D">
            <w:pPr>
              <w:jc w:val="right"/>
              <w:rPr>
                <w:rFonts w:ascii="Arial" w:hAnsi="Arial" w:cs="Arial"/>
                <w:b/>
                <w:color w:val="000000"/>
                <w:sz w:val="16"/>
                <w:szCs w:val="16"/>
              </w:rPr>
            </w:pPr>
          </w:p>
        </w:tc>
        <w:tc>
          <w:tcPr>
            <w:tcW w:w="365" w:type="pct"/>
            <w:vAlign w:val="bottom"/>
          </w:tcPr>
          <w:p w:rsidR="00E86C72" w:rsidRPr="00121AF9" w:rsidRDefault="00E86C72" w:rsidP="00224B5D">
            <w:pPr>
              <w:jc w:val="right"/>
              <w:rPr>
                <w:rFonts w:ascii="Arial" w:hAnsi="Arial" w:cs="Arial"/>
                <w:b/>
                <w:color w:val="000000"/>
                <w:sz w:val="16"/>
                <w:szCs w:val="16"/>
              </w:rPr>
            </w:pPr>
          </w:p>
        </w:tc>
        <w:tc>
          <w:tcPr>
            <w:tcW w:w="924" w:type="pct"/>
            <w:vAlign w:val="bottom"/>
          </w:tcPr>
          <w:p w:rsidR="00E86C72" w:rsidRPr="00121AF9" w:rsidRDefault="00E86C72" w:rsidP="00224B5D">
            <w:pPr>
              <w:jc w:val="right"/>
              <w:rPr>
                <w:rFonts w:ascii="Arial" w:hAnsi="Arial" w:cs="Arial"/>
                <w:b/>
                <w:color w:val="000000"/>
                <w:sz w:val="16"/>
                <w:szCs w:val="16"/>
              </w:rPr>
            </w:pPr>
          </w:p>
        </w:tc>
      </w:tr>
      <w:tr w:rsidR="00E86C72" w:rsidRPr="00906EB5" w:rsidTr="00E86C72">
        <w:trPr>
          <w:trHeight w:val="113"/>
        </w:trPr>
        <w:tc>
          <w:tcPr>
            <w:tcW w:w="1054" w:type="pct"/>
            <w:tcBorders>
              <w:top w:val="single" w:sz="4" w:space="0" w:color="auto"/>
              <w:bottom w:val="single" w:sz="4" w:space="0" w:color="auto"/>
            </w:tcBorders>
            <w:vAlign w:val="bottom"/>
          </w:tcPr>
          <w:p w:rsidR="00E86C72" w:rsidRPr="00906EB5" w:rsidRDefault="00E86C72" w:rsidP="00224B5D">
            <w:pPr>
              <w:ind w:left="34" w:hanging="142"/>
              <w:rPr>
                <w:rFonts w:ascii="Arial" w:hAnsi="Arial" w:cs="Arial"/>
                <w:b/>
                <w:color w:val="000000"/>
                <w:sz w:val="14"/>
                <w:szCs w:val="14"/>
              </w:rPr>
            </w:pPr>
            <w:r w:rsidRPr="00906EB5">
              <w:rPr>
                <w:rFonts w:ascii="Arial" w:hAnsi="Arial" w:cs="Arial"/>
                <w:b/>
                <w:color w:val="000000"/>
                <w:sz w:val="14"/>
                <w:szCs w:val="14"/>
              </w:rPr>
              <w:t>Toplam varlıklar</w:t>
            </w:r>
          </w:p>
        </w:tc>
        <w:tc>
          <w:tcPr>
            <w:tcW w:w="656"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bCs/>
                <w:color w:val="000000"/>
                <w:sz w:val="16"/>
                <w:szCs w:val="16"/>
              </w:rPr>
            </w:pPr>
          </w:p>
        </w:tc>
        <w:tc>
          <w:tcPr>
            <w:tcW w:w="433"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1.130.907</w:t>
            </w:r>
          </w:p>
        </w:tc>
        <w:tc>
          <w:tcPr>
            <w:tcW w:w="344"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99.348</w:t>
            </w:r>
          </w:p>
        </w:tc>
        <w:tc>
          <w:tcPr>
            <w:tcW w:w="459"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5.347</w:t>
            </w:r>
          </w:p>
        </w:tc>
        <w:tc>
          <w:tcPr>
            <w:tcW w:w="924"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bCs/>
                <w:color w:val="000000"/>
                <w:sz w:val="16"/>
                <w:szCs w:val="16"/>
              </w:rPr>
              <w:t>1.235.602</w:t>
            </w:r>
          </w:p>
        </w:tc>
      </w:tr>
      <w:tr w:rsidR="00E86C72" w:rsidRPr="00906EB5" w:rsidTr="00E86C72">
        <w:trPr>
          <w:trHeight w:val="113"/>
        </w:trPr>
        <w:tc>
          <w:tcPr>
            <w:tcW w:w="1054" w:type="pct"/>
            <w:tcBorders>
              <w:bottom w:val="nil"/>
            </w:tcBorders>
            <w:vAlign w:val="bottom"/>
          </w:tcPr>
          <w:p w:rsidR="00E86C72" w:rsidRPr="00906EB5" w:rsidRDefault="00E86C72" w:rsidP="00224B5D">
            <w:pPr>
              <w:ind w:left="34" w:hanging="142"/>
              <w:rPr>
                <w:rFonts w:ascii="Arial" w:hAnsi="Arial" w:cs="Arial"/>
                <w:color w:val="FF0000"/>
                <w:sz w:val="14"/>
                <w:szCs w:val="14"/>
              </w:rPr>
            </w:pPr>
          </w:p>
        </w:tc>
        <w:tc>
          <w:tcPr>
            <w:tcW w:w="656" w:type="pct"/>
            <w:vAlign w:val="bottom"/>
          </w:tcPr>
          <w:p w:rsidR="00E86C72" w:rsidRPr="00121AF9" w:rsidRDefault="00E86C72" w:rsidP="00224B5D">
            <w:pPr>
              <w:jc w:val="right"/>
              <w:rPr>
                <w:rFonts w:ascii="Arial" w:hAnsi="Arial" w:cs="Arial"/>
                <w:b/>
                <w:color w:val="FF0000"/>
                <w:sz w:val="16"/>
                <w:szCs w:val="16"/>
              </w:rPr>
            </w:pPr>
          </w:p>
        </w:tc>
        <w:tc>
          <w:tcPr>
            <w:tcW w:w="433" w:type="pct"/>
            <w:vAlign w:val="bottom"/>
          </w:tcPr>
          <w:p w:rsidR="00E86C72" w:rsidRPr="00121AF9" w:rsidRDefault="00E86C72" w:rsidP="00224B5D">
            <w:pPr>
              <w:jc w:val="right"/>
              <w:rPr>
                <w:rFonts w:ascii="Arial" w:hAnsi="Arial" w:cs="Arial"/>
                <w:b/>
                <w:color w:val="FF0000"/>
                <w:sz w:val="16"/>
                <w:szCs w:val="16"/>
              </w:rPr>
            </w:pPr>
          </w:p>
        </w:tc>
        <w:tc>
          <w:tcPr>
            <w:tcW w:w="344" w:type="pct"/>
            <w:vAlign w:val="bottom"/>
          </w:tcPr>
          <w:p w:rsidR="00E86C72" w:rsidRPr="00121AF9" w:rsidRDefault="00E86C72" w:rsidP="00224B5D">
            <w:pPr>
              <w:jc w:val="right"/>
              <w:rPr>
                <w:rFonts w:ascii="Arial" w:hAnsi="Arial" w:cs="Arial"/>
                <w:b/>
                <w:color w:val="FF0000"/>
                <w:sz w:val="16"/>
                <w:szCs w:val="16"/>
              </w:rPr>
            </w:pPr>
          </w:p>
        </w:tc>
        <w:tc>
          <w:tcPr>
            <w:tcW w:w="440" w:type="pct"/>
            <w:vAlign w:val="bottom"/>
          </w:tcPr>
          <w:p w:rsidR="00E86C72" w:rsidRPr="00121AF9" w:rsidRDefault="00E86C72" w:rsidP="00224B5D">
            <w:pPr>
              <w:jc w:val="right"/>
              <w:rPr>
                <w:rFonts w:ascii="Arial" w:hAnsi="Arial" w:cs="Arial"/>
                <w:b/>
                <w:color w:val="FF0000"/>
                <w:sz w:val="16"/>
                <w:szCs w:val="16"/>
              </w:rPr>
            </w:pPr>
          </w:p>
        </w:tc>
        <w:tc>
          <w:tcPr>
            <w:tcW w:w="325" w:type="pct"/>
            <w:vAlign w:val="bottom"/>
          </w:tcPr>
          <w:p w:rsidR="00E86C72" w:rsidRPr="00121AF9" w:rsidRDefault="00E86C72" w:rsidP="00224B5D">
            <w:pPr>
              <w:jc w:val="right"/>
              <w:rPr>
                <w:rFonts w:ascii="Arial" w:hAnsi="Arial" w:cs="Arial"/>
                <w:b/>
                <w:color w:val="FF0000"/>
                <w:sz w:val="16"/>
                <w:szCs w:val="16"/>
              </w:rPr>
            </w:pPr>
          </w:p>
        </w:tc>
        <w:tc>
          <w:tcPr>
            <w:tcW w:w="459" w:type="pct"/>
            <w:vAlign w:val="bottom"/>
          </w:tcPr>
          <w:p w:rsidR="00E86C72" w:rsidRPr="00121AF9" w:rsidRDefault="00E86C72" w:rsidP="00224B5D">
            <w:pPr>
              <w:jc w:val="right"/>
              <w:rPr>
                <w:rFonts w:ascii="Arial" w:hAnsi="Arial" w:cs="Arial"/>
                <w:b/>
                <w:color w:val="FF0000"/>
                <w:sz w:val="16"/>
                <w:szCs w:val="16"/>
              </w:rPr>
            </w:pPr>
          </w:p>
        </w:tc>
        <w:tc>
          <w:tcPr>
            <w:tcW w:w="365" w:type="pct"/>
            <w:vAlign w:val="bottom"/>
          </w:tcPr>
          <w:p w:rsidR="00E86C72" w:rsidRPr="00121AF9" w:rsidRDefault="00E86C72" w:rsidP="00224B5D">
            <w:pPr>
              <w:jc w:val="right"/>
              <w:rPr>
                <w:rFonts w:ascii="Arial" w:hAnsi="Arial" w:cs="Arial"/>
                <w:b/>
                <w:color w:val="FF0000"/>
                <w:sz w:val="16"/>
                <w:szCs w:val="16"/>
              </w:rPr>
            </w:pPr>
          </w:p>
        </w:tc>
        <w:tc>
          <w:tcPr>
            <w:tcW w:w="924" w:type="pct"/>
            <w:vAlign w:val="bottom"/>
          </w:tcPr>
          <w:p w:rsidR="00E86C72" w:rsidRPr="00121AF9" w:rsidRDefault="00E86C72" w:rsidP="00224B5D">
            <w:pPr>
              <w:jc w:val="right"/>
              <w:rPr>
                <w:rFonts w:ascii="Arial" w:hAnsi="Arial" w:cs="Arial"/>
                <w:b/>
                <w:color w:val="FF0000"/>
                <w:sz w:val="16"/>
                <w:szCs w:val="16"/>
              </w:rPr>
            </w:pPr>
          </w:p>
        </w:tc>
      </w:tr>
      <w:tr w:rsidR="00E86C72" w:rsidRPr="00906EB5" w:rsidTr="00E86C72">
        <w:trPr>
          <w:trHeight w:val="113"/>
        </w:trPr>
        <w:tc>
          <w:tcPr>
            <w:tcW w:w="1054" w:type="pct"/>
            <w:vAlign w:val="bottom"/>
          </w:tcPr>
          <w:p w:rsidR="00E86C72" w:rsidRPr="00906EB5" w:rsidRDefault="00E86C72" w:rsidP="00224B5D">
            <w:pPr>
              <w:ind w:left="34" w:hanging="142"/>
              <w:rPr>
                <w:rFonts w:ascii="Arial" w:hAnsi="Arial" w:cs="Arial"/>
                <w:color w:val="000000"/>
                <w:sz w:val="14"/>
                <w:szCs w:val="14"/>
              </w:rPr>
            </w:pPr>
            <w:r w:rsidRPr="00906EB5">
              <w:rPr>
                <w:rFonts w:ascii="Arial" w:hAnsi="Arial" w:cs="Arial"/>
                <w:color w:val="000000"/>
                <w:sz w:val="14"/>
                <w:szCs w:val="14"/>
              </w:rPr>
              <w:t>Ticari borçlar</w:t>
            </w:r>
          </w:p>
        </w:tc>
        <w:tc>
          <w:tcPr>
            <w:tcW w:w="656" w:type="pct"/>
            <w:vAlign w:val="bottom"/>
          </w:tcPr>
          <w:p w:rsidR="00E86C72" w:rsidRPr="00121AF9" w:rsidRDefault="00E86C72" w:rsidP="00224B5D">
            <w:pPr>
              <w:jc w:val="right"/>
              <w:rPr>
                <w:rFonts w:ascii="Arial" w:hAnsi="Arial" w:cs="Arial"/>
                <w:b/>
                <w:bCs/>
                <w:color w:val="000000"/>
                <w:sz w:val="16"/>
                <w:szCs w:val="16"/>
              </w:rPr>
            </w:pPr>
          </w:p>
        </w:tc>
        <w:tc>
          <w:tcPr>
            <w:tcW w:w="433"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33.493</w:t>
            </w:r>
          </w:p>
        </w:tc>
        <w:tc>
          <w:tcPr>
            <w:tcW w:w="344"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459"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924"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33.493</w:t>
            </w:r>
          </w:p>
        </w:tc>
      </w:tr>
      <w:tr w:rsidR="00E86C72" w:rsidRPr="00906EB5" w:rsidTr="00E86C72">
        <w:trPr>
          <w:trHeight w:val="113"/>
        </w:trPr>
        <w:tc>
          <w:tcPr>
            <w:tcW w:w="1054" w:type="pct"/>
            <w:vAlign w:val="bottom"/>
          </w:tcPr>
          <w:p w:rsidR="00E86C72" w:rsidRPr="00906EB5" w:rsidRDefault="00E86C72" w:rsidP="00224B5D">
            <w:pPr>
              <w:ind w:left="34" w:hanging="142"/>
              <w:rPr>
                <w:rFonts w:ascii="Arial" w:hAnsi="Arial" w:cs="Arial"/>
                <w:color w:val="000000"/>
                <w:sz w:val="14"/>
                <w:szCs w:val="14"/>
              </w:rPr>
            </w:pPr>
            <w:r w:rsidRPr="00906EB5">
              <w:rPr>
                <w:rFonts w:ascii="Arial" w:hAnsi="Arial" w:cs="Arial"/>
                <w:color w:val="000000"/>
                <w:sz w:val="14"/>
                <w:szCs w:val="14"/>
              </w:rPr>
              <w:t>Diğer borçlar</w:t>
            </w:r>
          </w:p>
        </w:tc>
        <w:tc>
          <w:tcPr>
            <w:tcW w:w="656" w:type="pct"/>
            <w:vAlign w:val="bottom"/>
          </w:tcPr>
          <w:p w:rsidR="00E86C72" w:rsidRPr="00121AF9" w:rsidRDefault="00E86C72" w:rsidP="00224B5D">
            <w:pPr>
              <w:jc w:val="right"/>
              <w:rPr>
                <w:rFonts w:ascii="Arial" w:hAnsi="Arial" w:cs="Arial"/>
                <w:b/>
                <w:bCs/>
                <w:color w:val="000000"/>
                <w:sz w:val="16"/>
                <w:szCs w:val="16"/>
              </w:rPr>
            </w:pPr>
          </w:p>
        </w:tc>
        <w:tc>
          <w:tcPr>
            <w:tcW w:w="433"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16.105</w:t>
            </w:r>
          </w:p>
        </w:tc>
        <w:tc>
          <w:tcPr>
            <w:tcW w:w="344"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459"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924" w:type="pct"/>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16.105</w:t>
            </w:r>
          </w:p>
        </w:tc>
      </w:tr>
      <w:tr w:rsidR="00E86C72" w:rsidRPr="00906EB5" w:rsidTr="00E86C72">
        <w:trPr>
          <w:trHeight w:val="113"/>
        </w:trPr>
        <w:tc>
          <w:tcPr>
            <w:tcW w:w="1054" w:type="pct"/>
            <w:tcBorders>
              <w:top w:val="nil"/>
              <w:bottom w:val="single" w:sz="4" w:space="0" w:color="auto"/>
            </w:tcBorders>
            <w:vAlign w:val="bottom"/>
          </w:tcPr>
          <w:p w:rsidR="00E86C72" w:rsidRPr="00906EB5" w:rsidRDefault="00E86C72" w:rsidP="00224B5D">
            <w:pPr>
              <w:ind w:left="34" w:hanging="142"/>
              <w:rPr>
                <w:rFonts w:ascii="Arial" w:hAnsi="Arial" w:cs="Arial"/>
                <w:color w:val="000000"/>
                <w:sz w:val="14"/>
                <w:szCs w:val="14"/>
              </w:rPr>
            </w:pPr>
          </w:p>
        </w:tc>
        <w:tc>
          <w:tcPr>
            <w:tcW w:w="656" w:type="pct"/>
            <w:tcBorders>
              <w:top w:val="nil"/>
              <w:bottom w:val="single" w:sz="4" w:space="0" w:color="auto"/>
            </w:tcBorders>
            <w:vAlign w:val="bottom"/>
          </w:tcPr>
          <w:p w:rsidR="00E86C72" w:rsidRPr="00121AF9" w:rsidRDefault="00E86C72" w:rsidP="00224B5D">
            <w:pPr>
              <w:jc w:val="right"/>
              <w:rPr>
                <w:rFonts w:ascii="Arial" w:hAnsi="Arial" w:cs="Arial"/>
                <w:b/>
                <w:bCs/>
                <w:color w:val="000000"/>
                <w:sz w:val="16"/>
                <w:szCs w:val="16"/>
              </w:rPr>
            </w:pPr>
          </w:p>
        </w:tc>
        <w:tc>
          <w:tcPr>
            <w:tcW w:w="433" w:type="pct"/>
            <w:tcBorders>
              <w:top w:val="nil"/>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344" w:type="pct"/>
            <w:tcBorders>
              <w:top w:val="nil"/>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440" w:type="pct"/>
            <w:tcBorders>
              <w:top w:val="nil"/>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325" w:type="pct"/>
            <w:tcBorders>
              <w:top w:val="nil"/>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459" w:type="pct"/>
            <w:tcBorders>
              <w:top w:val="nil"/>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365" w:type="pct"/>
            <w:tcBorders>
              <w:top w:val="nil"/>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924" w:type="pct"/>
            <w:tcBorders>
              <w:top w:val="nil"/>
              <w:bottom w:val="single" w:sz="4" w:space="0" w:color="auto"/>
            </w:tcBorders>
            <w:vAlign w:val="bottom"/>
          </w:tcPr>
          <w:p w:rsidR="00E86C72" w:rsidRPr="00121AF9" w:rsidRDefault="00E86C72" w:rsidP="00224B5D">
            <w:pPr>
              <w:jc w:val="right"/>
              <w:rPr>
                <w:rFonts w:ascii="Arial" w:hAnsi="Arial" w:cs="Arial"/>
                <w:b/>
                <w:bCs/>
                <w:color w:val="000000"/>
                <w:sz w:val="16"/>
                <w:szCs w:val="16"/>
              </w:rPr>
            </w:pPr>
          </w:p>
        </w:tc>
      </w:tr>
      <w:tr w:rsidR="00E86C72" w:rsidRPr="00906EB5" w:rsidTr="00E86C72">
        <w:trPr>
          <w:trHeight w:val="113"/>
        </w:trPr>
        <w:tc>
          <w:tcPr>
            <w:tcW w:w="1054" w:type="pct"/>
            <w:tcBorders>
              <w:top w:val="single" w:sz="4" w:space="0" w:color="auto"/>
              <w:bottom w:val="single" w:sz="4" w:space="0" w:color="auto"/>
            </w:tcBorders>
            <w:vAlign w:val="bottom"/>
          </w:tcPr>
          <w:p w:rsidR="00E86C72" w:rsidRPr="00906EB5" w:rsidRDefault="00E86C72" w:rsidP="00224B5D">
            <w:pPr>
              <w:ind w:left="34" w:hanging="142"/>
              <w:rPr>
                <w:rFonts w:ascii="Arial" w:hAnsi="Arial" w:cs="Arial"/>
                <w:b/>
                <w:color w:val="000000"/>
                <w:sz w:val="14"/>
                <w:szCs w:val="14"/>
              </w:rPr>
            </w:pPr>
            <w:r w:rsidRPr="00906EB5">
              <w:rPr>
                <w:rFonts w:ascii="Arial" w:hAnsi="Arial" w:cs="Arial"/>
                <w:b/>
                <w:color w:val="000000"/>
                <w:sz w:val="14"/>
                <w:szCs w:val="14"/>
              </w:rPr>
              <w:t>Toplam kaynaklar</w:t>
            </w:r>
          </w:p>
        </w:tc>
        <w:tc>
          <w:tcPr>
            <w:tcW w:w="656"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bCs/>
                <w:color w:val="000000"/>
                <w:sz w:val="16"/>
                <w:szCs w:val="16"/>
              </w:rPr>
            </w:pPr>
          </w:p>
        </w:tc>
        <w:tc>
          <w:tcPr>
            <w:tcW w:w="433"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49.598</w:t>
            </w:r>
          </w:p>
        </w:tc>
        <w:tc>
          <w:tcPr>
            <w:tcW w:w="344"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459"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924"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49.598</w:t>
            </w:r>
          </w:p>
        </w:tc>
      </w:tr>
      <w:tr w:rsidR="00E86C72" w:rsidRPr="00906EB5" w:rsidTr="00E86C72">
        <w:trPr>
          <w:trHeight w:val="113"/>
        </w:trPr>
        <w:tc>
          <w:tcPr>
            <w:tcW w:w="1054" w:type="pct"/>
            <w:tcBorders>
              <w:top w:val="single" w:sz="4" w:space="0" w:color="auto"/>
              <w:bottom w:val="single" w:sz="4" w:space="0" w:color="auto"/>
            </w:tcBorders>
            <w:vAlign w:val="bottom"/>
          </w:tcPr>
          <w:p w:rsidR="00E86C72" w:rsidRPr="00906EB5" w:rsidRDefault="00E86C72" w:rsidP="00224B5D">
            <w:pPr>
              <w:ind w:left="34" w:hanging="142"/>
              <w:rPr>
                <w:rFonts w:ascii="Arial" w:hAnsi="Arial" w:cs="Arial"/>
                <w:b/>
                <w:color w:val="000000"/>
                <w:sz w:val="14"/>
                <w:szCs w:val="14"/>
              </w:rPr>
            </w:pPr>
          </w:p>
        </w:tc>
        <w:tc>
          <w:tcPr>
            <w:tcW w:w="656"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433"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344"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440"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325"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459"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365"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c>
          <w:tcPr>
            <w:tcW w:w="924" w:type="pct"/>
            <w:tcBorders>
              <w:top w:val="single" w:sz="4" w:space="0" w:color="auto"/>
              <w:bottom w:val="single" w:sz="4" w:space="0" w:color="auto"/>
            </w:tcBorders>
            <w:vAlign w:val="bottom"/>
          </w:tcPr>
          <w:p w:rsidR="00E86C72" w:rsidRPr="00121AF9" w:rsidRDefault="00E86C72" w:rsidP="00224B5D">
            <w:pPr>
              <w:jc w:val="right"/>
              <w:rPr>
                <w:rFonts w:ascii="Arial" w:hAnsi="Arial" w:cs="Arial"/>
                <w:b/>
                <w:color w:val="000000"/>
                <w:sz w:val="16"/>
                <w:szCs w:val="16"/>
              </w:rPr>
            </w:pPr>
          </w:p>
        </w:tc>
      </w:tr>
      <w:tr w:rsidR="00E86C72" w:rsidRPr="00906EB5" w:rsidTr="00E86C72">
        <w:trPr>
          <w:trHeight w:val="113"/>
        </w:trPr>
        <w:tc>
          <w:tcPr>
            <w:tcW w:w="1054" w:type="pct"/>
            <w:tcBorders>
              <w:top w:val="single" w:sz="4" w:space="0" w:color="auto"/>
              <w:bottom w:val="double" w:sz="4" w:space="0" w:color="auto"/>
            </w:tcBorders>
            <w:vAlign w:val="bottom"/>
          </w:tcPr>
          <w:p w:rsidR="00E86C72" w:rsidRPr="00906EB5" w:rsidRDefault="00E86C72" w:rsidP="00224B5D">
            <w:pPr>
              <w:ind w:left="34" w:hanging="142"/>
              <w:rPr>
                <w:rFonts w:ascii="Arial" w:hAnsi="Arial" w:cs="Arial"/>
                <w:b/>
                <w:color w:val="000000"/>
                <w:sz w:val="14"/>
                <w:szCs w:val="14"/>
              </w:rPr>
            </w:pPr>
            <w:r w:rsidRPr="00906EB5">
              <w:rPr>
                <w:rFonts w:ascii="Arial" w:hAnsi="Arial" w:cs="Arial"/>
                <w:b/>
                <w:color w:val="000000"/>
                <w:sz w:val="14"/>
                <w:szCs w:val="14"/>
              </w:rPr>
              <w:t>Net likidite fazlası / (açığı)</w:t>
            </w:r>
          </w:p>
        </w:tc>
        <w:tc>
          <w:tcPr>
            <w:tcW w:w="656" w:type="pct"/>
            <w:tcBorders>
              <w:top w:val="single" w:sz="4" w:space="0" w:color="auto"/>
              <w:bottom w:val="double" w:sz="4" w:space="0" w:color="auto"/>
            </w:tcBorders>
            <w:vAlign w:val="bottom"/>
          </w:tcPr>
          <w:p w:rsidR="00E86C72" w:rsidRPr="00121AF9" w:rsidRDefault="00E86C72" w:rsidP="00224B5D">
            <w:pPr>
              <w:jc w:val="right"/>
              <w:rPr>
                <w:rFonts w:ascii="Arial" w:hAnsi="Arial" w:cs="Arial"/>
                <w:b/>
                <w:bCs/>
                <w:color w:val="000000"/>
                <w:sz w:val="16"/>
                <w:szCs w:val="16"/>
              </w:rPr>
            </w:pPr>
          </w:p>
        </w:tc>
        <w:tc>
          <w:tcPr>
            <w:tcW w:w="433" w:type="pct"/>
            <w:tcBorders>
              <w:top w:val="single" w:sz="4" w:space="0" w:color="auto"/>
              <w:bottom w:val="double" w:sz="4" w:space="0" w:color="auto"/>
            </w:tcBorders>
            <w:vAlign w:val="bottom"/>
          </w:tcPr>
          <w:p w:rsidR="00E86C72" w:rsidRPr="00121AF9" w:rsidRDefault="00E86C72" w:rsidP="00224B5D">
            <w:pPr>
              <w:jc w:val="right"/>
              <w:rPr>
                <w:rFonts w:ascii="Arial" w:hAnsi="Arial" w:cs="Arial"/>
                <w:b/>
                <w:bCs/>
                <w:color w:val="000000"/>
                <w:sz w:val="16"/>
                <w:szCs w:val="16"/>
              </w:rPr>
            </w:pPr>
            <w:r w:rsidRPr="00121AF9">
              <w:rPr>
                <w:rFonts w:ascii="Arial" w:hAnsi="Arial" w:cs="Arial"/>
                <w:b/>
                <w:bCs/>
                <w:color w:val="000000"/>
                <w:sz w:val="16"/>
                <w:szCs w:val="16"/>
              </w:rPr>
              <w:t>1.081.309</w:t>
            </w:r>
          </w:p>
        </w:tc>
        <w:tc>
          <w:tcPr>
            <w:tcW w:w="344" w:type="pct"/>
            <w:tcBorders>
              <w:top w:val="single" w:sz="4" w:space="0" w:color="auto"/>
              <w:bottom w:val="doub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tcBorders>
              <w:top w:val="single" w:sz="4" w:space="0" w:color="auto"/>
              <w:bottom w:val="doub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tcBorders>
              <w:top w:val="single" w:sz="4" w:space="0" w:color="auto"/>
              <w:bottom w:val="doub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99.348</w:t>
            </w:r>
          </w:p>
        </w:tc>
        <w:tc>
          <w:tcPr>
            <w:tcW w:w="459" w:type="pct"/>
            <w:tcBorders>
              <w:top w:val="single" w:sz="4" w:space="0" w:color="auto"/>
              <w:bottom w:val="doub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tcBorders>
              <w:top w:val="single" w:sz="4" w:space="0" w:color="auto"/>
              <w:bottom w:val="doub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color w:val="000000"/>
                <w:sz w:val="16"/>
                <w:szCs w:val="16"/>
              </w:rPr>
              <w:t>5.347</w:t>
            </w:r>
          </w:p>
        </w:tc>
        <w:tc>
          <w:tcPr>
            <w:tcW w:w="924" w:type="pct"/>
            <w:tcBorders>
              <w:top w:val="single" w:sz="4" w:space="0" w:color="auto"/>
              <w:bottom w:val="double" w:sz="4" w:space="0" w:color="auto"/>
            </w:tcBorders>
            <w:vAlign w:val="bottom"/>
          </w:tcPr>
          <w:p w:rsidR="00E86C72" w:rsidRPr="00121AF9" w:rsidRDefault="00E86C72" w:rsidP="00224B5D">
            <w:pPr>
              <w:jc w:val="right"/>
              <w:rPr>
                <w:rFonts w:ascii="Arial" w:hAnsi="Arial" w:cs="Arial"/>
                <w:b/>
                <w:color w:val="000000"/>
                <w:sz w:val="16"/>
                <w:szCs w:val="16"/>
              </w:rPr>
            </w:pPr>
            <w:r w:rsidRPr="00121AF9">
              <w:rPr>
                <w:rFonts w:ascii="Arial" w:hAnsi="Arial" w:cs="Arial"/>
                <w:b/>
                <w:bCs/>
                <w:color w:val="000000"/>
                <w:sz w:val="16"/>
                <w:szCs w:val="16"/>
              </w:rPr>
              <w:t>1.186.004</w:t>
            </w:r>
          </w:p>
        </w:tc>
      </w:tr>
    </w:tbl>
    <w:p w:rsidR="00D322FB" w:rsidRPr="00FA6F56" w:rsidRDefault="00D322FB" w:rsidP="001C2851">
      <w:pPr>
        <w:pStyle w:val="body0"/>
        <w:spacing w:after="0" w:line="240" w:lineRule="auto"/>
        <w:ind w:left="567" w:hanging="567"/>
        <w:jc w:val="left"/>
        <w:rPr>
          <w:rFonts w:ascii="Arial" w:hAnsi="Arial" w:cs="Arial"/>
          <w:b/>
          <w:spacing w:val="-2"/>
          <w:sz w:val="20"/>
          <w:szCs w:val="20"/>
          <w:lang w:val="tr-TR"/>
        </w:rPr>
      </w:pPr>
      <w:r w:rsidRPr="00FA6F56">
        <w:rPr>
          <w:rFonts w:ascii="Arial" w:hAnsi="Arial" w:cs="Arial"/>
          <w:b/>
          <w:spacing w:val="-2"/>
          <w:sz w:val="20"/>
          <w:szCs w:val="20"/>
          <w:lang w:val="tr-TR"/>
        </w:rPr>
        <w:lastRenderedPageBreak/>
        <w:t>24.</w:t>
      </w:r>
      <w:r w:rsidRPr="00FA6F56">
        <w:rPr>
          <w:rFonts w:ascii="Arial" w:hAnsi="Arial" w:cs="Arial"/>
          <w:b/>
          <w:spacing w:val="-2"/>
          <w:sz w:val="20"/>
          <w:szCs w:val="20"/>
          <w:lang w:val="tr-TR"/>
        </w:rPr>
        <w:tab/>
        <w:t>Finansal araçlardan kaynaklanan risklerin niteliği ve düzeyi (devamı)</w:t>
      </w:r>
    </w:p>
    <w:p w:rsidR="00D322FB" w:rsidRDefault="00D322FB" w:rsidP="001C2851">
      <w:pPr>
        <w:widowControl w:val="0"/>
        <w:ind w:right="-23"/>
        <w:rPr>
          <w:rFonts w:ascii="Arial" w:hAnsi="Arial" w:cs="Arial"/>
          <w:highlight w:val="yellow"/>
          <w:lang w:val="tr-TR"/>
        </w:rPr>
      </w:pPr>
    </w:p>
    <w:p w:rsidR="00D322FB" w:rsidRPr="009E496D" w:rsidRDefault="00D322FB" w:rsidP="00DE331A">
      <w:pPr>
        <w:widowControl w:val="0"/>
        <w:ind w:right="-23" w:firstLine="11"/>
        <w:rPr>
          <w:rFonts w:ascii="Arial" w:hAnsi="Arial" w:cs="Arial"/>
          <w:lang w:val="tr-TR"/>
        </w:rPr>
      </w:pPr>
      <w:r w:rsidRPr="009E496D">
        <w:rPr>
          <w:rFonts w:ascii="Arial" w:hAnsi="Arial" w:cs="Arial"/>
          <w:lang w:val="tr-TR"/>
        </w:rPr>
        <w:t>Aşağıdaki tablo, Şirket’in türev niteliğinde olan ve olmayan finansal yükümlülüklerinin vade dağılımını göstermektedir. Türev olmayan finansal yükümlülükler iskonto edilmeden ve ödenmesi gereken en erken tarihler esas alınarak hazırlanmıştır. Şirketin türev finansal yükümlülükleri bulunmamaktadır.</w:t>
      </w:r>
    </w:p>
    <w:p w:rsidR="00D322FB" w:rsidRPr="007A0490" w:rsidRDefault="00D322FB" w:rsidP="00DE331A">
      <w:pPr>
        <w:widowControl w:val="0"/>
        <w:ind w:right="-23" w:firstLine="11"/>
        <w:rPr>
          <w:rFonts w:ascii="Arial" w:hAnsi="Arial" w:cs="Arial"/>
          <w:sz w:val="16"/>
          <w:szCs w:val="16"/>
          <w:highlight w:val="yellow"/>
          <w:lang w:val="tr-TR"/>
        </w:rPr>
      </w:pPr>
    </w:p>
    <w:tbl>
      <w:tblPr>
        <w:tblW w:w="13770" w:type="dxa"/>
        <w:tblInd w:w="108" w:type="dxa"/>
        <w:tblLayout w:type="fixed"/>
        <w:tblLook w:val="0000" w:firstRow="0" w:lastRow="0" w:firstColumn="0" w:lastColumn="0" w:noHBand="0" w:noVBand="0"/>
      </w:tblPr>
      <w:tblGrid>
        <w:gridCol w:w="4320"/>
        <w:gridCol w:w="1276"/>
        <w:gridCol w:w="2234"/>
        <w:gridCol w:w="1350"/>
        <w:gridCol w:w="1620"/>
        <w:gridCol w:w="1440"/>
        <w:gridCol w:w="1530"/>
      </w:tblGrid>
      <w:tr w:rsidR="00D322FB" w:rsidRPr="00A32D03" w:rsidTr="00E125AB">
        <w:trPr>
          <w:trHeight w:val="113"/>
        </w:trPr>
        <w:tc>
          <w:tcPr>
            <w:tcW w:w="4320" w:type="dxa"/>
            <w:tcBorders>
              <w:top w:val="single" w:sz="4" w:space="0" w:color="auto"/>
              <w:left w:val="nil"/>
              <w:bottom w:val="single" w:sz="4" w:space="0" w:color="auto"/>
              <w:right w:val="nil"/>
            </w:tcBorders>
          </w:tcPr>
          <w:p w:rsidR="00D322FB" w:rsidRPr="00A32D03" w:rsidRDefault="00D322FB" w:rsidP="00E125AB">
            <w:pPr>
              <w:autoSpaceDE w:val="0"/>
              <w:autoSpaceDN w:val="0"/>
              <w:adjustRightInd w:val="0"/>
              <w:ind w:left="-108"/>
              <w:jc w:val="right"/>
              <w:rPr>
                <w:rFonts w:ascii="Arial" w:hAnsi="Arial" w:cs="Arial"/>
                <w:b/>
                <w:color w:val="000000"/>
              </w:rPr>
            </w:pPr>
          </w:p>
        </w:tc>
        <w:tc>
          <w:tcPr>
            <w:tcW w:w="9450" w:type="dxa"/>
            <w:gridSpan w:val="6"/>
            <w:tcBorders>
              <w:top w:val="single" w:sz="4" w:space="0" w:color="auto"/>
              <w:left w:val="nil"/>
              <w:bottom w:val="single" w:sz="4" w:space="0" w:color="auto"/>
              <w:right w:val="nil"/>
            </w:tcBorders>
          </w:tcPr>
          <w:p w:rsidR="00D322FB" w:rsidRPr="00A32D03" w:rsidRDefault="00D322FB" w:rsidP="00E86C72">
            <w:pPr>
              <w:autoSpaceDE w:val="0"/>
              <w:autoSpaceDN w:val="0"/>
              <w:adjustRightInd w:val="0"/>
              <w:jc w:val="right"/>
              <w:rPr>
                <w:rFonts w:ascii="Arial" w:hAnsi="Arial" w:cs="Arial"/>
                <w:b/>
                <w:color w:val="000000"/>
              </w:rPr>
            </w:pPr>
            <w:r w:rsidRPr="00A32D03">
              <w:rPr>
                <w:rFonts w:ascii="Arial" w:hAnsi="Arial" w:cs="Arial"/>
                <w:b/>
                <w:color w:val="000000"/>
              </w:rPr>
              <w:t xml:space="preserve">31 </w:t>
            </w:r>
            <w:r w:rsidR="00E86C72">
              <w:rPr>
                <w:rFonts w:ascii="Arial" w:hAnsi="Arial" w:cs="Arial"/>
                <w:b/>
                <w:color w:val="000000"/>
              </w:rPr>
              <w:t>Mart</w:t>
            </w:r>
            <w:r w:rsidRPr="00A32D03">
              <w:rPr>
                <w:rFonts w:ascii="Arial" w:hAnsi="Arial" w:cs="Arial"/>
                <w:b/>
                <w:color w:val="000000"/>
              </w:rPr>
              <w:t xml:space="preserve"> 201</w:t>
            </w:r>
            <w:r w:rsidR="00E86C72">
              <w:rPr>
                <w:rFonts w:ascii="Arial" w:hAnsi="Arial" w:cs="Arial"/>
                <w:b/>
                <w:color w:val="000000"/>
              </w:rPr>
              <w:t>5</w:t>
            </w:r>
          </w:p>
        </w:tc>
      </w:tr>
      <w:tr w:rsidR="00D322FB" w:rsidRPr="00A32D03" w:rsidTr="00E125AB">
        <w:trPr>
          <w:trHeight w:val="113"/>
        </w:trPr>
        <w:tc>
          <w:tcPr>
            <w:tcW w:w="4320" w:type="dxa"/>
            <w:tcBorders>
              <w:top w:val="single" w:sz="4" w:space="0" w:color="auto"/>
              <w:left w:val="nil"/>
              <w:bottom w:val="single" w:sz="4" w:space="0" w:color="auto"/>
              <w:right w:val="nil"/>
            </w:tcBorders>
          </w:tcPr>
          <w:p w:rsidR="00D322FB" w:rsidRPr="00A32D03" w:rsidRDefault="00D322FB" w:rsidP="00E125AB">
            <w:pPr>
              <w:autoSpaceDE w:val="0"/>
              <w:autoSpaceDN w:val="0"/>
              <w:adjustRightInd w:val="0"/>
              <w:ind w:left="-108"/>
              <w:rPr>
                <w:rFonts w:ascii="Arial" w:hAnsi="Arial" w:cs="Arial"/>
                <w:b/>
                <w:bCs/>
                <w:sz w:val="16"/>
                <w:szCs w:val="16"/>
              </w:rPr>
            </w:pPr>
          </w:p>
          <w:p w:rsidR="00D322FB" w:rsidRPr="00A32D03" w:rsidRDefault="00D322FB" w:rsidP="00E125AB">
            <w:pPr>
              <w:autoSpaceDE w:val="0"/>
              <w:autoSpaceDN w:val="0"/>
              <w:adjustRightInd w:val="0"/>
              <w:ind w:left="-108"/>
              <w:rPr>
                <w:rFonts w:ascii="Arial" w:hAnsi="Arial" w:cs="Arial"/>
                <w:b/>
                <w:bCs/>
                <w:sz w:val="16"/>
                <w:szCs w:val="16"/>
                <w:u w:val="single"/>
              </w:rPr>
            </w:pPr>
            <w:r w:rsidRPr="00A32D03">
              <w:rPr>
                <w:rFonts w:ascii="Arial" w:hAnsi="Arial" w:cs="Arial"/>
                <w:b/>
                <w:bCs/>
                <w:sz w:val="16"/>
                <w:szCs w:val="16"/>
              </w:rPr>
              <w:t>Sözleşme uyarınca vadeler</w:t>
            </w:r>
          </w:p>
        </w:tc>
        <w:tc>
          <w:tcPr>
            <w:tcW w:w="1276" w:type="dxa"/>
            <w:tcBorders>
              <w:top w:val="single" w:sz="4" w:space="0" w:color="auto"/>
              <w:left w:val="nil"/>
              <w:bottom w:val="single" w:sz="4" w:space="0" w:color="auto"/>
              <w:right w:val="nil"/>
            </w:tcBorders>
          </w:tcPr>
          <w:p w:rsidR="00D322FB" w:rsidRPr="00A32D03" w:rsidRDefault="00D322FB" w:rsidP="00E125AB">
            <w:pPr>
              <w:autoSpaceDE w:val="0"/>
              <w:autoSpaceDN w:val="0"/>
              <w:adjustRightInd w:val="0"/>
              <w:jc w:val="right"/>
              <w:rPr>
                <w:rFonts w:ascii="Arial" w:hAnsi="Arial" w:cs="Arial"/>
                <w:b/>
                <w:bCs/>
                <w:sz w:val="16"/>
                <w:szCs w:val="16"/>
              </w:rPr>
            </w:pPr>
          </w:p>
          <w:p w:rsidR="00D322FB" w:rsidRPr="00A32D03" w:rsidRDefault="00D322FB"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Defter değeri</w:t>
            </w:r>
          </w:p>
        </w:tc>
        <w:tc>
          <w:tcPr>
            <w:tcW w:w="2234" w:type="dxa"/>
            <w:tcBorders>
              <w:top w:val="single" w:sz="4" w:space="0" w:color="auto"/>
              <w:left w:val="nil"/>
              <w:bottom w:val="single" w:sz="4" w:space="0" w:color="auto"/>
              <w:right w:val="nil"/>
            </w:tcBorders>
          </w:tcPr>
          <w:p w:rsidR="00D322FB" w:rsidRPr="00A32D03" w:rsidRDefault="00D322FB"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Sözleşme uyarınca nakit çıkışlar toplamı (I+II+III+IV)</w:t>
            </w:r>
          </w:p>
        </w:tc>
        <w:tc>
          <w:tcPr>
            <w:tcW w:w="1350" w:type="dxa"/>
            <w:tcBorders>
              <w:top w:val="single" w:sz="4" w:space="0" w:color="auto"/>
              <w:left w:val="nil"/>
              <w:bottom w:val="single" w:sz="4" w:space="0" w:color="auto"/>
              <w:right w:val="nil"/>
            </w:tcBorders>
          </w:tcPr>
          <w:p w:rsidR="00D322FB" w:rsidRPr="00A32D03" w:rsidRDefault="00D322FB" w:rsidP="00E125AB">
            <w:pPr>
              <w:autoSpaceDE w:val="0"/>
              <w:autoSpaceDN w:val="0"/>
              <w:adjustRightInd w:val="0"/>
              <w:jc w:val="right"/>
              <w:rPr>
                <w:rFonts w:ascii="Arial" w:hAnsi="Arial" w:cs="Arial"/>
                <w:b/>
                <w:bCs/>
                <w:sz w:val="16"/>
                <w:szCs w:val="16"/>
              </w:rPr>
            </w:pPr>
          </w:p>
          <w:p w:rsidR="00D322FB" w:rsidRPr="00A32D03" w:rsidRDefault="00D322FB"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3 aydan kısa (I)</w:t>
            </w:r>
          </w:p>
        </w:tc>
        <w:tc>
          <w:tcPr>
            <w:tcW w:w="1620" w:type="dxa"/>
            <w:tcBorders>
              <w:top w:val="single" w:sz="4" w:space="0" w:color="auto"/>
              <w:left w:val="nil"/>
              <w:bottom w:val="single" w:sz="4" w:space="0" w:color="auto"/>
              <w:right w:val="nil"/>
            </w:tcBorders>
          </w:tcPr>
          <w:p w:rsidR="00D322FB" w:rsidRPr="00A32D03" w:rsidRDefault="00D322FB" w:rsidP="00E125AB">
            <w:pPr>
              <w:autoSpaceDE w:val="0"/>
              <w:autoSpaceDN w:val="0"/>
              <w:adjustRightInd w:val="0"/>
              <w:jc w:val="right"/>
              <w:rPr>
                <w:rFonts w:ascii="Arial" w:hAnsi="Arial" w:cs="Arial"/>
                <w:b/>
                <w:bCs/>
                <w:sz w:val="16"/>
                <w:szCs w:val="16"/>
              </w:rPr>
            </w:pPr>
          </w:p>
          <w:p w:rsidR="00D322FB" w:rsidRPr="00A32D03" w:rsidRDefault="00D322FB"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3 ay - 1 yıl arası (II)</w:t>
            </w:r>
          </w:p>
        </w:tc>
        <w:tc>
          <w:tcPr>
            <w:tcW w:w="1440" w:type="dxa"/>
            <w:tcBorders>
              <w:top w:val="single" w:sz="4" w:space="0" w:color="auto"/>
              <w:left w:val="nil"/>
              <w:bottom w:val="single" w:sz="4" w:space="0" w:color="auto"/>
              <w:right w:val="nil"/>
            </w:tcBorders>
          </w:tcPr>
          <w:p w:rsidR="00D322FB" w:rsidRPr="00A32D03" w:rsidRDefault="00D322FB" w:rsidP="00E125AB">
            <w:pPr>
              <w:autoSpaceDE w:val="0"/>
              <w:autoSpaceDN w:val="0"/>
              <w:adjustRightInd w:val="0"/>
              <w:jc w:val="right"/>
              <w:rPr>
                <w:rFonts w:ascii="Arial" w:hAnsi="Arial" w:cs="Arial"/>
                <w:b/>
                <w:bCs/>
                <w:sz w:val="16"/>
                <w:szCs w:val="16"/>
              </w:rPr>
            </w:pPr>
          </w:p>
          <w:p w:rsidR="00D322FB" w:rsidRPr="00A32D03" w:rsidRDefault="00D322FB"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1-5 yıl arası (III)</w:t>
            </w:r>
          </w:p>
        </w:tc>
        <w:tc>
          <w:tcPr>
            <w:tcW w:w="1530" w:type="dxa"/>
            <w:tcBorders>
              <w:top w:val="single" w:sz="4" w:space="0" w:color="auto"/>
              <w:left w:val="nil"/>
              <w:bottom w:val="single" w:sz="4" w:space="0" w:color="auto"/>
              <w:right w:val="nil"/>
            </w:tcBorders>
          </w:tcPr>
          <w:p w:rsidR="00D322FB" w:rsidRPr="00A32D03" w:rsidRDefault="00D322FB" w:rsidP="00E125AB">
            <w:pPr>
              <w:autoSpaceDE w:val="0"/>
              <w:autoSpaceDN w:val="0"/>
              <w:adjustRightInd w:val="0"/>
              <w:jc w:val="right"/>
              <w:rPr>
                <w:rFonts w:ascii="Arial" w:hAnsi="Arial" w:cs="Arial"/>
                <w:b/>
                <w:bCs/>
                <w:sz w:val="16"/>
                <w:szCs w:val="16"/>
              </w:rPr>
            </w:pPr>
          </w:p>
          <w:p w:rsidR="00D322FB" w:rsidRPr="00A32D03" w:rsidRDefault="00D322FB"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5 yıldan uzun (IV)</w:t>
            </w:r>
          </w:p>
        </w:tc>
      </w:tr>
      <w:tr w:rsidR="00D322FB" w:rsidRPr="00A32D03" w:rsidTr="00E125AB">
        <w:trPr>
          <w:trHeight w:val="113"/>
        </w:trPr>
        <w:tc>
          <w:tcPr>
            <w:tcW w:w="4320" w:type="dxa"/>
            <w:tcBorders>
              <w:top w:val="single" w:sz="4" w:space="0" w:color="auto"/>
              <w:left w:val="nil"/>
              <w:bottom w:val="nil"/>
              <w:right w:val="nil"/>
            </w:tcBorders>
          </w:tcPr>
          <w:p w:rsidR="00D322FB" w:rsidRPr="00A32D03" w:rsidRDefault="00D322FB" w:rsidP="00E125AB">
            <w:pPr>
              <w:autoSpaceDE w:val="0"/>
              <w:autoSpaceDN w:val="0"/>
              <w:adjustRightInd w:val="0"/>
              <w:ind w:left="-108"/>
              <w:jc w:val="right"/>
              <w:rPr>
                <w:rFonts w:ascii="Arial" w:hAnsi="Arial" w:cs="Arial"/>
                <w:b/>
                <w:color w:val="000000"/>
              </w:rPr>
            </w:pPr>
          </w:p>
        </w:tc>
        <w:tc>
          <w:tcPr>
            <w:tcW w:w="1276" w:type="dxa"/>
            <w:tcBorders>
              <w:top w:val="single" w:sz="4" w:space="0" w:color="auto"/>
              <w:left w:val="nil"/>
              <w:bottom w:val="nil"/>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2234" w:type="dxa"/>
            <w:tcBorders>
              <w:top w:val="single" w:sz="4" w:space="0" w:color="auto"/>
              <w:left w:val="nil"/>
              <w:bottom w:val="nil"/>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1350" w:type="dxa"/>
            <w:tcBorders>
              <w:top w:val="single" w:sz="4" w:space="0" w:color="auto"/>
              <w:left w:val="nil"/>
              <w:bottom w:val="nil"/>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1620" w:type="dxa"/>
            <w:tcBorders>
              <w:top w:val="single" w:sz="4" w:space="0" w:color="auto"/>
              <w:left w:val="nil"/>
              <w:bottom w:val="nil"/>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1440" w:type="dxa"/>
            <w:tcBorders>
              <w:top w:val="single" w:sz="4" w:space="0" w:color="auto"/>
              <w:left w:val="nil"/>
              <w:bottom w:val="nil"/>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1530" w:type="dxa"/>
            <w:tcBorders>
              <w:top w:val="single" w:sz="4" w:space="0" w:color="auto"/>
              <w:left w:val="nil"/>
              <w:bottom w:val="nil"/>
              <w:right w:val="nil"/>
            </w:tcBorders>
          </w:tcPr>
          <w:p w:rsidR="00D322FB" w:rsidRPr="00A32D03" w:rsidRDefault="00D322FB" w:rsidP="00E125AB">
            <w:pPr>
              <w:autoSpaceDE w:val="0"/>
              <w:autoSpaceDN w:val="0"/>
              <w:adjustRightInd w:val="0"/>
              <w:jc w:val="right"/>
              <w:rPr>
                <w:rFonts w:ascii="Arial" w:hAnsi="Arial" w:cs="Arial"/>
                <w:b/>
                <w:color w:val="000000"/>
              </w:rPr>
            </w:pPr>
          </w:p>
        </w:tc>
      </w:tr>
      <w:tr w:rsidR="00D322FB" w:rsidRPr="00A32D03" w:rsidTr="00A32D03">
        <w:trPr>
          <w:trHeight w:val="113"/>
        </w:trPr>
        <w:tc>
          <w:tcPr>
            <w:tcW w:w="4320" w:type="dxa"/>
            <w:tcBorders>
              <w:top w:val="nil"/>
              <w:left w:val="nil"/>
              <w:bottom w:val="nil"/>
              <w:right w:val="nil"/>
            </w:tcBorders>
            <w:vAlign w:val="bottom"/>
          </w:tcPr>
          <w:p w:rsidR="00D322FB" w:rsidRPr="00A32D03" w:rsidRDefault="00D322FB" w:rsidP="00E125AB">
            <w:pPr>
              <w:autoSpaceDE w:val="0"/>
              <w:autoSpaceDN w:val="0"/>
              <w:adjustRightInd w:val="0"/>
              <w:ind w:left="34" w:hanging="142"/>
              <w:rPr>
                <w:rFonts w:ascii="Arial" w:hAnsi="Arial" w:cs="Arial"/>
                <w:b/>
                <w:color w:val="000000"/>
                <w:sz w:val="16"/>
                <w:szCs w:val="16"/>
              </w:rPr>
            </w:pPr>
            <w:r w:rsidRPr="00A32D03">
              <w:rPr>
                <w:rFonts w:ascii="Arial" w:hAnsi="Arial" w:cs="Arial"/>
                <w:b/>
                <w:color w:val="000000"/>
                <w:sz w:val="16"/>
                <w:szCs w:val="16"/>
              </w:rPr>
              <w:t>Türev olmayan finansal yükümlülükler</w:t>
            </w:r>
          </w:p>
        </w:tc>
        <w:tc>
          <w:tcPr>
            <w:tcW w:w="1276" w:type="dxa"/>
            <w:tcBorders>
              <w:top w:val="nil"/>
              <w:left w:val="nil"/>
              <w:bottom w:val="nil"/>
              <w:right w:val="nil"/>
            </w:tcBorders>
            <w:vAlign w:val="bottom"/>
          </w:tcPr>
          <w:p w:rsidR="00D322FB" w:rsidRPr="00A32D03" w:rsidRDefault="00D322FB" w:rsidP="00A32D03">
            <w:pPr>
              <w:jc w:val="right"/>
              <w:rPr>
                <w:rFonts w:ascii="Arial" w:hAnsi="Arial" w:cs="Arial"/>
                <w:b/>
                <w:bCs/>
                <w:color w:val="000000"/>
                <w:sz w:val="16"/>
                <w:szCs w:val="16"/>
              </w:rPr>
            </w:pPr>
          </w:p>
        </w:tc>
        <w:tc>
          <w:tcPr>
            <w:tcW w:w="2234" w:type="dxa"/>
            <w:tcBorders>
              <w:top w:val="nil"/>
              <w:left w:val="nil"/>
              <w:bottom w:val="nil"/>
              <w:right w:val="nil"/>
            </w:tcBorders>
            <w:vAlign w:val="bottom"/>
          </w:tcPr>
          <w:p w:rsidR="00D322FB" w:rsidRPr="00A32D03" w:rsidRDefault="00D322FB" w:rsidP="00A32D03">
            <w:pPr>
              <w:jc w:val="right"/>
              <w:rPr>
                <w:rFonts w:ascii="Arial" w:hAnsi="Arial" w:cs="Arial"/>
                <w:b/>
                <w:bCs/>
                <w:color w:val="000000"/>
                <w:sz w:val="16"/>
                <w:szCs w:val="16"/>
              </w:rPr>
            </w:pPr>
          </w:p>
        </w:tc>
        <w:tc>
          <w:tcPr>
            <w:tcW w:w="1350" w:type="dxa"/>
            <w:tcBorders>
              <w:top w:val="nil"/>
              <w:left w:val="nil"/>
              <w:bottom w:val="nil"/>
              <w:right w:val="nil"/>
            </w:tcBorders>
            <w:vAlign w:val="bottom"/>
          </w:tcPr>
          <w:p w:rsidR="00D322FB" w:rsidRPr="00A32D03" w:rsidRDefault="00D322FB" w:rsidP="00A32D03">
            <w:pPr>
              <w:jc w:val="right"/>
              <w:rPr>
                <w:rFonts w:ascii="Arial" w:hAnsi="Arial" w:cs="Arial"/>
                <w:b/>
                <w:bCs/>
                <w:color w:val="000000"/>
                <w:sz w:val="16"/>
                <w:szCs w:val="16"/>
              </w:rPr>
            </w:pPr>
          </w:p>
        </w:tc>
        <w:tc>
          <w:tcPr>
            <w:tcW w:w="1620" w:type="dxa"/>
            <w:tcBorders>
              <w:top w:val="nil"/>
              <w:left w:val="nil"/>
              <w:bottom w:val="nil"/>
              <w:right w:val="nil"/>
            </w:tcBorders>
            <w:vAlign w:val="bottom"/>
          </w:tcPr>
          <w:p w:rsidR="00D322FB" w:rsidRPr="00A32D03" w:rsidRDefault="00D322FB" w:rsidP="00A32D03">
            <w:pPr>
              <w:autoSpaceDE w:val="0"/>
              <w:autoSpaceDN w:val="0"/>
              <w:adjustRightInd w:val="0"/>
              <w:jc w:val="right"/>
              <w:rPr>
                <w:rFonts w:ascii="Arial" w:hAnsi="Arial" w:cs="Arial"/>
                <w:b/>
                <w:color w:val="000000"/>
              </w:rPr>
            </w:pPr>
          </w:p>
        </w:tc>
        <w:tc>
          <w:tcPr>
            <w:tcW w:w="1440" w:type="dxa"/>
            <w:tcBorders>
              <w:top w:val="nil"/>
              <w:left w:val="nil"/>
              <w:bottom w:val="nil"/>
              <w:right w:val="nil"/>
            </w:tcBorders>
            <w:vAlign w:val="bottom"/>
          </w:tcPr>
          <w:p w:rsidR="00D322FB" w:rsidRPr="00A32D03" w:rsidRDefault="00D322FB" w:rsidP="00A32D03">
            <w:pPr>
              <w:autoSpaceDE w:val="0"/>
              <w:autoSpaceDN w:val="0"/>
              <w:adjustRightInd w:val="0"/>
              <w:jc w:val="right"/>
              <w:rPr>
                <w:rFonts w:ascii="Arial" w:hAnsi="Arial" w:cs="Arial"/>
                <w:b/>
                <w:color w:val="000000"/>
              </w:rPr>
            </w:pPr>
          </w:p>
        </w:tc>
        <w:tc>
          <w:tcPr>
            <w:tcW w:w="1530" w:type="dxa"/>
            <w:tcBorders>
              <w:top w:val="nil"/>
              <w:left w:val="nil"/>
              <w:bottom w:val="nil"/>
              <w:right w:val="nil"/>
            </w:tcBorders>
            <w:vAlign w:val="bottom"/>
          </w:tcPr>
          <w:p w:rsidR="00D322FB" w:rsidRPr="00A32D03" w:rsidRDefault="00D322FB" w:rsidP="00A32D03">
            <w:pPr>
              <w:autoSpaceDE w:val="0"/>
              <w:autoSpaceDN w:val="0"/>
              <w:adjustRightInd w:val="0"/>
              <w:jc w:val="right"/>
              <w:rPr>
                <w:rFonts w:ascii="Arial" w:hAnsi="Arial" w:cs="Arial"/>
                <w:b/>
                <w:color w:val="000000"/>
              </w:rPr>
            </w:pPr>
          </w:p>
        </w:tc>
      </w:tr>
      <w:tr w:rsidR="00D322FB" w:rsidRPr="00A32D03" w:rsidTr="00A32D03">
        <w:trPr>
          <w:trHeight w:val="113"/>
        </w:trPr>
        <w:tc>
          <w:tcPr>
            <w:tcW w:w="4320" w:type="dxa"/>
            <w:tcBorders>
              <w:top w:val="nil"/>
              <w:left w:val="nil"/>
              <w:bottom w:val="nil"/>
              <w:right w:val="nil"/>
            </w:tcBorders>
          </w:tcPr>
          <w:p w:rsidR="00D322FB" w:rsidRPr="00A32D03" w:rsidRDefault="00D322FB" w:rsidP="00E125AB">
            <w:pPr>
              <w:autoSpaceDE w:val="0"/>
              <w:autoSpaceDN w:val="0"/>
              <w:adjustRightInd w:val="0"/>
              <w:ind w:left="-108"/>
              <w:rPr>
                <w:rFonts w:ascii="Arial" w:hAnsi="Arial" w:cs="Arial"/>
                <w:b/>
                <w:color w:val="000000"/>
                <w:sz w:val="16"/>
                <w:szCs w:val="16"/>
              </w:rPr>
            </w:pPr>
            <w:r w:rsidRPr="00A32D03">
              <w:rPr>
                <w:rFonts w:ascii="Arial" w:hAnsi="Arial" w:cs="Arial"/>
                <w:b/>
                <w:color w:val="000000"/>
                <w:sz w:val="16"/>
                <w:szCs w:val="16"/>
              </w:rPr>
              <w:t>Ticari borçlar</w:t>
            </w:r>
          </w:p>
        </w:tc>
        <w:tc>
          <w:tcPr>
            <w:tcW w:w="1276" w:type="dxa"/>
            <w:tcBorders>
              <w:top w:val="nil"/>
              <w:left w:val="nil"/>
              <w:bottom w:val="nil"/>
              <w:right w:val="nil"/>
            </w:tcBorders>
            <w:vAlign w:val="bottom"/>
          </w:tcPr>
          <w:p w:rsidR="00D322FB" w:rsidRPr="00A32D03" w:rsidRDefault="00F52999" w:rsidP="00F52999">
            <w:pPr>
              <w:jc w:val="right"/>
              <w:rPr>
                <w:rFonts w:ascii="Arial" w:hAnsi="Arial" w:cs="Arial"/>
                <w:b/>
                <w:bCs/>
                <w:color w:val="000000"/>
                <w:sz w:val="16"/>
                <w:szCs w:val="16"/>
              </w:rPr>
            </w:pPr>
            <w:r>
              <w:rPr>
                <w:rFonts w:ascii="Arial" w:hAnsi="Arial" w:cs="Arial"/>
                <w:b/>
                <w:bCs/>
                <w:color w:val="000000"/>
                <w:sz w:val="16"/>
                <w:szCs w:val="16"/>
              </w:rPr>
              <w:t>55</w:t>
            </w:r>
            <w:r w:rsidR="00D322FB">
              <w:rPr>
                <w:rFonts w:ascii="Arial" w:hAnsi="Arial" w:cs="Arial"/>
                <w:b/>
                <w:bCs/>
                <w:color w:val="000000"/>
                <w:sz w:val="16"/>
                <w:szCs w:val="16"/>
              </w:rPr>
              <w:t>.</w:t>
            </w:r>
            <w:r>
              <w:rPr>
                <w:rFonts w:ascii="Arial" w:hAnsi="Arial" w:cs="Arial"/>
                <w:b/>
                <w:bCs/>
                <w:color w:val="000000"/>
                <w:sz w:val="16"/>
                <w:szCs w:val="16"/>
              </w:rPr>
              <w:t>093</w:t>
            </w:r>
          </w:p>
        </w:tc>
        <w:tc>
          <w:tcPr>
            <w:tcW w:w="2234" w:type="dxa"/>
            <w:tcBorders>
              <w:top w:val="nil"/>
              <w:left w:val="nil"/>
              <w:bottom w:val="nil"/>
              <w:right w:val="nil"/>
            </w:tcBorders>
            <w:vAlign w:val="bottom"/>
          </w:tcPr>
          <w:p w:rsidR="00D322FB" w:rsidRPr="00A32D03" w:rsidRDefault="00F52999" w:rsidP="00F52999">
            <w:pPr>
              <w:jc w:val="right"/>
              <w:rPr>
                <w:rFonts w:ascii="Arial" w:hAnsi="Arial" w:cs="Arial"/>
                <w:b/>
                <w:bCs/>
                <w:color w:val="000000"/>
                <w:sz w:val="16"/>
                <w:szCs w:val="16"/>
              </w:rPr>
            </w:pPr>
            <w:r>
              <w:rPr>
                <w:rFonts w:ascii="Arial" w:hAnsi="Arial" w:cs="Arial"/>
                <w:b/>
                <w:bCs/>
                <w:color w:val="000000"/>
                <w:sz w:val="16"/>
                <w:szCs w:val="16"/>
              </w:rPr>
              <w:t>55.093</w:t>
            </w:r>
          </w:p>
        </w:tc>
        <w:tc>
          <w:tcPr>
            <w:tcW w:w="1350" w:type="dxa"/>
            <w:tcBorders>
              <w:top w:val="nil"/>
              <w:left w:val="nil"/>
              <w:bottom w:val="nil"/>
              <w:right w:val="nil"/>
            </w:tcBorders>
            <w:vAlign w:val="bottom"/>
          </w:tcPr>
          <w:p w:rsidR="00D322FB" w:rsidRPr="00A32D03" w:rsidRDefault="00F52999" w:rsidP="00F52999">
            <w:pPr>
              <w:jc w:val="right"/>
              <w:rPr>
                <w:rFonts w:ascii="Arial" w:hAnsi="Arial" w:cs="Arial"/>
                <w:b/>
                <w:bCs/>
                <w:color w:val="000000"/>
                <w:sz w:val="16"/>
                <w:szCs w:val="16"/>
              </w:rPr>
            </w:pPr>
            <w:r>
              <w:rPr>
                <w:rFonts w:ascii="Arial" w:hAnsi="Arial" w:cs="Arial"/>
                <w:b/>
                <w:bCs/>
                <w:color w:val="000000"/>
                <w:sz w:val="16"/>
                <w:szCs w:val="16"/>
              </w:rPr>
              <w:t>55.093</w:t>
            </w:r>
          </w:p>
        </w:tc>
        <w:tc>
          <w:tcPr>
            <w:tcW w:w="1620" w:type="dxa"/>
            <w:tcBorders>
              <w:top w:val="nil"/>
              <w:left w:val="nil"/>
              <w:bottom w:val="nil"/>
              <w:right w:val="nil"/>
            </w:tcBorders>
            <w:vAlign w:val="bottom"/>
          </w:tcPr>
          <w:p w:rsidR="00D322FB" w:rsidRPr="00A32D03" w:rsidRDefault="00D322FB"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c>
          <w:tcPr>
            <w:tcW w:w="1440" w:type="dxa"/>
            <w:tcBorders>
              <w:top w:val="nil"/>
              <w:left w:val="nil"/>
              <w:bottom w:val="nil"/>
              <w:right w:val="nil"/>
            </w:tcBorders>
            <w:vAlign w:val="bottom"/>
          </w:tcPr>
          <w:p w:rsidR="00D322FB" w:rsidRPr="00A32D03" w:rsidRDefault="00D322FB"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c>
          <w:tcPr>
            <w:tcW w:w="1530" w:type="dxa"/>
            <w:tcBorders>
              <w:top w:val="nil"/>
              <w:left w:val="nil"/>
              <w:bottom w:val="nil"/>
              <w:right w:val="nil"/>
            </w:tcBorders>
            <w:vAlign w:val="bottom"/>
          </w:tcPr>
          <w:p w:rsidR="00D322FB" w:rsidRPr="00A32D03" w:rsidRDefault="00D322FB"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r>
      <w:tr w:rsidR="00D322FB" w:rsidRPr="00A32D03" w:rsidTr="00A32D03">
        <w:trPr>
          <w:trHeight w:val="113"/>
        </w:trPr>
        <w:tc>
          <w:tcPr>
            <w:tcW w:w="4320" w:type="dxa"/>
            <w:tcBorders>
              <w:top w:val="nil"/>
              <w:left w:val="nil"/>
              <w:bottom w:val="nil"/>
              <w:right w:val="nil"/>
            </w:tcBorders>
          </w:tcPr>
          <w:p w:rsidR="00D322FB" w:rsidRPr="00A32D03" w:rsidRDefault="00D322FB" w:rsidP="00E125AB">
            <w:pPr>
              <w:autoSpaceDE w:val="0"/>
              <w:autoSpaceDN w:val="0"/>
              <w:adjustRightInd w:val="0"/>
              <w:ind w:left="-108"/>
              <w:rPr>
                <w:rFonts w:ascii="Arial" w:hAnsi="Arial" w:cs="Arial"/>
                <w:b/>
                <w:color w:val="000000"/>
                <w:sz w:val="16"/>
                <w:szCs w:val="16"/>
              </w:rPr>
            </w:pPr>
            <w:r w:rsidRPr="00A32D03">
              <w:rPr>
                <w:rFonts w:ascii="Arial" w:hAnsi="Arial" w:cs="Arial"/>
                <w:b/>
                <w:color w:val="000000"/>
                <w:sz w:val="16"/>
                <w:szCs w:val="16"/>
              </w:rPr>
              <w:t xml:space="preserve">Diğer borçlar </w:t>
            </w:r>
          </w:p>
        </w:tc>
        <w:tc>
          <w:tcPr>
            <w:tcW w:w="1276" w:type="dxa"/>
            <w:tcBorders>
              <w:top w:val="nil"/>
              <w:left w:val="nil"/>
              <w:bottom w:val="nil"/>
              <w:right w:val="nil"/>
            </w:tcBorders>
            <w:vAlign w:val="bottom"/>
          </w:tcPr>
          <w:p w:rsidR="00D322FB" w:rsidRPr="00A32D03" w:rsidRDefault="00F52999" w:rsidP="00F52999">
            <w:pPr>
              <w:jc w:val="right"/>
              <w:rPr>
                <w:rFonts w:ascii="Arial" w:hAnsi="Arial" w:cs="Arial"/>
                <w:b/>
                <w:bCs/>
                <w:color w:val="000000"/>
                <w:sz w:val="16"/>
                <w:szCs w:val="16"/>
              </w:rPr>
            </w:pPr>
            <w:r>
              <w:rPr>
                <w:rFonts w:ascii="Arial" w:hAnsi="Arial" w:cs="Arial"/>
                <w:b/>
                <w:bCs/>
                <w:color w:val="000000"/>
                <w:sz w:val="16"/>
                <w:szCs w:val="16"/>
              </w:rPr>
              <w:t>39.803</w:t>
            </w:r>
          </w:p>
        </w:tc>
        <w:tc>
          <w:tcPr>
            <w:tcW w:w="2234" w:type="dxa"/>
            <w:tcBorders>
              <w:top w:val="nil"/>
              <w:left w:val="nil"/>
              <w:bottom w:val="nil"/>
              <w:right w:val="nil"/>
            </w:tcBorders>
            <w:vAlign w:val="bottom"/>
          </w:tcPr>
          <w:p w:rsidR="00D322FB" w:rsidRPr="00A32D03" w:rsidRDefault="00F52999" w:rsidP="00F52999">
            <w:pPr>
              <w:jc w:val="right"/>
              <w:rPr>
                <w:rFonts w:ascii="Arial" w:hAnsi="Arial" w:cs="Arial"/>
                <w:b/>
                <w:bCs/>
                <w:color w:val="000000"/>
                <w:sz w:val="16"/>
                <w:szCs w:val="16"/>
              </w:rPr>
            </w:pPr>
            <w:r>
              <w:rPr>
                <w:rFonts w:ascii="Arial" w:hAnsi="Arial" w:cs="Arial"/>
                <w:b/>
                <w:bCs/>
                <w:color w:val="000000"/>
                <w:sz w:val="16"/>
                <w:szCs w:val="16"/>
              </w:rPr>
              <w:t>39.803</w:t>
            </w:r>
          </w:p>
        </w:tc>
        <w:tc>
          <w:tcPr>
            <w:tcW w:w="1350" w:type="dxa"/>
            <w:tcBorders>
              <w:top w:val="nil"/>
              <w:left w:val="nil"/>
              <w:bottom w:val="nil"/>
              <w:right w:val="nil"/>
            </w:tcBorders>
            <w:vAlign w:val="bottom"/>
          </w:tcPr>
          <w:p w:rsidR="00D322FB" w:rsidRPr="00A32D03" w:rsidRDefault="00F52999" w:rsidP="00F52999">
            <w:pPr>
              <w:jc w:val="right"/>
              <w:rPr>
                <w:rFonts w:ascii="Arial" w:hAnsi="Arial" w:cs="Arial"/>
                <w:b/>
                <w:bCs/>
                <w:color w:val="000000"/>
                <w:sz w:val="16"/>
                <w:szCs w:val="16"/>
              </w:rPr>
            </w:pPr>
            <w:r>
              <w:rPr>
                <w:rFonts w:ascii="Arial" w:hAnsi="Arial" w:cs="Arial"/>
                <w:b/>
                <w:bCs/>
                <w:color w:val="000000"/>
                <w:sz w:val="16"/>
                <w:szCs w:val="16"/>
              </w:rPr>
              <w:t>39.803</w:t>
            </w:r>
          </w:p>
        </w:tc>
        <w:tc>
          <w:tcPr>
            <w:tcW w:w="1620" w:type="dxa"/>
            <w:tcBorders>
              <w:top w:val="nil"/>
              <w:left w:val="nil"/>
              <w:bottom w:val="nil"/>
              <w:right w:val="nil"/>
            </w:tcBorders>
            <w:vAlign w:val="bottom"/>
          </w:tcPr>
          <w:p w:rsidR="00D322FB" w:rsidRPr="00A32D03" w:rsidRDefault="00D322FB"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c>
          <w:tcPr>
            <w:tcW w:w="1440" w:type="dxa"/>
            <w:tcBorders>
              <w:top w:val="nil"/>
              <w:left w:val="nil"/>
              <w:bottom w:val="nil"/>
              <w:right w:val="nil"/>
            </w:tcBorders>
            <w:vAlign w:val="bottom"/>
          </w:tcPr>
          <w:p w:rsidR="00D322FB" w:rsidRPr="00A32D03" w:rsidRDefault="00D322FB"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c>
          <w:tcPr>
            <w:tcW w:w="1530" w:type="dxa"/>
            <w:tcBorders>
              <w:top w:val="nil"/>
              <w:left w:val="nil"/>
              <w:bottom w:val="nil"/>
              <w:right w:val="nil"/>
            </w:tcBorders>
            <w:vAlign w:val="bottom"/>
          </w:tcPr>
          <w:p w:rsidR="00D322FB" w:rsidRPr="00A32D03" w:rsidRDefault="00D322FB"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r>
      <w:tr w:rsidR="00D322FB" w:rsidRPr="00A32D03" w:rsidTr="00E125AB">
        <w:trPr>
          <w:trHeight w:val="113"/>
        </w:trPr>
        <w:tc>
          <w:tcPr>
            <w:tcW w:w="4320" w:type="dxa"/>
            <w:tcBorders>
              <w:top w:val="nil"/>
              <w:left w:val="nil"/>
              <w:bottom w:val="single" w:sz="6" w:space="0" w:color="auto"/>
              <w:right w:val="nil"/>
            </w:tcBorders>
          </w:tcPr>
          <w:p w:rsidR="00D322FB" w:rsidRPr="00A32D03" w:rsidRDefault="00D322FB" w:rsidP="00E125AB">
            <w:pPr>
              <w:autoSpaceDE w:val="0"/>
              <w:autoSpaceDN w:val="0"/>
              <w:adjustRightInd w:val="0"/>
              <w:ind w:left="-108"/>
              <w:jc w:val="right"/>
              <w:rPr>
                <w:rFonts w:ascii="Arial" w:hAnsi="Arial" w:cs="Arial"/>
                <w:b/>
                <w:color w:val="000000"/>
              </w:rPr>
            </w:pPr>
          </w:p>
        </w:tc>
        <w:tc>
          <w:tcPr>
            <w:tcW w:w="1276" w:type="dxa"/>
            <w:tcBorders>
              <w:top w:val="nil"/>
              <w:left w:val="nil"/>
              <w:bottom w:val="single" w:sz="6" w:space="0" w:color="auto"/>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2234" w:type="dxa"/>
            <w:tcBorders>
              <w:top w:val="nil"/>
              <w:left w:val="nil"/>
              <w:bottom w:val="single" w:sz="6" w:space="0" w:color="auto"/>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1350" w:type="dxa"/>
            <w:tcBorders>
              <w:top w:val="nil"/>
              <w:left w:val="nil"/>
              <w:bottom w:val="single" w:sz="6" w:space="0" w:color="auto"/>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1620" w:type="dxa"/>
            <w:tcBorders>
              <w:top w:val="nil"/>
              <w:left w:val="nil"/>
              <w:bottom w:val="single" w:sz="6" w:space="0" w:color="auto"/>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1440" w:type="dxa"/>
            <w:tcBorders>
              <w:top w:val="nil"/>
              <w:left w:val="nil"/>
              <w:bottom w:val="single" w:sz="6" w:space="0" w:color="auto"/>
              <w:right w:val="nil"/>
            </w:tcBorders>
          </w:tcPr>
          <w:p w:rsidR="00D322FB" w:rsidRPr="00A32D03" w:rsidRDefault="00D322FB" w:rsidP="00E125AB">
            <w:pPr>
              <w:autoSpaceDE w:val="0"/>
              <w:autoSpaceDN w:val="0"/>
              <w:adjustRightInd w:val="0"/>
              <w:jc w:val="right"/>
              <w:rPr>
                <w:rFonts w:ascii="Arial" w:hAnsi="Arial" w:cs="Arial"/>
                <w:b/>
                <w:color w:val="000000"/>
              </w:rPr>
            </w:pPr>
          </w:p>
        </w:tc>
        <w:tc>
          <w:tcPr>
            <w:tcW w:w="1530" w:type="dxa"/>
            <w:tcBorders>
              <w:top w:val="nil"/>
              <w:left w:val="nil"/>
              <w:bottom w:val="single" w:sz="6" w:space="0" w:color="auto"/>
              <w:right w:val="nil"/>
            </w:tcBorders>
          </w:tcPr>
          <w:p w:rsidR="00D322FB" w:rsidRPr="00A32D03" w:rsidRDefault="00D322FB" w:rsidP="00E125AB">
            <w:pPr>
              <w:autoSpaceDE w:val="0"/>
              <w:autoSpaceDN w:val="0"/>
              <w:adjustRightInd w:val="0"/>
              <w:jc w:val="right"/>
              <w:rPr>
                <w:rFonts w:ascii="Arial" w:hAnsi="Arial" w:cs="Arial"/>
                <w:b/>
                <w:color w:val="000000"/>
              </w:rPr>
            </w:pPr>
          </w:p>
        </w:tc>
      </w:tr>
      <w:tr w:rsidR="00D322FB" w:rsidRPr="00A32D03" w:rsidTr="00AA6049">
        <w:trPr>
          <w:trHeight w:val="113"/>
        </w:trPr>
        <w:tc>
          <w:tcPr>
            <w:tcW w:w="4320" w:type="dxa"/>
            <w:tcBorders>
              <w:top w:val="single" w:sz="6" w:space="0" w:color="auto"/>
              <w:left w:val="nil"/>
              <w:bottom w:val="double" w:sz="4" w:space="0" w:color="auto"/>
              <w:right w:val="nil"/>
            </w:tcBorders>
          </w:tcPr>
          <w:p w:rsidR="00D322FB" w:rsidRPr="00A32D03" w:rsidRDefault="00D322FB" w:rsidP="00E125AB">
            <w:pPr>
              <w:autoSpaceDE w:val="0"/>
              <w:autoSpaceDN w:val="0"/>
              <w:adjustRightInd w:val="0"/>
              <w:ind w:left="-108"/>
              <w:rPr>
                <w:rFonts w:ascii="Arial" w:hAnsi="Arial" w:cs="Arial"/>
                <w:b/>
                <w:bCs/>
                <w:color w:val="000000"/>
                <w:sz w:val="16"/>
                <w:szCs w:val="16"/>
              </w:rPr>
            </w:pPr>
            <w:r w:rsidRPr="00A32D03">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vAlign w:val="bottom"/>
          </w:tcPr>
          <w:p w:rsidR="00D322FB" w:rsidRPr="00AA6049" w:rsidRDefault="00F52999" w:rsidP="00F52999">
            <w:pPr>
              <w:jc w:val="right"/>
              <w:rPr>
                <w:rFonts w:ascii="Arial" w:hAnsi="Arial" w:cs="Arial"/>
                <w:b/>
                <w:color w:val="000000"/>
                <w:sz w:val="16"/>
                <w:szCs w:val="16"/>
              </w:rPr>
            </w:pPr>
            <w:r>
              <w:rPr>
                <w:rFonts w:ascii="Arial" w:hAnsi="Arial" w:cs="Arial"/>
                <w:b/>
                <w:color w:val="000000"/>
                <w:sz w:val="16"/>
                <w:szCs w:val="16"/>
              </w:rPr>
              <w:t>94</w:t>
            </w:r>
            <w:r w:rsidR="00D322FB">
              <w:rPr>
                <w:rFonts w:ascii="Arial" w:hAnsi="Arial" w:cs="Arial"/>
                <w:b/>
                <w:color w:val="000000"/>
                <w:sz w:val="16"/>
                <w:szCs w:val="16"/>
              </w:rPr>
              <w:t>.</w:t>
            </w:r>
            <w:r>
              <w:rPr>
                <w:rFonts w:ascii="Arial" w:hAnsi="Arial" w:cs="Arial"/>
                <w:b/>
                <w:color w:val="000000"/>
                <w:sz w:val="16"/>
                <w:szCs w:val="16"/>
              </w:rPr>
              <w:t>896</w:t>
            </w:r>
          </w:p>
        </w:tc>
        <w:tc>
          <w:tcPr>
            <w:tcW w:w="2234" w:type="dxa"/>
            <w:tcBorders>
              <w:top w:val="single" w:sz="6" w:space="0" w:color="auto"/>
              <w:left w:val="nil"/>
              <w:bottom w:val="double" w:sz="4" w:space="0" w:color="auto"/>
              <w:right w:val="nil"/>
            </w:tcBorders>
            <w:vAlign w:val="bottom"/>
          </w:tcPr>
          <w:p w:rsidR="00D322FB" w:rsidRPr="00AA6049" w:rsidRDefault="00F52999" w:rsidP="00F52999">
            <w:pPr>
              <w:jc w:val="right"/>
              <w:rPr>
                <w:rFonts w:ascii="Arial" w:hAnsi="Arial" w:cs="Arial"/>
                <w:b/>
                <w:color w:val="000000"/>
                <w:sz w:val="16"/>
                <w:szCs w:val="16"/>
              </w:rPr>
            </w:pPr>
            <w:r>
              <w:rPr>
                <w:rFonts w:ascii="Arial" w:hAnsi="Arial" w:cs="Arial"/>
                <w:b/>
                <w:color w:val="000000"/>
                <w:sz w:val="16"/>
                <w:szCs w:val="16"/>
              </w:rPr>
              <w:t>94.896</w:t>
            </w:r>
          </w:p>
        </w:tc>
        <w:tc>
          <w:tcPr>
            <w:tcW w:w="1350" w:type="dxa"/>
            <w:tcBorders>
              <w:top w:val="single" w:sz="6" w:space="0" w:color="auto"/>
              <w:left w:val="nil"/>
              <w:bottom w:val="double" w:sz="4" w:space="0" w:color="auto"/>
              <w:right w:val="nil"/>
            </w:tcBorders>
            <w:vAlign w:val="bottom"/>
          </w:tcPr>
          <w:p w:rsidR="00D322FB" w:rsidRPr="00AA6049" w:rsidRDefault="00F52999" w:rsidP="00F52999">
            <w:pPr>
              <w:jc w:val="right"/>
              <w:rPr>
                <w:rFonts w:ascii="Arial" w:hAnsi="Arial" w:cs="Arial"/>
                <w:b/>
                <w:color w:val="000000"/>
                <w:sz w:val="16"/>
                <w:szCs w:val="16"/>
              </w:rPr>
            </w:pPr>
            <w:r>
              <w:rPr>
                <w:rFonts w:ascii="Arial" w:hAnsi="Arial" w:cs="Arial"/>
                <w:b/>
                <w:color w:val="000000"/>
                <w:sz w:val="16"/>
                <w:szCs w:val="16"/>
              </w:rPr>
              <w:t>94.896</w:t>
            </w:r>
          </w:p>
        </w:tc>
        <w:tc>
          <w:tcPr>
            <w:tcW w:w="1620" w:type="dxa"/>
            <w:tcBorders>
              <w:top w:val="single" w:sz="6" w:space="0" w:color="auto"/>
              <w:left w:val="nil"/>
              <w:bottom w:val="double" w:sz="4" w:space="0" w:color="auto"/>
              <w:right w:val="nil"/>
            </w:tcBorders>
          </w:tcPr>
          <w:p w:rsidR="00D322FB" w:rsidRPr="00A32D03" w:rsidRDefault="00D322FB" w:rsidP="00E125A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w:t>
            </w:r>
          </w:p>
        </w:tc>
        <w:tc>
          <w:tcPr>
            <w:tcW w:w="1440" w:type="dxa"/>
            <w:tcBorders>
              <w:top w:val="single" w:sz="6" w:space="0" w:color="auto"/>
              <w:left w:val="nil"/>
              <w:bottom w:val="double" w:sz="4" w:space="0" w:color="auto"/>
              <w:right w:val="nil"/>
            </w:tcBorders>
          </w:tcPr>
          <w:p w:rsidR="00D322FB" w:rsidRPr="00A32D03" w:rsidRDefault="00D322FB" w:rsidP="00E125A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w:t>
            </w:r>
          </w:p>
        </w:tc>
        <w:tc>
          <w:tcPr>
            <w:tcW w:w="1530" w:type="dxa"/>
            <w:tcBorders>
              <w:top w:val="single" w:sz="6" w:space="0" w:color="auto"/>
              <w:left w:val="nil"/>
              <w:bottom w:val="double" w:sz="4" w:space="0" w:color="auto"/>
              <w:right w:val="nil"/>
            </w:tcBorders>
          </w:tcPr>
          <w:p w:rsidR="00D322FB" w:rsidRPr="00A32D03" w:rsidRDefault="00D322FB" w:rsidP="00E125A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w:t>
            </w:r>
          </w:p>
        </w:tc>
      </w:tr>
    </w:tbl>
    <w:p w:rsidR="00D322FB" w:rsidRPr="00A32D03" w:rsidRDefault="00D322FB" w:rsidP="001C2851">
      <w:pPr>
        <w:pStyle w:val="BodyTextIndent"/>
        <w:ind w:left="567" w:hanging="567"/>
        <w:jc w:val="both"/>
        <w:rPr>
          <w:rFonts w:ascii="Arial" w:hAnsi="Arial" w:cs="Arial"/>
          <w:b/>
          <w:sz w:val="20"/>
          <w:lang w:val="tr-TR"/>
        </w:rPr>
      </w:pPr>
    </w:p>
    <w:tbl>
      <w:tblPr>
        <w:tblW w:w="13770" w:type="dxa"/>
        <w:tblInd w:w="108" w:type="dxa"/>
        <w:tblLayout w:type="fixed"/>
        <w:tblLook w:val="0000" w:firstRow="0" w:lastRow="0" w:firstColumn="0" w:lastColumn="0" w:noHBand="0" w:noVBand="0"/>
      </w:tblPr>
      <w:tblGrid>
        <w:gridCol w:w="4320"/>
        <w:gridCol w:w="1276"/>
        <w:gridCol w:w="2234"/>
        <w:gridCol w:w="1350"/>
        <w:gridCol w:w="1620"/>
        <w:gridCol w:w="1440"/>
        <w:gridCol w:w="1530"/>
      </w:tblGrid>
      <w:tr w:rsidR="00E86C72" w:rsidRPr="00E86C72" w:rsidTr="00224B5D">
        <w:trPr>
          <w:trHeight w:val="113"/>
        </w:trPr>
        <w:tc>
          <w:tcPr>
            <w:tcW w:w="4320" w:type="dxa"/>
            <w:tcBorders>
              <w:top w:val="single" w:sz="4" w:space="0" w:color="auto"/>
              <w:left w:val="nil"/>
              <w:bottom w:val="single" w:sz="4" w:space="0" w:color="auto"/>
              <w:right w:val="nil"/>
            </w:tcBorders>
          </w:tcPr>
          <w:p w:rsidR="00E86C72" w:rsidRPr="00E86C72" w:rsidRDefault="00E86C72" w:rsidP="00224B5D">
            <w:pPr>
              <w:autoSpaceDE w:val="0"/>
              <w:autoSpaceDN w:val="0"/>
              <w:adjustRightInd w:val="0"/>
              <w:ind w:left="-108"/>
              <w:jc w:val="right"/>
              <w:rPr>
                <w:rFonts w:ascii="Arial" w:hAnsi="Arial" w:cs="Arial"/>
                <w:color w:val="000000"/>
              </w:rPr>
            </w:pPr>
          </w:p>
        </w:tc>
        <w:tc>
          <w:tcPr>
            <w:tcW w:w="9450" w:type="dxa"/>
            <w:gridSpan w:val="6"/>
            <w:tcBorders>
              <w:top w:val="single" w:sz="4" w:space="0" w:color="auto"/>
              <w:left w:val="nil"/>
              <w:bottom w:val="single" w:sz="4" w:space="0" w:color="auto"/>
              <w:right w:val="nil"/>
            </w:tcBorders>
          </w:tcPr>
          <w:p w:rsidR="00E86C72" w:rsidRDefault="00E86C72" w:rsidP="00224B5D">
            <w:pPr>
              <w:autoSpaceDE w:val="0"/>
              <w:autoSpaceDN w:val="0"/>
              <w:adjustRightInd w:val="0"/>
              <w:jc w:val="right"/>
              <w:rPr>
                <w:rFonts w:ascii="Arial" w:hAnsi="Arial" w:cs="Arial"/>
                <w:color w:val="000000"/>
              </w:rPr>
            </w:pPr>
          </w:p>
          <w:p w:rsidR="00E86C72" w:rsidRDefault="00E86C72" w:rsidP="00224B5D">
            <w:pPr>
              <w:autoSpaceDE w:val="0"/>
              <w:autoSpaceDN w:val="0"/>
              <w:adjustRightInd w:val="0"/>
              <w:jc w:val="right"/>
              <w:rPr>
                <w:rFonts w:ascii="Arial" w:hAnsi="Arial" w:cs="Arial"/>
                <w:color w:val="000000"/>
              </w:rPr>
            </w:pPr>
          </w:p>
          <w:p w:rsidR="00E86C72" w:rsidRDefault="00E86C72" w:rsidP="00224B5D">
            <w:pPr>
              <w:autoSpaceDE w:val="0"/>
              <w:autoSpaceDN w:val="0"/>
              <w:adjustRightInd w:val="0"/>
              <w:jc w:val="right"/>
              <w:rPr>
                <w:rFonts w:ascii="Arial" w:hAnsi="Arial" w:cs="Arial"/>
                <w:color w:val="000000"/>
              </w:rPr>
            </w:pPr>
          </w:p>
          <w:p w:rsidR="00E86C72" w:rsidRDefault="00E86C72" w:rsidP="00224B5D">
            <w:pPr>
              <w:autoSpaceDE w:val="0"/>
              <w:autoSpaceDN w:val="0"/>
              <w:adjustRightInd w:val="0"/>
              <w:jc w:val="right"/>
              <w:rPr>
                <w:rFonts w:ascii="Arial" w:hAnsi="Arial" w:cs="Arial"/>
                <w:color w:val="000000"/>
              </w:rPr>
            </w:pPr>
          </w:p>
          <w:p w:rsidR="00E86C72" w:rsidRPr="00E86C72" w:rsidRDefault="00E86C72" w:rsidP="00224B5D">
            <w:pPr>
              <w:autoSpaceDE w:val="0"/>
              <w:autoSpaceDN w:val="0"/>
              <w:adjustRightInd w:val="0"/>
              <w:jc w:val="right"/>
              <w:rPr>
                <w:rFonts w:ascii="Arial" w:hAnsi="Arial" w:cs="Arial"/>
                <w:color w:val="000000"/>
              </w:rPr>
            </w:pPr>
            <w:r w:rsidRPr="00E86C72">
              <w:rPr>
                <w:rFonts w:ascii="Arial" w:hAnsi="Arial" w:cs="Arial"/>
                <w:color w:val="000000"/>
              </w:rPr>
              <w:t>31 Aralık 2014</w:t>
            </w:r>
          </w:p>
        </w:tc>
      </w:tr>
      <w:tr w:rsidR="00E86C72" w:rsidRPr="00E86C72" w:rsidTr="00224B5D">
        <w:trPr>
          <w:trHeight w:val="113"/>
        </w:trPr>
        <w:tc>
          <w:tcPr>
            <w:tcW w:w="4320" w:type="dxa"/>
            <w:tcBorders>
              <w:top w:val="single" w:sz="4" w:space="0" w:color="auto"/>
              <w:left w:val="nil"/>
              <w:bottom w:val="single" w:sz="4" w:space="0" w:color="auto"/>
              <w:right w:val="nil"/>
            </w:tcBorders>
          </w:tcPr>
          <w:p w:rsidR="00E86C72" w:rsidRPr="00E86C72" w:rsidRDefault="00E86C72" w:rsidP="00224B5D">
            <w:pPr>
              <w:autoSpaceDE w:val="0"/>
              <w:autoSpaceDN w:val="0"/>
              <w:adjustRightInd w:val="0"/>
              <w:ind w:left="-108"/>
              <w:rPr>
                <w:rFonts w:ascii="Arial" w:hAnsi="Arial" w:cs="Arial"/>
                <w:bCs/>
                <w:sz w:val="16"/>
                <w:szCs w:val="16"/>
              </w:rPr>
            </w:pPr>
          </w:p>
          <w:p w:rsidR="00E86C72" w:rsidRPr="00E86C72" w:rsidRDefault="00E86C72" w:rsidP="00224B5D">
            <w:pPr>
              <w:autoSpaceDE w:val="0"/>
              <w:autoSpaceDN w:val="0"/>
              <w:adjustRightInd w:val="0"/>
              <w:ind w:left="-108"/>
              <w:rPr>
                <w:rFonts w:ascii="Arial" w:hAnsi="Arial" w:cs="Arial"/>
                <w:bCs/>
                <w:sz w:val="16"/>
                <w:szCs w:val="16"/>
                <w:u w:val="single"/>
              </w:rPr>
            </w:pPr>
            <w:r w:rsidRPr="00E86C72">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E86C72" w:rsidRPr="00E86C72" w:rsidRDefault="00E86C72" w:rsidP="00224B5D">
            <w:pPr>
              <w:autoSpaceDE w:val="0"/>
              <w:autoSpaceDN w:val="0"/>
              <w:adjustRightInd w:val="0"/>
              <w:jc w:val="right"/>
              <w:rPr>
                <w:rFonts w:ascii="Arial" w:hAnsi="Arial" w:cs="Arial"/>
                <w:bCs/>
                <w:sz w:val="16"/>
                <w:szCs w:val="16"/>
              </w:rPr>
            </w:pPr>
          </w:p>
          <w:p w:rsidR="00E86C72" w:rsidRPr="00E86C72" w:rsidRDefault="00E86C72" w:rsidP="00224B5D">
            <w:pPr>
              <w:autoSpaceDE w:val="0"/>
              <w:autoSpaceDN w:val="0"/>
              <w:adjustRightInd w:val="0"/>
              <w:jc w:val="right"/>
              <w:rPr>
                <w:rFonts w:ascii="Arial" w:hAnsi="Arial" w:cs="Arial"/>
                <w:bCs/>
                <w:sz w:val="16"/>
                <w:szCs w:val="16"/>
              </w:rPr>
            </w:pPr>
            <w:r w:rsidRPr="00E86C72">
              <w:rPr>
                <w:rFonts w:ascii="Arial" w:hAnsi="Arial" w:cs="Arial"/>
                <w:bCs/>
                <w:sz w:val="16"/>
                <w:szCs w:val="16"/>
              </w:rPr>
              <w:t>Defter değeri</w:t>
            </w:r>
          </w:p>
        </w:tc>
        <w:tc>
          <w:tcPr>
            <w:tcW w:w="2234" w:type="dxa"/>
            <w:tcBorders>
              <w:top w:val="single" w:sz="4" w:space="0" w:color="auto"/>
              <w:left w:val="nil"/>
              <w:bottom w:val="single" w:sz="4" w:space="0" w:color="auto"/>
              <w:right w:val="nil"/>
            </w:tcBorders>
          </w:tcPr>
          <w:p w:rsidR="00E86C72" w:rsidRPr="00E86C72" w:rsidRDefault="00E86C72" w:rsidP="00224B5D">
            <w:pPr>
              <w:autoSpaceDE w:val="0"/>
              <w:autoSpaceDN w:val="0"/>
              <w:adjustRightInd w:val="0"/>
              <w:jc w:val="right"/>
              <w:rPr>
                <w:rFonts w:ascii="Arial" w:hAnsi="Arial" w:cs="Arial"/>
                <w:bCs/>
                <w:sz w:val="16"/>
                <w:szCs w:val="16"/>
              </w:rPr>
            </w:pPr>
            <w:r w:rsidRPr="00E86C72">
              <w:rPr>
                <w:rFonts w:ascii="Arial" w:hAnsi="Arial" w:cs="Arial"/>
                <w:bCs/>
                <w:sz w:val="16"/>
                <w:szCs w:val="16"/>
              </w:rPr>
              <w:t>Sözleşme uyarınca nakit çıkışlar toplamı (I+II+III+IV)</w:t>
            </w:r>
          </w:p>
        </w:tc>
        <w:tc>
          <w:tcPr>
            <w:tcW w:w="1350" w:type="dxa"/>
            <w:tcBorders>
              <w:top w:val="single" w:sz="4" w:space="0" w:color="auto"/>
              <w:left w:val="nil"/>
              <w:bottom w:val="single" w:sz="4" w:space="0" w:color="auto"/>
              <w:right w:val="nil"/>
            </w:tcBorders>
          </w:tcPr>
          <w:p w:rsidR="00E86C72" w:rsidRPr="00E86C72" w:rsidRDefault="00E86C72" w:rsidP="00224B5D">
            <w:pPr>
              <w:autoSpaceDE w:val="0"/>
              <w:autoSpaceDN w:val="0"/>
              <w:adjustRightInd w:val="0"/>
              <w:jc w:val="right"/>
              <w:rPr>
                <w:rFonts w:ascii="Arial" w:hAnsi="Arial" w:cs="Arial"/>
                <w:bCs/>
                <w:sz w:val="16"/>
                <w:szCs w:val="16"/>
              </w:rPr>
            </w:pPr>
          </w:p>
          <w:p w:rsidR="00E86C72" w:rsidRPr="00E86C72" w:rsidRDefault="00E86C72" w:rsidP="00224B5D">
            <w:pPr>
              <w:autoSpaceDE w:val="0"/>
              <w:autoSpaceDN w:val="0"/>
              <w:adjustRightInd w:val="0"/>
              <w:jc w:val="right"/>
              <w:rPr>
                <w:rFonts w:ascii="Arial" w:hAnsi="Arial" w:cs="Arial"/>
                <w:bCs/>
                <w:sz w:val="16"/>
                <w:szCs w:val="16"/>
              </w:rPr>
            </w:pPr>
            <w:r w:rsidRPr="00E86C72">
              <w:rPr>
                <w:rFonts w:ascii="Arial" w:hAnsi="Arial" w:cs="Arial"/>
                <w:bCs/>
                <w:sz w:val="16"/>
                <w:szCs w:val="16"/>
              </w:rPr>
              <w:t>3 aydan kısa (I)</w:t>
            </w:r>
          </w:p>
        </w:tc>
        <w:tc>
          <w:tcPr>
            <w:tcW w:w="1620" w:type="dxa"/>
            <w:tcBorders>
              <w:top w:val="single" w:sz="4" w:space="0" w:color="auto"/>
              <w:left w:val="nil"/>
              <w:bottom w:val="single" w:sz="4" w:space="0" w:color="auto"/>
              <w:right w:val="nil"/>
            </w:tcBorders>
          </w:tcPr>
          <w:p w:rsidR="00E86C72" w:rsidRPr="00E86C72" w:rsidRDefault="00E86C72" w:rsidP="00224B5D">
            <w:pPr>
              <w:autoSpaceDE w:val="0"/>
              <w:autoSpaceDN w:val="0"/>
              <w:adjustRightInd w:val="0"/>
              <w:jc w:val="right"/>
              <w:rPr>
                <w:rFonts w:ascii="Arial" w:hAnsi="Arial" w:cs="Arial"/>
                <w:bCs/>
                <w:sz w:val="16"/>
                <w:szCs w:val="16"/>
              </w:rPr>
            </w:pPr>
          </w:p>
          <w:p w:rsidR="00E86C72" w:rsidRPr="00E86C72" w:rsidRDefault="00E86C72" w:rsidP="00224B5D">
            <w:pPr>
              <w:autoSpaceDE w:val="0"/>
              <w:autoSpaceDN w:val="0"/>
              <w:adjustRightInd w:val="0"/>
              <w:jc w:val="right"/>
              <w:rPr>
                <w:rFonts w:ascii="Arial" w:hAnsi="Arial" w:cs="Arial"/>
                <w:bCs/>
                <w:sz w:val="16"/>
                <w:szCs w:val="16"/>
              </w:rPr>
            </w:pPr>
            <w:r w:rsidRPr="00E86C72">
              <w:rPr>
                <w:rFonts w:ascii="Arial" w:hAnsi="Arial" w:cs="Arial"/>
                <w:bCs/>
                <w:sz w:val="16"/>
                <w:szCs w:val="16"/>
              </w:rPr>
              <w:t>3 ay - 1 yıl arası (II)</w:t>
            </w:r>
          </w:p>
        </w:tc>
        <w:tc>
          <w:tcPr>
            <w:tcW w:w="1440" w:type="dxa"/>
            <w:tcBorders>
              <w:top w:val="single" w:sz="4" w:space="0" w:color="auto"/>
              <w:left w:val="nil"/>
              <w:bottom w:val="single" w:sz="4" w:space="0" w:color="auto"/>
              <w:right w:val="nil"/>
            </w:tcBorders>
          </w:tcPr>
          <w:p w:rsidR="00E86C72" w:rsidRPr="00E86C72" w:rsidRDefault="00E86C72" w:rsidP="00224B5D">
            <w:pPr>
              <w:autoSpaceDE w:val="0"/>
              <w:autoSpaceDN w:val="0"/>
              <w:adjustRightInd w:val="0"/>
              <w:jc w:val="right"/>
              <w:rPr>
                <w:rFonts w:ascii="Arial" w:hAnsi="Arial" w:cs="Arial"/>
                <w:bCs/>
                <w:sz w:val="16"/>
                <w:szCs w:val="16"/>
              </w:rPr>
            </w:pPr>
          </w:p>
          <w:p w:rsidR="00E86C72" w:rsidRPr="00E86C72" w:rsidRDefault="00E86C72" w:rsidP="00224B5D">
            <w:pPr>
              <w:autoSpaceDE w:val="0"/>
              <w:autoSpaceDN w:val="0"/>
              <w:adjustRightInd w:val="0"/>
              <w:jc w:val="right"/>
              <w:rPr>
                <w:rFonts w:ascii="Arial" w:hAnsi="Arial" w:cs="Arial"/>
                <w:bCs/>
                <w:sz w:val="16"/>
                <w:szCs w:val="16"/>
              </w:rPr>
            </w:pPr>
            <w:r w:rsidRPr="00E86C72">
              <w:rPr>
                <w:rFonts w:ascii="Arial" w:hAnsi="Arial" w:cs="Arial"/>
                <w:bCs/>
                <w:sz w:val="16"/>
                <w:szCs w:val="16"/>
              </w:rPr>
              <w:t>1-5 yıl arası (III)</w:t>
            </w:r>
          </w:p>
        </w:tc>
        <w:tc>
          <w:tcPr>
            <w:tcW w:w="1530" w:type="dxa"/>
            <w:tcBorders>
              <w:top w:val="single" w:sz="4" w:space="0" w:color="auto"/>
              <w:left w:val="nil"/>
              <w:bottom w:val="single" w:sz="4" w:space="0" w:color="auto"/>
              <w:right w:val="nil"/>
            </w:tcBorders>
          </w:tcPr>
          <w:p w:rsidR="00E86C72" w:rsidRPr="00E86C72" w:rsidRDefault="00E86C72" w:rsidP="00224B5D">
            <w:pPr>
              <w:autoSpaceDE w:val="0"/>
              <w:autoSpaceDN w:val="0"/>
              <w:adjustRightInd w:val="0"/>
              <w:jc w:val="right"/>
              <w:rPr>
                <w:rFonts w:ascii="Arial" w:hAnsi="Arial" w:cs="Arial"/>
                <w:bCs/>
                <w:sz w:val="16"/>
                <w:szCs w:val="16"/>
              </w:rPr>
            </w:pPr>
          </w:p>
          <w:p w:rsidR="00E86C72" w:rsidRPr="00E86C72" w:rsidRDefault="00E86C72" w:rsidP="00224B5D">
            <w:pPr>
              <w:autoSpaceDE w:val="0"/>
              <w:autoSpaceDN w:val="0"/>
              <w:adjustRightInd w:val="0"/>
              <w:jc w:val="right"/>
              <w:rPr>
                <w:rFonts w:ascii="Arial" w:hAnsi="Arial" w:cs="Arial"/>
                <w:bCs/>
                <w:sz w:val="16"/>
                <w:szCs w:val="16"/>
              </w:rPr>
            </w:pPr>
            <w:r w:rsidRPr="00E86C72">
              <w:rPr>
                <w:rFonts w:ascii="Arial" w:hAnsi="Arial" w:cs="Arial"/>
                <w:bCs/>
                <w:sz w:val="16"/>
                <w:szCs w:val="16"/>
              </w:rPr>
              <w:t>5 yıldan uzun (IV)</w:t>
            </w:r>
          </w:p>
        </w:tc>
      </w:tr>
      <w:tr w:rsidR="00E86C72" w:rsidRPr="00E86C72" w:rsidTr="00224B5D">
        <w:trPr>
          <w:trHeight w:val="113"/>
        </w:trPr>
        <w:tc>
          <w:tcPr>
            <w:tcW w:w="4320" w:type="dxa"/>
            <w:tcBorders>
              <w:top w:val="single" w:sz="4" w:space="0" w:color="auto"/>
              <w:left w:val="nil"/>
              <w:bottom w:val="nil"/>
              <w:right w:val="nil"/>
            </w:tcBorders>
          </w:tcPr>
          <w:p w:rsidR="00E86C72" w:rsidRPr="00E86C72" w:rsidRDefault="00E86C72" w:rsidP="00224B5D">
            <w:pPr>
              <w:autoSpaceDE w:val="0"/>
              <w:autoSpaceDN w:val="0"/>
              <w:adjustRightInd w:val="0"/>
              <w:ind w:left="-108"/>
              <w:jc w:val="right"/>
              <w:rPr>
                <w:rFonts w:ascii="Arial" w:hAnsi="Arial" w:cs="Arial"/>
                <w:color w:val="000000"/>
              </w:rPr>
            </w:pPr>
          </w:p>
        </w:tc>
        <w:tc>
          <w:tcPr>
            <w:tcW w:w="1276" w:type="dxa"/>
            <w:tcBorders>
              <w:top w:val="single" w:sz="4" w:space="0" w:color="auto"/>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2234" w:type="dxa"/>
            <w:tcBorders>
              <w:top w:val="single" w:sz="4" w:space="0" w:color="auto"/>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350" w:type="dxa"/>
            <w:tcBorders>
              <w:top w:val="single" w:sz="4" w:space="0" w:color="auto"/>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620" w:type="dxa"/>
            <w:tcBorders>
              <w:top w:val="single" w:sz="4" w:space="0" w:color="auto"/>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440" w:type="dxa"/>
            <w:tcBorders>
              <w:top w:val="single" w:sz="4" w:space="0" w:color="auto"/>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530" w:type="dxa"/>
            <w:tcBorders>
              <w:top w:val="single" w:sz="4" w:space="0" w:color="auto"/>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r>
      <w:tr w:rsidR="00E86C72" w:rsidRPr="00E86C72" w:rsidTr="00224B5D">
        <w:trPr>
          <w:trHeight w:val="113"/>
        </w:trPr>
        <w:tc>
          <w:tcPr>
            <w:tcW w:w="4320" w:type="dxa"/>
            <w:tcBorders>
              <w:top w:val="nil"/>
              <w:left w:val="nil"/>
              <w:bottom w:val="nil"/>
              <w:right w:val="nil"/>
            </w:tcBorders>
            <w:vAlign w:val="bottom"/>
          </w:tcPr>
          <w:p w:rsidR="00E86C72" w:rsidRPr="00E86C72" w:rsidRDefault="00E86C72" w:rsidP="00224B5D">
            <w:pPr>
              <w:autoSpaceDE w:val="0"/>
              <w:autoSpaceDN w:val="0"/>
              <w:adjustRightInd w:val="0"/>
              <w:ind w:left="34" w:hanging="142"/>
              <w:rPr>
                <w:rFonts w:ascii="Arial" w:hAnsi="Arial" w:cs="Arial"/>
                <w:color w:val="000000"/>
                <w:sz w:val="16"/>
                <w:szCs w:val="16"/>
              </w:rPr>
            </w:pPr>
            <w:r w:rsidRPr="00E86C72">
              <w:rPr>
                <w:rFonts w:ascii="Arial" w:hAnsi="Arial" w:cs="Arial"/>
                <w:color w:val="000000"/>
                <w:sz w:val="16"/>
                <w:szCs w:val="16"/>
              </w:rPr>
              <w:t>Türev olmayan finansal yükümlülükler</w:t>
            </w:r>
          </w:p>
        </w:tc>
        <w:tc>
          <w:tcPr>
            <w:tcW w:w="1276" w:type="dxa"/>
            <w:tcBorders>
              <w:top w:val="nil"/>
              <w:left w:val="nil"/>
              <w:bottom w:val="nil"/>
              <w:right w:val="nil"/>
            </w:tcBorders>
            <w:vAlign w:val="bottom"/>
          </w:tcPr>
          <w:p w:rsidR="00E86C72" w:rsidRPr="00E86C72" w:rsidRDefault="00E86C72" w:rsidP="00224B5D">
            <w:pPr>
              <w:jc w:val="right"/>
              <w:rPr>
                <w:rFonts w:ascii="Arial" w:hAnsi="Arial" w:cs="Arial"/>
                <w:bCs/>
                <w:color w:val="000000"/>
                <w:sz w:val="16"/>
                <w:szCs w:val="16"/>
              </w:rPr>
            </w:pPr>
          </w:p>
        </w:tc>
        <w:tc>
          <w:tcPr>
            <w:tcW w:w="2234" w:type="dxa"/>
            <w:tcBorders>
              <w:top w:val="nil"/>
              <w:left w:val="nil"/>
              <w:bottom w:val="nil"/>
              <w:right w:val="nil"/>
            </w:tcBorders>
            <w:vAlign w:val="bottom"/>
          </w:tcPr>
          <w:p w:rsidR="00E86C72" w:rsidRPr="00E86C72" w:rsidRDefault="00E86C72" w:rsidP="00224B5D">
            <w:pPr>
              <w:jc w:val="right"/>
              <w:rPr>
                <w:rFonts w:ascii="Arial" w:hAnsi="Arial" w:cs="Arial"/>
                <w:bCs/>
                <w:color w:val="000000"/>
                <w:sz w:val="16"/>
                <w:szCs w:val="16"/>
              </w:rPr>
            </w:pPr>
          </w:p>
        </w:tc>
        <w:tc>
          <w:tcPr>
            <w:tcW w:w="1350" w:type="dxa"/>
            <w:tcBorders>
              <w:top w:val="nil"/>
              <w:left w:val="nil"/>
              <w:bottom w:val="nil"/>
              <w:right w:val="nil"/>
            </w:tcBorders>
            <w:vAlign w:val="bottom"/>
          </w:tcPr>
          <w:p w:rsidR="00E86C72" w:rsidRPr="00E86C72" w:rsidRDefault="00E86C72" w:rsidP="00224B5D">
            <w:pPr>
              <w:jc w:val="right"/>
              <w:rPr>
                <w:rFonts w:ascii="Arial" w:hAnsi="Arial" w:cs="Arial"/>
                <w:bCs/>
                <w:color w:val="000000"/>
                <w:sz w:val="16"/>
                <w:szCs w:val="16"/>
              </w:rPr>
            </w:pPr>
          </w:p>
        </w:tc>
        <w:tc>
          <w:tcPr>
            <w:tcW w:w="1620"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c>
          <w:tcPr>
            <w:tcW w:w="1440"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c>
          <w:tcPr>
            <w:tcW w:w="1530"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r>
      <w:tr w:rsidR="00E86C72" w:rsidRPr="00E86C72" w:rsidTr="00224B5D">
        <w:trPr>
          <w:trHeight w:val="113"/>
        </w:trPr>
        <w:tc>
          <w:tcPr>
            <w:tcW w:w="4320" w:type="dxa"/>
            <w:tcBorders>
              <w:top w:val="nil"/>
              <w:left w:val="nil"/>
              <w:bottom w:val="nil"/>
              <w:right w:val="nil"/>
            </w:tcBorders>
          </w:tcPr>
          <w:p w:rsidR="00E86C72" w:rsidRPr="00E86C72" w:rsidRDefault="00E86C72" w:rsidP="00224B5D">
            <w:pPr>
              <w:autoSpaceDE w:val="0"/>
              <w:autoSpaceDN w:val="0"/>
              <w:adjustRightInd w:val="0"/>
              <w:ind w:left="-108"/>
              <w:rPr>
                <w:rFonts w:ascii="Arial" w:hAnsi="Arial" w:cs="Arial"/>
                <w:color w:val="000000"/>
                <w:sz w:val="16"/>
                <w:szCs w:val="16"/>
              </w:rPr>
            </w:pPr>
            <w:r w:rsidRPr="00E86C72">
              <w:rPr>
                <w:rFonts w:ascii="Arial" w:hAnsi="Arial" w:cs="Arial"/>
                <w:color w:val="000000"/>
                <w:sz w:val="16"/>
                <w:szCs w:val="16"/>
              </w:rPr>
              <w:t>Ticari borçlar</w:t>
            </w:r>
          </w:p>
        </w:tc>
        <w:tc>
          <w:tcPr>
            <w:tcW w:w="1276" w:type="dxa"/>
            <w:tcBorders>
              <w:top w:val="nil"/>
              <w:left w:val="nil"/>
              <w:bottom w:val="nil"/>
              <w:right w:val="nil"/>
            </w:tcBorders>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33.493</w:t>
            </w:r>
          </w:p>
        </w:tc>
        <w:tc>
          <w:tcPr>
            <w:tcW w:w="2234" w:type="dxa"/>
            <w:tcBorders>
              <w:top w:val="nil"/>
              <w:left w:val="nil"/>
              <w:bottom w:val="nil"/>
              <w:right w:val="nil"/>
            </w:tcBorders>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33.493</w:t>
            </w:r>
          </w:p>
        </w:tc>
        <w:tc>
          <w:tcPr>
            <w:tcW w:w="1350" w:type="dxa"/>
            <w:tcBorders>
              <w:top w:val="nil"/>
              <w:left w:val="nil"/>
              <w:bottom w:val="nil"/>
              <w:right w:val="nil"/>
            </w:tcBorders>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33.493</w:t>
            </w:r>
          </w:p>
        </w:tc>
        <w:tc>
          <w:tcPr>
            <w:tcW w:w="1620" w:type="dxa"/>
            <w:tcBorders>
              <w:top w:val="nil"/>
              <w:left w:val="nil"/>
              <w:bottom w:val="nil"/>
              <w:right w:val="nil"/>
            </w:tcBorders>
            <w:vAlign w:val="bottom"/>
          </w:tcPr>
          <w:p w:rsidR="00E86C72" w:rsidRPr="00E86C72" w:rsidRDefault="00E86C72" w:rsidP="00224B5D">
            <w:pPr>
              <w:jc w:val="right"/>
              <w:rPr>
                <w:rFonts w:ascii="Arial" w:hAnsi="Arial" w:cs="Arial"/>
                <w:sz w:val="16"/>
                <w:szCs w:val="16"/>
                <w:lang w:val="tr-TR" w:eastAsia="tr-TR"/>
              </w:rPr>
            </w:pPr>
            <w:r w:rsidRPr="00E86C72">
              <w:rPr>
                <w:rFonts w:ascii="Arial" w:hAnsi="Arial" w:cs="Arial"/>
                <w:sz w:val="16"/>
                <w:szCs w:val="16"/>
                <w:lang w:val="tr-TR" w:eastAsia="tr-TR"/>
              </w:rPr>
              <w:t>-</w:t>
            </w:r>
          </w:p>
        </w:tc>
        <w:tc>
          <w:tcPr>
            <w:tcW w:w="1440" w:type="dxa"/>
            <w:tcBorders>
              <w:top w:val="nil"/>
              <w:left w:val="nil"/>
              <w:bottom w:val="nil"/>
              <w:right w:val="nil"/>
            </w:tcBorders>
            <w:vAlign w:val="bottom"/>
          </w:tcPr>
          <w:p w:rsidR="00E86C72" w:rsidRPr="00E86C72" w:rsidRDefault="00E86C72" w:rsidP="00224B5D">
            <w:pPr>
              <w:jc w:val="right"/>
              <w:rPr>
                <w:rFonts w:ascii="Arial" w:hAnsi="Arial" w:cs="Arial"/>
                <w:sz w:val="16"/>
                <w:szCs w:val="16"/>
                <w:lang w:val="tr-TR" w:eastAsia="tr-TR"/>
              </w:rPr>
            </w:pPr>
            <w:r w:rsidRPr="00E86C72">
              <w:rPr>
                <w:rFonts w:ascii="Arial" w:hAnsi="Arial" w:cs="Arial"/>
                <w:sz w:val="16"/>
                <w:szCs w:val="16"/>
                <w:lang w:val="tr-TR" w:eastAsia="tr-TR"/>
              </w:rPr>
              <w:t>-</w:t>
            </w:r>
          </w:p>
        </w:tc>
        <w:tc>
          <w:tcPr>
            <w:tcW w:w="1530" w:type="dxa"/>
            <w:tcBorders>
              <w:top w:val="nil"/>
              <w:left w:val="nil"/>
              <w:bottom w:val="nil"/>
              <w:right w:val="nil"/>
            </w:tcBorders>
            <w:vAlign w:val="bottom"/>
          </w:tcPr>
          <w:p w:rsidR="00E86C72" w:rsidRPr="00E86C72" w:rsidRDefault="00E86C72" w:rsidP="00224B5D">
            <w:pPr>
              <w:jc w:val="right"/>
              <w:rPr>
                <w:rFonts w:ascii="Arial" w:hAnsi="Arial" w:cs="Arial"/>
                <w:sz w:val="16"/>
                <w:szCs w:val="16"/>
                <w:lang w:val="tr-TR" w:eastAsia="tr-TR"/>
              </w:rPr>
            </w:pPr>
            <w:r w:rsidRPr="00E86C72">
              <w:rPr>
                <w:rFonts w:ascii="Arial" w:hAnsi="Arial" w:cs="Arial"/>
                <w:sz w:val="16"/>
                <w:szCs w:val="16"/>
                <w:lang w:val="tr-TR" w:eastAsia="tr-TR"/>
              </w:rPr>
              <w:t>-</w:t>
            </w:r>
          </w:p>
        </w:tc>
      </w:tr>
      <w:tr w:rsidR="00E86C72" w:rsidRPr="00E86C72" w:rsidTr="00224B5D">
        <w:trPr>
          <w:trHeight w:val="113"/>
        </w:trPr>
        <w:tc>
          <w:tcPr>
            <w:tcW w:w="4320" w:type="dxa"/>
            <w:tcBorders>
              <w:top w:val="nil"/>
              <w:left w:val="nil"/>
              <w:bottom w:val="nil"/>
              <w:right w:val="nil"/>
            </w:tcBorders>
          </w:tcPr>
          <w:p w:rsidR="00E86C72" w:rsidRPr="00E86C72" w:rsidRDefault="00E86C72" w:rsidP="00224B5D">
            <w:pPr>
              <w:autoSpaceDE w:val="0"/>
              <w:autoSpaceDN w:val="0"/>
              <w:adjustRightInd w:val="0"/>
              <w:ind w:left="-108"/>
              <w:rPr>
                <w:rFonts w:ascii="Arial" w:hAnsi="Arial" w:cs="Arial"/>
                <w:color w:val="000000"/>
                <w:sz w:val="16"/>
                <w:szCs w:val="16"/>
              </w:rPr>
            </w:pPr>
            <w:r w:rsidRPr="00E86C72">
              <w:rPr>
                <w:rFonts w:ascii="Arial" w:hAnsi="Arial" w:cs="Arial"/>
                <w:color w:val="000000"/>
                <w:sz w:val="16"/>
                <w:szCs w:val="16"/>
              </w:rPr>
              <w:t xml:space="preserve">Diğer borçlar </w:t>
            </w:r>
          </w:p>
        </w:tc>
        <w:tc>
          <w:tcPr>
            <w:tcW w:w="1276" w:type="dxa"/>
            <w:tcBorders>
              <w:top w:val="nil"/>
              <w:left w:val="nil"/>
              <w:bottom w:val="nil"/>
              <w:right w:val="nil"/>
            </w:tcBorders>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16.105</w:t>
            </w:r>
          </w:p>
        </w:tc>
        <w:tc>
          <w:tcPr>
            <w:tcW w:w="2234" w:type="dxa"/>
            <w:tcBorders>
              <w:top w:val="nil"/>
              <w:left w:val="nil"/>
              <w:bottom w:val="nil"/>
              <w:right w:val="nil"/>
            </w:tcBorders>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16.105</w:t>
            </w:r>
          </w:p>
        </w:tc>
        <w:tc>
          <w:tcPr>
            <w:tcW w:w="1350" w:type="dxa"/>
            <w:tcBorders>
              <w:top w:val="nil"/>
              <w:left w:val="nil"/>
              <w:bottom w:val="nil"/>
              <w:right w:val="nil"/>
            </w:tcBorders>
            <w:vAlign w:val="bottom"/>
          </w:tcPr>
          <w:p w:rsidR="00E86C72" w:rsidRPr="00E86C72" w:rsidRDefault="00E86C72" w:rsidP="00224B5D">
            <w:pPr>
              <w:jc w:val="right"/>
              <w:rPr>
                <w:rFonts w:ascii="Arial" w:hAnsi="Arial" w:cs="Arial"/>
                <w:bCs/>
                <w:color w:val="000000"/>
                <w:sz w:val="16"/>
                <w:szCs w:val="16"/>
              </w:rPr>
            </w:pPr>
            <w:r w:rsidRPr="00E86C72">
              <w:rPr>
                <w:rFonts w:ascii="Arial" w:hAnsi="Arial" w:cs="Arial"/>
                <w:bCs/>
                <w:color w:val="000000"/>
                <w:sz w:val="16"/>
                <w:szCs w:val="16"/>
              </w:rPr>
              <w:t>16.105</w:t>
            </w:r>
          </w:p>
        </w:tc>
        <w:tc>
          <w:tcPr>
            <w:tcW w:w="1620" w:type="dxa"/>
            <w:tcBorders>
              <w:top w:val="nil"/>
              <w:left w:val="nil"/>
              <w:bottom w:val="nil"/>
              <w:right w:val="nil"/>
            </w:tcBorders>
            <w:vAlign w:val="bottom"/>
          </w:tcPr>
          <w:p w:rsidR="00E86C72" w:rsidRPr="00E86C72" w:rsidRDefault="00E86C72" w:rsidP="00224B5D">
            <w:pPr>
              <w:jc w:val="right"/>
              <w:rPr>
                <w:rFonts w:ascii="Arial" w:hAnsi="Arial" w:cs="Arial"/>
                <w:sz w:val="16"/>
                <w:szCs w:val="16"/>
                <w:lang w:val="tr-TR" w:eastAsia="tr-TR"/>
              </w:rPr>
            </w:pPr>
            <w:r w:rsidRPr="00E86C72">
              <w:rPr>
                <w:rFonts w:ascii="Arial" w:hAnsi="Arial" w:cs="Arial"/>
                <w:sz w:val="16"/>
                <w:szCs w:val="16"/>
                <w:lang w:val="tr-TR" w:eastAsia="tr-TR"/>
              </w:rPr>
              <w:t>-</w:t>
            </w:r>
          </w:p>
        </w:tc>
        <w:tc>
          <w:tcPr>
            <w:tcW w:w="1440" w:type="dxa"/>
            <w:tcBorders>
              <w:top w:val="nil"/>
              <w:left w:val="nil"/>
              <w:bottom w:val="nil"/>
              <w:right w:val="nil"/>
            </w:tcBorders>
            <w:vAlign w:val="bottom"/>
          </w:tcPr>
          <w:p w:rsidR="00E86C72" w:rsidRPr="00E86C72" w:rsidRDefault="00E86C72" w:rsidP="00224B5D">
            <w:pPr>
              <w:jc w:val="right"/>
              <w:rPr>
                <w:rFonts w:ascii="Arial" w:hAnsi="Arial" w:cs="Arial"/>
                <w:sz w:val="16"/>
                <w:szCs w:val="16"/>
                <w:lang w:val="tr-TR" w:eastAsia="tr-TR"/>
              </w:rPr>
            </w:pPr>
            <w:r w:rsidRPr="00E86C72">
              <w:rPr>
                <w:rFonts w:ascii="Arial" w:hAnsi="Arial" w:cs="Arial"/>
                <w:sz w:val="16"/>
                <w:szCs w:val="16"/>
                <w:lang w:val="tr-TR" w:eastAsia="tr-TR"/>
              </w:rPr>
              <w:t>-</w:t>
            </w:r>
          </w:p>
        </w:tc>
        <w:tc>
          <w:tcPr>
            <w:tcW w:w="1530" w:type="dxa"/>
            <w:tcBorders>
              <w:top w:val="nil"/>
              <w:left w:val="nil"/>
              <w:bottom w:val="nil"/>
              <w:right w:val="nil"/>
            </w:tcBorders>
            <w:vAlign w:val="bottom"/>
          </w:tcPr>
          <w:p w:rsidR="00E86C72" w:rsidRPr="00E86C72" w:rsidRDefault="00E86C72" w:rsidP="00224B5D">
            <w:pPr>
              <w:jc w:val="right"/>
              <w:rPr>
                <w:rFonts w:ascii="Arial" w:hAnsi="Arial" w:cs="Arial"/>
                <w:sz w:val="16"/>
                <w:szCs w:val="16"/>
                <w:lang w:val="tr-TR" w:eastAsia="tr-TR"/>
              </w:rPr>
            </w:pPr>
            <w:r w:rsidRPr="00E86C72">
              <w:rPr>
                <w:rFonts w:ascii="Arial" w:hAnsi="Arial" w:cs="Arial"/>
                <w:sz w:val="16"/>
                <w:szCs w:val="16"/>
                <w:lang w:val="tr-TR" w:eastAsia="tr-TR"/>
              </w:rPr>
              <w:t>-</w:t>
            </w:r>
          </w:p>
        </w:tc>
      </w:tr>
      <w:tr w:rsidR="00E86C72" w:rsidRPr="00E86C72" w:rsidTr="00224B5D">
        <w:trPr>
          <w:trHeight w:val="113"/>
        </w:trPr>
        <w:tc>
          <w:tcPr>
            <w:tcW w:w="4320" w:type="dxa"/>
            <w:tcBorders>
              <w:top w:val="nil"/>
              <w:left w:val="nil"/>
              <w:bottom w:val="single" w:sz="6" w:space="0" w:color="auto"/>
              <w:right w:val="nil"/>
            </w:tcBorders>
          </w:tcPr>
          <w:p w:rsidR="00E86C72" w:rsidRPr="00E86C72" w:rsidRDefault="00E86C72" w:rsidP="00224B5D">
            <w:pPr>
              <w:autoSpaceDE w:val="0"/>
              <w:autoSpaceDN w:val="0"/>
              <w:adjustRightInd w:val="0"/>
              <w:ind w:left="-108"/>
              <w:jc w:val="right"/>
              <w:rPr>
                <w:rFonts w:ascii="Arial" w:hAnsi="Arial" w:cs="Arial"/>
                <w:color w:val="000000"/>
              </w:rPr>
            </w:pPr>
          </w:p>
        </w:tc>
        <w:tc>
          <w:tcPr>
            <w:tcW w:w="1276" w:type="dxa"/>
            <w:tcBorders>
              <w:top w:val="nil"/>
              <w:left w:val="nil"/>
              <w:bottom w:val="single" w:sz="6" w:space="0" w:color="auto"/>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2234" w:type="dxa"/>
            <w:tcBorders>
              <w:top w:val="nil"/>
              <w:left w:val="nil"/>
              <w:bottom w:val="single" w:sz="6" w:space="0" w:color="auto"/>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350" w:type="dxa"/>
            <w:tcBorders>
              <w:top w:val="nil"/>
              <w:left w:val="nil"/>
              <w:bottom w:val="single" w:sz="6" w:space="0" w:color="auto"/>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620" w:type="dxa"/>
            <w:tcBorders>
              <w:top w:val="nil"/>
              <w:left w:val="nil"/>
              <w:bottom w:val="single" w:sz="6" w:space="0" w:color="auto"/>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440" w:type="dxa"/>
            <w:tcBorders>
              <w:top w:val="nil"/>
              <w:left w:val="nil"/>
              <w:bottom w:val="single" w:sz="6" w:space="0" w:color="auto"/>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530" w:type="dxa"/>
            <w:tcBorders>
              <w:top w:val="nil"/>
              <w:left w:val="nil"/>
              <w:bottom w:val="single" w:sz="6" w:space="0" w:color="auto"/>
              <w:right w:val="nil"/>
            </w:tcBorders>
          </w:tcPr>
          <w:p w:rsidR="00E86C72" w:rsidRPr="00E86C72" w:rsidRDefault="00E86C72" w:rsidP="00224B5D">
            <w:pPr>
              <w:autoSpaceDE w:val="0"/>
              <w:autoSpaceDN w:val="0"/>
              <w:adjustRightInd w:val="0"/>
              <w:jc w:val="right"/>
              <w:rPr>
                <w:rFonts w:ascii="Arial" w:hAnsi="Arial" w:cs="Arial"/>
                <w:color w:val="000000"/>
              </w:rPr>
            </w:pPr>
          </w:p>
        </w:tc>
      </w:tr>
      <w:tr w:rsidR="00E86C72" w:rsidRPr="00E86C72" w:rsidTr="00224B5D">
        <w:trPr>
          <w:trHeight w:val="113"/>
        </w:trPr>
        <w:tc>
          <w:tcPr>
            <w:tcW w:w="4320" w:type="dxa"/>
            <w:tcBorders>
              <w:top w:val="single" w:sz="6" w:space="0" w:color="auto"/>
              <w:left w:val="nil"/>
              <w:bottom w:val="double" w:sz="4" w:space="0" w:color="auto"/>
              <w:right w:val="nil"/>
            </w:tcBorders>
          </w:tcPr>
          <w:p w:rsidR="00E86C72" w:rsidRPr="00E86C72" w:rsidRDefault="00E86C72" w:rsidP="00224B5D">
            <w:pPr>
              <w:autoSpaceDE w:val="0"/>
              <w:autoSpaceDN w:val="0"/>
              <w:adjustRightInd w:val="0"/>
              <w:ind w:left="-108"/>
              <w:rPr>
                <w:rFonts w:ascii="Arial" w:hAnsi="Arial" w:cs="Arial"/>
                <w:bCs/>
                <w:color w:val="000000"/>
                <w:sz w:val="16"/>
                <w:szCs w:val="16"/>
              </w:rPr>
            </w:pPr>
            <w:r w:rsidRPr="00E86C72">
              <w:rPr>
                <w:rFonts w:ascii="Arial" w:hAnsi="Arial" w:cs="Arial"/>
                <w:bCs/>
                <w:color w:val="000000"/>
                <w:sz w:val="16"/>
                <w:szCs w:val="16"/>
              </w:rPr>
              <w:t>Toplam</w:t>
            </w:r>
          </w:p>
        </w:tc>
        <w:tc>
          <w:tcPr>
            <w:tcW w:w="1276" w:type="dxa"/>
            <w:tcBorders>
              <w:top w:val="single" w:sz="6" w:space="0" w:color="auto"/>
              <w:left w:val="nil"/>
              <w:bottom w:val="double" w:sz="4" w:space="0" w:color="auto"/>
              <w:right w:val="nil"/>
            </w:tcBorders>
            <w:vAlign w:val="bottom"/>
          </w:tcPr>
          <w:p w:rsidR="00E86C72" w:rsidRPr="00E86C72" w:rsidRDefault="00E86C72" w:rsidP="00224B5D">
            <w:pPr>
              <w:jc w:val="right"/>
              <w:rPr>
                <w:rFonts w:ascii="Arial" w:hAnsi="Arial" w:cs="Arial"/>
                <w:color w:val="000000"/>
                <w:sz w:val="16"/>
                <w:szCs w:val="16"/>
              </w:rPr>
            </w:pPr>
            <w:r w:rsidRPr="00E86C72">
              <w:rPr>
                <w:rFonts w:ascii="Arial" w:hAnsi="Arial" w:cs="Arial"/>
                <w:color w:val="000000"/>
                <w:sz w:val="16"/>
                <w:szCs w:val="16"/>
              </w:rPr>
              <w:t>49.598</w:t>
            </w:r>
          </w:p>
        </w:tc>
        <w:tc>
          <w:tcPr>
            <w:tcW w:w="2234" w:type="dxa"/>
            <w:tcBorders>
              <w:top w:val="single" w:sz="6" w:space="0" w:color="auto"/>
              <w:left w:val="nil"/>
              <w:bottom w:val="double" w:sz="4" w:space="0" w:color="auto"/>
              <w:right w:val="nil"/>
            </w:tcBorders>
            <w:vAlign w:val="bottom"/>
          </w:tcPr>
          <w:p w:rsidR="00E86C72" w:rsidRPr="00E86C72" w:rsidRDefault="00E86C72" w:rsidP="00224B5D">
            <w:pPr>
              <w:jc w:val="right"/>
              <w:rPr>
                <w:rFonts w:ascii="Arial" w:hAnsi="Arial" w:cs="Arial"/>
                <w:color w:val="000000"/>
                <w:sz w:val="16"/>
                <w:szCs w:val="16"/>
              </w:rPr>
            </w:pPr>
            <w:r w:rsidRPr="00E86C72">
              <w:rPr>
                <w:rFonts w:ascii="Arial" w:hAnsi="Arial" w:cs="Arial"/>
                <w:color w:val="000000"/>
                <w:sz w:val="16"/>
                <w:szCs w:val="16"/>
              </w:rPr>
              <w:t>49.598</w:t>
            </w:r>
          </w:p>
        </w:tc>
        <w:tc>
          <w:tcPr>
            <w:tcW w:w="1350" w:type="dxa"/>
            <w:tcBorders>
              <w:top w:val="single" w:sz="6" w:space="0" w:color="auto"/>
              <w:left w:val="nil"/>
              <w:bottom w:val="double" w:sz="4" w:space="0" w:color="auto"/>
              <w:right w:val="nil"/>
            </w:tcBorders>
            <w:vAlign w:val="bottom"/>
          </w:tcPr>
          <w:p w:rsidR="00E86C72" w:rsidRPr="00E86C72" w:rsidRDefault="00E86C72" w:rsidP="00224B5D">
            <w:pPr>
              <w:jc w:val="right"/>
              <w:rPr>
                <w:rFonts w:ascii="Arial" w:hAnsi="Arial" w:cs="Arial"/>
                <w:color w:val="000000"/>
                <w:sz w:val="16"/>
                <w:szCs w:val="16"/>
              </w:rPr>
            </w:pPr>
            <w:r w:rsidRPr="00E86C72">
              <w:rPr>
                <w:rFonts w:ascii="Arial" w:hAnsi="Arial" w:cs="Arial"/>
                <w:color w:val="000000"/>
                <w:sz w:val="16"/>
                <w:szCs w:val="16"/>
              </w:rPr>
              <w:t>49.598</w:t>
            </w:r>
          </w:p>
        </w:tc>
        <w:tc>
          <w:tcPr>
            <w:tcW w:w="1620" w:type="dxa"/>
            <w:tcBorders>
              <w:top w:val="single" w:sz="6" w:space="0" w:color="auto"/>
              <w:left w:val="nil"/>
              <w:bottom w:val="double" w:sz="4" w:space="0" w:color="auto"/>
              <w:right w:val="nil"/>
            </w:tcBorders>
          </w:tcPr>
          <w:p w:rsidR="00E86C72" w:rsidRPr="00E86C72" w:rsidRDefault="00E86C72" w:rsidP="00224B5D">
            <w:pPr>
              <w:autoSpaceDE w:val="0"/>
              <w:autoSpaceDN w:val="0"/>
              <w:adjustRightInd w:val="0"/>
              <w:jc w:val="right"/>
              <w:rPr>
                <w:rFonts w:ascii="Arial" w:hAnsi="Arial" w:cs="Arial"/>
                <w:bCs/>
                <w:color w:val="000000"/>
                <w:sz w:val="16"/>
                <w:szCs w:val="16"/>
              </w:rPr>
            </w:pPr>
            <w:r w:rsidRPr="00E86C72">
              <w:rPr>
                <w:rFonts w:ascii="Arial" w:hAnsi="Arial" w:cs="Arial"/>
                <w:bCs/>
                <w:color w:val="000000"/>
                <w:sz w:val="16"/>
                <w:szCs w:val="16"/>
              </w:rPr>
              <w:t>-</w:t>
            </w:r>
          </w:p>
        </w:tc>
        <w:tc>
          <w:tcPr>
            <w:tcW w:w="1440" w:type="dxa"/>
            <w:tcBorders>
              <w:top w:val="single" w:sz="6" w:space="0" w:color="auto"/>
              <w:left w:val="nil"/>
              <w:bottom w:val="double" w:sz="4" w:space="0" w:color="auto"/>
              <w:right w:val="nil"/>
            </w:tcBorders>
          </w:tcPr>
          <w:p w:rsidR="00E86C72" w:rsidRPr="00E86C72" w:rsidRDefault="00E86C72" w:rsidP="00224B5D">
            <w:pPr>
              <w:autoSpaceDE w:val="0"/>
              <w:autoSpaceDN w:val="0"/>
              <w:adjustRightInd w:val="0"/>
              <w:jc w:val="right"/>
              <w:rPr>
                <w:rFonts w:ascii="Arial" w:hAnsi="Arial" w:cs="Arial"/>
                <w:bCs/>
                <w:color w:val="000000"/>
                <w:sz w:val="16"/>
                <w:szCs w:val="16"/>
              </w:rPr>
            </w:pPr>
            <w:r w:rsidRPr="00E86C72">
              <w:rPr>
                <w:rFonts w:ascii="Arial" w:hAnsi="Arial" w:cs="Arial"/>
                <w:bCs/>
                <w:color w:val="000000"/>
                <w:sz w:val="16"/>
                <w:szCs w:val="16"/>
              </w:rPr>
              <w:t>-</w:t>
            </w:r>
          </w:p>
        </w:tc>
        <w:tc>
          <w:tcPr>
            <w:tcW w:w="1530" w:type="dxa"/>
            <w:tcBorders>
              <w:top w:val="single" w:sz="6" w:space="0" w:color="auto"/>
              <w:left w:val="nil"/>
              <w:bottom w:val="double" w:sz="4" w:space="0" w:color="auto"/>
              <w:right w:val="nil"/>
            </w:tcBorders>
          </w:tcPr>
          <w:p w:rsidR="00E86C72" w:rsidRPr="00E86C72" w:rsidRDefault="00E86C72" w:rsidP="00224B5D">
            <w:pPr>
              <w:autoSpaceDE w:val="0"/>
              <w:autoSpaceDN w:val="0"/>
              <w:adjustRightInd w:val="0"/>
              <w:jc w:val="right"/>
              <w:rPr>
                <w:rFonts w:ascii="Arial" w:hAnsi="Arial" w:cs="Arial"/>
                <w:bCs/>
                <w:color w:val="000000"/>
                <w:sz w:val="16"/>
                <w:szCs w:val="16"/>
              </w:rPr>
            </w:pPr>
            <w:r w:rsidRPr="00E86C72">
              <w:rPr>
                <w:rFonts w:ascii="Arial" w:hAnsi="Arial" w:cs="Arial"/>
                <w:bCs/>
                <w:color w:val="000000"/>
                <w:sz w:val="16"/>
                <w:szCs w:val="16"/>
              </w:rPr>
              <w:t>-</w:t>
            </w:r>
          </w:p>
        </w:tc>
      </w:tr>
    </w:tbl>
    <w:p w:rsidR="00E86C72" w:rsidRPr="00E86C72" w:rsidRDefault="00E86C72" w:rsidP="001C2851">
      <w:pPr>
        <w:widowControl w:val="0"/>
        <w:ind w:right="-23"/>
        <w:rPr>
          <w:rFonts w:ascii="Arial" w:hAnsi="Arial" w:cs="Arial"/>
          <w:lang w:val="tr-TR"/>
        </w:rPr>
      </w:pPr>
    </w:p>
    <w:p w:rsidR="00D322FB" w:rsidRPr="00A32D03" w:rsidRDefault="00D322FB" w:rsidP="001C2851">
      <w:pPr>
        <w:widowControl w:val="0"/>
        <w:ind w:right="-23"/>
        <w:rPr>
          <w:rFonts w:ascii="Arial" w:hAnsi="Arial" w:cs="Arial"/>
          <w:lang w:val="tr-TR"/>
        </w:rPr>
      </w:pPr>
      <w:r w:rsidRPr="00A32D03">
        <w:rPr>
          <w:rFonts w:ascii="Arial" w:hAnsi="Arial" w:cs="Arial"/>
          <w:lang w:val="tr-TR"/>
        </w:rPr>
        <w:t xml:space="preserve">Beklenen vadeler, sözleşme vadelerinden farklı olmadığı için ayrıca bir tablo verilmemiştir. </w:t>
      </w:r>
    </w:p>
    <w:p w:rsidR="00D322FB" w:rsidRDefault="00D322FB" w:rsidP="0090567F">
      <w:pPr>
        <w:widowControl w:val="0"/>
        <w:ind w:right="-23"/>
        <w:rPr>
          <w:rFonts w:ascii="Arial" w:hAnsi="Arial" w:cs="Arial"/>
          <w:highlight w:val="yellow"/>
          <w:lang w:val="tr-TR"/>
        </w:rPr>
      </w:pPr>
    </w:p>
    <w:p w:rsidR="00D322FB" w:rsidRDefault="00D322FB" w:rsidP="0090567F">
      <w:pPr>
        <w:widowControl w:val="0"/>
        <w:ind w:right="-23"/>
        <w:rPr>
          <w:rFonts w:ascii="Arial" w:hAnsi="Arial" w:cs="Arial"/>
          <w:highlight w:val="yellow"/>
          <w:lang w:val="tr-TR"/>
        </w:rPr>
        <w:sectPr w:rsidR="00D322FB" w:rsidSect="009665AF">
          <w:pgSz w:w="16834" w:h="11907" w:orient="landscape" w:code="9"/>
          <w:pgMar w:top="1107" w:right="1418" w:bottom="1418" w:left="1418" w:header="709" w:footer="709" w:gutter="0"/>
          <w:cols w:space="708"/>
          <w:docGrid w:linePitch="272"/>
        </w:sectPr>
      </w:pPr>
    </w:p>
    <w:p w:rsidR="00D322FB" w:rsidRPr="004006B6" w:rsidRDefault="00D322FB" w:rsidP="005C3EEB">
      <w:pPr>
        <w:pStyle w:val="BodyTextIndent"/>
        <w:ind w:left="567" w:hanging="567"/>
        <w:jc w:val="both"/>
        <w:outlineLvl w:val="0"/>
        <w:rPr>
          <w:rFonts w:ascii="Arial" w:hAnsi="Arial" w:cs="Arial"/>
          <w:b/>
          <w:sz w:val="20"/>
          <w:lang w:val="tr-TR"/>
        </w:rPr>
      </w:pPr>
      <w:r w:rsidRPr="004006B6">
        <w:rPr>
          <w:rFonts w:ascii="Arial" w:hAnsi="Arial" w:cs="Arial"/>
          <w:b/>
          <w:sz w:val="20"/>
          <w:lang w:val="tr-TR"/>
        </w:rPr>
        <w:lastRenderedPageBreak/>
        <w:t>25.</w:t>
      </w:r>
      <w:r w:rsidRPr="004006B6">
        <w:rPr>
          <w:rFonts w:ascii="Arial" w:hAnsi="Arial" w:cs="Arial"/>
          <w:b/>
          <w:sz w:val="20"/>
          <w:lang w:val="tr-TR"/>
        </w:rPr>
        <w:tab/>
        <w:t>Finansal araçlar</w:t>
      </w:r>
    </w:p>
    <w:p w:rsidR="00D322FB" w:rsidRPr="00667152" w:rsidRDefault="00D322FB" w:rsidP="003C0653">
      <w:pPr>
        <w:ind w:right="-306"/>
        <w:rPr>
          <w:rFonts w:ascii="Arial" w:hAnsi="Arial" w:cs="Arial"/>
          <w:lang w:val="tr-TR"/>
        </w:rPr>
      </w:pPr>
    </w:p>
    <w:p w:rsidR="00D322FB" w:rsidRPr="00667152" w:rsidRDefault="00D322FB" w:rsidP="00667152">
      <w:pPr>
        <w:pStyle w:val="BodyTextIndent"/>
        <w:spacing w:line="235" w:lineRule="auto"/>
        <w:ind w:left="0" w:firstLine="11"/>
        <w:rPr>
          <w:rFonts w:ascii="Arial" w:hAnsi="Arial" w:cs="Arial"/>
          <w:b/>
          <w:sz w:val="20"/>
          <w:lang w:val="tr-TR"/>
        </w:rPr>
      </w:pPr>
      <w:r w:rsidRPr="00667152">
        <w:rPr>
          <w:rFonts w:ascii="Arial" w:hAnsi="Arial" w:cs="Arial"/>
          <w:b/>
          <w:sz w:val="20"/>
          <w:lang w:val="tr-TR"/>
        </w:rPr>
        <w:t>Finansal enstrümanların gerçeğe uygun değeri</w:t>
      </w:r>
    </w:p>
    <w:p w:rsidR="00D322FB" w:rsidRDefault="00D322FB" w:rsidP="003C0653">
      <w:pPr>
        <w:ind w:right="-306"/>
        <w:rPr>
          <w:rFonts w:ascii="Arial" w:hAnsi="Arial" w:cs="Arial"/>
          <w:highlight w:val="yellow"/>
          <w:lang w:val="tr-TR"/>
        </w:rPr>
      </w:pPr>
    </w:p>
    <w:p w:rsidR="00D322FB" w:rsidRPr="007653BC" w:rsidRDefault="00D322FB" w:rsidP="007653BC">
      <w:pPr>
        <w:pStyle w:val="BodyTextIndent"/>
        <w:spacing w:line="235" w:lineRule="auto"/>
        <w:ind w:left="0" w:firstLine="0"/>
        <w:rPr>
          <w:rFonts w:ascii="Arial" w:hAnsi="Arial" w:cs="Arial"/>
          <w:sz w:val="20"/>
          <w:lang w:val="tr-TR"/>
        </w:rPr>
      </w:pPr>
      <w:r w:rsidRPr="007653BC">
        <w:rPr>
          <w:rFonts w:ascii="Arial" w:hAnsi="Arial" w:cs="Arial"/>
          <w:sz w:val="20"/>
          <w:lang w:val="tr-TR"/>
        </w:rPr>
        <w:t>Gerçeğe uygun değer, bilgili ve istekli taraflar arasında, piyasa koşullarına uygun olarak gerçekleşen işlemlerde, bir varlığın karşılığında el değiştirebileceği veya bir yükümlülüğün karşılanabileceği değerdir.</w:t>
      </w:r>
      <w:r>
        <w:rPr>
          <w:rFonts w:ascii="Arial" w:hAnsi="Arial" w:cs="Arial"/>
          <w:sz w:val="20"/>
          <w:lang w:val="tr-TR"/>
        </w:rPr>
        <w:t xml:space="preserve"> </w:t>
      </w:r>
      <w:r w:rsidRPr="007653BC">
        <w:rPr>
          <w:rFonts w:ascii="Arial" w:hAnsi="Arial" w:cs="Arial"/>
          <w:sz w:val="20"/>
          <w:lang w:val="tr-TR"/>
        </w:rPr>
        <w:t>Şirket, finansal enstrümanların tahmini gerçeğe uygun değerlerini halihazırda mevcut piyasa bilgileri ve uygun değerleme yöntemlerini kullanarak belirlemiştir. Bununla birlikte, piyasa bilgilerini değerlendirip gerçeğe uygun değerleri tahmin edebilmek yorum ve muhakeme gerektirmektedir. Sonuç olarak burada sunulan tahminler, Şirket’in cari bir piyasa işleminde elde edebileceği miktarların göstergesi olamaz.</w:t>
      </w:r>
    </w:p>
    <w:p w:rsidR="00D322FB" w:rsidRPr="007A0490" w:rsidRDefault="00D322FB" w:rsidP="007653BC">
      <w:pPr>
        <w:pStyle w:val="BodyTextIndent"/>
        <w:spacing w:line="235" w:lineRule="auto"/>
        <w:rPr>
          <w:rFonts w:ascii="Arial" w:hAnsi="Arial" w:cs="Arial"/>
          <w:sz w:val="20"/>
          <w:highlight w:val="yellow"/>
          <w:lang w:val="tr-TR"/>
        </w:rPr>
      </w:pPr>
    </w:p>
    <w:p w:rsidR="00D322FB" w:rsidRPr="006B4232" w:rsidRDefault="00D322FB" w:rsidP="007653BC">
      <w:pPr>
        <w:spacing w:line="230" w:lineRule="auto"/>
        <w:ind w:right="-23"/>
        <w:rPr>
          <w:rFonts w:ascii="Arial" w:hAnsi="Arial" w:cs="Arial"/>
          <w:lang w:val="tr-TR"/>
        </w:rPr>
      </w:pPr>
      <w:r w:rsidRPr="006B4232">
        <w:rPr>
          <w:rFonts w:ascii="Arial" w:hAnsi="Arial" w:cs="Arial"/>
          <w:lang w:val="tr-TR"/>
        </w:rPr>
        <w:t>Gerçeğe uygun değer farkı kar veya zarara yansıtılan finansal varlıklar dışındaki finansal varlıkların ve finansal yükümlülüklerin gerçeğe uygun değerlerinin tahmini için aşağıdaki yöntem ve varsayımlar kullanılmıştır:</w:t>
      </w:r>
    </w:p>
    <w:p w:rsidR="00D322FB" w:rsidRPr="00727376" w:rsidRDefault="00D322FB" w:rsidP="007653BC">
      <w:pPr>
        <w:spacing w:line="230" w:lineRule="auto"/>
        <w:jc w:val="both"/>
        <w:rPr>
          <w:rFonts w:ascii="Arial" w:hAnsi="Arial" w:cs="Arial"/>
          <w:bCs/>
          <w:iCs/>
          <w:highlight w:val="yellow"/>
          <w:lang w:val="tr-TR"/>
        </w:rPr>
      </w:pPr>
    </w:p>
    <w:p w:rsidR="00D322FB" w:rsidRPr="00C2623C" w:rsidRDefault="00D322FB" w:rsidP="007653BC">
      <w:pPr>
        <w:spacing w:line="230" w:lineRule="auto"/>
        <w:jc w:val="both"/>
        <w:rPr>
          <w:rFonts w:ascii="Arial" w:hAnsi="Arial" w:cs="Arial"/>
          <w:bCs/>
          <w:i/>
          <w:iCs/>
          <w:lang w:val="tr-TR"/>
        </w:rPr>
      </w:pPr>
      <w:r w:rsidRPr="00C2623C">
        <w:rPr>
          <w:rFonts w:ascii="Arial" w:hAnsi="Arial" w:cs="Arial"/>
          <w:bCs/>
          <w:i/>
          <w:iCs/>
          <w:lang w:val="tr-TR"/>
        </w:rPr>
        <w:t>Finansal varlıklar</w:t>
      </w:r>
    </w:p>
    <w:p w:rsidR="00D322FB" w:rsidRPr="00C2623C" w:rsidRDefault="00D322FB" w:rsidP="007653BC">
      <w:pPr>
        <w:tabs>
          <w:tab w:val="left" w:pos="0"/>
          <w:tab w:val="left" w:pos="209"/>
          <w:tab w:val="left" w:pos="418"/>
          <w:tab w:val="left" w:pos="626"/>
          <w:tab w:val="decimal" w:pos="6264"/>
          <w:tab w:val="decimal" w:pos="8561"/>
        </w:tabs>
        <w:suppressAutoHyphens/>
        <w:spacing w:line="230" w:lineRule="auto"/>
        <w:jc w:val="both"/>
        <w:rPr>
          <w:rFonts w:ascii="Arial" w:hAnsi="Arial" w:cs="Arial"/>
          <w:spacing w:val="-2"/>
          <w:lang w:val="tr-TR"/>
        </w:rPr>
      </w:pPr>
    </w:p>
    <w:p w:rsidR="00D322FB" w:rsidRPr="00C2623C" w:rsidRDefault="00D322FB" w:rsidP="007653BC">
      <w:pPr>
        <w:spacing w:line="230" w:lineRule="auto"/>
        <w:jc w:val="both"/>
        <w:rPr>
          <w:rFonts w:ascii="Arial" w:hAnsi="Arial" w:cs="Arial"/>
          <w:lang w:val="tr-TR"/>
        </w:rPr>
      </w:pPr>
      <w:r w:rsidRPr="00C2623C">
        <w:rPr>
          <w:rFonts w:ascii="Arial" w:hAnsi="Arial" w:cs="Arial"/>
          <w:lang w:val="tr-TR"/>
        </w:rPr>
        <w:t>Nakit ve nakit benzeri değerler ve diğer finansal varlıklar dahil olmak üzere maliyet bedeli ile gösterilen finansal varlıkların rayiç değerlerinin kısa vadeli olmaları ve muhtemel zararların önemsiz miktarda olabileceği düşünülerek defter değerlerine yaklaştığı öngörülmektedir.</w:t>
      </w:r>
    </w:p>
    <w:p w:rsidR="00D322FB" w:rsidRPr="00C2623C" w:rsidRDefault="00D322FB" w:rsidP="007653BC">
      <w:pPr>
        <w:spacing w:line="230" w:lineRule="auto"/>
        <w:jc w:val="both"/>
        <w:rPr>
          <w:rFonts w:ascii="Arial" w:hAnsi="Arial" w:cs="Arial"/>
          <w:lang w:val="tr-TR"/>
        </w:rPr>
      </w:pPr>
    </w:p>
    <w:p w:rsidR="00D322FB" w:rsidRPr="00C2623C" w:rsidRDefault="00D322FB" w:rsidP="007653BC">
      <w:pPr>
        <w:tabs>
          <w:tab w:val="left" w:pos="426"/>
        </w:tabs>
        <w:spacing w:line="230" w:lineRule="auto"/>
        <w:jc w:val="both"/>
        <w:rPr>
          <w:rFonts w:ascii="Arial" w:hAnsi="Arial" w:cs="Arial"/>
          <w:bCs/>
          <w:i/>
          <w:iCs/>
          <w:lang w:val="tr-TR"/>
        </w:rPr>
      </w:pPr>
      <w:r w:rsidRPr="00C2623C">
        <w:rPr>
          <w:rFonts w:ascii="Arial" w:hAnsi="Arial" w:cs="Arial"/>
          <w:bCs/>
          <w:i/>
          <w:iCs/>
          <w:lang w:val="tr-TR"/>
        </w:rPr>
        <w:t>Finansal yükümlülükler</w:t>
      </w:r>
    </w:p>
    <w:p w:rsidR="00D322FB" w:rsidRPr="00C2623C" w:rsidRDefault="00D322FB" w:rsidP="007653BC">
      <w:pPr>
        <w:tabs>
          <w:tab w:val="left" w:pos="284"/>
          <w:tab w:val="left" w:pos="442"/>
          <w:tab w:val="decimal" w:pos="6182"/>
          <w:tab w:val="decimal" w:pos="8501"/>
        </w:tabs>
        <w:suppressAutoHyphens/>
        <w:spacing w:line="230" w:lineRule="auto"/>
        <w:jc w:val="both"/>
        <w:rPr>
          <w:rFonts w:ascii="Arial" w:hAnsi="Arial" w:cs="Arial"/>
          <w:lang w:val="tr-TR"/>
        </w:rPr>
      </w:pPr>
    </w:p>
    <w:p w:rsidR="00D322FB" w:rsidRPr="00C2623C" w:rsidRDefault="00D322FB" w:rsidP="007653BC">
      <w:pPr>
        <w:spacing w:line="230" w:lineRule="auto"/>
        <w:jc w:val="both"/>
        <w:rPr>
          <w:rFonts w:ascii="Arial" w:hAnsi="Arial" w:cs="Arial"/>
          <w:lang w:val="tr-TR"/>
        </w:rPr>
      </w:pPr>
      <w:r w:rsidRPr="00C2623C">
        <w:rPr>
          <w:rFonts w:ascii="Arial" w:hAnsi="Arial" w:cs="Arial"/>
          <w:lang w:val="tr-TR"/>
        </w:rPr>
        <w:t>Kısa vadeli olmaları sebebiyle parasal yükümlülüklerin rayiç değerlerinin defter değerlerine yaklaştığı varsayılmaktadır.</w:t>
      </w:r>
    </w:p>
    <w:p w:rsidR="00D322FB" w:rsidRPr="00727376" w:rsidRDefault="00D322FB" w:rsidP="003C0653">
      <w:pPr>
        <w:ind w:right="-306"/>
        <w:rPr>
          <w:rFonts w:ascii="Arial" w:hAnsi="Arial" w:cs="Arial"/>
          <w:highlight w:val="yellow"/>
          <w:lang w:val="tr-TR"/>
        </w:rPr>
      </w:pPr>
    </w:p>
    <w:p w:rsidR="00D322FB" w:rsidRPr="00BB03BD" w:rsidRDefault="00D322FB" w:rsidP="00CC2DFF">
      <w:pPr>
        <w:autoSpaceDE w:val="0"/>
        <w:autoSpaceDN w:val="0"/>
        <w:adjustRightInd w:val="0"/>
        <w:rPr>
          <w:rFonts w:ascii="Arial" w:hAnsi="Arial" w:cs="Arial"/>
          <w:lang w:val="tr-TR"/>
        </w:rPr>
      </w:pPr>
      <w:r w:rsidRPr="00BB03BD">
        <w:rPr>
          <w:rFonts w:ascii="Arial" w:hAnsi="Arial" w:cs="Arial"/>
          <w:lang w:val="tr-TR"/>
        </w:rPr>
        <w:t>Finansal araçların kategorileri itibariyle defter değerleri ve gerçeğe uygun</w:t>
      </w:r>
      <w:r>
        <w:rPr>
          <w:rFonts w:ascii="Arial" w:hAnsi="Arial" w:cs="Arial"/>
          <w:lang w:val="tr-TR"/>
        </w:rPr>
        <w:t xml:space="preserve"> değerleri aşağıda sunulmuştur.</w:t>
      </w:r>
    </w:p>
    <w:p w:rsidR="00D322FB" w:rsidRDefault="00D322FB" w:rsidP="00AE0484">
      <w:pPr>
        <w:pStyle w:val="BodyTextIndent"/>
        <w:ind w:left="567" w:hanging="567"/>
        <w:jc w:val="both"/>
        <w:rPr>
          <w:rFonts w:ascii="Arial" w:hAnsi="Arial" w:cs="Arial"/>
          <w:sz w:val="20"/>
          <w:highlight w:val="yellow"/>
          <w:lang w:val="tr-TR"/>
        </w:rPr>
      </w:pPr>
    </w:p>
    <w:tbl>
      <w:tblPr>
        <w:tblW w:w="9404" w:type="dxa"/>
        <w:tblInd w:w="108" w:type="dxa"/>
        <w:tblLayout w:type="fixed"/>
        <w:tblLook w:val="0000" w:firstRow="0" w:lastRow="0" w:firstColumn="0" w:lastColumn="0" w:noHBand="0" w:noVBand="0"/>
      </w:tblPr>
      <w:tblGrid>
        <w:gridCol w:w="5670"/>
        <w:gridCol w:w="616"/>
        <w:gridCol w:w="1559"/>
        <w:gridCol w:w="1559"/>
      </w:tblGrid>
      <w:tr w:rsidR="00D322FB" w:rsidRPr="00BC5A23" w:rsidTr="007868A2">
        <w:trPr>
          <w:trHeight w:val="113"/>
        </w:trPr>
        <w:tc>
          <w:tcPr>
            <w:tcW w:w="5670" w:type="dxa"/>
            <w:tcBorders>
              <w:top w:val="single" w:sz="6" w:space="0" w:color="auto"/>
              <w:left w:val="nil"/>
              <w:bottom w:val="single" w:sz="6" w:space="0" w:color="auto"/>
              <w:right w:val="nil"/>
            </w:tcBorders>
            <w:vAlign w:val="bottom"/>
          </w:tcPr>
          <w:p w:rsidR="00D322FB" w:rsidRPr="00BC5A23" w:rsidRDefault="00D322FB" w:rsidP="00E86C72">
            <w:pPr>
              <w:autoSpaceDE w:val="0"/>
              <w:autoSpaceDN w:val="0"/>
              <w:adjustRightInd w:val="0"/>
              <w:ind w:hanging="108"/>
              <w:rPr>
                <w:rFonts w:ascii="Arial" w:hAnsi="Arial" w:cs="Arial"/>
                <w:b/>
                <w:bCs/>
                <w:color w:val="000000"/>
              </w:rPr>
            </w:pPr>
            <w:r w:rsidRPr="00BC5A23">
              <w:rPr>
                <w:rFonts w:ascii="Arial" w:hAnsi="Arial" w:cs="Arial"/>
                <w:b/>
                <w:bCs/>
                <w:color w:val="000000"/>
              </w:rPr>
              <w:t xml:space="preserve">31 </w:t>
            </w:r>
            <w:r w:rsidR="00E86C72">
              <w:rPr>
                <w:rFonts w:ascii="Arial" w:hAnsi="Arial" w:cs="Arial"/>
                <w:b/>
                <w:bCs/>
                <w:color w:val="000000"/>
              </w:rPr>
              <w:t>Mart</w:t>
            </w:r>
            <w:r w:rsidRPr="00BC5A23">
              <w:rPr>
                <w:rFonts w:ascii="Arial" w:hAnsi="Arial" w:cs="Arial"/>
                <w:b/>
                <w:bCs/>
                <w:color w:val="000000"/>
              </w:rPr>
              <w:t xml:space="preserve"> 201</w:t>
            </w:r>
            <w:r w:rsidR="00E86C72">
              <w:rPr>
                <w:rFonts w:ascii="Arial" w:hAnsi="Arial" w:cs="Arial"/>
                <w:b/>
                <w:bCs/>
                <w:color w:val="000000"/>
              </w:rPr>
              <w:t>5</w:t>
            </w:r>
          </w:p>
        </w:tc>
        <w:tc>
          <w:tcPr>
            <w:tcW w:w="616" w:type="dxa"/>
            <w:tcBorders>
              <w:top w:val="single" w:sz="6" w:space="0" w:color="auto"/>
              <w:left w:val="nil"/>
              <w:bottom w:val="single" w:sz="6" w:space="0" w:color="auto"/>
              <w:right w:val="nil"/>
            </w:tcBorders>
          </w:tcPr>
          <w:p w:rsidR="00D322FB" w:rsidRPr="00BC5A23" w:rsidRDefault="00D322FB" w:rsidP="00E125AB">
            <w:pPr>
              <w:autoSpaceDE w:val="0"/>
              <w:autoSpaceDN w:val="0"/>
              <w:adjustRightInd w:val="0"/>
              <w:spacing w:line="230" w:lineRule="auto"/>
              <w:jc w:val="right"/>
              <w:rPr>
                <w:rFonts w:ascii="Arial" w:hAnsi="Arial" w:cs="Arial"/>
                <w:b/>
                <w:lang w:val="tr-TR"/>
              </w:rPr>
            </w:pPr>
          </w:p>
          <w:p w:rsidR="00D322FB" w:rsidRPr="00BC5A23" w:rsidRDefault="00D322FB" w:rsidP="00E125AB">
            <w:pPr>
              <w:autoSpaceDE w:val="0"/>
              <w:autoSpaceDN w:val="0"/>
              <w:adjustRightInd w:val="0"/>
              <w:spacing w:line="230" w:lineRule="auto"/>
              <w:jc w:val="right"/>
              <w:rPr>
                <w:rFonts w:ascii="Arial" w:hAnsi="Arial" w:cs="Arial"/>
                <w:b/>
                <w:lang w:val="tr-TR"/>
              </w:rPr>
            </w:pPr>
            <w:r w:rsidRPr="00BC5A23">
              <w:rPr>
                <w:rFonts w:ascii="Arial" w:hAnsi="Arial" w:cs="Arial"/>
                <w:b/>
                <w:lang w:val="tr-TR"/>
              </w:rPr>
              <w:t>Not</w:t>
            </w:r>
          </w:p>
        </w:tc>
        <w:tc>
          <w:tcPr>
            <w:tcW w:w="1559" w:type="dxa"/>
            <w:tcBorders>
              <w:top w:val="single" w:sz="6" w:space="0" w:color="auto"/>
              <w:left w:val="nil"/>
              <w:bottom w:val="single" w:sz="6" w:space="0" w:color="auto"/>
              <w:right w:val="nil"/>
            </w:tcBorders>
            <w:vAlign w:val="bottom"/>
          </w:tcPr>
          <w:p w:rsidR="00D322FB" w:rsidRPr="00BC5A23" w:rsidRDefault="00D322FB" w:rsidP="00E125AB">
            <w:pPr>
              <w:autoSpaceDE w:val="0"/>
              <w:autoSpaceDN w:val="0"/>
              <w:adjustRightInd w:val="0"/>
              <w:jc w:val="right"/>
              <w:rPr>
                <w:rFonts w:ascii="Arial" w:hAnsi="Arial" w:cs="Arial"/>
                <w:b/>
                <w:bCs/>
                <w:color w:val="000000"/>
              </w:rPr>
            </w:pPr>
            <w:r w:rsidRPr="00BC5A23">
              <w:rPr>
                <w:rFonts w:ascii="Arial" w:hAnsi="Arial" w:cs="Arial"/>
                <w:b/>
                <w:bCs/>
                <w:color w:val="000000"/>
              </w:rPr>
              <w:t>Defter değeri</w:t>
            </w:r>
          </w:p>
        </w:tc>
        <w:tc>
          <w:tcPr>
            <w:tcW w:w="1559" w:type="dxa"/>
            <w:tcBorders>
              <w:top w:val="single" w:sz="6" w:space="0" w:color="auto"/>
              <w:left w:val="nil"/>
              <w:bottom w:val="single" w:sz="6" w:space="0" w:color="auto"/>
              <w:right w:val="nil"/>
            </w:tcBorders>
            <w:vAlign w:val="bottom"/>
          </w:tcPr>
          <w:p w:rsidR="00D322FB" w:rsidRPr="00BC5A23" w:rsidRDefault="00D322FB" w:rsidP="00E125AB">
            <w:pPr>
              <w:autoSpaceDE w:val="0"/>
              <w:autoSpaceDN w:val="0"/>
              <w:adjustRightInd w:val="0"/>
              <w:jc w:val="right"/>
              <w:rPr>
                <w:rFonts w:ascii="Arial" w:hAnsi="Arial" w:cs="Arial"/>
                <w:b/>
                <w:bCs/>
                <w:color w:val="000000"/>
              </w:rPr>
            </w:pPr>
            <w:r w:rsidRPr="00BC5A23">
              <w:rPr>
                <w:rFonts w:ascii="Arial" w:hAnsi="Arial" w:cs="Arial"/>
                <w:b/>
                <w:bCs/>
                <w:color w:val="000000"/>
              </w:rPr>
              <w:t>Gerçeğe uygun değeri</w:t>
            </w:r>
          </w:p>
        </w:tc>
      </w:tr>
      <w:tr w:rsidR="00D322FB" w:rsidRPr="00BC5A23" w:rsidTr="007868A2">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color w:val="000000"/>
              </w:rPr>
            </w:pPr>
          </w:p>
        </w:tc>
        <w:tc>
          <w:tcPr>
            <w:tcW w:w="616" w:type="dxa"/>
            <w:tcBorders>
              <w:top w:val="nil"/>
              <w:left w:val="nil"/>
              <w:bottom w:val="nil"/>
              <w:right w:val="nil"/>
            </w:tcBorders>
          </w:tcPr>
          <w:p w:rsidR="00D322FB" w:rsidRPr="00BC5A23" w:rsidRDefault="00D322FB"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E125AB">
            <w:pPr>
              <w:autoSpaceDE w:val="0"/>
              <w:autoSpaceDN w:val="0"/>
              <w:adjustRightInd w:val="0"/>
              <w:jc w:val="right"/>
              <w:rPr>
                <w:rFonts w:ascii="Arial" w:hAnsi="Arial" w:cs="Arial"/>
                <w:b/>
                <w:color w:val="000000"/>
              </w:rPr>
            </w:pPr>
          </w:p>
        </w:tc>
      </w:tr>
      <w:tr w:rsidR="00D322FB" w:rsidRPr="00BC5A23" w:rsidTr="007868A2">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b/>
                <w:iCs/>
                <w:color w:val="000000"/>
              </w:rPr>
            </w:pPr>
            <w:r w:rsidRPr="00BC5A23">
              <w:rPr>
                <w:rFonts w:ascii="Arial" w:hAnsi="Arial" w:cs="Arial"/>
                <w:b/>
                <w:iCs/>
                <w:color w:val="000000"/>
              </w:rPr>
              <w:t>Finansal varlıklar</w:t>
            </w:r>
          </w:p>
        </w:tc>
        <w:tc>
          <w:tcPr>
            <w:tcW w:w="616" w:type="dxa"/>
            <w:tcBorders>
              <w:top w:val="nil"/>
              <w:left w:val="nil"/>
              <w:bottom w:val="nil"/>
              <w:right w:val="nil"/>
            </w:tcBorders>
          </w:tcPr>
          <w:p w:rsidR="00D322FB" w:rsidRPr="00BC5A23" w:rsidRDefault="00D322FB"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E125AB">
            <w:pPr>
              <w:autoSpaceDE w:val="0"/>
              <w:autoSpaceDN w:val="0"/>
              <w:adjustRightInd w:val="0"/>
              <w:jc w:val="right"/>
              <w:rPr>
                <w:rFonts w:ascii="Arial" w:hAnsi="Arial" w:cs="Arial"/>
                <w:b/>
                <w:color w:val="000000"/>
              </w:rPr>
            </w:pPr>
          </w:p>
        </w:tc>
      </w:tr>
      <w:tr w:rsidR="00D322FB" w:rsidRPr="00BC5A23" w:rsidTr="00AB2CDB">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color w:val="000000"/>
              </w:rPr>
            </w:pPr>
            <w:r w:rsidRPr="00BC5A23">
              <w:rPr>
                <w:rFonts w:ascii="Arial" w:hAnsi="Arial" w:cs="Arial"/>
                <w:color w:val="000000"/>
              </w:rPr>
              <w:t>Nakit ve nakit benzerleri</w:t>
            </w:r>
          </w:p>
        </w:tc>
        <w:tc>
          <w:tcPr>
            <w:tcW w:w="616" w:type="dxa"/>
            <w:tcBorders>
              <w:top w:val="nil"/>
              <w:left w:val="nil"/>
              <w:bottom w:val="nil"/>
              <w:right w:val="nil"/>
            </w:tcBorders>
          </w:tcPr>
          <w:p w:rsidR="00D322FB" w:rsidRPr="00BC5A23" w:rsidRDefault="00D322FB" w:rsidP="00E125AB">
            <w:pPr>
              <w:autoSpaceDE w:val="0"/>
              <w:autoSpaceDN w:val="0"/>
              <w:adjustRightInd w:val="0"/>
              <w:jc w:val="right"/>
              <w:rPr>
                <w:rFonts w:ascii="Arial" w:hAnsi="Arial" w:cs="Arial"/>
                <w:b/>
                <w:color w:val="000000"/>
              </w:rPr>
            </w:pPr>
            <w:r w:rsidRPr="00BC5A23">
              <w:rPr>
                <w:rFonts w:ascii="Arial" w:hAnsi="Arial" w:cs="Arial"/>
                <w:b/>
                <w:color w:val="000000"/>
              </w:rPr>
              <w:t>4</w:t>
            </w:r>
          </w:p>
        </w:tc>
        <w:tc>
          <w:tcPr>
            <w:tcW w:w="1559" w:type="dxa"/>
            <w:tcBorders>
              <w:top w:val="nil"/>
              <w:left w:val="nil"/>
              <w:bottom w:val="nil"/>
              <w:right w:val="nil"/>
            </w:tcBorders>
            <w:vAlign w:val="bottom"/>
          </w:tcPr>
          <w:p w:rsidR="00D322FB" w:rsidRPr="00BC5A23" w:rsidRDefault="00D322FB" w:rsidP="00DF2E03">
            <w:pPr>
              <w:jc w:val="right"/>
              <w:rPr>
                <w:rFonts w:ascii="Arial" w:hAnsi="Arial" w:cs="Arial"/>
                <w:b/>
                <w:bCs/>
                <w:color w:val="000000"/>
              </w:rPr>
            </w:pPr>
            <w:r w:rsidRPr="00BC5A23">
              <w:rPr>
                <w:rFonts w:ascii="Arial" w:hAnsi="Arial" w:cs="Arial"/>
                <w:b/>
                <w:bCs/>
                <w:color w:val="000000"/>
              </w:rPr>
              <w:t>1.</w:t>
            </w:r>
            <w:r w:rsidR="00DF2E03">
              <w:rPr>
                <w:rFonts w:ascii="Arial" w:hAnsi="Arial" w:cs="Arial"/>
                <w:b/>
                <w:bCs/>
                <w:color w:val="000000"/>
              </w:rPr>
              <w:t>229</w:t>
            </w:r>
            <w:r w:rsidRPr="00BC5A23">
              <w:rPr>
                <w:rFonts w:ascii="Arial" w:hAnsi="Arial" w:cs="Arial"/>
                <w:b/>
                <w:bCs/>
                <w:color w:val="000000"/>
              </w:rPr>
              <w:t>.</w:t>
            </w:r>
            <w:r w:rsidR="00DF2E03">
              <w:rPr>
                <w:rFonts w:ascii="Arial" w:hAnsi="Arial" w:cs="Arial"/>
                <w:b/>
                <w:bCs/>
                <w:color w:val="000000"/>
              </w:rPr>
              <w:t>651</w:t>
            </w:r>
          </w:p>
        </w:tc>
        <w:tc>
          <w:tcPr>
            <w:tcW w:w="1559" w:type="dxa"/>
            <w:tcBorders>
              <w:top w:val="nil"/>
              <w:left w:val="nil"/>
              <w:bottom w:val="nil"/>
              <w:right w:val="nil"/>
            </w:tcBorders>
            <w:vAlign w:val="bottom"/>
          </w:tcPr>
          <w:p w:rsidR="00D322FB" w:rsidRPr="00BC5A23" w:rsidRDefault="00D322FB" w:rsidP="00AB2CDB">
            <w:pPr>
              <w:jc w:val="right"/>
              <w:rPr>
                <w:rFonts w:ascii="Arial" w:hAnsi="Arial" w:cs="Arial"/>
                <w:b/>
                <w:bCs/>
                <w:color w:val="000000"/>
              </w:rPr>
            </w:pPr>
            <w:r w:rsidRPr="00BC5A23">
              <w:rPr>
                <w:rFonts w:ascii="Arial" w:hAnsi="Arial" w:cs="Arial"/>
                <w:b/>
                <w:bCs/>
                <w:color w:val="000000"/>
              </w:rPr>
              <w:t>1.124.462</w:t>
            </w:r>
          </w:p>
        </w:tc>
      </w:tr>
      <w:tr w:rsidR="00D322FB" w:rsidRPr="00BC5A23" w:rsidTr="00BC5A23">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color w:val="000000"/>
              </w:rPr>
            </w:pPr>
            <w:r w:rsidRPr="00BC5A23">
              <w:rPr>
                <w:rFonts w:ascii="Arial" w:hAnsi="Arial" w:cs="Arial"/>
                <w:color w:val="000000"/>
              </w:rPr>
              <w:t>Gerçeğe uygun değer farkı kar veya zarara yansıtılan finansal varlıklar</w:t>
            </w:r>
          </w:p>
        </w:tc>
        <w:tc>
          <w:tcPr>
            <w:tcW w:w="616" w:type="dxa"/>
            <w:tcBorders>
              <w:top w:val="nil"/>
              <w:left w:val="nil"/>
              <w:bottom w:val="nil"/>
              <w:right w:val="nil"/>
            </w:tcBorders>
            <w:vAlign w:val="bottom"/>
          </w:tcPr>
          <w:p w:rsidR="00D322FB" w:rsidRPr="00BC5A23" w:rsidRDefault="00D322FB" w:rsidP="00BC5A23">
            <w:pPr>
              <w:autoSpaceDE w:val="0"/>
              <w:autoSpaceDN w:val="0"/>
              <w:adjustRightInd w:val="0"/>
              <w:jc w:val="right"/>
              <w:rPr>
                <w:rFonts w:ascii="Arial" w:hAnsi="Arial" w:cs="Arial"/>
                <w:b/>
                <w:color w:val="000000"/>
              </w:rPr>
            </w:pPr>
            <w:r w:rsidRPr="00BC5A23">
              <w:rPr>
                <w:rFonts w:ascii="Arial" w:hAnsi="Arial" w:cs="Arial"/>
                <w:b/>
                <w:color w:val="000000"/>
              </w:rPr>
              <w:t>5</w:t>
            </w:r>
          </w:p>
        </w:tc>
        <w:tc>
          <w:tcPr>
            <w:tcW w:w="1559" w:type="dxa"/>
            <w:tcBorders>
              <w:top w:val="nil"/>
              <w:left w:val="nil"/>
              <w:bottom w:val="nil"/>
              <w:right w:val="nil"/>
            </w:tcBorders>
            <w:vAlign w:val="bottom"/>
          </w:tcPr>
          <w:p w:rsidR="00D322FB" w:rsidRPr="00BC5A23" w:rsidRDefault="00DF2E03" w:rsidP="00DF2E03">
            <w:pPr>
              <w:jc w:val="right"/>
              <w:rPr>
                <w:rFonts w:ascii="Arial" w:hAnsi="Arial" w:cs="Arial"/>
                <w:b/>
                <w:bCs/>
                <w:color w:val="000000"/>
              </w:rPr>
            </w:pPr>
            <w:r>
              <w:rPr>
                <w:rFonts w:ascii="Arial" w:hAnsi="Arial" w:cs="Arial"/>
                <w:b/>
                <w:bCs/>
                <w:color w:val="000000"/>
              </w:rPr>
              <w:t>101.409</w:t>
            </w:r>
          </w:p>
        </w:tc>
        <w:tc>
          <w:tcPr>
            <w:tcW w:w="1559" w:type="dxa"/>
            <w:tcBorders>
              <w:top w:val="nil"/>
              <w:left w:val="nil"/>
              <w:bottom w:val="nil"/>
              <w:right w:val="nil"/>
            </w:tcBorders>
            <w:vAlign w:val="bottom"/>
          </w:tcPr>
          <w:p w:rsidR="00D322FB" w:rsidRPr="00BC5A23" w:rsidRDefault="00D322FB" w:rsidP="00BC5A23">
            <w:pPr>
              <w:jc w:val="right"/>
              <w:rPr>
                <w:rFonts w:ascii="Arial" w:hAnsi="Arial" w:cs="Arial"/>
                <w:b/>
                <w:bCs/>
                <w:color w:val="000000"/>
              </w:rPr>
            </w:pPr>
            <w:r w:rsidRPr="00BC5A23">
              <w:rPr>
                <w:rFonts w:ascii="Arial" w:hAnsi="Arial" w:cs="Arial"/>
                <w:b/>
                <w:bCs/>
                <w:color w:val="000000"/>
              </w:rPr>
              <w:t>99.348</w:t>
            </w:r>
          </w:p>
        </w:tc>
      </w:tr>
      <w:tr w:rsidR="00D322FB" w:rsidRPr="00BC5A23" w:rsidTr="00AB2CDB">
        <w:trPr>
          <w:trHeight w:val="113"/>
        </w:trPr>
        <w:tc>
          <w:tcPr>
            <w:tcW w:w="5670" w:type="dxa"/>
            <w:tcBorders>
              <w:top w:val="nil"/>
              <w:left w:val="nil"/>
              <w:bottom w:val="nil"/>
              <w:right w:val="nil"/>
            </w:tcBorders>
            <w:vAlign w:val="bottom"/>
          </w:tcPr>
          <w:p w:rsidR="00D322FB" w:rsidRPr="00424945" w:rsidRDefault="00D322FB" w:rsidP="00E125AB">
            <w:pPr>
              <w:autoSpaceDE w:val="0"/>
              <w:autoSpaceDN w:val="0"/>
              <w:adjustRightInd w:val="0"/>
              <w:ind w:hanging="108"/>
              <w:rPr>
                <w:rFonts w:ascii="Arial" w:hAnsi="Arial" w:cs="Arial"/>
                <w:iCs/>
                <w:color w:val="000000"/>
              </w:rPr>
            </w:pPr>
            <w:r w:rsidRPr="00424945">
              <w:rPr>
                <w:rFonts w:ascii="Arial" w:hAnsi="Arial" w:cs="Arial"/>
                <w:iCs/>
                <w:color w:val="000000"/>
              </w:rPr>
              <w:t>Ticari alacaklar</w:t>
            </w:r>
          </w:p>
        </w:tc>
        <w:tc>
          <w:tcPr>
            <w:tcW w:w="616" w:type="dxa"/>
            <w:tcBorders>
              <w:top w:val="nil"/>
              <w:left w:val="nil"/>
              <w:bottom w:val="nil"/>
              <w:right w:val="nil"/>
            </w:tcBorders>
          </w:tcPr>
          <w:p w:rsidR="00D322FB" w:rsidRPr="00BC5A23" w:rsidRDefault="00D322FB" w:rsidP="00BC5A23">
            <w:pPr>
              <w:autoSpaceDE w:val="0"/>
              <w:autoSpaceDN w:val="0"/>
              <w:adjustRightInd w:val="0"/>
              <w:jc w:val="right"/>
              <w:rPr>
                <w:rFonts w:ascii="Arial" w:hAnsi="Arial" w:cs="Arial"/>
                <w:b/>
                <w:color w:val="000000"/>
              </w:rPr>
            </w:pPr>
            <w:r>
              <w:rPr>
                <w:rFonts w:ascii="Arial" w:hAnsi="Arial" w:cs="Arial"/>
                <w:b/>
                <w:color w:val="000000"/>
              </w:rPr>
              <w:t>6</w:t>
            </w:r>
          </w:p>
        </w:tc>
        <w:tc>
          <w:tcPr>
            <w:tcW w:w="1559" w:type="dxa"/>
            <w:tcBorders>
              <w:top w:val="nil"/>
              <w:left w:val="nil"/>
              <w:bottom w:val="nil"/>
              <w:right w:val="nil"/>
            </w:tcBorders>
            <w:vAlign w:val="bottom"/>
          </w:tcPr>
          <w:p w:rsidR="00D322FB" w:rsidRPr="00BC5A23" w:rsidRDefault="00DF2E03" w:rsidP="00DF2E03">
            <w:pPr>
              <w:autoSpaceDE w:val="0"/>
              <w:autoSpaceDN w:val="0"/>
              <w:adjustRightInd w:val="0"/>
              <w:jc w:val="right"/>
              <w:rPr>
                <w:rFonts w:ascii="Arial" w:hAnsi="Arial" w:cs="Arial"/>
                <w:b/>
                <w:color w:val="000000"/>
              </w:rPr>
            </w:pPr>
            <w:r>
              <w:rPr>
                <w:rFonts w:ascii="Arial" w:hAnsi="Arial" w:cs="Arial"/>
                <w:b/>
                <w:color w:val="000000"/>
              </w:rPr>
              <w:t>11.472</w:t>
            </w:r>
          </w:p>
        </w:tc>
        <w:tc>
          <w:tcPr>
            <w:tcW w:w="1559" w:type="dxa"/>
            <w:tcBorders>
              <w:top w:val="nil"/>
              <w:left w:val="nil"/>
              <w:bottom w:val="nil"/>
              <w:right w:val="nil"/>
            </w:tcBorders>
            <w:vAlign w:val="bottom"/>
          </w:tcPr>
          <w:p w:rsidR="00D322FB" w:rsidRPr="00BC5A23" w:rsidRDefault="00D322FB" w:rsidP="00AB2CDB">
            <w:pPr>
              <w:autoSpaceDE w:val="0"/>
              <w:autoSpaceDN w:val="0"/>
              <w:adjustRightInd w:val="0"/>
              <w:jc w:val="right"/>
              <w:rPr>
                <w:rFonts w:ascii="Arial" w:hAnsi="Arial" w:cs="Arial"/>
                <w:b/>
                <w:color w:val="000000"/>
              </w:rPr>
            </w:pPr>
            <w:r>
              <w:rPr>
                <w:rFonts w:ascii="Arial" w:hAnsi="Arial" w:cs="Arial"/>
                <w:b/>
                <w:color w:val="000000"/>
              </w:rPr>
              <w:t>12.097</w:t>
            </w:r>
          </w:p>
        </w:tc>
      </w:tr>
      <w:tr w:rsidR="00D322FB" w:rsidRPr="00BC5A23" w:rsidTr="00AB2CDB">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b/>
                <w:iCs/>
                <w:color w:val="000000"/>
              </w:rPr>
            </w:pPr>
          </w:p>
        </w:tc>
        <w:tc>
          <w:tcPr>
            <w:tcW w:w="616" w:type="dxa"/>
            <w:tcBorders>
              <w:top w:val="nil"/>
              <w:left w:val="nil"/>
              <w:bottom w:val="nil"/>
              <w:right w:val="nil"/>
            </w:tcBorders>
          </w:tcPr>
          <w:p w:rsidR="00D322FB" w:rsidRPr="00BC5A23" w:rsidRDefault="00D322FB" w:rsidP="00BC5A23">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AB2CD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AB2CDB">
            <w:pPr>
              <w:autoSpaceDE w:val="0"/>
              <w:autoSpaceDN w:val="0"/>
              <w:adjustRightInd w:val="0"/>
              <w:jc w:val="right"/>
              <w:rPr>
                <w:rFonts w:ascii="Arial" w:hAnsi="Arial" w:cs="Arial"/>
                <w:b/>
                <w:color w:val="000000"/>
              </w:rPr>
            </w:pPr>
          </w:p>
        </w:tc>
      </w:tr>
      <w:tr w:rsidR="00D322FB" w:rsidRPr="00BC5A23" w:rsidTr="00AB2CDB">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b/>
                <w:iCs/>
                <w:color w:val="000000"/>
              </w:rPr>
            </w:pPr>
            <w:r w:rsidRPr="00BC5A23">
              <w:rPr>
                <w:rFonts w:ascii="Arial" w:hAnsi="Arial" w:cs="Arial"/>
                <w:b/>
                <w:iCs/>
                <w:color w:val="000000"/>
              </w:rPr>
              <w:t>Finansal yükümlülükler</w:t>
            </w:r>
          </w:p>
        </w:tc>
        <w:tc>
          <w:tcPr>
            <w:tcW w:w="616" w:type="dxa"/>
            <w:tcBorders>
              <w:top w:val="nil"/>
              <w:left w:val="nil"/>
              <w:bottom w:val="nil"/>
              <w:right w:val="nil"/>
            </w:tcBorders>
          </w:tcPr>
          <w:p w:rsidR="00D322FB" w:rsidRPr="00BC5A23" w:rsidRDefault="00D322FB"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AB2CD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AB2CDB">
            <w:pPr>
              <w:autoSpaceDE w:val="0"/>
              <w:autoSpaceDN w:val="0"/>
              <w:adjustRightInd w:val="0"/>
              <w:jc w:val="right"/>
              <w:rPr>
                <w:rFonts w:ascii="Arial" w:hAnsi="Arial" w:cs="Arial"/>
                <w:b/>
                <w:color w:val="000000"/>
              </w:rPr>
            </w:pPr>
          </w:p>
        </w:tc>
      </w:tr>
      <w:tr w:rsidR="00D322FB" w:rsidRPr="00BC5A23" w:rsidTr="00AB2CDB">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color w:val="000000"/>
              </w:rPr>
            </w:pPr>
            <w:r w:rsidRPr="00BC5A23">
              <w:rPr>
                <w:rFonts w:ascii="Arial" w:hAnsi="Arial" w:cs="Arial"/>
                <w:color w:val="000000"/>
              </w:rPr>
              <w:t xml:space="preserve">İlişkili taraflara borçlar </w:t>
            </w:r>
          </w:p>
        </w:tc>
        <w:tc>
          <w:tcPr>
            <w:tcW w:w="616" w:type="dxa"/>
            <w:tcBorders>
              <w:top w:val="nil"/>
              <w:left w:val="nil"/>
              <w:bottom w:val="nil"/>
              <w:right w:val="nil"/>
            </w:tcBorders>
          </w:tcPr>
          <w:p w:rsidR="00D322FB" w:rsidRPr="00BC5A23" w:rsidRDefault="00D322FB" w:rsidP="00E125AB">
            <w:pPr>
              <w:autoSpaceDE w:val="0"/>
              <w:autoSpaceDN w:val="0"/>
              <w:adjustRightInd w:val="0"/>
              <w:jc w:val="right"/>
              <w:rPr>
                <w:rFonts w:ascii="Arial" w:hAnsi="Arial" w:cs="Arial"/>
                <w:b/>
                <w:color w:val="000000"/>
              </w:rPr>
            </w:pPr>
            <w:r w:rsidRPr="00BC5A23">
              <w:rPr>
                <w:rFonts w:ascii="Arial" w:hAnsi="Arial" w:cs="Arial"/>
                <w:b/>
                <w:color w:val="000000"/>
              </w:rPr>
              <w:t>6</w:t>
            </w:r>
          </w:p>
        </w:tc>
        <w:tc>
          <w:tcPr>
            <w:tcW w:w="1559" w:type="dxa"/>
            <w:tcBorders>
              <w:top w:val="nil"/>
              <w:left w:val="nil"/>
              <w:bottom w:val="nil"/>
              <w:right w:val="nil"/>
            </w:tcBorders>
            <w:vAlign w:val="bottom"/>
          </w:tcPr>
          <w:p w:rsidR="00D322FB" w:rsidRPr="00BC5A23" w:rsidRDefault="00DF2E03" w:rsidP="00DF2E03">
            <w:pPr>
              <w:jc w:val="right"/>
              <w:rPr>
                <w:rFonts w:ascii="Arial" w:hAnsi="Arial" w:cs="Arial"/>
                <w:b/>
                <w:bCs/>
                <w:color w:val="000000"/>
              </w:rPr>
            </w:pPr>
            <w:r>
              <w:rPr>
                <w:rFonts w:ascii="Arial" w:hAnsi="Arial" w:cs="Arial"/>
                <w:b/>
                <w:bCs/>
                <w:color w:val="000000"/>
              </w:rPr>
              <w:t>15</w:t>
            </w:r>
            <w:r w:rsidR="00D322FB" w:rsidRPr="00BC5A23">
              <w:rPr>
                <w:rFonts w:ascii="Arial" w:hAnsi="Arial" w:cs="Arial"/>
                <w:b/>
                <w:bCs/>
                <w:color w:val="000000"/>
              </w:rPr>
              <w:t>.</w:t>
            </w:r>
            <w:r>
              <w:rPr>
                <w:rFonts w:ascii="Arial" w:hAnsi="Arial" w:cs="Arial"/>
                <w:b/>
                <w:bCs/>
                <w:color w:val="000000"/>
              </w:rPr>
              <w:t>290</w:t>
            </w:r>
          </w:p>
        </w:tc>
        <w:tc>
          <w:tcPr>
            <w:tcW w:w="1559" w:type="dxa"/>
            <w:tcBorders>
              <w:top w:val="nil"/>
              <w:left w:val="nil"/>
              <w:bottom w:val="nil"/>
              <w:right w:val="nil"/>
            </w:tcBorders>
            <w:vAlign w:val="bottom"/>
          </w:tcPr>
          <w:p w:rsidR="00D322FB" w:rsidRPr="00BC5A23" w:rsidRDefault="00D322FB" w:rsidP="00AB2CDB">
            <w:pPr>
              <w:jc w:val="right"/>
              <w:rPr>
                <w:rFonts w:ascii="Arial" w:hAnsi="Arial" w:cs="Arial"/>
                <w:b/>
                <w:bCs/>
                <w:color w:val="000000"/>
              </w:rPr>
            </w:pPr>
            <w:r w:rsidRPr="00BC5A23">
              <w:rPr>
                <w:rFonts w:ascii="Arial" w:hAnsi="Arial" w:cs="Arial"/>
                <w:b/>
                <w:bCs/>
                <w:color w:val="000000"/>
              </w:rPr>
              <w:t>10.816</w:t>
            </w:r>
          </w:p>
        </w:tc>
      </w:tr>
      <w:tr w:rsidR="00D322FB" w:rsidRPr="00BC5A23" w:rsidTr="00AB2CDB">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color w:val="000000"/>
              </w:rPr>
            </w:pPr>
            <w:r w:rsidRPr="00BC5A23">
              <w:rPr>
                <w:rFonts w:ascii="Arial" w:hAnsi="Arial" w:cs="Arial"/>
                <w:color w:val="000000"/>
              </w:rPr>
              <w:t>Diğer ticari borçlar</w:t>
            </w:r>
          </w:p>
        </w:tc>
        <w:tc>
          <w:tcPr>
            <w:tcW w:w="616" w:type="dxa"/>
            <w:tcBorders>
              <w:top w:val="nil"/>
              <w:left w:val="nil"/>
              <w:bottom w:val="nil"/>
              <w:right w:val="nil"/>
            </w:tcBorders>
          </w:tcPr>
          <w:p w:rsidR="00D322FB" w:rsidRPr="00BC5A23" w:rsidRDefault="00D322FB" w:rsidP="00E125AB">
            <w:pPr>
              <w:autoSpaceDE w:val="0"/>
              <w:autoSpaceDN w:val="0"/>
              <w:adjustRightInd w:val="0"/>
              <w:jc w:val="right"/>
              <w:rPr>
                <w:rFonts w:ascii="Arial" w:hAnsi="Arial" w:cs="Arial"/>
                <w:b/>
                <w:color w:val="000000"/>
              </w:rPr>
            </w:pPr>
            <w:r w:rsidRPr="00BC5A23">
              <w:rPr>
                <w:rFonts w:ascii="Arial" w:hAnsi="Arial" w:cs="Arial"/>
                <w:b/>
                <w:color w:val="000000"/>
              </w:rPr>
              <w:t>6</w:t>
            </w:r>
          </w:p>
        </w:tc>
        <w:tc>
          <w:tcPr>
            <w:tcW w:w="1559" w:type="dxa"/>
            <w:tcBorders>
              <w:top w:val="nil"/>
              <w:left w:val="nil"/>
              <w:bottom w:val="nil"/>
              <w:right w:val="nil"/>
            </w:tcBorders>
            <w:vAlign w:val="bottom"/>
          </w:tcPr>
          <w:p w:rsidR="00D322FB" w:rsidRPr="00BC5A23" w:rsidRDefault="00DF2E03" w:rsidP="00DF2E03">
            <w:pPr>
              <w:jc w:val="right"/>
              <w:rPr>
                <w:rFonts w:ascii="Arial" w:hAnsi="Arial" w:cs="Arial"/>
                <w:b/>
                <w:bCs/>
                <w:color w:val="000000"/>
              </w:rPr>
            </w:pPr>
            <w:r>
              <w:rPr>
                <w:rFonts w:ascii="Arial" w:hAnsi="Arial" w:cs="Arial"/>
                <w:b/>
                <w:bCs/>
                <w:color w:val="000000"/>
              </w:rPr>
              <w:t>39</w:t>
            </w:r>
            <w:r w:rsidR="00D322FB" w:rsidRPr="00BC5A23">
              <w:rPr>
                <w:rFonts w:ascii="Arial" w:hAnsi="Arial" w:cs="Arial"/>
                <w:b/>
                <w:bCs/>
                <w:color w:val="000000"/>
              </w:rPr>
              <w:t>.</w:t>
            </w:r>
            <w:r>
              <w:rPr>
                <w:rFonts w:ascii="Arial" w:hAnsi="Arial" w:cs="Arial"/>
                <w:b/>
                <w:bCs/>
                <w:color w:val="000000"/>
              </w:rPr>
              <w:t>803</w:t>
            </w:r>
          </w:p>
        </w:tc>
        <w:tc>
          <w:tcPr>
            <w:tcW w:w="1559" w:type="dxa"/>
            <w:tcBorders>
              <w:top w:val="nil"/>
              <w:left w:val="nil"/>
              <w:bottom w:val="nil"/>
              <w:right w:val="nil"/>
            </w:tcBorders>
            <w:vAlign w:val="bottom"/>
          </w:tcPr>
          <w:p w:rsidR="00D322FB" w:rsidRPr="00BC5A23" w:rsidRDefault="00D322FB" w:rsidP="00AB2CDB">
            <w:pPr>
              <w:jc w:val="right"/>
              <w:rPr>
                <w:rFonts w:ascii="Arial" w:hAnsi="Arial" w:cs="Arial"/>
                <w:b/>
                <w:bCs/>
                <w:color w:val="000000"/>
              </w:rPr>
            </w:pPr>
            <w:r w:rsidRPr="00BC5A23">
              <w:rPr>
                <w:rFonts w:ascii="Arial" w:hAnsi="Arial" w:cs="Arial"/>
                <w:b/>
                <w:bCs/>
                <w:color w:val="000000"/>
              </w:rPr>
              <w:t>22.677</w:t>
            </w:r>
          </w:p>
        </w:tc>
      </w:tr>
      <w:tr w:rsidR="00D322FB" w:rsidRPr="00BC5A23" w:rsidTr="00AB2CDB">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color w:val="000000"/>
              </w:rPr>
            </w:pPr>
            <w:r w:rsidRPr="00BC5A23">
              <w:rPr>
                <w:rFonts w:ascii="Arial" w:hAnsi="Arial" w:cs="Arial"/>
                <w:color w:val="000000"/>
              </w:rPr>
              <w:t xml:space="preserve">Diğer borçlar </w:t>
            </w:r>
          </w:p>
        </w:tc>
        <w:tc>
          <w:tcPr>
            <w:tcW w:w="616" w:type="dxa"/>
            <w:tcBorders>
              <w:top w:val="nil"/>
              <w:left w:val="nil"/>
              <w:bottom w:val="nil"/>
              <w:right w:val="nil"/>
            </w:tcBorders>
          </w:tcPr>
          <w:p w:rsidR="00D322FB" w:rsidRPr="00BC5A23" w:rsidRDefault="00D322FB" w:rsidP="00E125AB">
            <w:pPr>
              <w:autoSpaceDE w:val="0"/>
              <w:autoSpaceDN w:val="0"/>
              <w:adjustRightInd w:val="0"/>
              <w:jc w:val="right"/>
              <w:rPr>
                <w:rFonts w:ascii="Arial" w:hAnsi="Arial" w:cs="Arial"/>
                <w:b/>
                <w:color w:val="000000"/>
              </w:rPr>
            </w:pPr>
            <w:r w:rsidRPr="00BC5A23">
              <w:rPr>
                <w:rFonts w:ascii="Arial" w:hAnsi="Arial" w:cs="Arial"/>
                <w:b/>
                <w:color w:val="000000"/>
              </w:rPr>
              <w:t>9</w:t>
            </w:r>
          </w:p>
        </w:tc>
        <w:tc>
          <w:tcPr>
            <w:tcW w:w="1559" w:type="dxa"/>
            <w:tcBorders>
              <w:top w:val="nil"/>
              <w:left w:val="nil"/>
              <w:bottom w:val="nil"/>
              <w:right w:val="nil"/>
            </w:tcBorders>
            <w:vAlign w:val="bottom"/>
          </w:tcPr>
          <w:p w:rsidR="00D322FB" w:rsidRPr="00BC5A23" w:rsidRDefault="00D322FB" w:rsidP="00DF2E03">
            <w:pPr>
              <w:jc w:val="right"/>
              <w:rPr>
                <w:rFonts w:ascii="Arial" w:hAnsi="Arial" w:cs="Arial"/>
                <w:b/>
                <w:bCs/>
                <w:color w:val="000000"/>
              </w:rPr>
            </w:pPr>
            <w:r w:rsidRPr="00BC5A23">
              <w:rPr>
                <w:rFonts w:ascii="Arial" w:hAnsi="Arial" w:cs="Arial"/>
                <w:b/>
                <w:bCs/>
                <w:color w:val="000000"/>
              </w:rPr>
              <w:t>1</w:t>
            </w:r>
            <w:r w:rsidR="00DF2E03">
              <w:rPr>
                <w:rFonts w:ascii="Arial" w:hAnsi="Arial" w:cs="Arial"/>
                <w:b/>
                <w:bCs/>
                <w:color w:val="000000"/>
              </w:rPr>
              <w:t>8</w:t>
            </w:r>
            <w:r w:rsidRPr="00BC5A23">
              <w:rPr>
                <w:rFonts w:ascii="Arial" w:hAnsi="Arial" w:cs="Arial"/>
                <w:b/>
                <w:bCs/>
                <w:color w:val="000000"/>
              </w:rPr>
              <w:t>.</w:t>
            </w:r>
            <w:r w:rsidR="00DF2E03">
              <w:rPr>
                <w:rFonts w:ascii="Arial" w:hAnsi="Arial" w:cs="Arial"/>
                <w:b/>
                <w:bCs/>
                <w:color w:val="000000"/>
              </w:rPr>
              <w:t>491</w:t>
            </w:r>
          </w:p>
        </w:tc>
        <w:tc>
          <w:tcPr>
            <w:tcW w:w="1559" w:type="dxa"/>
            <w:tcBorders>
              <w:top w:val="nil"/>
              <w:left w:val="nil"/>
              <w:bottom w:val="nil"/>
              <w:right w:val="nil"/>
            </w:tcBorders>
            <w:vAlign w:val="bottom"/>
          </w:tcPr>
          <w:p w:rsidR="00D322FB" w:rsidRPr="00BC5A23" w:rsidRDefault="00D322FB" w:rsidP="00AB2CDB">
            <w:pPr>
              <w:jc w:val="right"/>
              <w:rPr>
                <w:rFonts w:ascii="Arial" w:hAnsi="Arial" w:cs="Arial"/>
                <w:b/>
                <w:bCs/>
                <w:color w:val="000000"/>
              </w:rPr>
            </w:pPr>
            <w:r w:rsidRPr="00BC5A23">
              <w:rPr>
                <w:rFonts w:ascii="Arial" w:hAnsi="Arial" w:cs="Arial"/>
                <w:b/>
                <w:bCs/>
                <w:color w:val="000000"/>
              </w:rPr>
              <w:t>16.105</w:t>
            </w:r>
          </w:p>
        </w:tc>
      </w:tr>
      <w:tr w:rsidR="00D322FB" w:rsidRPr="00BC5A23" w:rsidTr="007868A2">
        <w:trPr>
          <w:trHeight w:val="113"/>
        </w:trPr>
        <w:tc>
          <w:tcPr>
            <w:tcW w:w="5670" w:type="dxa"/>
            <w:tcBorders>
              <w:top w:val="nil"/>
              <w:left w:val="nil"/>
              <w:bottom w:val="nil"/>
              <w:right w:val="nil"/>
            </w:tcBorders>
            <w:vAlign w:val="bottom"/>
          </w:tcPr>
          <w:p w:rsidR="00D322FB" w:rsidRPr="00BC5A23" w:rsidRDefault="00D322FB" w:rsidP="00E125AB">
            <w:pPr>
              <w:autoSpaceDE w:val="0"/>
              <w:autoSpaceDN w:val="0"/>
              <w:adjustRightInd w:val="0"/>
              <w:ind w:hanging="108"/>
              <w:rPr>
                <w:rFonts w:ascii="Arial" w:hAnsi="Arial" w:cs="Arial"/>
                <w:color w:val="000000"/>
              </w:rPr>
            </w:pPr>
          </w:p>
        </w:tc>
        <w:tc>
          <w:tcPr>
            <w:tcW w:w="616" w:type="dxa"/>
            <w:tcBorders>
              <w:top w:val="nil"/>
              <w:left w:val="nil"/>
              <w:bottom w:val="nil"/>
              <w:right w:val="nil"/>
            </w:tcBorders>
          </w:tcPr>
          <w:p w:rsidR="00D322FB" w:rsidRPr="00BC5A23" w:rsidRDefault="00D322FB"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322FB" w:rsidRPr="00BC5A23" w:rsidRDefault="00D322FB" w:rsidP="00E125AB">
            <w:pPr>
              <w:autoSpaceDE w:val="0"/>
              <w:autoSpaceDN w:val="0"/>
              <w:adjustRightInd w:val="0"/>
              <w:jc w:val="right"/>
              <w:rPr>
                <w:rFonts w:ascii="Arial" w:hAnsi="Arial" w:cs="Arial"/>
                <w:b/>
                <w:color w:val="000000"/>
              </w:rPr>
            </w:pPr>
          </w:p>
        </w:tc>
      </w:tr>
      <w:tr w:rsidR="00E86C72" w:rsidRPr="00E86C72" w:rsidTr="00224B5D">
        <w:trPr>
          <w:trHeight w:val="113"/>
        </w:trPr>
        <w:tc>
          <w:tcPr>
            <w:tcW w:w="5670" w:type="dxa"/>
            <w:tcBorders>
              <w:top w:val="single" w:sz="6" w:space="0" w:color="auto"/>
              <w:left w:val="nil"/>
              <w:bottom w:val="single" w:sz="6" w:space="0" w:color="auto"/>
              <w:right w:val="nil"/>
            </w:tcBorders>
            <w:vAlign w:val="bottom"/>
          </w:tcPr>
          <w:p w:rsidR="00E86C72" w:rsidRPr="00E86C72" w:rsidRDefault="00E86C72" w:rsidP="00224B5D">
            <w:pPr>
              <w:autoSpaceDE w:val="0"/>
              <w:autoSpaceDN w:val="0"/>
              <w:adjustRightInd w:val="0"/>
              <w:ind w:hanging="108"/>
              <w:rPr>
                <w:rFonts w:ascii="Arial" w:hAnsi="Arial" w:cs="Arial"/>
                <w:bCs/>
                <w:color w:val="000000"/>
              </w:rPr>
            </w:pPr>
            <w:r w:rsidRPr="00E86C72">
              <w:rPr>
                <w:rFonts w:ascii="Arial" w:hAnsi="Arial" w:cs="Arial"/>
                <w:bCs/>
                <w:color w:val="000000"/>
              </w:rPr>
              <w:t>31 Aralık 2014</w:t>
            </w:r>
          </w:p>
        </w:tc>
        <w:tc>
          <w:tcPr>
            <w:tcW w:w="616" w:type="dxa"/>
            <w:tcBorders>
              <w:top w:val="single" w:sz="6" w:space="0" w:color="auto"/>
              <w:left w:val="nil"/>
              <w:bottom w:val="single" w:sz="6" w:space="0" w:color="auto"/>
              <w:right w:val="nil"/>
            </w:tcBorders>
          </w:tcPr>
          <w:p w:rsidR="00E86C72" w:rsidRPr="00E86C72" w:rsidRDefault="00E86C72" w:rsidP="00224B5D">
            <w:pPr>
              <w:autoSpaceDE w:val="0"/>
              <w:autoSpaceDN w:val="0"/>
              <w:adjustRightInd w:val="0"/>
              <w:spacing w:line="230" w:lineRule="auto"/>
              <w:jc w:val="right"/>
              <w:rPr>
                <w:rFonts w:ascii="Arial" w:hAnsi="Arial" w:cs="Arial"/>
                <w:lang w:val="tr-TR"/>
              </w:rPr>
            </w:pPr>
          </w:p>
          <w:p w:rsidR="00E86C72" w:rsidRPr="00E86C72" w:rsidRDefault="00E86C72" w:rsidP="00224B5D">
            <w:pPr>
              <w:autoSpaceDE w:val="0"/>
              <w:autoSpaceDN w:val="0"/>
              <w:adjustRightInd w:val="0"/>
              <w:spacing w:line="230" w:lineRule="auto"/>
              <w:jc w:val="right"/>
              <w:rPr>
                <w:rFonts w:ascii="Arial" w:hAnsi="Arial" w:cs="Arial"/>
                <w:lang w:val="tr-TR"/>
              </w:rPr>
            </w:pPr>
            <w:r w:rsidRPr="00E86C72">
              <w:rPr>
                <w:rFonts w:ascii="Arial" w:hAnsi="Arial" w:cs="Arial"/>
                <w:lang w:val="tr-TR"/>
              </w:rPr>
              <w:t>Not</w:t>
            </w:r>
          </w:p>
        </w:tc>
        <w:tc>
          <w:tcPr>
            <w:tcW w:w="1559" w:type="dxa"/>
            <w:tcBorders>
              <w:top w:val="single" w:sz="6" w:space="0" w:color="auto"/>
              <w:left w:val="nil"/>
              <w:bottom w:val="single" w:sz="6" w:space="0" w:color="auto"/>
              <w:right w:val="nil"/>
            </w:tcBorders>
            <w:vAlign w:val="bottom"/>
          </w:tcPr>
          <w:p w:rsidR="00E86C72" w:rsidRPr="00E86C72" w:rsidRDefault="00E86C72" w:rsidP="00224B5D">
            <w:pPr>
              <w:autoSpaceDE w:val="0"/>
              <w:autoSpaceDN w:val="0"/>
              <w:adjustRightInd w:val="0"/>
              <w:jc w:val="right"/>
              <w:rPr>
                <w:rFonts w:ascii="Arial" w:hAnsi="Arial" w:cs="Arial"/>
                <w:bCs/>
                <w:color w:val="000000"/>
              </w:rPr>
            </w:pPr>
            <w:r w:rsidRPr="00E86C72">
              <w:rPr>
                <w:rFonts w:ascii="Arial" w:hAnsi="Arial" w:cs="Arial"/>
                <w:bCs/>
                <w:color w:val="000000"/>
              </w:rPr>
              <w:t>Defter değeri</w:t>
            </w:r>
          </w:p>
        </w:tc>
        <w:tc>
          <w:tcPr>
            <w:tcW w:w="1559" w:type="dxa"/>
            <w:tcBorders>
              <w:top w:val="single" w:sz="6" w:space="0" w:color="auto"/>
              <w:left w:val="nil"/>
              <w:bottom w:val="single" w:sz="6" w:space="0" w:color="auto"/>
              <w:right w:val="nil"/>
            </w:tcBorders>
            <w:vAlign w:val="bottom"/>
          </w:tcPr>
          <w:p w:rsidR="00E86C72" w:rsidRPr="00E86C72" w:rsidRDefault="00E86C72" w:rsidP="00224B5D">
            <w:pPr>
              <w:autoSpaceDE w:val="0"/>
              <w:autoSpaceDN w:val="0"/>
              <w:adjustRightInd w:val="0"/>
              <w:jc w:val="right"/>
              <w:rPr>
                <w:rFonts w:ascii="Arial" w:hAnsi="Arial" w:cs="Arial"/>
                <w:bCs/>
                <w:color w:val="000000"/>
              </w:rPr>
            </w:pPr>
            <w:r w:rsidRPr="00E86C72">
              <w:rPr>
                <w:rFonts w:ascii="Arial" w:hAnsi="Arial" w:cs="Arial"/>
                <w:bCs/>
                <w:color w:val="000000"/>
              </w:rPr>
              <w:t>Gerçeğe uygun değeri</w:t>
            </w: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color w:val="000000"/>
              </w:rPr>
            </w:pP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iCs/>
                <w:color w:val="000000"/>
              </w:rPr>
            </w:pPr>
            <w:r w:rsidRPr="00E86C72">
              <w:rPr>
                <w:rFonts w:ascii="Arial" w:hAnsi="Arial" w:cs="Arial"/>
                <w:iCs/>
                <w:color w:val="000000"/>
              </w:rPr>
              <w:t>Finansal varlıklar</w:t>
            </w: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color w:val="000000"/>
              </w:rPr>
            </w:pPr>
            <w:r w:rsidRPr="00E86C72">
              <w:rPr>
                <w:rFonts w:ascii="Arial" w:hAnsi="Arial" w:cs="Arial"/>
                <w:color w:val="000000"/>
              </w:rPr>
              <w:t>Nakit ve nakit benzerleri</w:t>
            </w: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r w:rsidRPr="00E86C72">
              <w:rPr>
                <w:rFonts w:ascii="Arial" w:hAnsi="Arial" w:cs="Arial"/>
                <w:color w:val="000000"/>
              </w:rPr>
              <w:t>4</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1.124.462</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1.124.462</w:t>
            </w: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color w:val="000000"/>
              </w:rPr>
            </w:pPr>
            <w:r w:rsidRPr="00E86C72">
              <w:rPr>
                <w:rFonts w:ascii="Arial" w:hAnsi="Arial" w:cs="Arial"/>
                <w:color w:val="000000"/>
              </w:rPr>
              <w:t>Gerçeğe uygun değer farkı kar veya zarara yansıtılan finansal varlıklar</w:t>
            </w:r>
          </w:p>
        </w:tc>
        <w:tc>
          <w:tcPr>
            <w:tcW w:w="616"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r w:rsidRPr="00E86C72">
              <w:rPr>
                <w:rFonts w:ascii="Arial" w:hAnsi="Arial" w:cs="Arial"/>
                <w:color w:val="000000"/>
              </w:rPr>
              <w:t>5</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99.348</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99.348</w:t>
            </w: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iCs/>
                <w:color w:val="000000"/>
              </w:rPr>
            </w:pPr>
            <w:r w:rsidRPr="00E86C72">
              <w:rPr>
                <w:rFonts w:ascii="Arial" w:hAnsi="Arial" w:cs="Arial"/>
                <w:iCs/>
                <w:color w:val="000000"/>
              </w:rPr>
              <w:t>Ticari alacaklar</w:t>
            </w: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r w:rsidRPr="00E86C72">
              <w:rPr>
                <w:rFonts w:ascii="Arial" w:hAnsi="Arial" w:cs="Arial"/>
                <w:color w:val="000000"/>
              </w:rPr>
              <w:t>6</w:t>
            </w: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r w:rsidRPr="00E86C72">
              <w:rPr>
                <w:rFonts w:ascii="Arial" w:hAnsi="Arial" w:cs="Arial"/>
                <w:color w:val="000000"/>
              </w:rPr>
              <w:t>12.097</w:t>
            </w: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r w:rsidRPr="00E86C72">
              <w:rPr>
                <w:rFonts w:ascii="Arial" w:hAnsi="Arial" w:cs="Arial"/>
                <w:color w:val="000000"/>
              </w:rPr>
              <w:t>12.097</w:t>
            </w: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iCs/>
                <w:color w:val="000000"/>
              </w:rPr>
            </w:pP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iCs/>
                <w:color w:val="000000"/>
              </w:rPr>
            </w:pPr>
            <w:r w:rsidRPr="00E86C72">
              <w:rPr>
                <w:rFonts w:ascii="Arial" w:hAnsi="Arial" w:cs="Arial"/>
                <w:iCs/>
                <w:color w:val="000000"/>
              </w:rPr>
              <w:t>Finansal yükümlülükler</w:t>
            </w: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color w:val="000000"/>
              </w:rPr>
            </w:pPr>
            <w:r w:rsidRPr="00E86C72">
              <w:rPr>
                <w:rFonts w:ascii="Arial" w:hAnsi="Arial" w:cs="Arial"/>
                <w:color w:val="000000"/>
              </w:rPr>
              <w:t xml:space="preserve">İlişkili taraflara borçlar </w:t>
            </w: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r w:rsidRPr="00E86C72">
              <w:rPr>
                <w:rFonts w:ascii="Arial" w:hAnsi="Arial" w:cs="Arial"/>
                <w:color w:val="000000"/>
              </w:rPr>
              <w:t>6</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10.816</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10.816</w:t>
            </w: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color w:val="000000"/>
              </w:rPr>
            </w:pPr>
            <w:r w:rsidRPr="00E86C72">
              <w:rPr>
                <w:rFonts w:ascii="Arial" w:hAnsi="Arial" w:cs="Arial"/>
                <w:color w:val="000000"/>
              </w:rPr>
              <w:t>Diğer ticari borçlar</w:t>
            </w: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r w:rsidRPr="00E86C72">
              <w:rPr>
                <w:rFonts w:ascii="Arial" w:hAnsi="Arial" w:cs="Arial"/>
                <w:color w:val="000000"/>
              </w:rPr>
              <w:t>6</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22.677</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22.677</w:t>
            </w: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color w:val="000000"/>
              </w:rPr>
            </w:pPr>
            <w:r w:rsidRPr="00E86C72">
              <w:rPr>
                <w:rFonts w:ascii="Arial" w:hAnsi="Arial" w:cs="Arial"/>
                <w:color w:val="000000"/>
              </w:rPr>
              <w:t xml:space="preserve">Diğer borçlar </w:t>
            </w: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r w:rsidRPr="00E86C72">
              <w:rPr>
                <w:rFonts w:ascii="Arial" w:hAnsi="Arial" w:cs="Arial"/>
                <w:color w:val="000000"/>
              </w:rPr>
              <w:t>9</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16.105</w:t>
            </w:r>
          </w:p>
        </w:tc>
        <w:tc>
          <w:tcPr>
            <w:tcW w:w="1559" w:type="dxa"/>
            <w:tcBorders>
              <w:top w:val="nil"/>
              <w:left w:val="nil"/>
              <w:bottom w:val="nil"/>
              <w:right w:val="nil"/>
            </w:tcBorders>
            <w:vAlign w:val="bottom"/>
          </w:tcPr>
          <w:p w:rsidR="00E86C72" w:rsidRPr="00E86C72" w:rsidRDefault="00E86C72" w:rsidP="00224B5D">
            <w:pPr>
              <w:jc w:val="right"/>
              <w:rPr>
                <w:rFonts w:ascii="Arial" w:hAnsi="Arial" w:cs="Arial"/>
                <w:bCs/>
                <w:color w:val="000000"/>
              </w:rPr>
            </w:pPr>
            <w:r w:rsidRPr="00E86C72">
              <w:rPr>
                <w:rFonts w:ascii="Arial" w:hAnsi="Arial" w:cs="Arial"/>
                <w:bCs/>
                <w:color w:val="000000"/>
              </w:rPr>
              <w:t>16.105</w:t>
            </w:r>
          </w:p>
        </w:tc>
      </w:tr>
      <w:tr w:rsidR="00E86C72" w:rsidRPr="00E86C72" w:rsidTr="00224B5D">
        <w:trPr>
          <w:trHeight w:val="113"/>
        </w:trPr>
        <w:tc>
          <w:tcPr>
            <w:tcW w:w="5670" w:type="dxa"/>
            <w:tcBorders>
              <w:top w:val="nil"/>
              <w:left w:val="nil"/>
              <w:bottom w:val="nil"/>
              <w:right w:val="nil"/>
            </w:tcBorders>
            <w:vAlign w:val="bottom"/>
          </w:tcPr>
          <w:p w:rsidR="00E86C72" w:rsidRPr="00E86C72" w:rsidRDefault="00E86C72" w:rsidP="00224B5D">
            <w:pPr>
              <w:autoSpaceDE w:val="0"/>
              <w:autoSpaceDN w:val="0"/>
              <w:adjustRightInd w:val="0"/>
              <w:ind w:hanging="108"/>
              <w:rPr>
                <w:rFonts w:ascii="Arial" w:hAnsi="Arial" w:cs="Arial"/>
                <w:color w:val="000000"/>
              </w:rPr>
            </w:pPr>
          </w:p>
        </w:tc>
        <w:tc>
          <w:tcPr>
            <w:tcW w:w="616" w:type="dxa"/>
            <w:tcBorders>
              <w:top w:val="nil"/>
              <w:left w:val="nil"/>
              <w:bottom w:val="nil"/>
              <w:right w:val="nil"/>
            </w:tcBorders>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86C72" w:rsidRPr="00E86C72" w:rsidRDefault="00E86C72" w:rsidP="00224B5D">
            <w:pPr>
              <w:autoSpaceDE w:val="0"/>
              <w:autoSpaceDN w:val="0"/>
              <w:adjustRightInd w:val="0"/>
              <w:jc w:val="right"/>
              <w:rPr>
                <w:rFonts w:ascii="Arial" w:hAnsi="Arial" w:cs="Arial"/>
                <w:color w:val="000000"/>
              </w:rPr>
            </w:pPr>
          </w:p>
        </w:tc>
      </w:tr>
    </w:tbl>
    <w:p w:rsidR="00D322FB" w:rsidRPr="00BC5A23" w:rsidRDefault="00D322FB" w:rsidP="00AE0484">
      <w:pPr>
        <w:pStyle w:val="BodyTextIndent"/>
        <w:ind w:left="567" w:hanging="567"/>
        <w:jc w:val="both"/>
        <w:rPr>
          <w:rFonts w:ascii="Arial" w:hAnsi="Arial" w:cs="Arial"/>
          <w:sz w:val="20"/>
          <w:lang w:val="tr-TR"/>
        </w:rPr>
      </w:pPr>
    </w:p>
    <w:p w:rsidR="00D322FB" w:rsidRPr="00BC5A23" w:rsidRDefault="00D322FB" w:rsidP="00AE0484">
      <w:pPr>
        <w:pStyle w:val="BodyTextIndent"/>
        <w:ind w:left="567" w:hanging="567"/>
        <w:jc w:val="both"/>
        <w:rPr>
          <w:rFonts w:ascii="Arial" w:hAnsi="Arial" w:cs="Arial"/>
          <w:sz w:val="20"/>
          <w:lang w:val="tr-TR"/>
        </w:rPr>
      </w:pPr>
    </w:p>
    <w:p w:rsidR="00D322FB" w:rsidRDefault="00D322FB" w:rsidP="00DA51B1">
      <w:pPr>
        <w:spacing w:line="230" w:lineRule="auto"/>
        <w:rPr>
          <w:rFonts w:ascii="Arial" w:hAnsi="Arial" w:cs="Arial"/>
          <w:b/>
          <w:spacing w:val="-2"/>
          <w:lang w:val="tr-TR"/>
        </w:rPr>
      </w:pPr>
    </w:p>
    <w:p w:rsidR="00D322FB" w:rsidRPr="00727376" w:rsidRDefault="00D322FB" w:rsidP="00DA51B1">
      <w:pPr>
        <w:spacing w:line="230" w:lineRule="auto"/>
        <w:rPr>
          <w:rFonts w:ascii="Arial" w:hAnsi="Arial" w:cs="Arial"/>
          <w:highlight w:val="yellow"/>
        </w:rPr>
      </w:pPr>
      <w:r w:rsidRPr="007D5788">
        <w:rPr>
          <w:rFonts w:ascii="Arial" w:hAnsi="Arial" w:cs="Arial"/>
          <w:b/>
          <w:spacing w:val="-2"/>
          <w:lang w:val="tr-TR"/>
        </w:rPr>
        <w:t>25.</w:t>
      </w:r>
      <w:r w:rsidRPr="007D5788">
        <w:rPr>
          <w:rFonts w:ascii="Arial" w:hAnsi="Arial" w:cs="Arial"/>
          <w:b/>
          <w:spacing w:val="-2"/>
          <w:lang w:val="tr-TR"/>
        </w:rPr>
        <w:tab/>
        <w:t>Finansal araçlar</w:t>
      </w:r>
      <w:r w:rsidRPr="007D5788">
        <w:rPr>
          <w:rFonts w:ascii="Arial" w:hAnsi="Arial" w:cs="Arial"/>
        </w:rPr>
        <w:t xml:space="preserve"> </w:t>
      </w:r>
      <w:r w:rsidRPr="007D5788">
        <w:rPr>
          <w:rFonts w:ascii="Arial" w:hAnsi="Arial" w:cs="Arial"/>
          <w:b/>
        </w:rPr>
        <w:t>(devamı)</w:t>
      </w:r>
    </w:p>
    <w:p w:rsidR="00D322FB" w:rsidRDefault="00D322FB" w:rsidP="00DA51B1">
      <w:pPr>
        <w:spacing w:line="230" w:lineRule="auto"/>
        <w:rPr>
          <w:rFonts w:ascii="Arial" w:hAnsi="Arial" w:cs="Arial"/>
          <w:highlight w:val="yellow"/>
        </w:rPr>
      </w:pPr>
    </w:p>
    <w:p w:rsidR="00D322FB" w:rsidRPr="00667152" w:rsidRDefault="00D322FB" w:rsidP="007D5788">
      <w:pPr>
        <w:pStyle w:val="Default"/>
        <w:rPr>
          <w:bCs/>
          <w:i/>
          <w:sz w:val="20"/>
          <w:szCs w:val="20"/>
          <w:lang w:val="tr-TR"/>
        </w:rPr>
      </w:pPr>
      <w:r w:rsidRPr="00667152">
        <w:rPr>
          <w:bCs/>
          <w:i/>
          <w:sz w:val="20"/>
          <w:szCs w:val="20"/>
          <w:lang w:val="tr-TR"/>
        </w:rPr>
        <w:t>Gerçeğe uygun değer ölçümleri hiyerarşi tablosu</w:t>
      </w:r>
    </w:p>
    <w:p w:rsidR="00D322FB" w:rsidRPr="00801D5E" w:rsidRDefault="00D322FB" w:rsidP="007D5788">
      <w:pPr>
        <w:pStyle w:val="Default"/>
        <w:rPr>
          <w:b/>
          <w:bCs/>
          <w:sz w:val="20"/>
          <w:szCs w:val="20"/>
          <w:lang w:val="tr-TR"/>
        </w:rPr>
      </w:pPr>
    </w:p>
    <w:p w:rsidR="00D322FB" w:rsidRPr="00842630" w:rsidRDefault="00D322FB" w:rsidP="007D5788">
      <w:pPr>
        <w:rPr>
          <w:rFonts w:ascii="Arial" w:hAnsi="Arial" w:cs="Arial"/>
          <w:lang w:val="tr-TR"/>
        </w:rPr>
      </w:pPr>
      <w:r w:rsidRPr="00842630">
        <w:rPr>
          <w:rFonts w:ascii="Arial" w:hAnsi="Arial" w:cs="Arial"/>
          <w:lang w:val="tr-TR"/>
        </w:rPr>
        <w:t xml:space="preserve">Şirket, finansal tablolarında gerçeğe uygun değerleri ile yansıtılan finansal araçlarını her finansal araç sınıfının değerleme girdilerinin kaynağına göre, üç seviyeli hiyerarşi kullanarak, aşağıdaki şekilde sınıflandırmaktadır. </w:t>
      </w:r>
    </w:p>
    <w:p w:rsidR="00D322FB" w:rsidRPr="00842630" w:rsidRDefault="00D322FB" w:rsidP="007D5788">
      <w:pPr>
        <w:rPr>
          <w:rFonts w:ascii="Arial" w:hAnsi="Arial" w:cs="Arial"/>
          <w:lang w:val="tr-TR"/>
        </w:rPr>
      </w:pPr>
    </w:p>
    <w:p w:rsidR="00D322FB" w:rsidRPr="00842630" w:rsidRDefault="00D322FB" w:rsidP="007D5788">
      <w:pPr>
        <w:ind w:left="1134" w:hanging="1134"/>
        <w:rPr>
          <w:rFonts w:ascii="Arial" w:hAnsi="Arial" w:cs="Arial"/>
          <w:lang w:val="tr-TR"/>
        </w:rPr>
      </w:pPr>
      <w:r w:rsidRPr="00842630">
        <w:rPr>
          <w:rFonts w:ascii="Arial" w:hAnsi="Arial" w:cs="Arial"/>
          <w:lang w:val="tr-TR"/>
        </w:rPr>
        <w:t xml:space="preserve">Seviye 1: </w:t>
      </w:r>
      <w:r w:rsidRPr="00842630">
        <w:rPr>
          <w:rFonts w:ascii="Arial" w:hAnsi="Arial" w:cs="Arial"/>
          <w:lang w:val="tr-TR"/>
        </w:rPr>
        <w:tab/>
        <w:t xml:space="preserve">Belirlenen finansal araçlar için aktif piyasada işlem gören (düzeltilmemiş) piyasa fiyatı kullanılan değerleme teknikleri </w:t>
      </w:r>
    </w:p>
    <w:p w:rsidR="00D322FB" w:rsidRPr="00801D5E" w:rsidRDefault="00D322FB" w:rsidP="007D5788">
      <w:pPr>
        <w:pStyle w:val="Default"/>
        <w:ind w:left="1134" w:hanging="1134"/>
        <w:rPr>
          <w:sz w:val="20"/>
          <w:szCs w:val="20"/>
          <w:lang w:val="tr-TR"/>
        </w:rPr>
      </w:pPr>
      <w:r w:rsidRPr="00801D5E">
        <w:rPr>
          <w:sz w:val="20"/>
          <w:szCs w:val="20"/>
          <w:lang w:val="tr-TR"/>
        </w:rPr>
        <w:t xml:space="preserve">Seviye 2: </w:t>
      </w:r>
      <w:r w:rsidRPr="00801D5E">
        <w:rPr>
          <w:sz w:val="20"/>
          <w:szCs w:val="20"/>
          <w:lang w:val="tr-TR"/>
        </w:rPr>
        <w:tab/>
        <w:t xml:space="preserve">Dolaylı veya dolaysız gözlemlenebilir girdi içeren diğer değerleme teknikleri </w:t>
      </w:r>
    </w:p>
    <w:p w:rsidR="00D322FB" w:rsidRPr="00842630" w:rsidRDefault="00D322FB" w:rsidP="007D5788">
      <w:pPr>
        <w:ind w:left="1134" w:hanging="1134"/>
        <w:rPr>
          <w:rFonts w:ascii="Arial" w:hAnsi="Arial" w:cs="Arial"/>
          <w:lang w:val="tr-TR"/>
        </w:rPr>
      </w:pPr>
      <w:r w:rsidRPr="00842630">
        <w:rPr>
          <w:rFonts w:ascii="Arial" w:hAnsi="Arial" w:cs="Arial"/>
          <w:lang w:val="tr-TR"/>
        </w:rPr>
        <w:t xml:space="preserve">Seviye 3: </w:t>
      </w:r>
      <w:r w:rsidRPr="00842630">
        <w:rPr>
          <w:rFonts w:ascii="Arial" w:hAnsi="Arial" w:cs="Arial"/>
          <w:lang w:val="tr-TR"/>
        </w:rPr>
        <w:tab/>
        <w:t xml:space="preserve">Gözlemlenebilir piyasa girdilerini içermeyen değerleme teknikleri </w:t>
      </w:r>
    </w:p>
    <w:p w:rsidR="00D322FB" w:rsidRPr="00842630" w:rsidRDefault="00D322FB" w:rsidP="00DA51B1">
      <w:pPr>
        <w:spacing w:line="230" w:lineRule="auto"/>
        <w:rPr>
          <w:rFonts w:ascii="Arial" w:hAnsi="Arial" w:cs="Arial"/>
          <w:highlight w:val="yellow"/>
          <w:lang w:val="tr-TR"/>
        </w:rPr>
      </w:pPr>
    </w:p>
    <w:p w:rsidR="00D322FB" w:rsidRDefault="00E97FA3" w:rsidP="007D5788">
      <w:pPr>
        <w:spacing w:line="230" w:lineRule="auto"/>
        <w:rPr>
          <w:rFonts w:ascii="Arial" w:hAnsi="Arial" w:cs="Arial"/>
        </w:rPr>
      </w:pPr>
      <w:r w:rsidRPr="002C2B61">
        <w:rPr>
          <w:rFonts w:ascii="Arial" w:hAnsi="Arial" w:cs="Arial"/>
          <w:lang w:val="tr-TR"/>
        </w:rPr>
        <w:t xml:space="preserve">31 </w:t>
      </w:r>
      <w:r>
        <w:rPr>
          <w:rFonts w:ascii="Arial" w:hAnsi="Arial" w:cs="Arial"/>
          <w:lang w:val="tr-TR"/>
        </w:rPr>
        <w:t>Mart</w:t>
      </w:r>
      <w:r w:rsidRPr="002C2B61">
        <w:rPr>
          <w:rFonts w:ascii="Arial" w:hAnsi="Arial" w:cs="Arial"/>
          <w:lang w:val="tr-TR"/>
        </w:rPr>
        <w:t xml:space="preserve"> 201</w:t>
      </w:r>
      <w:r>
        <w:rPr>
          <w:rFonts w:ascii="Arial" w:hAnsi="Arial" w:cs="Arial"/>
          <w:lang w:val="tr-TR"/>
        </w:rPr>
        <w:t>5</w:t>
      </w:r>
      <w:r w:rsidRPr="002C2B61">
        <w:rPr>
          <w:rFonts w:ascii="Arial" w:hAnsi="Arial" w:cs="Arial"/>
          <w:lang w:val="tr-TR"/>
        </w:rPr>
        <w:t xml:space="preserve"> ve </w:t>
      </w:r>
      <w:r>
        <w:rPr>
          <w:rFonts w:ascii="Arial" w:hAnsi="Arial" w:cs="Arial"/>
          <w:lang w:val="tr-TR"/>
        </w:rPr>
        <w:t xml:space="preserve">31 Aralık </w:t>
      </w:r>
      <w:r w:rsidRPr="002C2B61">
        <w:rPr>
          <w:rFonts w:ascii="Arial" w:hAnsi="Arial" w:cs="Arial"/>
          <w:lang w:val="tr-TR"/>
        </w:rPr>
        <w:t>201</w:t>
      </w:r>
      <w:r>
        <w:rPr>
          <w:rFonts w:ascii="Arial" w:hAnsi="Arial" w:cs="Arial"/>
          <w:lang w:val="tr-TR"/>
        </w:rPr>
        <w:t>4</w:t>
      </w:r>
      <w:r w:rsidR="00D322FB" w:rsidRPr="00842630">
        <w:rPr>
          <w:rFonts w:ascii="Arial" w:hAnsi="Arial" w:cs="Arial"/>
          <w:lang w:val="tr-TR"/>
        </w:rPr>
        <w:t xml:space="preserve"> tarihi itibariyle, Şirket’in gerçeğe uygun değerleriyle gösterilen finansal yükümlülüğü bulunmamaktadır. </w:t>
      </w:r>
      <w:r w:rsidR="00D322FB">
        <w:rPr>
          <w:rFonts w:ascii="Arial" w:hAnsi="Arial" w:cs="Arial"/>
        </w:rPr>
        <w:t>F</w:t>
      </w:r>
      <w:r w:rsidR="00D322FB" w:rsidRPr="00D04784">
        <w:rPr>
          <w:rFonts w:ascii="Arial" w:hAnsi="Arial" w:cs="Arial"/>
        </w:rPr>
        <w:t>inansal varlık</w:t>
      </w:r>
      <w:r w:rsidR="00D322FB">
        <w:rPr>
          <w:rFonts w:ascii="Arial" w:hAnsi="Arial" w:cs="Arial"/>
        </w:rPr>
        <w:t>ların</w:t>
      </w:r>
      <w:r w:rsidR="00D322FB" w:rsidRPr="00D04784">
        <w:rPr>
          <w:rFonts w:ascii="Arial" w:hAnsi="Arial" w:cs="Arial"/>
        </w:rPr>
        <w:t xml:space="preserve"> seviye sınıflamaları</w:t>
      </w:r>
      <w:r w:rsidR="00D322FB">
        <w:rPr>
          <w:rFonts w:ascii="Arial" w:hAnsi="Arial" w:cs="Arial"/>
        </w:rPr>
        <w:t xml:space="preserve"> </w:t>
      </w:r>
      <w:r w:rsidR="00D322FB" w:rsidRPr="00D04784">
        <w:rPr>
          <w:rFonts w:ascii="Arial" w:hAnsi="Arial" w:cs="Arial"/>
        </w:rPr>
        <w:t>aşağıdaki gibidir:</w:t>
      </w:r>
    </w:p>
    <w:p w:rsidR="00D322FB" w:rsidRDefault="00D322FB" w:rsidP="00DA51B1">
      <w:pPr>
        <w:spacing w:line="230" w:lineRule="auto"/>
        <w:rPr>
          <w:rFonts w:ascii="Arial" w:hAnsi="Arial" w:cs="Arial"/>
          <w:highlight w:val="yellow"/>
        </w:rPr>
      </w:pPr>
    </w:p>
    <w:tbl>
      <w:tblPr>
        <w:tblW w:w="9360" w:type="dxa"/>
        <w:tblInd w:w="108" w:type="dxa"/>
        <w:tblLayout w:type="fixed"/>
        <w:tblLook w:val="01E0" w:firstRow="1" w:lastRow="1" w:firstColumn="1" w:lastColumn="1" w:noHBand="0" w:noVBand="0"/>
      </w:tblPr>
      <w:tblGrid>
        <w:gridCol w:w="3420"/>
        <w:gridCol w:w="1620"/>
        <w:gridCol w:w="1440"/>
        <w:gridCol w:w="1440"/>
        <w:gridCol w:w="1440"/>
      </w:tblGrid>
      <w:tr w:rsidR="00D322FB" w:rsidRPr="00BE36CB" w:rsidTr="00155F70">
        <w:trPr>
          <w:trHeight w:val="113"/>
        </w:trPr>
        <w:tc>
          <w:tcPr>
            <w:tcW w:w="3420" w:type="dxa"/>
            <w:tcBorders>
              <w:top w:val="single" w:sz="4" w:space="0" w:color="auto"/>
              <w:bottom w:val="single" w:sz="4" w:space="0" w:color="auto"/>
            </w:tcBorders>
            <w:vAlign w:val="bottom"/>
          </w:tcPr>
          <w:p w:rsidR="00D322FB" w:rsidRPr="00BE36CB" w:rsidRDefault="00D322FB" w:rsidP="00E125AB">
            <w:pPr>
              <w:autoSpaceDE w:val="0"/>
              <w:autoSpaceDN w:val="0"/>
              <w:adjustRightInd w:val="0"/>
              <w:spacing w:line="230" w:lineRule="auto"/>
              <w:ind w:left="318" w:hanging="426"/>
              <w:rPr>
                <w:rFonts w:ascii="Arial" w:hAnsi="Arial" w:cs="Arial"/>
                <w:b/>
                <w:sz w:val="18"/>
                <w:lang w:val="tr-TR"/>
              </w:rPr>
            </w:pPr>
          </w:p>
        </w:tc>
        <w:tc>
          <w:tcPr>
            <w:tcW w:w="1620" w:type="dxa"/>
            <w:tcBorders>
              <w:top w:val="single" w:sz="4" w:space="0" w:color="auto"/>
              <w:bottom w:val="single" w:sz="4" w:space="0" w:color="auto"/>
            </w:tcBorders>
            <w:vAlign w:val="bottom"/>
          </w:tcPr>
          <w:p w:rsidR="00D322FB" w:rsidRPr="00BE36CB" w:rsidRDefault="00D322FB" w:rsidP="00E37E10">
            <w:pPr>
              <w:autoSpaceDE w:val="0"/>
              <w:autoSpaceDN w:val="0"/>
              <w:adjustRightInd w:val="0"/>
              <w:spacing w:line="230" w:lineRule="auto"/>
              <w:ind w:left="-108"/>
              <w:jc w:val="right"/>
              <w:rPr>
                <w:rFonts w:ascii="Arial" w:hAnsi="Arial" w:cs="Arial"/>
                <w:b/>
                <w:sz w:val="18"/>
                <w:lang w:val="tr-TR"/>
              </w:rPr>
            </w:pPr>
            <w:r w:rsidRPr="00BE36CB">
              <w:rPr>
                <w:rFonts w:ascii="Arial" w:hAnsi="Arial" w:cs="Arial"/>
                <w:b/>
                <w:sz w:val="18"/>
                <w:lang w:val="tr-TR"/>
              </w:rPr>
              <w:t xml:space="preserve">31 </w:t>
            </w:r>
            <w:r w:rsidR="00E37E10">
              <w:rPr>
                <w:rFonts w:ascii="Arial" w:hAnsi="Arial" w:cs="Arial"/>
                <w:b/>
                <w:sz w:val="18"/>
                <w:lang w:val="tr-TR"/>
              </w:rPr>
              <w:t>Mart</w:t>
            </w:r>
            <w:r w:rsidRPr="00BE36CB">
              <w:rPr>
                <w:rFonts w:ascii="Arial" w:hAnsi="Arial" w:cs="Arial"/>
                <w:b/>
                <w:sz w:val="18"/>
                <w:lang w:val="tr-TR"/>
              </w:rPr>
              <w:t xml:space="preserve"> 201</w:t>
            </w:r>
            <w:r w:rsidR="00E37E10">
              <w:rPr>
                <w:rFonts w:ascii="Arial" w:hAnsi="Arial" w:cs="Arial"/>
                <w:b/>
                <w:sz w:val="18"/>
                <w:lang w:val="tr-TR"/>
              </w:rPr>
              <w:t>5</w:t>
            </w:r>
          </w:p>
        </w:tc>
        <w:tc>
          <w:tcPr>
            <w:tcW w:w="1440" w:type="dxa"/>
            <w:tcBorders>
              <w:top w:val="single" w:sz="4" w:space="0" w:color="auto"/>
              <w:bottom w:val="single" w:sz="4" w:space="0" w:color="auto"/>
            </w:tcBorders>
            <w:vAlign w:val="bottom"/>
          </w:tcPr>
          <w:p w:rsidR="00D322FB" w:rsidRPr="00BE36CB" w:rsidRDefault="00D322FB">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Seviye 1</w:t>
            </w:r>
          </w:p>
        </w:tc>
        <w:tc>
          <w:tcPr>
            <w:tcW w:w="1440" w:type="dxa"/>
            <w:tcBorders>
              <w:top w:val="single" w:sz="4" w:space="0" w:color="auto"/>
              <w:bottom w:val="single" w:sz="4" w:space="0" w:color="auto"/>
            </w:tcBorders>
            <w:vAlign w:val="bottom"/>
          </w:tcPr>
          <w:p w:rsidR="00D322FB" w:rsidRPr="00BE36CB" w:rsidRDefault="00D322FB">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Seviye 2</w:t>
            </w:r>
          </w:p>
        </w:tc>
        <w:tc>
          <w:tcPr>
            <w:tcW w:w="1440" w:type="dxa"/>
            <w:tcBorders>
              <w:top w:val="single" w:sz="4" w:space="0" w:color="auto"/>
              <w:bottom w:val="single" w:sz="4" w:space="0" w:color="auto"/>
            </w:tcBorders>
            <w:vAlign w:val="bottom"/>
          </w:tcPr>
          <w:p w:rsidR="00D322FB" w:rsidRPr="00BE36CB" w:rsidRDefault="00D322FB">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Seviye 3</w:t>
            </w:r>
          </w:p>
        </w:tc>
      </w:tr>
      <w:tr w:rsidR="00D322FB" w:rsidRPr="00BE36CB" w:rsidTr="00155F70">
        <w:trPr>
          <w:trHeight w:val="113"/>
        </w:trPr>
        <w:tc>
          <w:tcPr>
            <w:tcW w:w="3420" w:type="dxa"/>
            <w:tcBorders>
              <w:top w:val="single" w:sz="4" w:space="0" w:color="auto"/>
            </w:tcBorders>
          </w:tcPr>
          <w:p w:rsidR="00D322FB" w:rsidRPr="00BE36CB" w:rsidRDefault="00D322FB" w:rsidP="00E125AB">
            <w:pPr>
              <w:autoSpaceDE w:val="0"/>
              <w:autoSpaceDN w:val="0"/>
              <w:adjustRightInd w:val="0"/>
              <w:spacing w:line="230" w:lineRule="auto"/>
              <w:ind w:left="318" w:hanging="426"/>
              <w:rPr>
                <w:rFonts w:ascii="Arial" w:hAnsi="Arial" w:cs="Arial"/>
                <w:sz w:val="18"/>
                <w:lang w:val="tr-TR"/>
              </w:rPr>
            </w:pPr>
          </w:p>
        </w:tc>
        <w:tc>
          <w:tcPr>
            <w:tcW w:w="1620" w:type="dxa"/>
            <w:tcBorders>
              <w:top w:val="single" w:sz="4" w:space="0" w:color="auto"/>
            </w:tcBorders>
            <w:vAlign w:val="bottom"/>
          </w:tcPr>
          <w:p w:rsidR="00D322FB" w:rsidRPr="00BE36CB" w:rsidRDefault="00D322FB">
            <w:pPr>
              <w:autoSpaceDE w:val="0"/>
              <w:autoSpaceDN w:val="0"/>
              <w:adjustRightInd w:val="0"/>
              <w:spacing w:line="230" w:lineRule="auto"/>
              <w:ind w:left="-108"/>
              <w:jc w:val="right"/>
              <w:rPr>
                <w:rFonts w:ascii="Arial" w:hAnsi="Arial" w:cs="Arial"/>
                <w:b/>
                <w:sz w:val="18"/>
                <w:lang w:val="tr-TR"/>
              </w:rPr>
            </w:pPr>
          </w:p>
        </w:tc>
        <w:tc>
          <w:tcPr>
            <w:tcW w:w="1440" w:type="dxa"/>
            <w:tcBorders>
              <w:top w:val="single" w:sz="4" w:space="0" w:color="auto"/>
            </w:tcBorders>
            <w:vAlign w:val="bottom"/>
          </w:tcPr>
          <w:p w:rsidR="00D322FB" w:rsidRPr="00BE36CB" w:rsidRDefault="00D322FB">
            <w:pPr>
              <w:autoSpaceDE w:val="0"/>
              <w:autoSpaceDN w:val="0"/>
              <w:adjustRightInd w:val="0"/>
              <w:spacing w:line="230" w:lineRule="auto"/>
              <w:ind w:left="-108"/>
              <w:jc w:val="right"/>
              <w:rPr>
                <w:rFonts w:ascii="Arial" w:hAnsi="Arial" w:cs="Arial"/>
                <w:sz w:val="18"/>
                <w:lang w:val="tr-TR"/>
              </w:rPr>
            </w:pPr>
          </w:p>
        </w:tc>
        <w:tc>
          <w:tcPr>
            <w:tcW w:w="1440" w:type="dxa"/>
            <w:tcBorders>
              <w:top w:val="single" w:sz="4" w:space="0" w:color="auto"/>
            </w:tcBorders>
            <w:vAlign w:val="bottom"/>
          </w:tcPr>
          <w:p w:rsidR="00D322FB" w:rsidRPr="00BE36CB" w:rsidRDefault="00D322FB">
            <w:pPr>
              <w:autoSpaceDE w:val="0"/>
              <w:autoSpaceDN w:val="0"/>
              <w:adjustRightInd w:val="0"/>
              <w:spacing w:line="230" w:lineRule="auto"/>
              <w:ind w:left="-108"/>
              <w:jc w:val="right"/>
              <w:rPr>
                <w:rFonts w:ascii="Arial" w:hAnsi="Arial" w:cs="Arial"/>
                <w:sz w:val="18"/>
                <w:lang w:val="tr-TR"/>
              </w:rPr>
            </w:pPr>
          </w:p>
        </w:tc>
        <w:tc>
          <w:tcPr>
            <w:tcW w:w="1440" w:type="dxa"/>
            <w:tcBorders>
              <w:top w:val="single" w:sz="4" w:space="0" w:color="auto"/>
            </w:tcBorders>
            <w:vAlign w:val="bottom"/>
          </w:tcPr>
          <w:p w:rsidR="00D322FB" w:rsidRPr="00BE36CB" w:rsidRDefault="00D322FB">
            <w:pPr>
              <w:autoSpaceDE w:val="0"/>
              <w:autoSpaceDN w:val="0"/>
              <w:adjustRightInd w:val="0"/>
              <w:spacing w:line="230" w:lineRule="auto"/>
              <w:ind w:left="-108"/>
              <w:jc w:val="right"/>
              <w:rPr>
                <w:rFonts w:ascii="Arial" w:hAnsi="Arial" w:cs="Arial"/>
                <w:sz w:val="18"/>
                <w:lang w:val="tr-TR"/>
              </w:rPr>
            </w:pPr>
          </w:p>
        </w:tc>
      </w:tr>
      <w:tr w:rsidR="00D322FB" w:rsidRPr="00BE36CB" w:rsidTr="00155F70">
        <w:trPr>
          <w:trHeight w:val="113"/>
        </w:trPr>
        <w:tc>
          <w:tcPr>
            <w:tcW w:w="3420" w:type="dxa"/>
          </w:tcPr>
          <w:p w:rsidR="00D322FB" w:rsidRPr="00BE36CB" w:rsidRDefault="00D322FB" w:rsidP="00E125AB">
            <w:pPr>
              <w:autoSpaceDE w:val="0"/>
              <w:autoSpaceDN w:val="0"/>
              <w:adjustRightInd w:val="0"/>
              <w:spacing w:line="230" w:lineRule="auto"/>
              <w:ind w:left="318" w:hanging="426"/>
              <w:rPr>
                <w:rFonts w:ascii="Arial" w:hAnsi="Arial" w:cs="Arial"/>
                <w:b/>
                <w:sz w:val="18"/>
                <w:lang w:val="tr-TR"/>
              </w:rPr>
            </w:pPr>
            <w:r w:rsidRPr="00BE36CB">
              <w:rPr>
                <w:rFonts w:ascii="Arial" w:hAnsi="Arial" w:cs="Arial"/>
                <w:b/>
                <w:sz w:val="18"/>
                <w:lang w:val="tr-TR"/>
              </w:rPr>
              <w:t>Finansal varlıklar</w:t>
            </w:r>
          </w:p>
        </w:tc>
        <w:tc>
          <w:tcPr>
            <w:tcW w:w="1620" w:type="dxa"/>
            <w:vAlign w:val="bottom"/>
          </w:tcPr>
          <w:p w:rsidR="00D322FB" w:rsidRPr="00BE36CB" w:rsidRDefault="00D322FB">
            <w:pPr>
              <w:spacing w:line="230" w:lineRule="auto"/>
              <w:jc w:val="right"/>
              <w:rPr>
                <w:rFonts w:ascii="Arial" w:hAnsi="Arial" w:cs="Arial"/>
                <w:b/>
                <w:bCs/>
                <w:color w:val="000000"/>
                <w:sz w:val="18"/>
              </w:rPr>
            </w:pPr>
          </w:p>
        </w:tc>
        <w:tc>
          <w:tcPr>
            <w:tcW w:w="1440" w:type="dxa"/>
            <w:vAlign w:val="bottom"/>
          </w:tcPr>
          <w:p w:rsidR="00D322FB" w:rsidRPr="00BE36CB" w:rsidRDefault="00D322FB">
            <w:pPr>
              <w:spacing w:line="230" w:lineRule="auto"/>
              <w:jc w:val="right"/>
              <w:rPr>
                <w:rFonts w:ascii="Arial" w:hAnsi="Arial" w:cs="Arial"/>
                <w:bCs/>
                <w:color w:val="000000"/>
                <w:sz w:val="18"/>
              </w:rPr>
            </w:pPr>
          </w:p>
        </w:tc>
        <w:tc>
          <w:tcPr>
            <w:tcW w:w="1440" w:type="dxa"/>
            <w:vAlign w:val="bottom"/>
          </w:tcPr>
          <w:p w:rsidR="00D322FB" w:rsidRPr="00BE36CB" w:rsidRDefault="00D322FB">
            <w:pPr>
              <w:spacing w:line="230" w:lineRule="auto"/>
              <w:jc w:val="right"/>
              <w:rPr>
                <w:rFonts w:ascii="Arial" w:hAnsi="Arial" w:cs="Arial"/>
                <w:bCs/>
                <w:color w:val="000000"/>
                <w:sz w:val="18"/>
              </w:rPr>
            </w:pPr>
          </w:p>
        </w:tc>
        <w:tc>
          <w:tcPr>
            <w:tcW w:w="1440" w:type="dxa"/>
            <w:vAlign w:val="bottom"/>
          </w:tcPr>
          <w:p w:rsidR="00D322FB" w:rsidRPr="00BE36CB" w:rsidRDefault="00D322FB">
            <w:pPr>
              <w:spacing w:line="230" w:lineRule="auto"/>
              <w:jc w:val="right"/>
              <w:rPr>
                <w:rFonts w:ascii="Arial" w:hAnsi="Arial" w:cs="Arial"/>
                <w:bCs/>
                <w:color w:val="000000"/>
                <w:sz w:val="18"/>
              </w:rPr>
            </w:pPr>
          </w:p>
        </w:tc>
      </w:tr>
      <w:tr w:rsidR="00D322FB" w:rsidRPr="00BE36CB" w:rsidTr="00155F70">
        <w:trPr>
          <w:trHeight w:val="113"/>
        </w:trPr>
        <w:tc>
          <w:tcPr>
            <w:tcW w:w="3420" w:type="dxa"/>
          </w:tcPr>
          <w:p w:rsidR="00D322FB" w:rsidRPr="00BE36CB" w:rsidRDefault="00D322FB" w:rsidP="00E125AB">
            <w:pPr>
              <w:autoSpaceDE w:val="0"/>
              <w:autoSpaceDN w:val="0"/>
              <w:adjustRightInd w:val="0"/>
              <w:spacing w:line="230" w:lineRule="auto"/>
              <w:ind w:left="318" w:hanging="426"/>
              <w:rPr>
                <w:rFonts w:ascii="Arial" w:hAnsi="Arial" w:cs="Arial"/>
                <w:sz w:val="18"/>
                <w:lang w:val="tr-TR"/>
              </w:rPr>
            </w:pPr>
          </w:p>
        </w:tc>
        <w:tc>
          <w:tcPr>
            <w:tcW w:w="1620" w:type="dxa"/>
            <w:vAlign w:val="bottom"/>
          </w:tcPr>
          <w:p w:rsidR="00D322FB" w:rsidRPr="00BE36CB" w:rsidRDefault="00D322FB">
            <w:pPr>
              <w:spacing w:line="230" w:lineRule="auto"/>
              <w:jc w:val="right"/>
              <w:rPr>
                <w:rFonts w:ascii="Arial" w:hAnsi="Arial" w:cs="Arial"/>
                <w:b/>
                <w:bCs/>
                <w:color w:val="000000"/>
                <w:sz w:val="18"/>
              </w:rPr>
            </w:pPr>
          </w:p>
        </w:tc>
        <w:tc>
          <w:tcPr>
            <w:tcW w:w="1440" w:type="dxa"/>
            <w:vAlign w:val="bottom"/>
          </w:tcPr>
          <w:p w:rsidR="00D322FB" w:rsidRPr="00BE36CB" w:rsidRDefault="00D322FB">
            <w:pPr>
              <w:spacing w:line="230" w:lineRule="auto"/>
              <w:jc w:val="right"/>
              <w:rPr>
                <w:rFonts w:ascii="Arial" w:hAnsi="Arial" w:cs="Arial"/>
                <w:bCs/>
                <w:color w:val="000000"/>
                <w:sz w:val="18"/>
              </w:rPr>
            </w:pPr>
          </w:p>
        </w:tc>
        <w:tc>
          <w:tcPr>
            <w:tcW w:w="1440" w:type="dxa"/>
            <w:vAlign w:val="bottom"/>
          </w:tcPr>
          <w:p w:rsidR="00D322FB" w:rsidRPr="00BE36CB" w:rsidRDefault="00D322FB">
            <w:pPr>
              <w:spacing w:line="230" w:lineRule="auto"/>
              <w:jc w:val="right"/>
              <w:rPr>
                <w:rFonts w:ascii="Arial" w:hAnsi="Arial" w:cs="Arial"/>
                <w:bCs/>
                <w:color w:val="000000"/>
                <w:sz w:val="18"/>
              </w:rPr>
            </w:pPr>
          </w:p>
        </w:tc>
        <w:tc>
          <w:tcPr>
            <w:tcW w:w="1440" w:type="dxa"/>
            <w:vAlign w:val="bottom"/>
          </w:tcPr>
          <w:p w:rsidR="00D322FB" w:rsidRPr="00BE36CB" w:rsidRDefault="00D322FB">
            <w:pPr>
              <w:spacing w:line="230" w:lineRule="auto"/>
              <w:jc w:val="right"/>
              <w:rPr>
                <w:rFonts w:ascii="Arial" w:hAnsi="Arial" w:cs="Arial"/>
                <w:bCs/>
                <w:color w:val="000000"/>
                <w:sz w:val="18"/>
              </w:rPr>
            </w:pPr>
          </w:p>
        </w:tc>
      </w:tr>
      <w:tr w:rsidR="00D322FB" w:rsidRPr="00BE36CB" w:rsidTr="00155F70">
        <w:trPr>
          <w:trHeight w:val="113"/>
        </w:trPr>
        <w:tc>
          <w:tcPr>
            <w:tcW w:w="3420" w:type="dxa"/>
          </w:tcPr>
          <w:p w:rsidR="00D322FB" w:rsidRPr="00BE36CB" w:rsidRDefault="00D322FB" w:rsidP="00E125AB">
            <w:pPr>
              <w:autoSpaceDE w:val="0"/>
              <w:autoSpaceDN w:val="0"/>
              <w:adjustRightInd w:val="0"/>
              <w:spacing w:line="230" w:lineRule="auto"/>
              <w:ind w:left="318" w:hanging="426"/>
              <w:rPr>
                <w:rFonts w:ascii="Arial" w:hAnsi="Arial" w:cs="Arial"/>
                <w:sz w:val="18"/>
                <w:lang w:val="tr-TR"/>
              </w:rPr>
            </w:pPr>
            <w:r w:rsidRPr="00BE36CB">
              <w:rPr>
                <w:rFonts w:ascii="Arial" w:hAnsi="Arial" w:cs="Arial"/>
                <w:sz w:val="18"/>
                <w:lang w:val="tr-TR"/>
              </w:rPr>
              <w:t>Finansal yatırımlar – Devlet tahvili</w:t>
            </w:r>
          </w:p>
        </w:tc>
        <w:tc>
          <w:tcPr>
            <w:tcW w:w="1620" w:type="dxa"/>
            <w:vAlign w:val="bottom"/>
          </w:tcPr>
          <w:p w:rsidR="00D322FB" w:rsidRPr="00BE36CB" w:rsidRDefault="00C13542" w:rsidP="00C13542">
            <w:pPr>
              <w:jc w:val="right"/>
              <w:rPr>
                <w:rFonts w:ascii="Arial" w:hAnsi="Arial" w:cs="Arial"/>
                <w:b/>
                <w:bCs/>
                <w:color w:val="000000"/>
                <w:sz w:val="18"/>
                <w:szCs w:val="18"/>
              </w:rPr>
            </w:pPr>
            <w:r>
              <w:rPr>
                <w:rFonts w:ascii="Arial" w:hAnsi="Arial" w:cs="Arial"/>
                <w:b/>
                <w:bCs/>
                <w:color w:val="000000"/>
                <w:sz w:val="18"/>
                <w:szCs w:val="18"/>
              </w:rPr>
              <w:t>101.409</w:t>
            </w:r>
          </w:p>
        </w:tc>
        <w:tc>
          <w:tcPr>
            <w:tcW w:w="1440" w:type="dxa"/>
            <w:vAlign w:val="bottom"/>
          </w:tcPr>
          <w:p w:rsidR="00D322FB" w:rsidRPr="00BE36CB" w:rsidRDefault="00C13542" w:rsidP="00C13542">
            <w:pPr>
              <w:jc w:val="right"/>
              <w:rPr>
                <w:rFonts w:ascii="Arial" w:hAnsi="Arial" w:cs="Arial"/>
                <w:b/>
                <w:bCs/>
                <w:color w:val="000000"/>
                <w:sz w:val="18"/>
                <w:szCs w:val="18"/>
              </w:rPr>
            </w:pPr>
            <w:r>
              <w:rPr>
                <w:rFonts w:ascii="Arial" w:hAnsi="Arial" w:cs="Arial"/>
                <w:b/>
                <w:bCs/>
                <w:color w:val="000000"/>
                <w:sz w:val="18"/>
                <w:szCs w:val="18"/>
              </w:rPr>
              <w:t>101.409</w:t>
            </w:r>
          </w:p>
        </w:tc>
        <w:tc>
          <w:tcPr>
            <w:tcW w:w="1440" w:type="dxa"/>
            <w:vAlign w:val="bottom"/>
          </w:tcPr>
          <w:p w:rsidR="00D322FB" w:rsidRPr="00121AF9" w:rsidRDefault="00D322FB">
            <w:pPr>
              <w:spacing w:line="230" w:lineRule="auto"/>
              <w:jc w:val="right"/>
              <w:rPr>
                <w:rFonts w:ascii="Arial" w:hAnsi="Arial" w:cs="Arial"/>
                <w:b/>
                <w:bCs/>
                <w:color w:val="000000"/>
                <w:sz w:val="18"/>
              </w:rPr>
            </w:pPr>
            <w:r w:rsidRPr="00121AF9">
              <w:rPr>
                <w:rFonts w:ascii="Arial" w:hAnsi="Arial" w:cs="Arial"/>
                <w:b/>
                <w:bCs/>
                <w:color w:val="000000"/>
                <w:sz w:val="18"/>
              </w:rPr>
              <w:t>-</w:t>
            </w:r>
          </w:p>
        </w:tc>
        <w:tc>
          <w:tcPr>
            <w:tcW w:w="1440" w:type="dxa"/>
            <w:vAlign w:val="bottom"/>
          </w:tcPr>
          <w:p w:rsidR="00D322FB" w:rsidRPr="00121AF9" w:rsidRDefault="00D322FB">
            <w:pPr>
              <w:spacing w:line="230" w:lineRule="auto"/>
              <w:jc w:val="right"/>
              <w:rPr>
                <w:rFonts w:ascii="Arial" w:hAnsi="Arial" w:cs="Arial"/>
                <w:b/>
                <w:bCs/>
                <w:color w:val="000000"/>
                <w:sz w:val="18"/>
              </w:rPr>
            </w:pPr>
            <w:r w:rsidRPr="00121AF9">
              <w:rPr>
                <w:rFonts w:ascii="Arial" w:hAnsi="Arial" w:cs="Arial"/>
                <w:b/>
                <w:bCs/>
                <w:color w:val="000000"/>
                <w:sz w:val="18"/>
              </w:rPr>
              <w:t>-</w:t>
            </w:r>
          </w:p>
        </w:tc>
      </w:tr>
      <w:tr w:rsidR="00D322FB" w:rsidRPr="00BE36CB" w:rsidTr="00155F70">
        <w:trPr>
          <w:trHeight w:val="113"/>
        </w:trPr>
        <w:tc>
          <w:tcPr>
            <w:tcW w:w="3420" w:type="dxa"/>
            <w:tcBorders>
              <w:bottom w:val="single" w:sz="4" w:space="0" w:color="auto"/>
            </w:tcBorders>
          </w:tcPr>
          <w:p w:rsidR="00D322FB" w:rsidRPr="00BE36CB" w:rsidRDefault="00D322FB" w:rsidP="00E125AB">
            <w:pPr>
              <w:autoSpaceDE w:val="0"/>
              <w:autoSpaceDN w:val="0"/>
              <w:adjustRightInd w:val="0"/>
              <w:spacing w:line="230" w:lineRule="auto"/>
              <w:ind w:left="318" w:hanging="426"/>
              <w:rPr>
                <w:rFonts w:ascii="Arial" w:hAnsi="Arial" w:cs="Arial"/>
                <w:sz w:val="18"/>
                <w:lang w:val="tr-TR"/>
              </w:rPr>
            </w:pPr>
          </w:p>
        </w:tc>
        <w:tc>
          <w:tcPr>
            <w:tcW w:w="1620" w:type="dxa"/>
            <w:tcBorders>
              <w:bottom w:val="single" w:sz="4" w:space="0" w:color="auto"/>
            </w:tcBorders>
            <w:vAlign w:val="bottom"/>
          </w:tcPr>
          <w:p w:rsidR="00D322FB" w:rsidRPr="00BE36CB" w:rsidRDefault="00D322FB">
            <w:pPr>
              <w:autoSpaceDE w:val="0"/>
              <w:autoSpaceDN w:val="0"/>
              <w:adjustRightInd w:val="0"/>
              <w:spacing w:line="230" w:lineRule="auto"/>
              <w:ind w:left="-108"/>
              <w:jc w:val="right"/>
              <w:rPr>
                <w:rFonts w:ascii="Arial" w:hAnsi="Arial" w:cs="Arial"/>
                <w:b/>
                <w:sz w:val="18"/>
                <w:lang w:val="tr-TR"/>
              </w:rPr>
            </w:pPr>
          </w:p>
        </w:tc>
        <w:tc>
          <w:tcPr>
            <w:tcW w:w="1440" w:type="dxa"/>
            <w:tcBorders>
              <w:bottom w:val="single" w:sz="4" w:space="0" w:color="auto"/>
            </w:tcBorders>
            <w:vAlign w:val="bottom"/>
          </w:tcPr>
          <w:p w:rsidR="00D322FB" w:rsidRPr="00BE36CB" w:rsidRDefault="00D322FB">
            <w:pPr>
              <w:autoSpaceDE w:val="0"/>
              <w:autoSpaceDN w:val="0"/>
              <w:adjustRightInd w:val="0"/>
              <w:spacing w:line="230" w:lineRule="auto"/>
              <w:ind w:left="-108"/>
              <w:jc w:val="right"/>
              <w:rPr>
                <w:rFonts w:ascii="Arial" w:hAnsi="Arial" w:cs="Arial"/>
                <w:sz w:val="18"/>
                <w:lang w:val="tr-TR"/>
              </w:rPr>
            </w:pPr>
          </w:p>
        </w:tc>
        <w:tc>
          <w:tcPr>
            <w:tcW w:w="1440" w:type="dxa"/>
            <w:tcBorders>
              <w:bottom w:val="single" w:sz="4" w:space="0" w:color="auto"/>
            </w:tcBorders>
            <w:vAlign w:val="bottom"/>
          </w:tcPr>
          <w:p w:rsidR="00D322FB" w:rsidRPr="00121AF9" w:rsidRDefault="00D322FB">
            <w:pPr>
              <w:autoSpaceDE w:val="0"/>
              <w:autoSpaceDN w:val="0"/>
              <w:adjustRightInd w:val="0"/>
              <w:spacing w:line="230" w:lineRule="auto"/>
              <w:ind w:left="-108"/>
              <w:jc w:val="right"/>
              <w:rPr>
                <w:rFonts w:ascii="Arial" w:hAnsi="Arial" w:cs="Arial"/>
                <w:b/>
                <w:sz w:val="18"/>
                <w:lang w:val="tr-TR"/>
              </w:rPr>
            </w:pPr>
          </w:p>
        </w:tc>
        <w:tc>
          <w:tcPr>
            <w:tcW w:w="1440" w:type="dxa"/>
            <w:tcBorders>
              <w:bottom w:val="single" w:sz="4" w:space="0" w:color="auto"/>
            </w:tcBorders>
            <w:vAlign w:val="bottom"/>
          </w:tcPr>
          <w:p w:rsidR="00D322FB" w:rsidRPr="00121AF9" w:rsidRDefault="00D322FB">
            <w:pPr>
              <w:autoSpaceDE w:val="0"/>
              <w:autoSpaceDN w:val="0"/>
              <w:adjustRightInd w:val="0"/>
              <w:spacing w:line="230" w:lineRule="auto"/>
              <w:ind w:left="-108"/>
              <w:jc w:val="right"/>
              <w:rPr>
                <w:rFonts w:ascii="Arial" w:hAnsi="Arial" w:cs="Arial"/>
                <w:b/>
                <w:sz w:val="18"/>
                <w:lang w:val="tr-TR"/>
              </w:rPr>
            </w:pPr>
          </w:p>
        </w:tc>
      </w:tr>
      <w:tr w:rsidR="00D322FB" w:rsidRPr="00BE36CB" w:rsidTr="00155F70">
        <w:trPr>
          <w:trHeight w:val="113"/>
        </w:trPr>
        <w:tc>
          <w:tcPr>
            <w:tcW w:w="3420" w:type="dxa"/>
            <w:tcBorders>
              <w:top w:val="single" w:sz="4" w:space="0" w:color="auto"/>
              <w:bottom w:val="double" w:sz="6" w:space="0" w:color="auto"/>
            </w:tcBorders>
          </w:tcPr>
          <w:p w:rsidR="00D322FB" w:rsidRPr="00BE36CB" w:rsidRDefault="00D322FB" w:rsidP="00E125AB">
            <w:pPr>
              <w:autoSpaceDE w:val="0"/>
              <w:autoSpaceDN w:val="0"/>
              <w:adjustRightInd w:val="0"/>
              <w:spacing w:line="230" w:lineRule="auto"/>
              <w:ind w:left="318" w:hanging="426"/>
              <w:rPr>
                <w:rFonts w:ascii="Arial" w:hAnsi="Arial" w:cs="Arial"/>
                <w:b/>
                <w:sz w:val="18"/>
                <w:lang w:val="tr-TR"/>
              </w:rPr>
            </w:pPr>
            <w:r w:rsidRPr="00BE36CB">
              <w:rPr>
                <w:rFonts w:ascii="Arial" w:hAnsi="Arial" w:cs="Arial"/>
                <w:b/>
                <w:sz w:val="18"/>
                <w:lang w:val="tr-TR"/>
              </w:rPr>
              <w:t>Toplam</w:t>
            </w:r>
          </w:p>
        </w:tc>
        <w:tc>
          <w:tcPr>
            <w:tcW w:w="1620" w:type="dxa"/>
            <w:tcBorders>
              <w:top w:val="single" w:sz="4" w:space="0" w:color="auto"/>
              <w:bottom w:val="double" w:sz="6" w:space="0" w:color="auto"/>
            </w:tcBorders>
            <w:vAlign w:val="bottom"/>
          </w:tcPr>
          <w:p w:rsidR="00D322FB" w:rsidRPr="00BE36CB" w:rsidRDefault="00C13542" w:rsidP="00C13542">
            <w:pPr>
              <w:jc w:val="right"/>
              <w:rPr>
                <w:rFonts w:ascii="Arial" w:hAnsi="Arial" w:cs="Arial"/>
                <w:b/>
                <w:bCs/>
                <w:color w:val="000000"/>
                <w:sz w:val="18"/>
                <w:szCs w:val="18"/>
              </w:rPr>
            </w:pPr>
            <w:r>
              <w:rPr>
                <w:rFonts w:ascii="Arial" w:hAnsi="Arial" w:cs="Arial"/>
                <w:b/>
                <w:bCs/>
                <w:color w:val="000000"/>
                <w:sz w:val="18"/>
                <w:szCs w:val="18"/>
              </w:rPr>
              <w:t>101.409</w:t>
            </w:r>
          </w:p>
        </w:tc>
        <w:tc>
          <w:tcPr>
            <w:tcW w:w="1440" w:type="dxa"/>
            <w:tcBorders>
              <w:top w:val="single" w:sz="4" w:space="0" w:color="auto"/>
              <w:bottom w:val="double" w:sz="6" w:space="0" w:color="auto"/>
            </w:tcBorders>
            <w:vAlign w:val="bottom"/>
          </w:tcPr>
          <w:p w:rsidR="00D322FB" w:rsidRPr="00BE36CB" w:rsidRDefault="00C13542" w:rsidP="00C13542">
            <w:pPr>
              <w:jc w:val="right"/>
              <w:rPr>
                <w:rFonts w:ascii="Arial" w:hAnsi="Arial" w:cs="Arial"/>
                <w:b/>
                <w:bCs/>
                <w:color w:val="000000"/>
                <w:sz w:val="18"/>
                <w:szCs w:val="18"/>
              </w:rPr>
            </w:pPr>
            <w:r>
              <w:rPr>
                <w:rFonts w:ascii="Arial" w:hAnsi="Arial" w:cs="Arial"/>
                <w:b/>
                <w:bCs/>
                <w:color w:val="000000"/>
                <w:sz w:val="18"/>
                <w:szCs w:val="18"/>
              </w:rPr>
              <w:t>101.409</w:t>
            </w:r>
          </w:p>
        </w:tc>
        <w:tc>
          <w:tcPr>
            <w:tcW w:w="1440" w:type="dxa"/>
            <w:tcBorders>
              <w:top w:val="single" w:sz="4" w:space="0" w:color="auto"/>
              <w:bottom w:val="double" w:sz="6" w:space="0" w:color="auto"/>
            </w:tcBorders>
            <w:vAlign w:val="bottom"/>
          </w:tcPr>
          <w:p w:rsidR="00D322FB" w:rsidRPr="00121AF9" w:rsidRDefault="00D322FB">
            <w:pPr>
              <w:autoSpaceDE w:val="0"/>
              <w:autoSpaceDN w:val="0"/>
              <w:adjustRightInd w:val="0"/>
              <w:spacing w:line="230" w:lineRule="auto"/>
              <w:ind w:left="-108"/>
              <w:jc w:val="right"/>
              <w:rPr>
                <w:rFonts w:ascii="Arial" w:hAnsi="Arial" w:cs="Arial"/>
                <w:b/>
                <w:sz w:val="18"/>
                <w:lang w:val="tr-TR"/>
              </w:rPr>
            </w:pPr>
            <w:r w:rsidRPr="00121AF9">
              <w:rPr>
                <w:rFonts w:ascii="Arial" w:hAnsi="Arial" w:cs="Arial"/>
                <w:b/>
                <w:sz w:val="18"/>
                <w:lang w:val="tr-TR"/>
              </w:rPr>
              <w:t>-</w:t>
            </w:r>
          </w:p>
        </w:tc>
        <w:tc>
          <w:tcPr>
            <w:tcW w:w="1440" w:type="dxa"/>
            <w:tcBorders>
              <w:top w:val="single" w:sz="4" w:space="0" w:color="auto"/>
              <w:bottom w:val="double" w:sz="6" w:space="0" w:color="auto"/>
            </w:tcBorders>
            <w:vAlign w:val="bottom"/>
          </w:tcPr>
          <w:p w:rsidR="00D322FB" w:rsidRPr="00121AF9" w:rsidRDefault="00D322FB">
            <w:pPr>
              <w:autoSpaceDE w:val="0"/>
              <w:autoSpaceDN w:val="0"/>
              <w:adjustRightInd w:val="0"/>
              <w:spacing w:line="230" w:lineRule="auto"/>
              <w:ind w:left="-108"/>
              <w:jc w:val="right"/>
              <w:rPr>
                <w:rFonts w:ascii="Arial" w:hAnsi="Arial" w:cs="Arial"/>
                <w:b/>
                <w:sz w:val="18"/>
                <w:lang w:val="tr-TR"/>
              </w:rPr>
            </w:pPr>
            <w:r w:rsidRPr="00121AF9">
              <w:rPr>
                <w:rFonts w:ascii="Arial" w:hAnsi="Arial" w:cs="Arial"/>
                <w:b/>
                <w:sz w:val="18"/>
                <w:lang w:val="tr-TR"/>
              </w:rPr>
              <w:t>-</w:t>
            </w:r>
          </w:p>
        </w:tc>
      </w:tr>
    </w:tbl>
    <w:p w:rsidR="00D322FB" w:rsidRPr="00BE36CB" w:rsidRDefault="00D322FB" w:rsidP="00BE36CB">
      <w:pPr>
        <w:tabs>
          <w:tab w:val="left" w:pos="5640"/>
        </w:tabs>
        <w:spacing w:line="230" w:lineRule="auto"/>
        <w:rPr>
          <w:rFonts w:ascii="Arial" w:hAnsi="Arial" w:cs="Arial"/>
        </w:rPr>
      </w:pPr>
      <w:r w:rsidRPr="00BE36CB">
        <w:rPr>
          <w:rFonts w:ascii="Arial" w:hAnsi="Arial" w:cs="Arial"/>
        </w:rPr>
        <w:tab/>
      </w:r>
    </w:p>
    <w:tbl>
      <w:tblPr>
        <w:tblW w:w="9360" w:type="dxa"/>
        <w:tblInd w:w="108" w:type="dxa"/>
        <w:tblLayout w:type="fixed"/>
        <w:tblLook w:val="01E0" w:firstRow="1" w:lastRow="1" w:firstColumn="1" w:lastColumn="1" w:noHBand="0" w:noVBand="0"/>
      </w:tblPr>
      <w:tblGrid>
        <w:gridCol w:w="3420"/>
        <w:gridCol w:w="1620"/>
        <w:gridCol w:w="1440"/>
        <w:gridCol w:w="1440"/>
        <w:gridCol w:w="1440"/>
      </w:tblGrid>
      <w:tr w:rsidR="00E37E10" w:rsidRPr="00BE36CB" w:rsidTr="00224B5D">
        <w:trPr>
          <w:trHeight w:val="113"/>
        </w:trPr>
        <w:tc>
          <w:tcPr>
            <w:tcW w:w="3420" w:type="dxa"/>
            <w:tcBorders>
              <w:top w:val="single" w:sz="4" w:space="0" w:color="auto"/>
              <w:bottom w:val="single" w:sz="4" w:space="0" w:color="auto"/>
            </w:tcBorders>
            <w:vAlign w:val="bottom"/>
          </w:tcPr>
          <w:p w:rsidR="00E37E10" w:rsidRPr="00E37E10" w:rsidRDefault="00E37E10" w:rsidP="00224B5D">
            <w:pPr>
              <w:autoSpaceDE w:val="0"/>
              <w:autoSpaceDN w:val="0"/>
              <w:adjustRightInd w:val="0"/>
              <w:spacing w:line="230" w:lineRule="auto"/>
              <w:ind w:left="318" w:hanging="426"/>
              <w:rPr>
                <w:rFonts w:ascii="Arial" w:hAnsi="Arial" w:cs="Arial"/>
                <w:sz w:val="18"/>
                <w:lang w:val="tr-TR"/>
              </w:rPr>
            </w:pPr>
          </w:p>
        </w:tc>
        <w:tc>
          <w:tcPr>
            <w:tcW w:w="1620" w:type="dxa"/>
            <w:tcBorders>
              <w:top w:val="single" w:sz="4" w:space="0" w:color="auto"/>
              <w:bottom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r w:rsidRPr="00E37E10">
              <w:rPr>
                <w:rFonts w:ascii="Arial" w:hAnsi="Arial" w:cs="Arial"/>
                <w:sz w:val="18"/>
                <w:lang w:val="tr-TR"/>
              </w:rPr>
              <w:t>31 Aralık 2014</w:t>
            </w:r>
          </w:p>
        </w:tc>
        <w:tc>
          <w:tcPr>
            <w:tcW w:w="1440" w:type="dxa"/>
            <w:tcBorders>
              <w:top w:val="single" w:sz="4" w:space="0" w:color="auto"/>
              <w:bottom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r w:rsidRPr="00E37E10">
              <w:rPr>
                <w:rFonts w:ascii="Arial" w:hAnsi="Arial" w:cs="Arial"/>
                <w:sz w:val="18"/>
                <w:lang w:val="tr-TR"/>
              </w:rPr>
              <w:t>Seviye 1</w:t>
            </w:r>
          </w:p>
        </w:tc>
        <w:tc>
          <w:tcPr>
            <w:tcW w:w="1440" w:type="dxa"/>
            <w:tcBorders>
              <w:top w:val="single" w:sz="4" w:space="0" w:color="auto"/>
              <w:bottom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r w:rsidRPr="00E37E10">
              <w:rPr>
                <w:rFonts w:ascii="Arial" w:hAnsi="Arial" w:cs="Arial"/>
                <w:sz w:val="18"/>
                <w:lang w:val="tr-TR"/>
              </w:rPr>
              <w:t>Seviye 2</w:t>
            </w:r>
          </w:p>
        </w:tc>
        <w:tc>
          <w:tcPr>
            <w:tcW w:w="1440" w:type="dxa"/>
            <w:tcBorders>
              <w:top w:val="single" w:sz="4" w:space="0" w:color="auto"/>
              <w:bottom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r w:rsidRPr="00E37E10">
              <w:rPr>
                <w:rFonts w:ascii="Arial" w:hAnsi="Arial" w:cs="Arial"/>
                <w:sz w:val="18"/>
                <w:lang w:val="tr-TR"/>
              </w:rPr>
              <w:t>Seviye 3</w:t>
            </w:r>
          </w:p>
        </w:tc>
      </w:tr>
      <w:tr w:rsidR="00E37E10" w:rsidRPr="00BE36CB" w:rsidTr="00224B5D">
        <w:trPr>
          <w:trHeight w:val="113"/>
        </w:trPr>
        <w:tc>
          <w:tcPr>
            <w:tcW w:w="3420" w:type="dxa"/>
            <w:tcBorders>
              <w:top w:val="single" w:sz="4" w:space="0" w:color="auto"/>
            </w:tcBorders>
          </w:tcPr>
          <w:p w:rsidR="00E37E10" w:rsidRPr="00E37E10" w:rsidRDefault="00E37E10" w:rsidP="00224B5D">
            <w:pPr>
              <w:autoSpaceDE w:val="0"/>
              <w:autoSpaceDN w:val="0"/>
              <w:adjustRightInd w:val="0"/>
              <w:spacing w:line="230" w:lineRule="auto"/>
              <w:ind w:left="318" w:hanging="426"/>
              <w:rPr>
                <w:rFonts w:ascii="Arial" w:hAnsi="Arial" w:cs="Arial"/>
                <w:sz w:val="18"/>
                <w:lang w:val="tr-TR"/>
              </w:rPr>
            </w:pPr>
          </w:p>
        </w:tc>
        <w:tc>
          <w:tcPr>
            <w:tcW w:w="1620" w:type="dxa"/>
            <w:tcBorders>
              <w:top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p>
        </w:tc>
        <w:tc>
          <w:tcPr>
            <w:tcW w:w="1440" w:type="dxa"/>
            <w:tcBorders>
              <w:top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p>
        </w:tc>
        <w:tc>
          <w:tcPr>
            <w:tcW w:w="1440" w:type="dxa"/>
            <w:tcBorders>
              <w:top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p>
        </w:tc>
        <w:tc>
          <w:tcPr>
            <w:tcW w:w="1440" w:type="dxa"/>
            <w:tcBorders>
              <w:top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p>
        </w:tc>
      </w:tr>
      <w:tr w:rsidR="00E37E10" w:rsidRPr="00BE36CB" w:rsidTr="00224B5D">
        <w:trPr>
          <w:trHeight w:val="113"/>
        </w:trPr>
        <w:tc>
          <w:tcPr>
            <w:tcW w:w="3420" w:type="dxa"/>
          </w:tcPr>
          <w:p w:rsidR="00E37E10" w:rsidRPr="00E37E10" w:rsidRDefault="00E37E10" w:rsidP="00224B5D">
            <w:pPr>
              <w:autoSpaceDE w:val="0"/>
              <w:autoSpaceDN w:val="0"/>
              <w:adjustRightInd w:val="0"/>
              <w:spacing w:line="230" w:lineRule="auto"/>
              <w:ind w:left="318" w:hanging="426"/>
              <w:rPr>
                <w:rFonts w:ascii="Arial" w:hAnsi="Arial" w:cs="Arial"/>
                <w:sz w:val="18"/>
                <w:lang w:val="tr-TR"/>
              </w:rPr>
            </w:pPr>
            <w:r w:rsidRPr="00E37E10">
              <w:rPr>
                <w:rFonts w:ascii="Arial" w:hAnsi="Arial" w:cs="Arial"/>
                <w:sz w:val="18"/>
                <w:lang w:val="tr-TR"/>
              </w:rPr>
              <w:t>Finansal varlıklar</w:t>
            </w:r>
          </w:p>
        </w:tc>
        <w:tc>
          <w:tcPr>
            <w:tcW w:w="1620" w:type="dxa"/>
            <w:vAlign w:val="bottom"/>
          </w:tcPr>
          <w:p w:rsidR="00E37E10" w:rsidRPr="00E37E10" w:rsidRDefault="00E37E10" w:rsidP="00224B5D">
            <w:pPr>
              <w:spacing w:line="230" w:lineRule="auto"/>
              <w:jc w:val="right"/>
              <w:rPr>
                <w:rFonts w:ascii="Arial" w:hAnsi="Arial" w:cs="Arial"/>
                <w:bCs/>
                <w:color w:val="000000"/>
                <w:sz w:val="18"/>
              </w:rPr>
            </w:pPr>
          </w:p>
        </w:tc>
        <w:tc>
          <w:tcPr>
            <w:tcW w:w="1440" w:type="dxa"/>
            <w:vAlign w:val="bottom"/>
          </w:tcPr>
          <w:p w:rsidR="00E37E10" w:rsidRPr="00E37E10" w:rsidRDefault="00E37E10" w:rsidP="00224B5D">
            <w:pPr>
              <w:spacing w:line="230" w:lineRule="auto"/>
              <w:jc w:val="right"/>
              <w:rPr>
                <w:rFonts w:ascii="Arial" w:hAnsi="Arial" w:cs="Arial"/>
                <w:bCs/>
                <w:color w:val="000000"/>
                <w:sz w:val="18"/>
              </w:rPr>
            </w:pPr>
          </w:p>
        </w:tc>
        <w:tc>
          <w:tcPr>
            <w:tcW w:w="1440" w:type="dxa"/>
            <w:vAlign w:val="bottom"/>
          </w:tcPr>
          <w:p w:rsidR="00E37E10" w:rsidRPr="00E37E10" w:rsidRDefault="00E37E10" w:rsidP="00224B5D">
            <w:pPr>
              <w:spacing w:line="230" w:lineRule="auto"/>
              <w:jc w:val="right"/>
              <w:rPr>
                <w:rFonts w:ascii="Arial" w:hAnsi="Arial" w:cs="Arial"/>
                <w:bCs/>
                <w:color w:val="000000"/>
                <w:sz w:val="18"/>
              </w:rPr>
            </w:pPr>
          </w:p>
        </w:tc>
        <w:tc>
          <w:tcPr>
            <w:tcW w:w="1440" w:type="dxa"/>
            <w:vAlign w:val="bottom"/>
          </w:tcPr>
          <w:p w:rsidR="00E37E10" w:rsidRPr="00E37E10" w:rsidRDefault="00E37E10" w:rsidP="00224B5D">
            <w:pPr>
              <w:spacing w:line="230" w:lineRule="auto"/>
              <w:jc w:val="right"/>
              <w:rPr>
                <w:rFonts w:ascii="Arial" w:hAnsi="Arial" w:cs="Arial"/>
                <w:bCs/>
                <w:color w:val="000000"/>
                <w:sz w:val="18"/>
              </w:rPr>
            </w:pPr>
          </w:p>
        </w:tc>
      </w:tr>
      <w:tr w:rsidR="00E37E10" w:rsidRPr="00BE36CB" w:rsidTr="00224B5D">
        <w:trPr>
          <w:trHeight w:val="113"/>
        </w:trPr>
        <w:tc>
          <w:tcPr>
            <w:tcW w:w="3420" w:type="dxa"/>
          </w:tcPr>
          <w:p w:rsidR="00E37E10" w:rsidRPr="00E37E10" w:rsidRDefault="00E37E10" w:rsidP="00224B5D">
            <w:pPr>
              <w:autoSpaceDE w:val="0"/>
              <w:autoSpaceDN w:val="0"/>
              <w:adjustRightInd w:val="0"/>
              <w:spacing w:line="230" w:lineRule="auto"/>
              <w:ind w:left="318" w:hanging="426"/>
              <w:rPr>
                <w:rFonts w:ascii="Arial" w:hAnsi="Arial" w:cs="Arial"/>
                <w:sz w:val="18"/>
                <w:lang w:val="tr-TR"/>
              </w:rPr>
            </w:pPr>
          </w:p>
        </w:tc>
        <w:tc>
          <w:tcPr>
            <w:tcW w:w="1620" w:type="dxa"/>
            <w:vAlign w:val="bottom"/>
          </w:tcPr>
          <w:p w:rsidR="00E37E10" w:rsidRPr="00E37E10" w:rsidRDefault="00E37E10" w:rsidP="00224B5D">
            <w:pPr>
              <w:spacing w:line="230" w:lineRule="auto"/>
              <w:jc w:val="right"/>
              <w:rPr>
                <w:rFonts w:ascii="Arial" w:hAnsi="Arial" w:cs="Arial"/>
                <w:bCs/>
                <w:color w:val="000000"/>
                <w:sz w:val="18"/>
              </w:rPr>
            </w:pPr>
          </w:p>
        </w:tc>
        <w:tc>
          <w:tcPr>
            <w:tcW w:w="1440" w:type="dxa"/>
            <w:vAlign w:val="bottom"/>
          </w:tcPr>
          <w:p w:rsidR="00E37E10" w:rsidRPr="00E37E10" w:rsidRDefault="00E37E10" w:rsidP="00224B5D">
            <w:pPr>
              <w:spacing w:line="230" w:lineRule="auto"/>
              <w:jc w:val="right"/>
              <w:rPr>
                <w:rFonts w:ascii="Arial" w:hAnsi="Arial" w:cs="Arial"/>
                <w:bCs/>
                <w:color w:val="000000"/>
                <w:sz w:val="18"/>
              </w:rPr>
            </w:pPr>
          </w:p>
        </w:tc>
        <w:tc>
          <w:tcPr>
            <w:tcW w:w="1440" w:type="dxa"/>
            <w:vAlign w:val="bottom"/>
          </w:tcPr>
          <w:p w:rsidR="00E37E10" w:rsidRPr="00E37E10" w:rsidRDefault="00E37E10" w:rsidP="00224B5D">
            <w:pPr>
              <w:spacing w:line="230" w:lineRule="auto"/>
              <w:jc w:val="right"/>
              <w:rPr>
                <w:rFonts w:ascii="Arial" w:hAnsi="Arial" w:cs="Arial"/>
                <w:bCs/>
                <w:color w:val="000000"/>
                <w:sz w:val="18"/>
              </w:rPr>
            </w:pPr>
          </w:p>
        </w:tc>
        <w:tc>
          <w:tcPr>
            <w:tcW w:w="1440" w:type="dxa"/>
            <w:vAlign w:val="bottom"/>
          </w:tcPr>
          <w:p w:rsidR="00E37E10" w:rsidRPr="00E37E10" w:rsidRDefault="00E37E10" w:rsidP="00224B5D">
            <w:pPr>
              <w:spacing w:line="230" w:lineRule="auto"/>
              <w:jc w:val="right"/>
              <w:rPr>
                <w:rFonts w:ascii="Arial" w:hAnsi="Arial" w:cs="Arial"/>
                <w:bCs/>
                <w:color w:val="000000"/>
                <w:sz w:val="18"/>
              </w:rPr>
            </w:pPr>
          </w:p>
        </w:tc>
      </w:tr>
      <w:tr w:rsidR="00E37E10" w:rsidRPr="00BE36CB" w:rsidTr="00224B5D">
        <w:trPr>
          <w:trHeight w:val="113"/>
        </w:trPr>
        <w:tc>
          <w:tcPr>
            <w:tcW w:w="3420" w:type="dxa"/>
          </w:tcPr>
          <w:p w:rsidR="00E37E10" w:rsidRPr="00E37E10" w:rsidRDefault="00E37E10" w:rsidP="00224B5D">
            <w:pPr>
              <w:autoSpaceDE w:val="0"/>
              <w:autoSpaceDN w:val="0"/>
              <w:adjustRightInd w:val="0"/>
              <w:spacing w:line="230" w:lineRule="auto"/>
              <w:ind w:left="318" w:hanging="426"/>
              <w:rPr>
                <w:rFonts w:ascii="Arial" w:hAnsi="Arial" w:cs="Arial"/>
                <w:sz w:val="18"/>
                <w:lang w:val="tr-TR"/>
              </w:rPr>
            </w:pPr>
            <w:r w:rsidRPr="00E37E10">
              <w:rPr>
                <w:rFonts w:ascii="Arial" w:hAnsi="Arial" w:cs="Arial"/>
                <w:sz w:val="18"/>
                <w:lang w:val="tr-TR"/>
              </w:rPr>
              <w:t>Finansal yatırımlar – Devlet tahvili</w:t>
            </w:r>
          </w:p>
        </w:tc>
        <w:tc>
          <w:tcPr>
            <w:tcW w:w="1620" w:type="dxa"/>
            <w:vAlign w:val="bottom"/>
          </w:tcPr>
          <w:p w:rsidR="00E37E10" w:rsidRPr="00E37E10" w:rsidRDefault="00E37E10" w:rsidP="00224B5D">
            <w:pPr>
              <w:jc w:val="right"/>
              <w:rPr>
                <w:rFonts w:ascii="Arial" w:hAnsi="Arial" w:cs="Arial"/>
                <w:bCs/>
                <w:color w:val="000000"/>
                <w:sz w:val="18"/>
                <w:szCs w:val="18"/>
              </w:rPr>
            </w:pPr>
            <w:r w:rsidRPr="00E37E10">
              <w:rPr>
                <w:rFonts w:ascii="Arial" w:hAnsi="Arial" w:cs="Arial"/>
                <w:bCs/>
                <w:color w:val="000000"/>
                <w:sz w:val="18"/>
                <w:szCs w:val="18"/>
              </w:rPr>
              <w:t>99.348</w:t>
            </w:r>
          </w:p>
        </w:tc>
        <w:tc>
          <w:tcPr>
            <w:tcW w:w="1440" w:type="dxa"/>
            <w:vAlign w:val="bottom"/>
          </w:tcPr>
          <w:p w:rsidR="00E37E10" w:rsidRPr="00E37E10" w:rsidRDefault="00E37E10" w:rsidP="00224B5D">
            <w:pPr>
              <w:jc w:val="right"/>
              <w:rPr>
                <w:rFonts w:ascii="Arial" w:hAnsi="Arial" w:cs="Arial"/>
                <w:bCs/>
                <w:color w:val="000000"/>
                <w:sz w:val="18"/>
                <w:szCs w:val="18"/>
              </w:rPr>
            </w:pPr>
            <w:r w:rsidRPr="00E37E10">
              <w:rPr>
                <w:rFonts w:ascii="Arial" w:hAnsi="Arial" w:cs="Arial"/>
                <w:bCs/>
                <w:color w:val="000000"/>
                <w:sz w:val="18"/>
                <w:szCs w:val="18"/>
              </w:rPr>
              <w:t>99.348</w:t>
            </w:r>
          </w:p>
        </w:tc>
        <w:tc>
          <w:tcPr>
            <w:tcW w:w="1440" w:type="dxa"/>
            <w:vAlign w:val="bottom"/>
          </w:tcPr>
          <w:p w:rsidR="00E37E10" w:rsidRPr="00E37E10" w:rsidRDefault="00E37E10" w:rsidP="00224B5D">
            <w:pPr>
              <w:spacing w:line="230" w:lineRule="auto"/>
              <w:jc w:val="right"/>
              <w:rPr>
                <w:rFonts w:ascii="Arial" w:hAnsi="Arial" w:cs="Arial"/>
                <w:bCs/>
                <w:color w:val="000000"/>
                <w:sz w:val="18"/>
              </w:rPr>
            </w:pPr>
            <w:r w:rsidRPr="00E37E10">
              <w:rPr>
                <w:rFonts w:ascii="Arial" w:hAnsi="Arial" w:cs="Arial"/>
                <w:bCs/>
                <w:color w:val="000000"/>
                <w:sz w:val="18"/>
              </w:rPr>
              <w:t>-</w:t>
            </w:r>
          </w:p>
        </w:tc>
        <w:tc>
          <w:tcPr>
            <w:tcW w:w="1440" w:type="dxa"/>
            <w:vAlign w:val="bottom"/>
          </w:tcPr>
          <w:p w:rsidR="00E37E10" w:rsidRPr="00E37E10" w:rsidRDefault="00E37E10" w:rsidP="00224B5D">
            <w:pPr>
              <w:spacing w:line="230" w:lineRule="auto"/>
              <w:jc w:val="right"/>
              <w:rPr>
                <w:rFonts w:ascii="Arial" w:hAnsi="Arial" w:cs="Arial"/>
                <w:bCs/>
                <w:color w:val="000000"/>
                <w:sz w:val="18"/>
              </w:rPr>
            </w:pPr>
            <w:r w:rsidRPr="00E37E10">
              <w:rPr>
                <w:rFonts w:ascii="Arial" w:hAnsi="Arial" w:cs="Arial"/>
                <w:bCs/>
                <w:color w:val="000000"/>
                <w:sz w:val="18"/>
              </w:rPr>
              <w:t>-</w:t>
            </w:r>
          </w:p>
        </w:tc>
      </w:tr>
      <w:tr w:rsidR="00E37E10" w:rsidRPr="00BE36CB" w:rsidTr="00224B5D">
        <w:trPr>
          <w:trHeight w:val="113"/>
        </w:trPr>
        <w:tc>
          <w:tcPr>
            <w:tcW w:w="3420" w:type="dxa"/>
            <w:tcBorders>
              <w:bottom w:val="single" w:sz="4" w:space="0" w:color="auto"/>
            </w:tcBorders>
          </w:tcPr>
          <w:p w:rsidR="00E37E10" w:rsidRPr="00E37E10" w:rsidRDefault="00E37E10" w:rsidP="00224B5D">
            <w:pPr>
              <w:autoSpaceDE w:val="0"/>
              <w:autoSpaceDN w:val="0"/>
              <w:adjustRightInd w:val="0"/>
              <w:spacing w:line="230" w:lineRule="auto"/>
              <w:ind w:left="318" w:hanging="426"/>
              <w:rPr>
                <w:rFonts w:ascii="Arial" w:hAnsi="Arial" w:cs="Arial"/>
                <w:sz w:val="18"/>
                <w:lang w:val="tr-TR"/>
              </w:rPr>
            </w:pPr>
          </w:p>
        </w:tc>
        <w:tc>
          <w:tcPr>
            <w:tcW w:w="1620" w:type="dxa"/>
            <w:tcBorders>
              <w:bottom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p>
        </w:tc>
        <w:tc>
          <w:tcPr>
            <w:tcW w:w="1440" w:type="dxa"/>
            <w:tcBorders>
              <w:bottom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p>
        </w:tc>
        <w:tc>
          <w:tcPr>
            <w:tcW w:w="1440" w:type="dxa"/>
            <w:tcBorders>
              <w:bottom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p>
        </w:tc>
        <w:tc>
          <w:tcPr>
            <w:tcW w:w="1440" w:type="dxa"/>
            <w:tcBorders>
              <w:bottom w:val="single" w:sz="4"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p>
        </w:tc>
      </w:tr>
      <w:tr w:rsidR="00E37E10" w:rsidRPr="00BE36CB" w:rsidTr="00224B5D">
        <w:trPr>
          <w:trHeight w:val="113"/>
        </w:trPr>
        <w:tc>
          <w:tcPr>
            <w:tcW w:w="3420" w:type="dxa"/>
            <w:tcBorders>
              <w:top w:val="single" w:sz="4" w:space="0" w:color="auto"/>
              <w:bottom w:val="double" w:sz="6" w:space="0" w:color="auto"/>
            </w:tcBorders>
          </w:tcPr>
          <w:p w:rsidR="00E37E10" w:rsidRPr="00E37E10" w:rsidRDefault="00E37E10" w:rsidP="00224B5D">
            <w:pPr>
              <w:autoSpaceDE w:val="0"/>
              <w:autoSpaceDN w:val="0"/>
              <w:adjustRightInd w:val="0"/>
              <w:spacing w:line="230" w:lineRule="auto"/>
              <w:ind w:left="318" w:hanging="426"/>
              <w:rPr>
                <w:rFonts w:ascii="Arial" w:hAnsi="Arial" w:cs="Arial"/>
                <w:sz w:val="18"/>
                <w:lang w:val="tr-TR"/>
              </w:rPr>
            </w:pPr>
            <w:r w:rsidRPr="00E37E10">
              <w:rPr>
                <w:rFonts w:ascii="Arial" w:hAnsi="Arial" w:cs="Arial"/>
                <w:sz w:val="18"/>
                <w:lang w:val="tr-TR"/>
              </w:rPr>
              <w:t>Toplam</w:t>
            </w:r>
          </w:p>
        </w:tc>
        <w:tc>
          <w:tcPr>
            <w:tcW w:w="1620" w:type="dxa"/>
            <w:tcBorders>
              <w:top w:val="single" w:sz="4" w:space="0" w:color="auto"/>
              <w:bottom w:val="double" w:sz="6" w:space="0" w:color="auto"/>
            </w:tcBorders>
            <w:vAlign w:val="bottom"/>
          </w:tcPr>
          <w:p w:rsidR="00E37E10" w:rsidRPr="00E37E10" w:rsidRDefault="00E37E10" w:rsidP="00224B5D">
            <w:pPr>
              <w:jc w:val="right"/>
              <w:rPr>
                <w:rFonts w:ascii="Arial" w:hAnsi="Arial" w:cs="Arial"/>
                <w:bCs/>
                <w:color w:val="000000"/>
                <w:sz w:val="18"/>
                <w:szCs w:val="18"/>
              </w:rPr>
            </w:pPr>
            <w:r w:rsidRPr="00E37E10">
              <w:rPr>
                <w:rFonts w:ascii="Arial" w:hAnsi="Arial" w:cs="Arial"/>
                <w:bCs/>
                <w:color w:val="000000"/>
                <w:sz w:val="18"/>
                <w:szCs w:val="18"/>
              </w:rPr>
              <w:t>99.348</w:t>
            </w:r>
          </w:p>
        </w:tc>
        <w:tc>
          <w:tcPr>
            <w:tcW w:w="1440" w:type="dxa"/>
            <w:tcBorders>
              <w:top w:val="single" w:sz="4" w:space="0" w:color="auto"/>
              <w:bottom w:val="double" w:sz="6" w:space="0" w:color="auto"/>
            </w:tcBorders>
            <w:vAlign w:val="bottom"/>
          </w:tcPr>
          <w:p w:rsidR="00E37E10" w:rsidRPr="00E37E10" w:rsidRDefault="00E37E10" w:rsidP="00224B5D">
            <w:pPr>
              <w:jc w:val="right"/>
              <w:rPr>
                <w:rFonts w:ascii="Arial" w:hAnsi="Arial" w:cs="Arial"/>
                <w:bCs/>
                <w:color w:val="000000"/>
                <w:sz w:val="18"/>
                <w:szCs w:val="18"/>
              </w:rPr>
            </w:pPr>
            <w:r w:rsidRPr="00E37E10">
              <w:rPr>
                <w:rFonts w:ascii="Arial" w:hAnsi="Arial" w:cs="Arial"/>
                <w:bCs/>
                <w:color w:val="000000"/>
                <w:sz w:val="18"/>
                <w:szCs w:val="18"/>
              </w:rPr>
              <w:t>99.348</w:t>
            </w:r>
          </w:p>
        </w:tc>
        <w:tc>
          <w:tcPr>
            <w:tcW w:w="1440" w:type="dxa"/>
            <w:tcBorders>
              <w:top w:val="single" w:sz="4" w:space="0" w:color="auto"/>
              <w:bottom w:val="double" w:sz="6"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r w:rsidRPr="00E37E10">
              <w:rPr>
                <w:rFonts w:ascii="Arial" w:hAnsi="Arial" w:cs="Arial"/>
                <w:sz w:val="18"/>
                <w:lang w:val="tr-TR"/>
              </w:rPr>
              <w:t>-</w:t>
            </w:r>
          </w:p>
        </w:tc>
        <w:tc>
          <w:tcPr>
            <w:tcW w:w="1440" w:type="dxa"/>
            <w:tcBorders>
              <w:top w:val="single" w:sz="4" w:space="0" w:color="auto"/>
              <w:bottom w:val="double" w:sz="6" w:space="0" w:color="auto"/>
            </w:tcBorders>
            <w:vAlign w:val="bottom"/>
          </w:tcPr>
          <w:p w:rsidR="00E37E10" w:rsidRPr="00E37E10" w:rsidRDefault="00E37E10" w:rsidP="00224B5D">
            <w:pPr>
              <w:autoSpaceDE w:val="0"/>
              <w:autoSpaceDN w:val="0"/>
              <w:adjustRightInd w:val="0"/>
              <w:spacing w:line="230" w:lineRule="auto"/>
              <w:ind w:left="-108"/>
              <w:jc w:val="right"/>
              <w:rPr>
                <w:rFonts w:ascii="Arial" w:hAnsi="Arial" w:cs="Arial"/>
                <w:sz w:val="18"/>
                <w:lang w:val="tr-TR"/>
              </w:rPr>
            </w:pPr>
            <w:r w:rsidRPr="00E37E10">
              <w:rPr>
                <w:rFonts w:ascii="Arial" w:hAnsi="Arial" w:cs="Arial"/>
                <w:sz w:val="18"/>
                <w:lang w:val="tr-TR"/>
              </w:rPr>
              <w:t>-</w:t>
            </w:r>
          </w:p>
        </w:tc>
      </w:tr>
    </w:tbl>
    <w:p w:rsidR="00D322FB" w:rsidRDefault="00D322FB" w:rsidP="00F11C4C">
      <w:pPr>
        <w:widowControl w:val="0"/>
        <w:ind w:right="-23"/>
        <w:rPr>
          <w:rFonts w:ascii="Arial" w:hAnsi="Arial" w:cs="Arial"/>
          <w:i/>
          <w:highlight w:val="yellow"/>
          <w:lang w:val="tr-TR"/>
        </w:rPr>
      </w:pPr>
    </w:p>
    <w:p w:rsidR="00D322FB" w:rsidRPr="006C68AC" w:rsidRDefault="00D322FB" w:rsidP="00F11C4C">
      <w:pPr>
        <w:widowControl w:val="0"/>
        <w:ind w:right="-23"/>
        <w:rPr>
          <w:rFonts w:ascii="Arial" w:hAnsi="Arial" w:cs="Arial"/>
          <w:b/>
          <w:lang w:val="tr-TR"/>
        </w:rPr>
      </w:pPr>
      <w:r w:rsidRPr="006C68AC">
        <w:rPr>
          <w:rFonts w:ascii="Arial" w:hAnsi="Arial" w:cs="Arial"/>
          <w:b/>
          <w:lang w:val="tr-TR"/>
        </w:rPr>
        <w:t>Sermaye yönetimi ve sermaye yeterliliği gereklilikleri</w:t>
      </w:r>
    </w:p>
    <w:p w:rsidR="00D322FB" w:rsidRPr="006C68AC" w:rsidRDefault="00D322FB" w:rsidP="00F11C4C">
      <w:pPr>
        <w:widowControl w:val="0"/>
        <w:ind w:right="-23"/>
        <w:rPr>
          <w:rFonts w:ascii="Arial" w:hAnsi="Arial" w:cs="Arial"/>
          <w:lang w:val="tr-TR"/>
        </w:rPr>
      </w:pPr>
    </w:p>
    <w:p w:rsidR="00D322FB" w:rsidRPr="006C68AC" w:rsidRDefault="00D322FB" w:rsidP="00F11C4C">
      <w:pPr>
        <w:rPr>
          <w:rFonts w:ascii="Arial" w:hAnsi="Arial" w:cs="Arial"/>
          <w:lang w:val="tr-TR"/>
        </w:rPr>
      </w:pPr>
      <w:r w:rsidRPr="006C68AC">
        <w:rPr>
          <w:rFonts w:ascii="Arial" w:hAnsi="Arial" w:cs="Arial"/>
          <w:lang w:val="tr-TR"/>
        </w:rPr>
        <w:t xml:space="preserve">Şirket, Sermaye Piyasası Kurulu’nun Seri: V No:34 sayılı Aracı Kurumların Sermayelerine ve Sermaye Yeterliliğine İlişkin Esaslar Tebliği’ne (“Tebliğ Seri: V No: 34”) uygun olarak sermayesini tanımlamakta ve yönetmektedir. Söz konusu Tebliğ’e göre portföy yönetim şirketleri de bu tebliğin hükümlerine tabi olup söz konusu şirketlerin öz sermayeleri, Tebliğ Seri: V No: 34’te getirilen değerleme hükümleri çerçevesinde, değerleme günü </w:t>
      </w:r>
      <w:r>
        <w:rPr>
          <w:rFonts w:ascii="Arial" w:hAnsi="Arial" w:cs="Arial"/>
          <w:lang w:val="tr-TR"/>
        </w:rPr>
        <w:t>itibariyle</w:t>
      </w:r>
      <w:r w:rsidRPr="006C68AC">
        <w:rPr>
          <w:rFonts w:ascii="Arial" w:hAnsi="Arial" w:cs="Arial"/>
          <w:lang w:val="tr-TR"/>
        </w:rPr>
        <w:t xml:space="preserve"> hazırlanmış bilançolarında yer alan ve net aktif toplamının ortaklık tarafından karşılanan kısmını ifade eden tutarların yer aldığı grubu oluşturur. Tebliğ Seri: V No: 34 hükümlerine göre portföy yönetim şirketleri için açıklanan asgari ödenmiş sermaye tutarı 31 </w:t>
      </w:r>
      <w:r w:rsidR="003A7245">
        <w:rPr>
          <w:rFonts w:ascii="Arial" w:hAnsi="Arial" w:cs="Arial"/>
          <w:lang w:val="tr-TR"/>
        </w:rPr>
        <w:t>Mart</w:t>
      </w:r>
      <w:r w:rsidRPr="006C68AC">
        <w:rPr>
          <w:rFonts w:ascii="Arial" w:hAnsi="Arial" w:cs="Arial"/>
          <w:lang w:val="tr-TR"/>
        </w:rPr>
        <w:t xml:space="preserve"> 201</w:t>
      </w:r>
      <w:r w:rsidR="003A7245">
        <w:rPr>
          <w:rFonts w:ascii="Arial" w:hAnsi="Arial" w:cs="Arial"/>
          <w:lang w:val="tr-TR"/>
        </w:rPr>
        <w:t>5</w:t>
      </w:r>
      <w:r w:rsidRPr="006C68AC">
        <w:rPr>
          <w:rFonts w:ascii="Arial" w:hAnsi="Arial" w:cs="Arial"/>
          <w:lang w:val="tr-TR"/>
        </w:rPr>
        <w:t xml:space="preserve"> tarihinde sona eren hesap dönemi için 444.000 TL (1 Ocak - 31 Aralık 201</w:t>
      </w:r>
      <w:r w:rsidR="00FF5192">
        <w:rPr>
          <w:rFonts w:ascii="Arial" w:hAnsi="Arial" w:cs="Arial"/>
          <w:lang w:val="tr-TR"/>
        </w:rPr>
        <w:t>4</w:t>
      </w:r>
      <w:r w:rsidRPr="006C68AC">
        <w:rPr>
          <w:rFonts w:ascii="Arial" w:hAnsi="Arial" w:cs="Arial"/>
          <w:lang w:val="tr-TR"/>
        </w:rPr>
        <w:t xml:space="preserve"> - 4</w:t>
      </w:r>
      <w:r w:rsidR="00FF5192">
        <w:rPr>
          <w:rFonts w:ascii="Arial" w:hAnsi="Arial" w:cs="Arial"/>
          <w:lang w:val="tr-TR"/>
        </w:rPr>
        <w:t>44</w:t>
      </w:r>
      <w:r w:rsidRPr="006C68AC">
        <w:rPr>
          <w:rFonts w:ascii="Arial" w:hAnsi="Arial" w:cs="Arial"/>
          <w:lang w:val="tr-TR"/>
        </w:rPr>
        <w:t xml:space="preserve">.000 TL) olarak belirlenmiştir. </w:t>
      </w:r>
    </w:p>
    <w:p w:rsidR="00D322FB" w:rsidRDefault="00D322FB" w:rsidP="00F11C4C">
      <w:pPr>
        <w:rPr>
          <w:rFonts w:ascii="Arial" w:hAnsi="Arial" w:cs="Arial"/>
          <w:highlight w:val="yellow"/>
          <w:lang w:val="tr-TR"/>
        </w:rPr>
      </w:pPr>
    </w:p>
    <w:p w:rsidR="00D322FB" w:rsidRDefault="00D322FB" w:rsidP="00F11C4C">
      <w:pPr>
        <w:rPr>
          <w:rFonts w:ascii="Arial" w:hAnsi="Arial" w:cs="Arial"/>
          <w:lang w:val="tr-TR"/>
        </w:rPr>
      </w:pPr>
      <w:r w:rsidRPr="00E73A0E">
        <w:rPr>
          <w:rFonts w:ascii="Arial" w:hAnsi="Arial" w:cs="Arial"/>
          <w:lang w:val="tr-TR"/>
        </w:rPr>
        <w:t>SPK’nın Seri: V No: 34 sayılı Aracı Kurumların Sermayelerine ve Sermaye Yeterliliğine İlişkin Esaslar Tebliği’nin 25. maddesine istinaden Portföy Yönetimi Şirketleri sermaye yeterliliklerini aynı tebliğin düzenlemelerine göre hesaplamak ve SPK’ya bildirmekle yükümlüdür. Seri: V No: 34 sayılı tebliğin 4. maddesine göre portföy yönetimi şirketlerinin sermaye yeterliliği tabanı, Tebliğ Seri: V No: 34’ün 3. maddesi uyarınca hesaplanan öz sermayelerinden maddi ve maddi olmayan duran varlıkların net tutarı, borsalarda ve teşkilatlanmış diğer piyasalarda işlem görenler hariç olmak üzere, değer düşüklüğü karşılığı ve sermaye taahhütleri düşüldükten sonra kalan finansal duran varlıklar ve diğer duran varlıklar ile müşteri sıfatı ile olsa dahi, personelden, ortaklardan, iştiraklerden, bağlı ortaklıklardan ve sermaye, yönetim ve denetim açısından doğrudan veya dolaylı olarak ilişkili bulunulan kişi ve kurumlardan olan teminatsız alacaklar ile bu kişi ve kurumlar tarafından ihraç edilmiş ve borsalarda ve teşkilatlanmış diğer piyasalarda işlem görmeyen sermaye piyasası araçları tutarlarının indirilmesi suretiyle bulunan tutarı ifade eder.</w:t>
      </w:r>
    </w:p>
    <w:p w:rsidR="00D322FB" w:rsidRPr="00023066" w:rsidRDefault="00D322FB" w:rsidP="00F11C4C">
      <w:pPr>
        <w:rPr>
          <w:rFonts w:ascii="Arial" w:hAnsi="Arial" w:cs="Arial"/>
          <w:lang w:val="tr-TR"/>
        </w:rPr>
      </w:pPr>
      <w:r>
        <w:rPr>
          <w:rFonts w:ascii="Arial" w:hAnsi="Arial" w:cs="Arial"/>
          <w:lang w:val="tr-TR"/>
        </w:rPr>
        <w:br w:type="page"/>
      </w:r>
    </w:p>
    <w:p w:rsidR="00D322FB" w:rsidRPr="00842630" w:rsidRDefault="00D322FB" w:rsidP="00175E04">
      <w:pPr>
        <w:spacing w:line="230" w:lineRule="auto"/>
        <w:rPr>
          <w:rFonts w:ascii="Arial" w:hAnsi="Arial" w:cs="Arial"/>
          <w:highlight w:val="yellow"/>
          <w:lang w:val="tr-TR"/>
        </w:rPr>
      </w:pPr>
      <w:r w:rsidRPr="007D5788">
        <w:rPr>
          <w:rFonts w:ascii="Arial" w:hAnsi="Arial" w:cs="Arial"/>
          <w:b/>
          <w:spacing w:val="-2"/>
          <w:lang w:val="tr-TR"/>
        </w:rPr>
        <w:lastRenderedPageBreak/>
        <w:t>25.</w:t>
      </w:r>
      <w:r w:rsidRPr="007D5788">
        <w:rPr>
          <w:rFonts w:ascii="Arial" w:hAnsi="Arial" w:cs="Arial"/>
          <w:b/>
          <w:spacing w:val="-2"/>
          <w:lang w:val="tr-TR"/>
        </w:rPr>
        <w:tab/>
        <w:t>Finansal araçlar</w:t>
      </w:r>
      <w:r w:rsidRPr="00842630">
        <w:rPr>
          <w:rFonts w:ascii="Arial" w:hAnsi="Arial" w:cs="Arial"/>
          <w:lang w:val="tr-TR"/>
        </w:rPr>
        <w:t xml:space="preserve"> </w:t>
      </w:r>
      <w:r w:rsidRPr="00842630">
        <w:rPr>
          <w:rFonts w:ascii="Arial" w:hAnsi="Arial" w:cs="Arial"/>
          <w:b/>
          <w:lang w:val="tr-TR"/>
        </w:rPr>
        <w:t>(devamı)</w:t>
      </w:r>
    </w:p>
    <w:p w:rsidR="00D322FB" w:rsidRPr="00844F84" w:rsidRDefault="00D322FB" w:rsidP="00F11C4C">
      <w:pPr>
        <w:rPr>
          <w:rFonts w:ascii="Arial" w:hAnsi="Arial" w:cs="Arial"/>
          <w:lang w:val="tr-TR"/>
        </w:rPr>
      </w:pPr>
    </w:p>
    <w:p w:rsidR="00D322FB" w:rsidRPr="00844F84" w:rsidRDefault="00D322FB" w:rsidP="00F11C4C">
      <w:pPr>
        <w:rPr>
          <w:rFonts w:ascii="Arial" w:hAnsi="Arial" w:cs="Arial"/>
          <w:lang w:val="tr-TR"/>
        </w:rPr>
      </w:pPr>
      <w:r w:rsidRPr="00844F84">
        <w:rPr>
          <w:rFonts w:ascii="Arial" w:hAnsi="Arial" w:cs="Arial"/>
          <w:lang w:val="tr-TR"/>
        </w:rPr>
        <w:t>Tebliğ Seri: V No: 34’ün 8. maddesine göre portföy yönetimi şirketlerinin sermaye yeterliliği tabanları, sahip oldukları yetki belgelerine tekabül eden asgari öz sermayeleri, Tebliğ Seri: V No: 34’de anılan risk karşılıkları ve değerleme gününden önceki son üç ayda oluşan faaliyet giderleri, kalemlerinin herhangi birinden az olamaz.</w:t>
      </w:r>
    </w:p>
    <w:p w:rsidR="00D322FB" w:rsidRPr="00727376" w:rsidRDefault="00D322FB" w:rsidP="00F11C4C">
      <w:pPr>
        <w:rPr>
          <w:rFonts w:ascii="Arial" w:hAnsi="Arial" w:cs="Arial"/>
          <w:highlight w:val="yellow"/>
          <w:lang w:val="tr-TR"/>
        </w:rPr>
      </w:pPr>
    </w:p>
    <w:p w:rsidR="00D322FB" w:rsidRPr="00844F84" w:rsidRDefault="00D322FB" w:rsidP="00F11C4C">
      <w:pPr>
        <w:rPr>
          <w:rFonts w:ascii="Arial" w:hAnsi="Arial" w:cs="Arial"/>
          <w:lang w:val="tr-TR"/>
        </w:rPr>
      </w:pPr>
      <w:r w:rsidRPr="00844F84">
        <w:rPr>
          <w:rFonts w:ascii="Arial" w:hAnsi="Arial" w:cs="Arial"/>
          <w:lang w:val="tr-TR"/>
        </w:rPr>
        <w:t xml:space="preserve">Şirket, </w:t>
      </w:r>
      <w:r w:rsidR="00FF5192" w:rsidRPr="002C2B61">
        <w:rPr>
          <w:rFonts w:ascii="Arial" w:hAnsi="Arial" w:cs="Arial"/>
          <w:lang w:val="tr-TR"/>
        </w:rPr>
        <w:t xml:space="preserve">31 </w:t>
      </w:r>
      <w:r w:rsidR="00FF5192">
        <w:rPr>
          <w:rFonts w:ascii="Arial" w:hAnsi="Arial" w:cs="Arial"/>
          <w:lang w:val="tr-TR"/>
        </w:rPr>
        <w:t>Mart</w:t>
      </w:r>
      <w:r w:rsidR="00FF5192" w:rsidRPr="002C2B61">
        <w:rPr>
          <w:rFonts w:ascii="Arial" w:hAnsi="Arial" w:cs="Arial"/>
          <w:lang w:val="tr-TR"/>
        </w:rPr>
        <w:t xml:space="preserve"> 201</w:t>
      </w:r>
      <w:r w:rsidR="00FF5192">
        <w:rPr>
          <w:rFonts w:ascii="Arial" w:hAnsi="Arial" w:cs="Arial"/>
          <w:lang w:val="tr-TR"/>
        </w:rPr>
        <w:t>5</w:t>
      </w:r>
      <w:r w:rsidR="00FF5192" w:rsidRPr="002C2B61">
        <w:rPr>
          <w:rFonts w:ascii="Arial" w:hAnsi="Arial" w:cs="Arial"/>
          <w:lang w:val="tr-TR"/>
        </w:rPr>
        <w:t xml:space="preserve"> ve </w:t>
      </w:r>
      <w:r w:rsidR="00FF5192">
        <w:rPr>
          <w:rFonts w:ascii="Arial" w:hAnsi="Arial" w:cs="Arial"/>
          <w:lang w:val="tr-TR"/>
        </w:rPr>
        <w:t xml:space="preserve">31 Aralık </w:t>
      </w:r>
      <w:r w:rsidR="00FF5192" w:rsidRPr="002C2B61">
        <w:rPr>
          <w:rFonts w:ascii="Arial" w:hAnsi="Arial" w:cs="Arial"/>
          <w:lang w:val="tr-TR"/>
        </w:rPr>
        <w:t>201</w:t>
      </w:r>
      <w:r w:rsidR="00FF5192">
        <w:rPr>
          <w:rFonts w:ascii="Arial" w:hAnsi="Arial" w:cs="Arial"/>
          <w:lang w:val="tr-TR"/>
        </w:rPr>
        <w:t>4</w:t>
      </w:r>
      <w:r w:rsidRPr="00844F84">
        <w:rPr>
          <w:rFonts w:ascii="Arial" w:hAnsi="Arial" w:cs="Arial"/>
          <w:lang w:val="tr-TR"/>
        </w:rPr>
        <w:t xml:space="preserve"> tarihleri itibariyle ilgili sermaye yeterlilikleri gerekliliklerini yerine getirmektedir.</w:t>
      </w:r>
    </w:p>
    <w:p w:rsidR="00D322FB" w:rsidRPr="00727376" w:rsidRDefault="00D322FB" w:rsidP="00F11C4C">
      <w:pPr>
        <w:rPr>
          <w:rFonts w:ascii="Arial" w:hAnsi="Arial" w:cs="Arial"/>
          <w:highlight w:val="yellow"/>
          <w:lang w:val="tr-TR"/>
        </w:rPr>
      </w:pPr>
    </w:p>
    <w:p w:rsidR="00D322FB" w:rsidRPr="00570819" w:rsidRDefault="00D322FB" w:rsidP="00570819">
      <w:pPr>
        <w:rPr>
          <w:rFonts w:ascii="Arial" w:hAnsi="Arial" w:cs="Arial"/>
          <w:lang w:val="tr-TR"/>
        </w:rPr>
      </w:pPr>
      <w:r w:rsidRPr="00570819">
        <w:rPr>
          <w:rFonts w:ascii="Arial" w:hAnsi="Arial" w:cs="Arial"/>
          <w:lang w:val="tr-TR"/>
        </w:rPr>
        <w:t xml:space="preserve">2 Temmuz 2013 tarih ve 28695 sayılı Resmi Gazete’de yayımlanan ve 1 Temmuz 2014 tarihinde yürürlüğe girecek olan ‘’Portföy Yönetim Şirketleri ve bu Şirketlerin Faaliyetlerine İlişkin Esaslar Tebliği (III-55.1)’’ne istinaden, Şirket’in 1 Temmuz 2015 tarihinden itibaren tutmakla yükümlü olduğu asgari özsermaye 3.000.000 TL olup, 31 </w:t>
      </w:r>
      <w:r w:rsidR="00FF5192">
        <w:rPr>
          <w:rFonts w:ascii="Arial" w:hAnsi="Arial" w:cs="Arial"/>
          <w:lang w:val="tr-TR"/>
        </w:rPr>
        <w:t>Mart</w:t>
      </w:r>
      <w:r w:rsidRPr="00570819">
        <w:rPr>
          <w:rFonts w:ascii="Arial" w:hAnsi="Arial" w:cs="Arial"/>
          <w:lang w:val="tr-TR"/>
        </w:rPr>
        <w:t xml:space="preserve"> 201</w:t>
      </w:r>
      <w:r w:rsidR="00FF5192">
        <w:rPr>
          <w:rFonts w:ascii="Arial" w:hAnsi="Arial" w:cs="Arial"/>
          <w:lang w:val="tr-TR"/>
        </w:rPr>
        <w:t>5</w:t>
      </w:r>
      <w:r w:rsidRPr="00570819">
        <w:rPr>
          <w:rFonts w:ascii="Arial" w:hAnsi="Arial" w:cs="Arial"/>
          <w:lang w:val="tr-TR"/>
        </w:rPr>
        <w:t xml:space="preserve">  tarihi itibariyle Şirket yükümlü olduğu asgari özsermaye tutarını sağlamaktadır.</w:t>
      </w:r>
    </w:p>
    <w:p w:rsidR="00D322FB" w:rsidRPr="00727376" w:rsidRDefault="00D322FB" w:rsidP="00570819">
      <w:pPr>
        <w:rPr>
          <w:rFonts w:ascii="Arial" w:hAnsi="Arial" w:cs="Arial"/>
          <w:b/>
          <w:highlight w:val="yellow"/>
          <w:lang w:val="tr-TR"/>
        </w:rPr>
      </w:pPr>
    </w:p>
    <w:p w:rsidR="00D322FB" w:rsidRPr="000F1BDF" w:rsidRDefault="00D322FB" w:rsidP="005C3EEB">
      <w:pPr>
        <w:pStyle w:val="Heading1"/>
        <w:rPr>
          <w:rFonts w:ascii="Arial" w:hAnsi="Arial" w:cs="Arial"/>
          <w:color w:val="auto"/>
          <w:sz w:val="20"/>
          <w:lang w:val="tr-TR"/>
        </w:rPr>
      </w:pPr>
      <w:r w:rsidRPr="000F1BDF">
        <w:rPr>
          <w:rFonts w:ascii="Arial" w:hAnsi="Arial" w:cs="Arial"/>
          <w:color w:val="auto"/>
          <w:sz w:val="20"/>
          <w:lang w:val="tr-TR"/>
        </w:rPr>
        <w:t>26.</w:t>
      </w:r>
      <w:r w:rsidRPr="000F1BDF">
        <w:rPr>
          <w:rFonts w:ascii="Arial" w:hAnsi="Arial" w:cs="Arial"/>
          <w:color w:val="auto"/>
          <w:sz w:val="20"/>
          <w:lang w:val="tr-TR"/>
        </w:rPr>
        <w:tab/>
        <w:t>Bilanço tarihinden sonraki olaylar</w:t>
      </w:r>
    </w:p>
    <w:p w:rsidR="00D322FB" w:rsidRPr="000F1BDF" w:rsidRDefault="00D322FB" w:rsidP="00DA51B1">
      <w:pPr>
        <w:spacing w:line="230" w:lineRule="auto"/>
        <w:rPr>
          <w:rFonts w:ascii="Arial" w:hAnsi="Arial" w:cs="Arial"/>
          <w:lang w:val="tr-TR"/>
        </w:rPr>
      </w:pPr>
    </w:p>
    <w:p w:rsidR="00D322FB" w:rsidRPr="00A47965" w:rsidRDefault="00FF5192" w:rsidP="00A47965">
      <w:pPr>
        <w:rPr>
          <w:rFonts w:ascii="Arial" w:hAnsi="Arial" w:cs="Arial"/>
          <w:lang w:val="tr-TR"/>
        </w:rPr>
      </w:pPr>
      <w:r>
        <w:rPr>
          <w:rFonts w:ascii="Arial" w:hAnsi="Arial" w:cs="Arial"/>
          <w:lang w:val="tr-TR"/>
        </w:rPr>
        <w:t>.</w:t>
      </w:r>
      <w:r w:rsidR="00D322FB" w:rsidRPr="00A47965">
        <w:rPr>
          <w:rFonts w:ascii="Arial" w:hAnsi="Arial" w:cs="Arial"/>
          <w:lang w:val="tr-TR"/>
        </w:rPr>
        <w:t xml:space="preserve">Şirket 20 Şubat 2015 tarihli yönetim kurulu kararı ile 2014 zararı ve geçmiş yıl zararlarınının toplamı olan 1.681.300 TL’yi sermayeye ilave ederek sermaye azaltımı yapmak suretiyle Şirket sermayesinin 3.000.000 TL’den 1.318.700 TL’ye düşürülmesine ve eş zamanlı olarak 4.383.130 TL tutarda sermaye arttırımı yapılarak sermayenin 5.701.830 TL’ye çıkartılması karar verilmiştir. </w:t>
      </w:r>
    </w:p>
    <w:p w:rsidR="00D322FB" w:rsidRPr="000F1BDF" w:rsidRDefault="00F0255F" w:rsidP="00DA51B1">
      <w:pPr>
        <w:spacing w:line="230" w:lineRule="auto"/>
        <w:rPr>
          <w:rFonts w:ascii="Arial" w:hAnsi="Arial" w:cs="Arial"/>
          <w:lang w:val="tr-TR"/>
        </w:rPr>
      </w:pPr>
      <w:r>
        <w:rPr>
          <w:rFonts w:ascii="Arial" w:hAnsi="Arial" w:cs="Arial"/>
          <w:lang w:val="tr-TR"/>
        </w:rPr>
        <w:t>Sermaye Piyasası Kurulu 16 Nisan 2015 tarihli bülteni ile sermaye artırım talebi onaylanmıştır.</w:t>
      </w:r>
    </w:p>
    <w:sectPr w:rsidR="00D322FB" w:rsidRPr="000F1BDF" w:rsidSect="009665AF">
      <w:pgSz w:w="11907" w:h="16834" w:code="9"/>
      <w:pgMar w:top="1418" w:right="1107"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F4" w:rsidRDefault="006565F4">
      <w:r>
        <w:separator/>
      </w:r>
    </w:p>
  </w:endnote>
  <w:endnote w:type="continuationSeparator" w:id="0">
    <w:p w:rsidR="006565F4" w:rsidRDefault="0065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EYInterstate Light">
    <w:panose1 w:val="00000000000000000000"/>
    <w:charset w:val="A2"/>
    <w:family w:val="auto"/>
    <w:notTrueType/>
    <w:pitch w:val="variable"/>
    <w:sig w:usb0="00000007" w:usb1="00000000" w:usb2="00000000" w:usb3="00000000" w:csb0="00000011" w:csb1="00000000"/>
  </w:font>
  <w:font w:name="EYInterstate">
    <w:panose1 w:val="00000000000000000000"/>
    <w:charset w:val="A2"/>
    <w:family w:val="auto"/>
    <w:notTrueType/>
    <w:pitch w:val="variable"/>
    <w:sig w:usb0="00000007" w:usb1="00000000" w:usb2="00000000" w:usb3="00000000" w:csb0="00000011"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F4" w:rsidRDefault="006565F4" w:rsidP="007576E9">
    <w:pPr>
      <w:jc w:val="center"/>
      <w:rPr>
        <w:rFonts w:ascii="Arial" w:hAnsi="Arial" w:cs="Arial"/>
      </w:rPr>
    </w:pPr>
    <w:r>
      <w:rPr>
        <w:rFonts w:ascii="Arial" w:hAnsi="Arial" w:cs="Arial"/>
      </w:rPr>
      <w:t>Ekteki dipnotlar bu finansal tabloların tamamlayıcı bir parçasıdır.</w:t>
    </w:r>
  </w:p>
  <w:p w:rsidR="006565F4" w:rsidRDefault="006565F4">
    <w:pPr>
      <w:pStyle w:val="Footer"/>
      <w:jc w:val="center"/>
      <w:rPr>
        <w:rFonts w:ascii="Arial" w:hAnsi="Arial" w:cs="Arial"/>
      </w:rPr>
    </w:pPr>
  </w:p>
  <w:p w:rsidR="006565F4" w:rsidRDefault="006565F4">
    <w:pPr>
      <w:pStyle w:val="Footer"/>
      <w:jc w:val="center"/>
    </w:pPr>
    <w:r w:rsidRPr="00A53679">
      <w:rPr>
        <w:rFonts w:ascii="Arial" w:hAnsi="Arial" w:cs="Arial"/>
      </w:rPr>
      <w:t>(</w:t>
    </w:r>
    <w:r w:rsidRPr="00A53679">
      <w:rPr>
        <w:rFonts w:ascii="Arial" w:hAnsi="Arial" w:cs="Arial"/>
      </w:rPr>
      <w:fldChar w:fldCharType="begin"/>
    </w:r>
    <w:r w:rsidRPr="00A53679">
      <w:rPr>
        <w:rFonts w:ascii="Arial" w:hAnsi="Arial" w:cs="Arial"/>
      </w:rPr>
      <w:instrText xml:space="preserve"> PAGE   \* MERGEFORMAT </w:instrText>
    </w:r>
    <w:r w:rsidRPr="00A53679">
      <w:rPr>
        <w:rFonts w:ascii="Arial" w:hAnsi="Arial" w:cs="Arial"/>
      </w:rPr>
      <w:fldChar w:fldCharType="separate"/>
    </w:r>
    <w:r>
      <w:rPr>
        <w:rFonts w:ascii="Arial" w:hAnsi="Arial" w:cs="Arial"/>
        <w:noProof/>
      </w:rPr>
      <w:t>6</w:t>
    </w:r>
    <w:r w:rsidRPr="00A53679">
      <w:rPr>
        <w:rFonts w:ascii="Arial" w:hAnsi="Arial" w:cs="Arial"/>
      </w:rPr>
      <w:fldChar w:fldCharType="end"/>
    </w:r>
    <w:r w:rsidRPr="00A53679">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F4" w:rsidRDefault="006565F4">
    <w:pPr>
      <w:pStyle w:val="Footer"/>
      <w:jc w:val="center"/>
      <w:rPr>
        <w:rFonts w:ascii="Arial" w:hAnsi="Arial" w:cs="Arial"/>
      </w:rPr>
    </w:pPr>
  </w:p>
  <w:p w:rsidR="006565F4" w:rsidRDefault="006565F4">
    <w:pPr>
      <w:pStyle w:val="Footer"/>
      <w:jc w:val="center"/>
    </w:pPr>
    <w:r w:rsidRPr="00A53679">
      <w:rPr>
        <w:rFonts w:ascii="Arial" w:hAnsi="Arial" w:cs="Arial"/>
      </w:rPr>
      <w:t>(</w:t>
    </w:r>
    <w:r w:rsidRPr="00A53679">
      <w:rPr>
        <w:rFonts w:ascii="Arial" w:hAnsi="Arial" w:cs="Arial"/>
      </w:rPr>
      <w:fldChar w:fldCharType="begin"/>
    </w:r>
    <w:r w:rsidRPr="00A53679">
      <w:rPr>
        <w:rFonts w:ascii="Arial" w:hAnsi="Arial" w:cs="Arial"/>
      </w:rPr>
      <w:instrText xml:space="preserve"> PAGE   \* MERGEFORMAT </w:instrText>
    </w:r>
    <w:r w:rsidRPr="00A53679">
      <w:rPr>
        <w:rFonts w:ascii="Arial" w:hAnsi="Arial" w:cs="Arial"/>
      </w:rPr>
      <w:fldChar w:fldCharType="separate"/>
    </w:r>
    <w:r>
      <w:rPr>
        <w:rFonts w:ascii="Arial" w:hAnsi="Arial" w:cs="Arial"/>
        <w:noProof/>
      </w:rPr>
      <w:t>51</w:t>
    </w:r>
    <w:r w:rsidRPr="00A53679">
      <w:rPr>
        <w:rFonts w:ascii="Arial" w:hAnsi="Arial" w:cs="Arial"/>
      </w:rPr>
      <w:fldChar w:fldCharType="end"/>
    </w:r>
    <w:r w:rsidRPr="00A53679">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F4" w:rsidRDefault="006565F4">
      <w:r>
        <w:separator/>
      </w:r>
    </w:p>
  </w:footnote>
  <w:footnote w:type="continuationSeparator" w:id="0">
    <w:p w:rsidR="006565F4" w:rsidRDefault="00656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F4" w:rsidRPr="00FC1E16" w:rsidRDefault="006565F4" w:rsidP="00E42608">
    <w:pPr>
      <w:ind w:right="-211"/>
      <w:rPr>
        <w:rFonts w:ascii="Arial" w:hAnsi="Arial" w:cs="Arial"/>
        <w:b/>
        <w:lang w:val="da-DK"/>
      </w:rPr>
    </w:pPr>
    <w:r w:rsidRPr="00FC1E16">
      <w:rPr>
        <w:rFonts w:ascii="Arial" w:hAnsi="Arial" w:cs="Arial"/>
        <w:b/>
        <w:lang w:val="da-DK"/>
      </w:rPr>
      <w:t>A</w:t>
    </w:r>
    <w:r>
      <w:rPr>
        <w:rFonts w:ascii="Arial" w:hAnsi="Arial" w:cs="Arial"/>
        <w:b/>
        <w:lang w:val="da-DK"/>
      </w:rPr>
      <w:t>ta Portföy Yönetimi Anonim Şirketi</w:t>
    </w:r>
  </w:p>
  <w:p w:rsidR="006565F4" w:rsidRPr="00FC1E16" w:rsidRDefault="006565F4" w:rsidP="00E42608">
    <w:pPr>
      <w:ind w:right="-211"/>
      <w:rPr>
        <w:rFonts w:ascii="Arial" w:hAnsi="Arial" w:cs="Arial"/>
        <w:b/>
        <w:lang w:val="da-DK"/>
      </w:rPr>
    </w:pPr>
  </w:p>
  <w:p w:rsidR="006565F4" w:rsidRDefault="006565F4" w:rsidP="005321EC">
    <w:pPr>
      <w:pStyle w:val="Header"/>
      <w:rPr>
        <w:rFonts w:ascii="Arial" w:hAnsi="Arial" w:cs="Arial"/>
        <w:b/>
        <w:lang w:val="tr-TR"/>
      </w:rPr>
    </w:pPr>
    <w:r>
      <w:rPr>
        <w:rFonts w:ascii="Arial" w:hAnsi="Arial" w:cs="Arial"/>
        <w:b/>
        <w:lang w:val="tr-TR"/>
      </w:rPr>
      <w:t>31 Mart 2015 ve 31 Aralık 2014 tarihleri itibariyle</w:t>
    </w:r>
  </w:p>
  <w:p w:rsidR="006565F4" w:rsidRDefault="006565F4" w:rsidP="005321EC">
    <w:pPr>
      <w:pStyle w:val="Header"/>
      <w:rPr>
        <w:rFonts w:ascii="Arial" w:hAnsi="Arial" w:cs="Arial"/>
        <w:b/>
        <w:lang w:val="tr-TR"/>
      </w:rPr>
    </w:pPr>
    <w:r>
      <w:rPr>
        <w:rFonts w:ascii="Arial" w:hAnsi="Arial" w:cs="Arial"/>
        <w:b/>
        <w:lang w:val="tr-TR"/>
      </w:rPr>
      <w:t>finansal durum tabloları (bilanço)</w:t>
    </w:r>
  </w:p>
  <w:p w:rsidR="006565F4" w:rsidRDefault="006565F4" w:rsidP="005321EC">
    <w:pPr>
      <w:pStyle w:val="Header"/>
      <w:rPr>
        <w:rFonts w:ascii="Arial" w:hAnsi="Arial" w:cs="Arial"/>
        <w:bCs/>
        <w:sz w:val="18"/>
        <w:lang w:val="tr-TR"/>
      </w:rPr>
    </w:pPr>
    <w:r>
      <w:rPr>
        <w:rFonts w:ascii="Arial" w:hAnsi="Arial" w:cs="Arial"/>
        <w:bCs/>
        <w:sz w:val="18"/>
        <w:lang w:val="tr-TR"/>
      </w:rPr>
      <w:t>(Tutarlar aksi belirtilmedikçe Türk Lirası (“TL”) cinsinden ifade edilmiştir.)</w:t>
    </w:r>
  </w:p>
  <w:p w:rsidR="006565F4" w:rsidRPr="00FC1E16" w:rsidRDefault="006565F4" w:rsidP="00E42608">
    <w:pPr>
      <w:pStyle w:val="Header"/>
      <w:rPr>
        <w:rFonts w:ascii="Arial" w:hAnsi="Arial" w:cs="Arial"/>
        <w:b/>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F4" w:rsidRPr="00FC1E16" w:rsidRDefault="006565F4" w:rsidP="00E42608">
    <w:pPr>
      <w:ind w:right="-211"/>
      <w:rPr>
        <w:rFonts w:ascii="Arial" w:hAnsi="Arial" w:cs="Arial"/>
        <w:b/>
        <w:lang w:val="da-DK"/>
      </w:rPr>
    </w:pPr>
    <w:r w:rsidRPr="00FC1E16">
      <w:rPr>
        <w:rFonts w:ascii="Arial" w:hAnsi="Arial" w:cs="Arial"/>
        <w:b/>
        <w:lang w:val="da-DK"/>
      </w:rPr>
      <w:t>A</w:t>
    </w:r>
    <w:r>
      <w:rPr>
        <w:rFonts w:ascii="Arial" w:hAnsi="Arial" w:cs="Arial"/>
        <w:b/>
        <w:lang w:val="da-DK"/>
      </w:rPr>
      <w:t>ta Portföy Yönetimi Anonim Şirketi</w:t>
    </w:r>
  </w:p>
  <w:p w:rsidR="006565F4" w:rsidRPr="00FC1E16" w:rsidRDefault="006565F4" w:rsidP="00E42608">
    <w:pPr>
      <w:ind w:right="-211"/>
      <w:rPr>
        <w:rFonts w:ascii="Arial" w:hAnsi="Arial" w:cs="Arial"/>
        <w:b/>
        <w:lang w:val="da-DK"/>
      </w:rPr>
    </w:pPr>
  </w:p>
  <w:p w:rsidR="006565F4" w:rsidRDefault="006565F4" w:rsidP="005321EC">
    <w:pPr>
      <w:pStyle w:val="Header"/>
      <w:rPr>
        <w:rFonts w:ascii="Arial" w:hAnsi="Arial" w:cs="Arial"/>
        <w:b/>
        <w:lang w:val="da-DK"/>
      </w:rPr>
    </w:pPr>
    <w:r>
      <w:rPr>
        <w:rFonts w:ascii="Arial" w:hAnsi="Arial" w:cs="Arial"/>
        <w:b/>
        <w:lang w:val="da-DK"/>
      </w:rPr>
      <w:t>31 Mart 2015 ve 31 Aralık 2014 tarihlerinde sona eren yıllara ait</w:t>
    </w:r>
  </w:p>
  <w:p w:rsidR="006565F4" w:rsidRDefault="006565F4" w:rsidP="005321EC">
    <w:pPr>
      <w:pStyle w:val="Header"/>
      <w:rPr>
        <w:rFonts w:ascii="Arial" w:hAnsi="Arial" w:cs="Arial"/>
        <w:b/>
        <w:lang w:val="da-DK"/>
      </w:rPr>
    </w:pPr>
    <w:r>
      <w:rPr>
        <w:rFonts w:ascii="Arial" w:hAnsi="Arial" w:cs="Arial"/>
        <w:b/>
        <w:lang w:val="da-DK"/>
      </w:rPr>
      <w:t>kar veya zarar ve diğer kapsamlı gelir tabloları</w:t>
    </w:r>
  </w:p>
  <w:p w:rsidR="006565F4" w:rsidRDefault="006565F4" w:rsidP="005321EC">
    <w:pPr>
      <w:pStyle w:val="Header"/>
      <w:rPr>
        <w:rFonts w:ascii="Arial" w:hAnsi="Arial" w:cs="Arial"/>
        <w:bCs/>
        <w:sz w:val="18"/>
        <w:lang w:val="da-DK"/>
      </w:rPr>
    </w:pPr>
    <w:r>
      <w:rPr>
        <w:rFonts w:ascii="Arial" w:hAnsi="Arial" w:cs="Arial"/>
        <w:bCs/>
        <w:sz w:val="18"/>
        <w:lang w:val="da-DK"/>
      </w:rPr>
      <w:t>(Tutarlar aksi belirtilmedikçe Türk Lirası (</w:t>
    </w:r>
    <w:r>
      <w:rPr>
        <w:rFonts w:ascii="Arial" w:hAnsi="Arial" w:cs="Arial"/>
        <w:bCs/>
        <w:sz w:val="18"/>
        <w:lang w:val="tr-TR"/>
      </w:rPr>
      <w:t>“TL”</w:t>
    </w:r>
    <w:r>
      <w:rPr>
        <w:rFonts w:ascii="Arial" w:hAnsi="Arial" w:cs="Arial"/>
        <w:bCs/>
        <w:sz w:val="18"/>
        <w:lang w:val="da-DK"/>
      </w:rPr>
      <w:t>) cinsinden ifade edilmiştir.)</w:t>
    </w:r>
  </w:p>
  <w:p w:rsidR="006565F4" w:rsidRDefault="006565F4" w:rsidP="005321EC">
    <w:pPr>
      <w:pStyle w:val="Header"/>
      <w:rPr>
        <w:rFonts w:ascii="Arial" w:hAnsi="Arial" w:cs="Arial"/>
        <w:sz w:val="18"/>
        <w:lang w:val="da-DK"/>
      </w:rPr>
    </w:pPr>
  </w:p>
  <w:p w:rsidR="006565F4" w:rsidRPr="00FC1E16" w:rsidRDefault="006565F4" w:rsidP="00E42608">
    <w:pPr>
      <w:pStyle w:val="Header"/>
      <w:rPr>
        <w:rFonts w:ascii="Arial" w:hAnsi="Arial" w:cs="Arial"/>
        <w:b/>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F4" w:rsidRPr="00FC1E16" w:rsidRDefault="006565F4" w:rsidP="00C917DA">
    <w:pPr>
      <w:ind w:right="-211"/>
      <w:rPr>
        <w:rFonts w:ascii="Arial" w:hAnsi="Arial" w:cs="Arial"/>
        <w:b/>
        <w:lang w:val="tr-TR"/>
      </w:rPr>
    </w:pPr>
    <w:r w:rsidRPr="00FC1E16">
      <w:rPr>
        <w:rFonts w:ascii="Arial" w:hAnsi="Arial" w:cs="Arial"/>
        <w:b/>
        <w:lang w:val="tr-TR"/>
      </w:rPr>
      <w:t>Ata Portföy Yönetimi A.Ş.</w:t>
    </w:r>
  </w:p>
  <w:p w:rsidR="006565F4" w:rsidRPr="00842630" w:rsidRDefault="006565F4" w:rsidP="00C917DA">
    <w:pPr>
      <w:ind w:right="22"/>
      <w:rPr>
        <w:rFonts w:ascii="Arial" w:hAnsi="Arial" w:cs="Arial"/>
        <w:b/>
      </w:rPr>
    </w:pPr>
  </w:p>
  <w:p w:rsidR="006565F4" w:rsidRDefault="006565F4" w:rsidP="007F1172">
    <w:pPr>
      <w:pStyle w:val="Header"/>
      <w:ind w:left="567"/>
      <w:rPr>
        <w:rFonts w:ascii="Arial" w:hAnsi="Arial" w:cs="Arial"/>
        <w:b/>
        <w:lang w:val="da-DK"/>
      </w:rPr>
    </w:pPr>
    <w:r>
      <w:rPr>
        <w:rFonts w:ascii="Arial" w:hAnsi="Arial" w:cs="Arial"/>
        <w:b/>
        <w:lang w:val="da-DK"/>
      </w:rPr>
      <w:t xml:space="preserve">31 Mart 2015 ve 31 Mart 2014 tarihlerinde sona eren yıllara ait </w:t>
    </w:r>
  </w:p>
  <w:p w:rsidR="006565F4" w:rsidRDefault="006565F4" w:rsidP="005321EC">
    <w:pPr>
      <w:pStyle w:val="Header"/>
      <w:rPr>
        <w:rFonts w:ascii="Arial" w:hAnsi="Arial" w:cs="Arial"/>
        <w:b/>
        <w:lang w:val="da-DK"/>
      </w:rPr>
    </w:pPr>
    <w:r>
      <w:rPr>
        <w:rFonts w:ascii="Arial" w:hAnsi="Arial" w:cs="Arial"/>
        <w:b/>
        <w:lang w:val="da-DK"/>
      </w:rPr>
      <w:t>özkaynaklar değişim tabloları</w:t>
    </w:r>
  </w:p>
  <w:p w:rsidR="006565F4" w:rsidRPr="00842630" w:rsidRDefault="006565F4" w:rsidP="005321EC">
    <w:pPr>
      <w:pStyle w:val="Header"/>
      <w:rPr>
        <w:rFonts w:ascii="Arial" w:hAnsi="Arial" w:cs="Arial"/>
        <w:bCs/>
        <w:sz w:val="18"/>
        <w:lang w:val="da-DK"/>
      </w:rPr>
    </w:pPr>
    <w:r w:rsidRPr="00842630">
      <w:rPr>
        <w:rFonts w:ascii="Arial" w:hAnsi="Arial" w:cs="Arial"/>
        <w:bCs/>
        <w:sz w:val="18"/>
        <w:lang w:val="da-DK"/>
      </w:rPr>
      <w:t>(Tutarlar aksi belirtilmedikçe Türk Lirası (</w:t>
    </w:r>
    <w:r>
      <w:rPr>
        <w:rFonts w:ascii="Arial" w:hAnsi="Arial" w:cs="Arial"/>
        <w:bCs/>
        <w:sz w:val="18"/>
        <w:lang w:val="tr-TR"/>
      </w:rPr>
      <w:t>“TL”</w:t>
    </w:r>
    <w:r w:rsidRPr="00842630">
      <w:rPr>
        <w:rFonts w:ascii="Arial" w:hAnsi="Arial" w:cs="Arial"/>
        <w:bCs/>
        <w:sz w:val="18"/>
        <w:lang w:val="da-DK"/>
      </w:rPr>
      <w:t>) cinsinden ifade edilmiştir.)</w:t>
    </w:r>
  </w:p>
  <w:p w:rsidR="006565F4" w:rsidRDefault="006565F4">
    <w:pPr>
      <w:pStyle w:val="Header"/>
      <w:rPr>
        <w:rFonts w:ascii="Arial" w:hAnsi="Arial" w:cs="Arial"/>
        <w:b/>
        <w:lang w:val="da-DK"/>
      </w:rPr>
    </w:pPr>
  </w:p>
  <w:p w:rsidR="006565F4" w:rsidRPr="00FC1E16" w:rsidRDefault="006565F4">
    <w:pPr>
      <w:pStyle w:val="Header"/>
      <w:rPr>
        <w:rFonts w:ascii="Arial" w:hAnsi="Arial" w:cs="Arial"/>
        <w:b/>
        <w:lang w:val="da-D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F4" w:rsidRPr="00FC1E16" w:rsidRDefault="006565F4" w:rsidP="00C917DA">
    <w:pPr>
      <w:ind w:right="-211"/>
      <w:rPr>
        <w:rFonts w:ascii="Arial" w:hAnsi="Arial" w:cs="Arial"/>
        <w:b/>
        <w:lang w:val="tr-TR"/>
      </w:rPr>
    </w:pPr>
    <w:r w:rsidRPr="00FC1E16">
      <w:rPr>
        <w:rFonts w:ascii="Arial" w:hAnsi="Arial" w:cs="Arial"/>
        <w:b/>
        <w:lang w:val="tr-TR"/>
      </w:rPr>
      <w:t>A</w:t>
    </w:r>
    <w:r>
      <w:rPr>
        <w:rFonts w:ascii="Arial" w:hAnsi="Arial" w:cs="Arial"/>
        <w:b/>
        <w:lang w:val="tr-TR"/>
      </w:rPr>
      <w:t>ta Portföy Yönetimi Anonim Şirketi</w:t>
    </w:r>
  </w:p>
  <w:p w:rsidR="006565F4" w:rsidRDefault="006565F4" w:rsidP="00C917DA">
    <w:pPr>
      <w:ind w:right="22"/>
      <w:rPr>
        <w:rFonts w:ascii="Arial" w:hAnsi="Arial" w:cs="Arial"/>
        <w:b/>
        <w:lang w:val="de-DE"/>
      </w:rPr>
    </w:pPr>
  </w:p>
  <w:p w:rsidR="006565F4" w:rsidRDefault="006565F4" w:rsidP="005321EC">
    <w:pPr>
      <w:pStyle w:val="Header"/>
      <w:rPr>
        <w:rFonts w:ascii="Arial" w:hAnsi="Arial" w:cs="Arial"/>
        <w:b/>
        <w:lang w:val="da-DK"/>
      </w:rPr>
    </w:pPr>
    <w:r>
      <w:rPr>
        <w:rFonts w:ascii="Arial" w:hAnsi="Arial" w:cs="Arial"/>
        <w:b/>
        <w:lang w:val="da-DK"/>
      </w:rPr>
      <w:t>31 Mart 2015 ve 31 Mart 2014 tarihleri itibariyle sona eren yıllara ait</w:t>
    </w:r>
  </w:p>
  <w:p w:rsidR="006565F4" w:rsidRDefault="006565F4" w:rsidP="005321EC">
    <w:pPr>
      <w:pStyle w:val="Header"/>
      <w:rPr>
        <w:rFonts w:ascii="Arial" w:hAnsi="Arial" w:cs="Arial"/>
        <w:b/>
        <w:lang w:val="da-DK"/>
      </w:rPr>
    </w:pPr>
    <w:r>
      <w:rPr>
        <w:rFonts w:ascii="Arial" w:hAnsi="Arial" w:cs="Arial"/>
        <w:b/>
        <w:lang w:val="da-DK"/>
      </w:rPr>
      <w:t>nakit akış tablosu</w:t>
    </w:r>
  </w:p>
  <w:p w:rsidR="006565F4" w:rsidRDefault="006565F4" w:rsidP="005321EC">
    <w:pPr>
      <w:pStyle w:val="Header"/>
      <w:rPr>
        <w:rFonts w:ascii="Arial" w:hAnsi="Arial" w:cs="Arial"/>
        <w:sz w:val="18"/>
        <w:lang w:val="da-DK"/>
      </w:rPr>
    </w:pPr>
    <w:r>
      <w:rPr>
        <w:rFonts w:ascii="Arial" w:hAnsi="Arial" w:cs="Arial"/>
        <w:bCs/>
        <w:sz w:val="18"/>
        <w:lang w:val="da-DK"/>
      </w:rPr>
      <w:t>(Tutarlar aksi belirtilmedikçe Türk Lirası (</w:t>
    </w:r>
    <w:r>
      <w:rPr>
        <w:rFonts w:ascii="Arial" w:hAnsi="Arial" w:cs="Arial"/>
        <w:bCs/>
        <w:sz w:val="18"/>
        <w:lang w:val="tr-TR"/>
      </w:rPr>
      <w:t>“TL”</w:t>
    </w:r>
    <w:r>
      <w:rPr>
        <w:rFonts w:ascii="Arial" w:hAnsi="Arial" w:cs="Arial"/>
        <w:bCs/>
        <w:sz w:val="18"/>
        <w:lang w:val="da-DK"/>
      </w:rPr>
      <w:t>) cinsinden ifade edilmiştir.)</w:t>
    </w:r>
  </w:p>
  <w:p w:rsidR="006565F4" w:rsidRDefault="006565F4">
    <w:pPr>
      <w:pStyle w:val="Header"/>
      <w:rPr>
        <w:rFonts w:ascii="Arial" w:hAnsi="Arial" w:cs="Arial"/>
        <w:b/>
        <w:lang w:val="da-DK"/>
      </w:rPr>
    </w:pPr>
  </w:p>
  <w:p w:rsidR="006565F4" w:rsidRPr="00FC1E16" w:rsidRDefault="006565F4">
    <w:pPr>
      <w:pStyle w:val="Header"/>
      <w:rPr>
        <w:rFonts w:ascii="Arial" w:hAnsi="Arial" w:cs="Arial"/>
        <w:b/>
        <w:lang w:val="da-D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F4" w:rsidRPr="00FC1E16" w:rsidRDefault="006565F4" w:rsidP="00F11C4C">
    <w:pPr>
      <w:ind w:right="-211"/>
      <w:rPr>
        <w:rFonts w:ascii="Arial" w:hAnsi="Arial" w:cs="Arial"/>
        <w:b/>
        <w:lang w:val="sv-SE"/>
      </w:rPr>
    </w:pPr>
    <w:r>
      <w:rPr>
        <w:rFonts w:ascii="Arial" w:hAnsi="Arial" w:cs="Arial"/>
        <w:b/>
        <w:lang w:val="sv-SE"/>
      </w:rPr>
      <w:t>Ata Portföy Yönetimi Anonim Şirketi</w:t>
    </w:r>
  </w:p>
  <w:p w:rsidR="006565F4" w:rsidRPr="00FC1E16" w:rsidRDefault="006565F4" w:rsidP="00F11C4C">
    <w:pPr>
      <w:ind w:right="-211"/>
      <w:rPr>
        <w:rFonts w:ascii="Arial" w:hAnsi="Arial" w:cs="Arial"/>
        <w:b/>
        <w:lang w:val="sv-SE"/>
      </w:rPr>
    </w:pPr>
  </w:p>
  <w:p w:rsidR="006565F4" w:rsidRDefault="006565F4" w:rsidP="005321EC">
    <w:pPr>
      <w:pStyle w:val="Header"/>
      <w:rPr>
        <w:rFonts w:ascii="Arial" w:hAnsi="Arial" w:cs="Arial"/>
        <w:b/>
        <w:lang w:val="da-DK"/>
      </w:rPr>
    </w:pPr>
    <w:r>
      <w:rPr>
        <w:rFonts w:ascii="Arial" w:hAnsi="Arial" w:cs="Arial"/>
        <w:b/>
        <w:lang w:val="da-DK"/>
      </w:rPr>
      <w:t>31 Mart 2015 tarihinde sona eren yıla ait</w:t>
    </w:r>
  </w:p>
  <w:p w:rsidR="006565F4" w:rsidRDefault="006565F4" w:rsidP="005321EC">
    <w:pPr>
      <w:pStyle w:val="Header"/>
      <w:rPr>
        <w:rFonts w:ascii="Arial" w:hAnsi="Arial" w:cs="Arial"/>
        <w:b/>
        <w:lang w:val="da-DK"/>
      </w:rPr>
    </w:pPr>
    <w:r>
      <w:rPr>
        <w:rFonts w:ascii="Arial" w:hAnsi="Arial" w:cs="Arial"/>
        <w:b/>
        <w:lang w:val="da-DK"/>
      </w:rPr>
      <w:t xml:space="preserve">finansal tablolara ilişkin dipnotlar </w:t>
    </w:r>
  </w:p>
  <w:p w:rsidR="006565F4" w:rsidRPr="00842630" w:rsidRDefault="006565F4" w:rsidP="005321EC">
    <w:pPr>
      <w:pStyle w:val="Header"/>
      <w:rPr>
        <w:rFonts w:ascii="Arial" w:hAnsi="Arial" w:cs="Arial"/>
        <w:bCs/>
        <w:sz w:val="18"/>
        <w:lang w:val="da-DK"/>
      </w:rPr>
    </w:pPr>
    <w:r w:rsidRPr="00842630">
      <w:rPr>
        <w:rFonts w:ascii="Arial" w:hAnsi="Arial" w:cs="Arial"/>
        <w:bCs/>
        <w:sz w:val="18"/>
        <w:lang w:val="da-DK"/>
      </w:rPr>
      <w:t>(Tutarlar aksi belirtilmedikçe Türk Lirası (“TL”) cinsinden ifade edilmiştir.)</w:t>
    </w:r>
  </w:p>
  <w:p w:rsidR="006565F4" w:rsidRPr="00842630" w:rsidRDefault="006565F4" w:rsidP="005321EC">
    <w:pPr>
      <w:pStyle w:val="Header"/>
      <w:rPr>
        <w:rFonts w:ascii="Arial" w:hAnsi="Arial" w:cs="Arial"/>
        <w:bCs/>
        <w:sz w:val="18"/>
        <w:lang w:val="da-DK"/>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F4" w:rsidRPr="00FC1E16" w:rsidRDefault="006565F4" w:rsidP="00F11C4C">
    <w:pPr>
      <w:ind w:right="-211"/>
      <w:rPr>
        <w:rFonts w:ascii="Arial" w:hAnsi="Arial" w:cs="Arial"/>
        <w:b/>
        <w:lang w:val="sv-SE"/>
      </w:rPr>
    </w:pPr>
    <w:r>
      <w:rPr>
        <w:rFonts w:ascii="Arial" w:hAnsi="Arial" w:cs="Arial"/>
        <w:b/>
        <w:lang w:val="sv-SE"/>
      </w:rPr>
      <w:t>Ata Portföy Yönetimi Anonim Şirketi</w:t>
    </w:r>
  </w:p>
  <w:p w:rsidR="006565F4" w:rsidRPr="00FC1E16" w:rsidRDefault="006565F4" w:rsidP="00F11C4C">
    <w:pPr>
      <w:ind w:right="-211"/>
      <w:rPr>
        <w:rFonts w:ascii="Arial" w:hAnsi="Arial" w:cs="Arial"/>
        <w:b/>
        <w:lang w:val="sv-SE"/>
      </w:rPr>
    </w:pPr>
  </w:p>
  <w:p w:rsidR="006565F4" w:rsidRPr="00F05719" w:rsidRDefault="006565F4" w:rsidP="00F11C4C">
    <w:pPr>
      <w:ind w:right="-306"/>
      <w:rPr>
        <w:rFonts w:ascii="Arial" w:hAnsi="Arial" w:cs="Arial"/>
        <w:b/>
        <w:lang w:val="de-DE"/>
      </w:rPr>
    </w:pPr>
    <w:r>
      <w:rPr>
        <w:rFonts w:ascii="Arial" w:hAnsi="Arial" w:cs="Arial"/>
        <w:b/>
        <w:lang w:val="de-DE"/>
      </w:rPr>
      <w:t>31 Mart 2015</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p>
  <w:p w:rsidR="006565F4" w:rsidRPr="00842630" w:rsidRDefault="006565F4" w:rsidP="00F11C4C">
    <w:pPr>
      <w:pStyle w:val="Header"/>
      <w:rPr>
        <w:rFonts w:ascii="Arial" w:hAnsi="Arial" w:cs="Arial"/>
        <w:bCs/>
        <w:lang w:val="de-DE"/>
      </w:rPr>
    </w:pPr>
    <w:r w:rsidRPr="00842630">
      <w:rPr>
        <w:rFonts w:ascii="Arial" w:hAnsi="Arial" w:cs="Arial"/>
        <w:bCs/>
        <w:lang w:val="de-DE"/>
      </w:rPr>
      <w:t>(Tüm tutarlar aksi belirtilmedikçe Türk Lirası (“TL”) cinsinden ifade edilmiştir.)</w:t>
    </w:r>
  </w:p>
  <w:p w:rsidR="006565F4" w:rsidRPr="00842630" w:rsidRDefault="006565F4" w:rsidP="00F11C4C">
    <w:pPr>
      <w:pStyle w:val="Header"/>
      <w:rPr>
        <w:rFonts w:ascii="Arial" w:hAnsi="Arial" w:cs="Arial"/>
        <w:bCs/>
        <w:lang w:val="de-D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F4" w:rsidRPr="00FC1E16" w:rsidRDefault="006565F4" w:rsidP="007E6943">
    <w:pPr>
      <w:ind w:right="-211"/>
      <w:rPr>
        <w:rFonts w:ascii="Arial" w:hAnsi="Arial" w:cs="Arial"/>
        <w:b/>
        <w:lang w:val="sv-SE"/>
      </w:rPr>
    </w:pPr>
    <w:r>
      <w:rPr>
        <w:rFonts w:ascii="Arial" w:hAnsi="Arial" w:cs="Arial"/>
        <w:b/>
        <w:lang w:val="sv-SE"/>
      </w:rPr>
      <w:t>Ata Portföy Yönetimi Anonim Şirketi</w:t>
    </w:r>
  </w:p>
  <w:p w:rsidR="006565F4" w:rsidRPr="00FC1E16" w:rsidRDefault="006565F4" w:rsidP="007E6943">
    <w:pPr>
      <w:ind w:right="-211"/>
      <w:rPr>
        <w:rFonts w:ascii="Arial" w:hAnsi="Arial" w:cs="Arial"/>
        <w:b/>
        <w:lang w:val="sv-SE"/>
      </w:rPr>
    </w:pPr>
  </w:p>
  <w:p w:rsidR="006565F4" w:rsidRPr="00F05719" w:rsidRDefault="006565F4" w:rsidP="000E0F91">
    <w:pPr>
      <w:ind w:right="-306"/>
      <w:rPr>
        <w:rFonts w:ascii="Arial" w:hAnsi="Arial" w:cs="Arial"/>
        <w:b/>
        <w:lang w:val="de-DE"/>
      </w:rPr>
    </w:pPr>
    <w:r>
      <w:rPr>
        <w:rFonts w:ascii="Arial" w:hAnsi="Arial" w:cs="Arial"/>
        <w:b/>
        <w:lang w:val="de-DE"/>
      </w:rPr>
      <w:t>31 Mart 2015</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p>
  <w:p w:rsidR="006565F4" w:rsidRPr="00842630" w:rsidRDefault="006565F4" w:rsidP="00ED100B">
    <w:pPr>
      <w:pStyle w:val="Header"/>
      <w:rPr>
        <w:rFonts w:ascii="Arial" w:hAnsi="Arial" w:cs="Arial"/>
        <w:bCs/>
        <w:lang w:val="de-DE"/>
      </w:rPr>
    </w:pPr>
    <w:r w:rsidRPr="00842630">
      <w:rPr>
        <w:rFonts w:ascii="Arial" w:hAnsi="Arial" w:cs="Arial"/>
        <w:bCs/>
        <w:lang w:val="de-DE"/>
      </w:rPr>
      <w:t>(Tüm tutarlar aksi belirtilmedikçe Türk Lirası (“TL”) cinsinden ifade edilmiştir.)</w:t>
    </w:r>
  </w:p>
  <w:p w:rsidR="006565F4" w:rsidRDefault="006565F4">
    <w:pPr>
      <w:pStyle w:val="Header"/>
      <w:rPr>
        <w:rFonts w:ascii="Arial" w:hAnsi="Arial" w:cs="Arial"/>
        <w:lang w:val="tr-TR"/>
      </w:rPr>
    </w:pPr>
  </w:p>
  <w:p w:rsidR="006565F4" w:rsidRPr="00FC1E16" w:rsidRDefault="006565F4">
    <w:pPr>
      <w:pStyle w:val="Header"/>
      <w:rPr>
        <w:rFonts w:ascii="Arial" w:hAnsi="Arial" w:cs="Arial"/>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5D"/>
    <w:multiLevelType w:val="hybridMultilevel"/>
    <w:tmpl w:val="3676C4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9B5D7C"/>
    <w:multiLevelType w:val="hybridMultilevel"/>
    <w:tmpl w:val="60841620"/>
    <w:lvl w:ilvl="0" w:tplc="97EA50DC">
      <w:start w:val="81"/>
      <w:numFmt w:val="decimal"/>
      <w:lvlText w:val="%1"/>
      <w:lvlJc w:val="left"/>
      <w:pPr>
        <w:tabs>
          <w:tab w:val="num" w:pos="930"/>
        </w:tabs>
        <w:ind w:left="930" w:hanging="57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6310EA"/>
    <w:multiLevelType w:val="hybridMultilevel"/>
    <w:tmpl w:val="E4EA7CA0"/>
    <w:lvl w:ilvl="0" w:tplc="0409000F">
      <w:start w:val="4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D474FB"/>
    <w:multiLevelType w:val="hybridMultilevel"/>
    <w:tmpl w:val="3FD66BA0"/>
    <w:lvl w:ilvl="0" w:tplc="015C9E32">
      <w:start w:val="1"/>
      <w:numFmt w:val="upperLetter"/>
      <w:lvlText w:val="%1."/>
      <w:lvlJc w:val="left"/>
      <w:pPr>
        <w:tabs>
          <w:tab w:val="num" w:pos="900"/>
        </w:tabs>
        <w:ind w:left="900" w:hanging="360"/>
      </w:pPr>
      <w:rPr>
        <w:rFonts w:cs="Times New Roman" w:hint="default"/>
      </w:rPr>
    </w:lvl>
    <w:lvl w:ilvl="1" w:tplc="0409000F">
      <w:start w:val="1"/>
      <w:numFmt w:val="decimal"/>
      <w:lvlText w:val="%2."/>
      <w:lvlJc w:val="left"/>
      <w:pPr>
        <w:tabs>
          <w:tab w:val="num" w:pos="1980"/>
        </w:tabs>
        <w:ind w:left="1980" w:hanging="360"/>
      </w:pPr>
      <w:rPr>
        <w:rFonts w:cs="Times New Roman" w:hint="default"/>
      </w:rPr>
    </w:lvl>
    <w:lvl w:ilvl="2" w:tplc="69DEF5B6">
      <w:start w:val="1"/>
      <w:numFmt w:val="lowerLetter"/>
      <w:lvlText w:val="(%3)"/>
      <w:lvlJc w:val="left"/>
      <w:pPr>
        <w:tabs>
          <w:tab w:val="num" w:pos="3090"/>
        </w:tabs>
        <w:ind w:left="3090" w:hanging="570"/>
      </w:pPr>
      <w:rPr>
        <w:rFonts w:cs="Times New Roman" w:hint="default"/>
        <w:b/>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4">
    <w:nsid w:val="1B8900D4"/>
    <w:multiLevelType w:val="hybridMultilevel"/>
    <w:tmpl w:val="44721BC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D72E09"/>
    <w:multiLevelType w:val="hybridMultilevel"/>
    <w:tmpl w:val="8D26871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6">
    <w:nsid w:val="27C16039"/>
    <w:multiLevelType w:val="hybridMultilevel"/>
    <w:tmpl w:val="5218BA86"/>
    <w:lvl w:ilvl="0" w:tplc="04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2D54B84"/>
    <w:multiLevelType w:val="hybridMultilevel"/>
    <w:tmpl w:val="5F98C9CC"/>
    <w:lvl w:ilvl="0" w:tplc="B8121FD4">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E409CD"/>
    <w:multiLevelType w:val="hybridMultilevel"/>
    <w:tmpl w:val="3BD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31750E"/>
    <w:multiLevelType w:val="hybridMultilevel"/>
    <w:tmpl w:val="8D383696"/>
    <w:lvl w:ilvl="0" w:tplc="143237C2">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0">
    <w:nsid w:val="40F079B5"/>
    <w:multiLevelType w:val="hybridMultilevel"/>
    <w:tmpl w:val="41A4B1FE"/>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DD766A"/>
    <w:multiLevelType w:val="hybridMultilevel"/>
    <w:tmpl w:val="1F82011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nsid w:val="4EC23356"/>
    <w:multiLevelType w:val="hybridMultilevel"/>
    <w:tmpl w:val="DE5ACC96"/>
    <w:lvl w:ilvl="0" w:tplc="041F000F">
      <w:start w:val="4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4ECE6D5C"/>
    <w:multiLevelType w:val="hybridMultilevel"/>
    <w:tmpl w:val="1F4AD90C"/>
    <w:lvl w:ilvl="0" w:tplc="A5BCAF86">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0B48B4"/>
    <w:multiLevelType w:val="hybridMultilevel"/>
    <w:tmpl w:val="11DA1F9A"/>
    <w:lvl w:ilvl="0" w:tplc="10ACF510">
      <w:start w:val="31"/>
      <w:numFmt w:val="bullet"/>
      <w:lvlText w:val="-"/>
      <w:lvlJc w:val="left"/>
      <w:pPr>
        <w:ind w:left="357" w:hanging="360"/>
      </w:pPr>
      <w:rPr>
        <w:rFonts w:ascii="Arial" w:eastAsia="Times New Roman" w:hAnsi="Arial" w:hint="default"/>
      </w:rPr>
    </w:lvl>
    <w:lvl w:ilvl="1" w:tplc="04090003" w:tentative="1">
      <w:start w:val="1"/>
      <w:numFmt w:val="bullet"/>
      <w:lvlText w:val="o"/>
      <w:lvlJc w:val="left"/>
      <w:pPr>
        <w:ind w:left="1077" w:hanging="360"/>
      </w:pPr>
      <w:rPr>
        <w:rFonts w:ascii="Courier New" w:hAnsi="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5">
    <w:nsid w:val="537E6280"/>
    <w:multiLevelType w:val="hybridMultilevel"/>
    <w:tmpl w:val="5846E732"/>
    <w:lvl w:ilvl="0" w:tplc="0409000F">
      <w:start w:val="3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4A344FE"/>
    <w:multiLevelType w:val="hybridMultilevel"/>
    <w:tmpl w:val="0082D35C"/>
    <w:lvl w:ilvl="0" w:tplc="5308F2A4">
      <w:start w:val="6"/>
      <w:numFmt w:val="bullet"/>
      <w:lvlText w:val="-"/>
      <w:lvlJc w:val="left"/>
      <w:pPr>
        <w:ind w:left="570" w:hanging="360"/>
      </w:pPr>
      <w:rPr>
        <w:rFonts w:ascii="Arial" w:eastAsia="Times New Roman" w:hAnsi="Arial" w:hint="default"/>
      </w:rPr>
    </w:lvl>
    <w:lvl w:ilvl="1" w:tplc="04090003" w:tentative="1">
      <w:start w:val="1"/>
      <w:numFmt w:val="bullet"/>
      <w:lvlText w:val="o"/>
      <w:lvlJc w:val="left"/>
      <w:pPr>
        <w:ind w:left="1290" w:hanging="360"/>
      </w:pPr>
      <w:rPr>
        <w:rFonts w:ascii="Courier New" w:hAnsi="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
    <w:nsid w:val="54CB2C0F"/>
    <w:multiLevelType w:val="hybridMultilevel"/>
    <w:tmpl w:val="0F860844"/>
    <w:lvl w:ilvl="0" w:tplc="69CE7D22">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8">
    <w:nsid w:val="58F213BC"/>
    <w:multiLevelType w:val="hybridMultilevel"/>
    <w:tmpl w:val="08502990"/>
    <w:lvl w:ilvl="0" w:tplc="AEAA2676">
      <w:start w:val="93"/>
      <w:numFmt w:val="bullet"/>
      <w:lvlText w:val="-"/>
      <w:lvlJc w:val="left"/>
      <w:pPr>
        <w:ind w:left="495" w:hanging="360"/>
      </w:pPr>
      <w:rPr>
        <w:rFonts w:ascii="Arial" w:eastAsia="Times New Roman" w:hAnsi="Arial" w:hint="default"/>
      </w:rPr>
    </w:lvl>
    <w:lvl w:ilvl="1" w:tplc="04090003" w:tentative="1">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9">
    <w:nsid w:val="5EC57C3D"/>
    <w:multiLevelType w:val="hybridMultilevel"/>
    <w:tmpl w:val="58A4FC1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0724DFE"/>
    <w:multiLevelType w:val="hybridMultilevel"/>
    <w:tmpl w:val="82F42B7A"/>
    <w:lvl w:ilvl="0" w:tplc="8E54A482">
      <w:start w:val="1"/>
      <w:numFmt w:val="decimal"/>
      <w:lvlText w:val="%1."/>
      <w:lvlJc w:val="left"/>
      <w:pPr>
        <w:ind w:left="720" w:hanging="360"/>
      </w:pPr>
      <w:rPr>
        <w:rFonts w:ascii="Georgia" w:hAnsi="Georgia" w:cs="Arial" w:hint="default"/>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3F291F"/>
    <w:multiLevelType w:val="hybridMultilevel"/>
    <w:tmpl w:val="3402B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7282420"/>
    <w:multiLevelType w:val="hybridMultilevel"/>
    <w:tmpl w:val="2146BF04"/>
    <w:lvl w:ilvl="0" w:tplc="BCEE96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2A65C4"/>
    <w:multiLevelType w:val="multilevel"/>
    <w:tmpl w:val="C9BCA560"/>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DBD3AF8"/>
    <w:multiLevelType w:val="multilevel"/>
    <w:tmpl w:val="D6481280"/>
    <w:lvl w:ilvl="0">
      <w:start w:val="2"/>
      <w:numFmt w:val="decimal"/>
      <w:lvlText w:val="%1"/>
      <w:lvlJc w:val="left"/>
      <w:pPr>
        <w:ind w:left="360" w:hanging="360"/>
      </w:pPr>
      <w:rPr>
        <w:rFonts w:ascii="Times" w:hAnsi="Times" w:cs="Times New Roman" w:hint="default"/>
      </w:rPr>
    </w:lvl>
    <w:lvl w:ilvl="1">
      <w:start w:val="4"/>
      <w:numFmt w:val="decimal"/>
      <w:lvlText w:val="%1.%2"/>
      <w:lvlJc w:val="left"/>
      <w:pPr>
        <w:ind w:left="930" w:hanging="360"/>
      </w:pPr>
      <w:rPr>
        <w:rFonts w:ascii="Times" w:hAnsi="Times" w:cs="Times New Roman" w:hint="default"/>
      </w:rPr>
    </w:lvl>
    <w:lvl w:ilvl="2">
      <w:start w:val="1"/>
      <w:numFmt w:val="decimal"/>
      <w:lvlText w:val="%1.%2.%3"/>
      <w:lvlJc w:val="left"/>
      <w:pPr>
        <w:ind w:left="1860" w:hanging="720"/>
      </w:pPr>
      <w:rPr>
        <w:rFonts w:ascii="Times" w:hAnsi="Times" w:cs="Times New Roman" w:hint="default"/>
      </w:rPr>
    </w:lvl>
    <w:lvl w:ilvl="3">
      <w:start w:val="1"/>
      <w:numFmt w:val="decimal"/>
      <w:lvlText w:val="%1.%2.%3.%4"/>
      <w:lvlJc w:val="left"/>
      <w:pPr>
        <w:ind w:left="2430" w:hanging="720"/>
      </w:pPr>
      <w:rPr>
        <w:rFonts w:ascii="Times" w:hAnsi="Times" w:cs="Times New Roman" w:hint="default"/>
      </w:rPr>
    </w:lvl>
    <w:lvl w:ilvl="4">
      <w:start w:val="1"/>
      <w:numFmt w:val="decimal"/>
      <w:lvlText w:val="%1.%2.%3.%4.%5"/>
      <w:lvlJc w:val="left"/>
      <w:pPr>
        <w:ind w:left="3360" w:hanging="1080"/>
      </w:pPr>
      <w:rPr>
        <w:rFonts w:ascii="Times" w:hAnsi="Times" w:cs="Times New Roman" w:hint="default"/>
      </w:rPr>
    </w:lvl>
    <w:lvl w:ilvl="5">
      <w:start w:val="1"/>
      <w:numFmt w:val="decimal"/>
      <w:lvlText w:val="%1.%2.%3.%4.%5.%6"/>
      <w:lvlJc w:val="left"/>
      <w:pPr>
        <w:ind w:left="3930" w:hanging="1080"/>
      </w:pPr>
      <w:rPr>
        <w:rFonts w:ascii="Times" w:hAnsi="Times" w:cs="Times New Roman" w:hint="default"/>
      </w:rPr>
    </w:lvl>
    <w:lvl w:ilvl="6">
      <w:start w:val="1"/>
      <w:numFmt w:val="decimal"/>
      <w:lvlText w:val="%1.%2.%3.%4.%5.%6.%7"/>
      <w:lvlJc w:val="left"/>
      <w:pPr>
        <w:ind w:left="4860" w:hanging="1440"/>
      </w:pPr>
      <w:rPr>
        <w:rFonts w:ascii="Times" w:hAnsi="Times" w:cs="Times New Roman" w:hint="default"/>
      </w:rPr>
    </w:lvl>
    <w:lvl w:ilvl="7">
      <w:start w:val="1"/>
      <w:numFmt w:val="decimal"/>
      <w:lvlText w:val="%1.%2.%3.%4.%5.%6.%7.%8"/>
      <w:lvlJc w:val="left"/>
      <w:pPr>
        <w:ind w:left="5430" w:hanging="1440"/>
      </w:pPr>
      <w:rPr>
        <w:rFonts w:ascii="Times" w:hAnsi="Times" w:cs="Times New Roman" w:hint="default"/>
      </w:rPr>
    </w:lvl>
    <w:lvl w:ilvl="8">
      <w:start w:val="1"/>
      <w:numFmt w:val="decimal"/>
      <w:lvlText w:val="%1.%2.%3.%4.%5.%6.%7.%8.%9"/>
      <w:lvlJc w:val="left"/>
      <w:pPr>
        <w:ind w:left="6360" w:hanging="1800"/>
      </w:pPr>
      <w:rPr>
        <w:rFonts w:ascii="Times" w:hAnsi="Times" w:cs="Times New Roman" w:hint="default"/>
      </w:rPr>
    </w:lvl>
  </w:abstractNum>
  <w:abstractNum w:abstractNumId="25">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hint="default"/>
        <w:sz w:val="17"/>
      </w:rPr>
    </w:lvl>
    <w:lvl w:ilvl="1" w:tplc="041F0001">
      <w:start w:val="1"/>
      <w:numFmt w:val="bullet"/>
      <w:lvlText w:val=""/>
      <w:lvlJc w:val="left"/>
      <w:pPr>
        <w:tabs>
          <w:tab w:val="num" w:pos="1440"/>
        </w:tabs>
        <w:ind w:left="1440" w:hanging="360"/>
      </w:pPr>
      <w:rPr>
        <w:rFonts w:ascii="Symbol" w:hAnsi="Symbol" w:hint="default"/>
        <w:sz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584099E"/>
    <w:multiLevelType w:val="hybridMultilevel"/>
    <w:tmpl w:val="D138F1A2"/>
    <w:lvl w:ilvl="0" w:tplc="9EA0F930">
      <w:start w:val="1"/>
      <w:numFmt w:val="decimal"/>
      <w:lvlText w:val="%1."/>
      <w:lvlJc w:val="left"/>
      <w:pPr>
        <w:ind w:left="930" w:hanging="57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59B14E9"/>
    <w:multiLevelType w:val="hybridMultilevel"/>
    <w:tmpl w:val="6AFEE89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8">
    <w:nsid w:val="79E22A36"/>
    <w:multiLevelType w:val="hybridMultilevel"/>
    <w:tmpl w:val="A93009DE"/>
    <w:lvl w:ilvl="0" w:tplc="59184FE0">
      <w:start w:val="93"/>
      <w:numFmt w:val="bullet"/>
      <w:lvlText w:val="-"/>
      <w:lvlJc w:val="left"/>
      <w:pPr>
        <w:ind w:left="495" w:hanging="360"/>
      </w:pPr>
      <w:rPr>
        <w:rFonts w:ascii="Arial" w:eastAsia="Times New Roman" w:hAnsi="Arial" w:hint="default"/>
      </w:rPr>
    </w:lvl>
    <w:lvl w:ilvl="1" w:tplc="04090003" w:tentative="1">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9">
    <w:nsid w:val="7CEB094D"/>
    <w:multiLevelType w:val="hybridMultilevel"/>
    <w:tmpl w:val="B7BA1050"/>
    <w:lvl w:ilvl="0" w:tplc="7632FC2C">
      <w:start w:val="9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25"/>
  </w:num>
  <w:num w:numId="5">
    <w:abstractNumId w:val="12"/>
  </w:num>
  <w:num w:numId="6">
    <w:abstractNumId w:val="1"/>
  </w:num>
  <w:num w:numId="7">
    <w:abstractNumId w:val="15"/>
  </w:num>
  <w:num w:numId="8">
    <w:abstractNumId w:val="2"/>
  </w:num>
  <w:num w:numId="9">
    <w:abstractNumId w:val="21"/>
  </w:num>
  <w:num w:numId="10">
    <w:abstractNumId w:val="7"/>
  </w:num>
  <w:num w:numId="11">
    <w:abstractNumId w:val="6"/>
  </w:num>
  <w:num w:numId="12">
    <w:abstractNumId w:val="25"/>
  </w:num>
  <w:num w:numId="13">
    <w:abstractNumId w:val="25"/>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9"/>
  </w:num>
  <w:num w:numId="19">
    <w:abstractNumId w:val="24"/>
  </w:num>
  <w:num w:numId="20">
    <w:abstractNumId w:val="18"/>
  </w:num>
  <w:num w:numId="21">
    <w:abstractNumId w:val="28"/>
  </w:num>
  <w:num w:numId="22">
    <w:abstractNumId w:val="29"/>
  </w:num>
  <w:num w:numId="23">
    <w:abstractNumId w:val="16"/>
  </w:num>
  <w:num w:numId="24">
    <w:abstractNumId w:val="19"/>
  </w:num>
  <w:num w:numId="25">
    <w:abstractNumId w:val="4"/>
  </w:num>
  <w:num w:numId="26">
    <w:abstractNumId w:val="22"/>
  </w:num>
  <w:num w:numId="27">
    <w:abstractNumId w:val="13"/>
  </w:num>
  <w:num w:numId="28">
    <w:abstractNumId w:val="3"/>
  </w:num>
  <w:num w:numId="29">
    <w:abstractNumId w:val="26"/>
  </w:num>
  <w:num w:numId="30">
    <w:abstractNumId w:val="20"/>
  </w:num>
  <w:num w:numId="31">
    <w:abstractNumId w:val="10"/>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EB654D"/>
    <w:rsid w:val="00000419"/>
    <w:rsid w:val="000004E2"/>
    <w:rsid w:val="00000785"/>
    <w:rsid w:val="0000094A"/>
    <w:rsid w:val="00000E64"/>
    <w:rsid w:val="0000120C"/>
    <w:rsid w:val="000017CF"/>
    <w:rsid w:val="00001992"/>
    <w:rsid w:val="00001C13"/>
    <w:rsid w:val="0000200F"/>
    <w:rsid w:val="00002232"/>
    <w:rsid w:val="000028DA"/>
    <w:rsid w:val="00002922"/>
    <w:rsid w:val="00002B2C"/>
    <w:rsid w:val="00002D97"/>
    <w:rsid w:val="000034C4"/>
    <w:rsid w:val="00003D1D"/>
    <w:rsid w:val="00003DC0"/>
    <w:rsid w:val="00004615"/>
    <w:rsid w:val="00004869"/>
    <w:rsid w:val="000049A1"/>
    <w:rsid w:val="00004B6E"/>
    <w:rsid w:val="00004C23"/>
    <w:rsid w:val="00004D90"/>
    <w:rsid w:val="00004DBF"/>
    <w:rsid w:val="00004F70"/>
    <w:rsid w:val="00005786"/>
    <w:rsid w:val="00005F03"/>
    <w:rsid w:val="00006186"/>
    <w:rsid w:val="0000624C"/>
    <w:rsid w:val="00006492"/>
    <w:rsid w:val="00006947"/>
    <w:rsid w:val="00006AAB"/>
    <w:rsid w:val="00006B9F"/>
    <w:rsid w:val="00006EC3"/>
    <w:rsid w:val="0000732A"/>
    <w:rsid w:val="000073D2"/>
    <w:rsid w:val="000074B3"/>
    <w:rsid w:val="00007A5E"/>
    <w:rsid w:val="00007DEC"/>
    <w:rsid w:val="00007EF5"/>
    <w:rsid w:val="00007FF9"/>
    <w:rsid w:val="0001009B"/>
    <w:rsid w:val="00010300"/>
    <w:rsid w:val="00010580"/>
    <w:rsid w:val="000105EC"/>
    <w:rsid w:val="00010655"/>
    <w:rsid w:val="000107B4"/>
    <w:rsid w:val="00010EB7"/>
    <w:rsid w:val="00010F02"/>
    <w:rsid w:val="00011074"/>
    <w:rsid w:val="000118C8"/>
    <w:rsid w:val="00011CFD"/>
    <w:rsid w:val="00011F36"/>
    <w:rsid w:val="000122C7"/>
    <w:rsid w:val="00012400"/>
    <w:rsid w:val="00012650"/>
    <w:rsid w:val="00012E2F"/>
    <w:rsid w:val="00012F66"/>
    <w:rsid w:val="00013786"/>
    <w:rsid w:val="000137A3"/>
    <w:rsid w:val="000137C0"/>
    <w:rsid w:val="00013AAC"/>
    <w:rsid w:val="00013EC4"/>
    <w:rsid w:val="00014858"/>
    <w:rsid w:val="00014B0E"/>
    <w:rsid w:val="00015027"/>
    <w:rsid w:val="00015076"/>
    <w:rsid w:val="00015152"/>
    <w:rsid w:val="000151A2"/>
    <w:rsid w:val="00015B02"/>
    <w:rsid w:val="00015B94"/>
    <w:rsid w:val="00016286"/>
    <w:rsid w:val="00016589"/>
    <w:rsid w:val="0001670B"/>
    <w:rsid w:val="00016AFC"/>
    <w:rsid w:val="00016E5A"/>
    <w:rsid w:val="00016FDA"/>
    <w:rsid w:val="000174FE"/>
    <w:rsid w:val="000175B3"/>
    <w:rsid w:val="000177DB"/>
    <w:rsid w:val="00017DB4"/>
    <w:rsid w:val="00020399"/>
    <w:rsid w:val="00020594"/>
    <w:rsid w:val="00020947"/>
    <w:rsid w:val="0002101D"/>
    <w:rsid w:val="000212C4"/>
    <w:rsid w:val="0002132A"/>
    <w:rsid w:val="0002184F"/>
    <w:rsid w:val="00021B99"/>
    <w:rsid w:val="00021EF6"/>
    <w:rsid w:val="00022368"/>
    <w:rsid w:val="0002266A"/>
    <w:rsid w:val="00023066"/>
    <w:rsid w:val="00023431"/>
    <w:rsid w:val="000234A5"/>
    <w:rsid w:val="0002350D"/>
    <w:rsid w:val="00023789"/>
    <w:rsid w:val="00023B07"/>
    <w:rsid w:val="000247A5"/>
    <w:rsid w:val="0002499C"/>
    <w:rsid w:val="00024B10"/>
    <w:rsid w:val="00024C1A"/>
    <w:rsid w:val="00024F57"/>
    <w:rsid w:val="0002514D"/>
    <w:rsid w:val="00025279"/>
    <w:rsid w:val="00025788"/>
    <w:rsid w:val="00025910"/>
    <w:rsid w:val="00025BDF"/>
    <w:rsid w:val="00025F87"/>
    <w:rsid w:val="000262AF"/>
    <w:rsid w:val="00026405"/>
    <w:rsid w:val="000266E5"/>
    <w:rsid w:val="00026CD9"/>
    <w:rsid w:val="00026E71"/>
    <w:rsid w:val="0002725E"/>
    <w:rsid w:val="000272A0"/>
    <w:rsid w:val="00027D32"/>
    <w:rsid w:val="00027F54"/>
    <w:rsid w:val="000305A3"/>
    <w:rsid w:val="00030C96"/>
    <w:rsid w:val="0003104A"/>
    <w:rsid w:val="000312DA"/>
    <w:rsid w:val="0003138D"/>
    <w:rsid w:val="000318F7"/>
    <w:rsid w:val="00032225"/>
    <w:rsid w:val="0003263A"/>
    <w:rsid w:val="000327C5"/>
    <w:rsid w:val="00032DA9"/>
    <w:rsid w:val="00032F3B"/>
    <w:rsid w:val="00033262"/>
    <w:rsid w:val="00033601"/>
    <w:rsid w:val="00033E51"/>
    <w:rsid w:val="00034015"/>
    <w:rsid w:val="0003406D"/>
    <w:rsid w:val="0003423F"/>
    <w:rsid w:val="000343E7"/>
    <w:rsid w:val="00034499"/>
    <w:rsid w:val="000344FF"/>
    <w:rsid w:val="00034927"/>
    <w:rsid w:val="00034A8C"/>
    <w:rsid w:val="00035220"/>
    <w:rsid w:val="00035471"/>
    <w:rsid w:val="000357CA"/>
    <w:rsid w:val="000359CC"/>
    <w:rsid w:val="00036177"/>
    <w:rsid w:val="0003650D"/>
    <w:rsid w:val="0003670C"/>
    <w:rsid w:val="00037354"/>
    <w:rsid w:val="0003780E"/>
    <w:rsid w:val="00037E6D"/>
    <w:rsid w:val="00037E7E"/>
    <w:rsid w:val="00037F84"/>
    <w:rsid w:val="00040207"/>
    <w:rsid w:val="000409E7"/>
    <w:rsid w:val="00040E11"/>
    <w:rsid w:val="00040EE4"/>
    <w:rsid w:val="0004158E"/>
    <w:rsid w:val="0004170A"/>
    <w:rsid w:val="00041CB3"/>
    <w:rsid w:val="00042AAF"/>
    <w:rsid w:val="00042E6F"/>
    <w:rsid w:val="00042F14"/>
    <w:rsid w:val="00043819"/>
    <w:rsid w:val="00043C36"/>
    <w:rsid w:val="00043DE2"/>
    <w:rsid w:val="00044022"/>
    <w:rsid w:val="00044515"/>
    <w:rsid w:val="00044A7B"/>
    <w:rsid w:val="00044D09"/>
    <w:rsid w:val="00044E02"/>
    <w:rsid w:val="000451A3"/>
    <w:rsid w:val="000453B8"/>
    <w:rsid w:val="00045654"/>
    <w:rsid w:val="00045788"/>
    <w:rsid w:val="00045A7F"/>
    <w:rsid w:val="000461D2"/>
    <w:rsid w:val="000463C5"/>
    <w:rsid w:val="00046403"/>
    <w:rsid w:val="00046E74"/>
    <w:rsid w:val="000478FB"/>
    <w:rsid w:val="00047E50"/>
    <w:rsid w:val="00047EA1"/>
    <w:rsid w:val="00050357"/>
    <w:rsid w:val="00050759"/>
    <w:rsid w:val="000508D9"/>
    <w:rsid w:val="000512D7"/>
    <w:rsid w:val="00051725"/>
    <w:rsid w:val="0005195E"/>
    <w:rsid w:val="00051B3C"/>
    <w:rsid w:val="00051F78"/>
    <w:rsid w:val="000525B7"/>
    <w:rsid w:val="00052CBA"/>
    <w:rsid w:val="00052D5C"/>
    <w:rsid w:val="00052D63"/>
    <w:rsid w:val="00052DF5"/>
    <w:rsid w:val="000530E4"/>
    <w:rsid w:val="000534B4"/>
    <w:rsid w:val="0005354A"/>
    <w:rsid w:val="000535C4"/>
    <w:rsid w:val="00053647"/>
    <w:rsid w:val="00053C0A"/>
    <w:rsid w:val="00054714"/>
    <w:rsid w:val="00054E93"/>
    <w:rsid w:val="00054F23"/>
    <w:rsid w:val="000550B8"/>
    <w:rsid w:val="0005522D"/>
    <w:rsid w:val="0005530A"/>
    <w:rsid w:val="000555CC"/>
    <w:rsid w:val="000559EB"/>
    <w:rsid w:val="00055A55"/>
    <w:rsid w:val="00055ACB"/>
    <w:rsid w:val="00055FD6"/>
    <w:rsid w:val="00056089"/>
    <w:rsid w:val="0005699F"/>
    <w:rsid w:val="00056BA2"/>
    <w:rsid w:val="00056DC7"/>
    <w:rsid w:val="00057475"/>
    <w:rsid w:val="00057779"/>
    <w:rsid w:val="000578BD"/>
    <w:rsid w:val="00057DFA"/>
    <w:rsid w:val="00057E56"/>
    <w:rsid w:val="00060108"/>
    <w:rsid w:val="000601C4"/>
    <w:rsid w:val="0006024B"/>
    <w:rsid w:val="00060490"/>
    <w:rsid w:val="000606EE"/>
    <w:rsid w:val="00060CDB"/>
    <w:rsid w:val="00060E33"/>
    <w:rsid w:val="00060E40"/>
    <w:rsid w:val="00061150"/>
    <w:rsid w:val="0006141E"/>
    <w:rsid w:val="000615D5"/>
    <w:rsid w:val="00061942"/>
    <w:rsid w:val="00061B03"/>
    <w:rsid w:val="00061EBC"/>
    <w:rsid w:val="000621DC"/>
    <w:rsid w:val="00062775"/>
    <w:rsid w:val="00062DE5"/>
    <w:rsid w:val="00063E38"/>
    <w:rsid w:val="00064369"/>
    <w:rsid w:val="000645EA"/>
    <w:rsid w:val="00064D04"/>
    <w:rsid w:val="0006577B"/>
    <w:rsid w:val="00065886"/>
    <w:rsid w:val="00065AF6"/>
    <w:rsid w:val="00065E70"/>
    <w:rsid w:val="00066289"/>
    <w:rsid w:val="000668E2"/>
    <w:rsid w:val="00066CC0"/>
    <w:rsid w:val="00066DEA"/>
    <w:rsid w:val="00067046"/>
    <w:rsid w:val="000670AA"/>
    <w:rsid w:val="000673F8"/>
    <w:rsid w:val="00067593"/>
    <w:rsid w:val="0006763B"/>
    <w:rsid w:val="0006785D"/>
    <w:rsid w:val="0006791D"/>
    <w:rsid w:val="000702A1"/>
    <w:rsid w:val="00070468"/>
    <w:rsid w:val="0007062D"/>
    <w:rsid w:val="000706FB"/>
    <w:rsid w:val="000709EB"/>
    <w:rsid w:val="00070A9A"/>
    <w:rsid w:val="00071B53"/>
    <w:rsid w:val="00071EB0"/>
    <w:rsid w:val="00072B3D"/>
    <w:rsid w:val="00072FAF"/>
    <w:rsid w:val="000738A2"/>
    <w:rsid w:val="000738A5"/>
    <w:rsid w:val="000738D0"/>
    <w:rsid w:val="00073EF0"/>
    <w:rsid w:val="0007404A"/>
    <w:rsid w:val="00074243"/>
    <w:rsid w:val="000746E2"/>
    <w:rsid w:val="00075233"/>
    <w:rsid w:val="0007527F"/>
    <w:rsid w:val="000757BF"/>
    <w:rsid w:val="00075B9B"/>
    <w:rsid w:val="00075C54"/>
    <w:rsid w:val="00075E7E"/>
    <w:rsid w:val="00075EE7"/>
    <w:rsid w:val="00075EEB"/>
    <w:rsid w:val="000760EF"/>
    <w:rsid w:val="00076207"/>
    <w:rsid w:val="00076448"/>
    <w:rsid w:val="00076811"/>
    <w:rsid w:val="000768A7"/>
    <w:rsid w:val="00076C64"/>
    <w:rsid w:val="00076FDA"/>
    <w:rsid w:val="00077605"/>
    <w:rsid w:val="00077694"/>
    <w:rsid w:val="00077AE8"/>
    <w:rsid w:val="000807AC"/>
    <w:rsid w:val="0008082E"/>
    <w:rsid w:val="0008091E"/>
    <w:rsid w:val="00080A53"/>
    <w:rsid w:val="00080C88"/>
    <w:rsid w:val="00080DB5"/>
    <w:rsid w:val="00080E02"/>
    <w:rsid w:val="00080F58"/>
    <w:rsid w:val="0008177F"/>
    <w:rsid w:val="0008199D"/>
    <w:rsid w:val="000819C9"/>
    <w:rsid w:val="00082173"/>
    <w:rsid w:val="0008232E"/>
    <w:rsid w:val="0008267A"/>
    <w:rsid w:val="00082AC8"/>
    <w:rsid w:val="000836C3"/>
    <w:rsid w:val="0008398D"/>
    <w:rsid w:val="00083A22"/>
    <w:rsid w:val="00083E3A"/>
    <w:rsid w:val="0008460D"/>
    <w:rsid w:val="0008472C"/>
    <w:rsid w:val="00084AA7"/>
    <w:rsid w:val="00084E65"/>
    <w:rsid w:val="0008530D"/>
    <w:rsid w:val="00085414"/>
    <w:rsid w:val="000857F5"/>
    <w:rsid w:val="00085D02"/>
    <w:rsid w:val="00086125"/>
    <w:rsid w:val="00086309"/>
    <w:rsid w:val="0008635B"/>
    <w:rsid w:val="0008639B"/>
    <w:rsid w:val="00086413"/>
    <w:rsid w:val="0008641C"/>
    <w:rsid w:val="0008646F"/>
    <w:rsid w:val="000865F6"/>
    <w:rsid w:val="000868B5"/>
    <w:rsid w:val="00086AAE"/>
    <w:rsid w:val="00087113"/>
    <w:rsid w:val="00087480"/>
    <w:rsid w:val="0009099F"/>
    <w:rsid w:val="00090ABF"/>
    <w:rsid w:val="00090BA3"/>
    <w:rsid w:val="00090E9D"/>
    <w:rsid w:val="000912AF"/>
    <w:rsid w:val="0009138F"/>
    <w:rsid w:val="000914AD"/>
    <w:rsid w:val="000915AB"/>
    <w:rsid w:val="0009160C"/>
    <w:rsid w:val="000917E8"/>
    <w:rsid w:val="00091854"/>
    <w:rsid w:val="00091F3C"/>
    <w:rsid w:val="00092764"/>
    <w:rsid w:val="00092DED"/>
    <w:rsid w:val="0009307B"/>
    <w:rsid w:val="00093164"/>
    <w:rsid w:val="00093262"/>
    <w:rsid w:val="0009383C"/>
    <w:rsid w:val="000940A0"/>
    <w:rsid w:val="00094C35"/>
    <w:rsid w:val="00095013"/>
    <w:rsid w:val="00095600"/>
    <w:rsid w:val="0009596A"/>
    <w:rsid w:val="000965F5"/>
    <w:rsid w:val="0009683C"/>
    <w:rsid w:val="00096C32"/>
    <w:rsid w:val="00096E19"/>
    <w:rsid w:val="00097407"/>
    <w:rsid w:val="0009766D"/>
    <w:rsid w:val="00097910"/>
    <w:rsid w:val="00097912"/>
    <w:rsid w:val="000A012D"/>
    <w:rsid w:val="000A01FC"/>
    <w:rsid w:val="000A06BF"/>
    <w:rsid w:val="000A06CC"/>
    <w:rsid w:val="000A0F5F"/>
    <w:rsid w:val="000A1446"/>
    <w:rsid w:val="000A15BD"/>
    <w:rsid w:val="000A15CA"/>
    <w:rsid w:val="000A1701"/>
    <w:rsid w:val="000A1E6A"/>
    <w:rsid w:val="000A1EBE"/>
    <w:rsid w:val="000A22D2"/>
    <w:rsid w:val="000A24E1"/>
    <w:rsid w:val="000A2ADF"/>
    <w:rsid w:val="000A2CCE"/>
    <w:rsid w:val="000A4705"/>
    <w:rsid w:val="000A48F1"/>
    <w:rsid w:val="000A4C05"/>
    <w:rsid w:val="000A4F6E"/>
    <w:rsid w:val="000A514F"/>
    <w:rsid w:val="000A51B5"/>
    <w:rsid w:val="000A5B46"/>
    <w:rsid w:val="000A6123"/>
    <w:rsid w:val="000A670B"/>
    <w:rsid w:val="000A6A04"/>
    <w:rsid w:val="000A6A1B"/>
    <w:rsid w:val="000A6D87"/>
    <w:rsid w:val="000A7027"/>
    <w:rsid w:val="000A744F"/>
    <w:rsid w:val="000A756B"/>
    <w:rsid w:val="000B0213"/>
    <w:rsid w:val="000B0432"/>
    <w:rsid w:val="000B05FC"/>
    <w:rsid w:val="000B0CCA"/>
    <w:rsid w:val="000B0EF6"/>
    <w:rsid w:val="000B0F82"/>
    <w:rsid w:val="000B1AD2"/>
    <w:rsid w:val="000B1CD8"/>
    <w:rsid w:val="000B1EAA"/>
    <w:rsid w:val="000B1F12"/>
    <w:rsid w:val="000B1F1F"/>
    <w:rsid w:val="000B1F4F"/>
    <w:rsid w:val="000B2194"/>
    <w:rsid w:val="000B23D6"/>
    <w:rsid w:val="000B2757"/>
    <w:rsid w:val="000B2ED5"/>
    <w:rsid w:val="000B2F97"/>
    <w:rsid w:val="000B3634"/>
    <w:rsid w:val="000B367F"/>
    <w:rsid w:val="000B370F"/>
    <w:rsid w:val="000B38D3"/>
    <w:rsid w:val="000B3D4A"/>
    <w:rsid w:val="000B4244"/>
    <w:rsid w:val="000B453C"/>
    <w:rsid w:val="000B47A9"/>
    <w:rsid w:val="000B4B17"/>
    <w:rsid w:val="000B4C56"/>
    <w:rsid w:val="000B4D3F"/>
    <w:rsid w:val="000B52EB"/>
    <w:rsid w:val="000B53E9"/>
    <w:rsid w:val="000B56C6"/>
    <w:rsid w:val="000B5A81"/>
    <w:rsid w:val="000B5B51"/>
    <w:rsid w:val="000B5C3E"/>
    <w:rsid w:val="000B60E4"/>
    <w:rsid w:val="000B64F3"/>
    <w:rsid w:val="000B669A"/>
    <w:rsid w:val="000B69D9"/>
    <w:rsid w:val="000B6AEB"/>
    <w:rsid w:val="000B6D9A"/>
    <w:rsid w:val="000C0019"/>
    <w:rsid w:val="000C015C"/>
    <w:rsid w:val="000C03C9"/>
    <w:rsid w:val="000C0A2E"/>
    <w:rsid w:val="000C0AF5"/>
    <w:rsid w:val="000C0F26"/>
    <w:rsid w:val="000C0FD0"/>
    <w:rsid w:val="000C169A"/>
    <w:rsid w:val="000C16FA"/>
    <w:rsid w:val="000C1C75"/>
    <w:rsid w:val="000C1CAB"/>
    <w:rsid w:val="000C1CC3"/>
    <w:rsid w:val="000C2080"/>
    <w:rsid w:val="000C285A"/>
    <w:rsid w:val="000C2C3F"/>
    <w:rsid w:val="000C2C91"/>
    <w:rsid w:val="000C2DD3"/>
    <w:rsid w:val="000C2DFB"/>
    <w:rsid w:val="000C2E05"/>
    <w:rsid w:val="000C2FBE"/>
    <w:rsid w:val="000C303F"/>
    <w:rsid w:val="000C3057"/>
    <w:rsid w:val="000C360F"/>
    <w:rsid w:val="000C3C12"/>
    <w:rsid w:val="000C3C88"/>
    <w:rsid w:val="000C3CF9"/>
    <w:rsid w:val="000C3D06"/>
    <w:rsid w:val="000C3F27"/>
    <w:rsid w:val="000C41B1"/>
    <w:rsid w:val="000C4200"/>
    <w:rsid w:val="000C4580"/>
    <w:rsid w:val="000C4629"/>
    <w:rsid w:val="000C48AD"/>
    <w:rsid w:val="000C4CA8"/>
    <w:rsid w:val="000C538B"/>
    <w:rsid w:val="000C5400"/>
    <w:rsid w:val="000C5440"/>
    <w:rsid w:val="000C5487"/>
    <w:rsid w:val="000C56BE"/>
    <w:rsid w:val="000C5AB3"/>
    <w:rsid w:val="000C5BBB"/>
    <w:rsid w:val="000C6125"/>
    <w:rsid w:val="000C64DC"/>
    <w:rsid w:val="000C6B0A"/>
    <w:rsid w:val="000C6CAB"/>
    <w:rsid w:val="000C759C"/>
    <w:rsid w:val="000C77AF"/>
    <w:rsid w:val="000C7884"/>
    <w:rsid w:val="000C7B48"/>
    <w:rsid w:val="000C7F27"/>
    <w:rsid w:val="000D0008"/>
    <w:rsid w:val="000D0115"/>
    <w:rsid w:val="000D0209"/>
    <w:rsid w:val="000D03AD"/>
    <w:rsid w:val="000D06C7"/>
    <w:rsid w:val="000D06D2"/>
    <w:rsid w:val="000D0BE2"/>
    <w:rsid w:val="000D0C26"/>
    <w:rsid w:val="000D146C"/>
    <w:rsid w:val="000D161A"/>
    <w:rsid w:val="000D1E39"/>
    <w:rsid w:val="000D1EAA"/>
    <w:rsid w:val="000D1FBB"/>
    <w:rsid w:val="000D23F7"/>
    <w:rsid w:val="000D2669"/>
    <w:rsid w:val="000D2A9F"/>
    <w:rsid w:val="000D2C7A"/>
    <w:rsid w:val="000D2D76"/>
    <w:rsid w:val="000D2DF9"/>
    <w:rsid w:val="000D2F06"/>
    <w:rsid w:val="000D33A7"/>
    <w:rsid w:val="000D35F2"/>
    <w:rsid w:val="000D369B"/>
    <w:rsid w:val="000D3713"/>
    <w:rsid w:val="000D3770"/>
    <w:rsid w:val="000D3C2F"/>
    <w:rsid w:val="000D3D74"/>
    <w:rsid w:val="000D3F27"/>
    <w:rsid w:val="000D40A4"/>
    <w:rsid w:val="000D4671"/>
    <w:rsid w:val="000D4780"/>
    <w:rsid w:val="000D49E7"/>
    <w:rsid w:val="000D4B1A"/>
    <w:rsid w:val="000D4F80"/>
    <w:rsid w:val="000D507D"/>
    <w:rsid w:val="000D51EB"/>
    <w:rsid w:val="000D55B0"/>
    <w:rsid w:val="000D5634"/>
    <w:rsid w:val="000D594D"/>
    <w:rsid w:val="000D640F"/>
    <w:rsid w:val="000D68DA"/>
    <w:rsid w:val="000D70A3"/>
    <w:rsid w:val="000D7167"/>
    <w:rsid w:val="000D7478"/>
    <w:rsid w:val="000D7F4C"/>
    <w:rsid w:val="000D7F8E"/>
    <w:rsid w:val="000E0599"/>
    <w:rsid w:val="000E080E"/>
    <w:rsid w:val="000E09A1"/>
    <w:rsid w:val="000E0D72"/>
    <w:rsid w:val="000E0F91"/>
    <w:rsid w:val="000E18CC"/>
    <w:rsid w:val="000E1DCB"/>
    <w:rsid w:val="000E1EAC"/>
    <w:rsid w:val="000E279B"/>
    <w:rsid w:val="000E299C"/>
    <w:rsid w:val="000E2E57"/>
    <w:rsid w:val="000E2EED"/>
    <w:rsid w:val="000E3499"/>
    <w:rsid w:val="000E4307"/>
    <w:rsid w:val="000E453E"/>
    <w:rsid w:val="000E4CA7"/>
    <w:rsid w:val="000E4F9F"/>
    <w:rsid w:val="000E515F"/>
    <w:rsid w:val="000E5E2D"/>
    <w:rsid w:val="000E5E54"/>
    <w:rsid w:val="000E62CC"/>
    <w:rsid w:val="000E66DF"/>
    <w:rsid w:val="000E6B1C"/>
    <w:rsid w:val="000E6C47"/>
    <w:rsid w:val="000E73AC"/>
    <w:rsid w:val="000E79FE"/>
    <w:rsid w:val="000E7F16"/>
    <w:rsid w:val="000F0797"/>
    <w:rsid w:val="000F086C"/>
    <w:rsid w:val="000F08CC"/>
    <w:rsid w:val="000F1132"/>
    <w:rsid w:val="000F136E"/>
    <w:rsid w:val="000F1BB9"/>
    <w:rsid w:val="000F1BC4"/>
    <w:rsid w:val="000F1BDF"/>
    <w:rsid w:val="000F1EF8"/>
    <w:rsid w:val="000F1FA8"/>
    <w:rsid w:val="000F2712"/>
    <w:rsid w:val="000F2877"/>
    <w:rsid w:val="000F2E58"/>
    <w:rsid w:val="000F2F06"/>
    <w:rsid w:val="000F3710"/>
    <w:rsid w:val="000F3811"/>
    <w:rsid w:val="000F3D08"/>
    <w:rsid w:val="000F3FBD"/>
    <w:rsid w:val="000F45C8"/>
    <w:rsid w:val="000F5A1C"/>
    <w:rsid w:val="000F5A58"/>
    <w:rsid w:val="000F5A68"/>
    <w:rsid w:val="000F5B37"/>
    <w:rsid w:val="000F5B41"/>
    <w:rsid w:val="000F5F62"/>
    <w:rsid w:val="000F622C"/>
    <w:rsid w:val="000F62C2"/>
    <w:rsid w:val="000F67A3"/>
    <w:rsid w:val="000F6836"/>
    <w:rsid w:val="000F693E"/>
    <w:rsid w:val="000F6C7A"/>
    <w:rsid w:val="000F6CA6"/>
    <w:rsid w:val="000F7AFE"/>
    <w:rsid w:val="000F7EED"/>
    <w:rsid w:val="001001AC"/>
    <w:rsid w:val="001004A7"/>
    <w:rsid w:val="00100682"/>
    <w:rsid w:val="00100C02"/>
    <w:rsid w:val="00100C70"/>
    <w:rsid w:val="00100C82"/>
    <w:rsid w:val="00100ECB"/>
    <w:rsid w:val="001010B7"/>
    <w:rsid w:val="00101585"/>
    <w:rsid w:val="001015D0"/>
    <w:rsid w:val="001017D1"/>
    <w:rsid w:val="00101A60"/>
    <w:rsid w:val="00101A71"/>
    <w:rsid w:val="00101BB4"/>
    <w:rsid w:val="00101BFC"/>
    <w:rsid w:val="00101C8B"/>
    <w:rsid w:val="00101D6F"/>
    <w:rsid w:val="00102038"/>
    <w:rsid w:val="0010218B"/>
    <w:rsid w:val="00102818"/>
    <w:rsid w:val="00102ACF"/>
    <w:rsid w:val="00102AF0"/>
    <w:rsid w:val="0010352F"/>
    <w:rsid w:val="001038A2"/>
    <w:rsid w:val="001042C2"/>
    <w:rsid w:val="001045F1"/>
    <w:rsid w:val="001046DB"/>
    <w:rsid w:val="00104BDB"/>
    <w:rsid w:val="001052E9"/>
    <w:rsid w:val="00105930"/>
    <w:rsid w:val="00105BB3"/>
    <w:rsid w:val="00105CD7"/>
    <w:rsid w:val="00105FA1"/>
    <w:rsid w:val="00106611"/>
    <w:rsid w:val="001066F6"/>
    <w:rsid w:val="00107145"/>
    <w:rsid w:val="00107307"/>
    <w:rsid w:val="00110002"/>
    <w:rsid w:val="00110385"/>
    <w:rsid w:val="00110709"/>
    <w:rsid w:val="0011078A"/>
    <w:rsid w:val="00110883"/>
    <w:rsid w:val="00110A27"/>
    <w:rsid w:val="00110B39"/>
    <w:rsid w:val="00110D2C"/>
    <w:rsid w:val="00110E06"/>
    <w:rsid w:val="001112A2"/>
    <w:rsid w:val="00111F56"/>
    <w:rsid w:val="0011252E"/>
    <w:rsid w:val="00112654"/>
    <w:rsid w:val="00112A61"/>
    <w:rsid w:val="00112DE1"/>
    <w:rsid w:val="00112E67"/>
    <w:rsid w:val="00112E99"/>
    <w:rsid w:val="00112F9B"/>
    <w:rsid w:val="001132FF"/>
    <w:rsid w:val="00114825"/>
    <w:rsid w:val="00114A9B"/>
    <w:rsid w:val="00114BD5"/>
    <w:rsid w:val="00114C45"/>
    <w:rsid w:val="0011521D"/>
    <w:rsid w:val="001154D6"/>
    <w:rsid w:val="00115E58"/>
    <w:rsid w:val="00115FA4"/>
    <w:rsid w:val="001166E9"/>
    <w:rsid w:val="001169D2"/>
    <w:rsid w:val="00116B0B"/>
    <w:rsid w:val="00116D09"/>
    <w:rsid w:val="00116EC1"/>
    <w:rsid w:val="00116F4A"/>
    <w:rsid w:val="00116F4F"/>
    <w:rsid w:val="001177C6"/>
    <w:rsid w:val="00117BCC"/>
    <w:rsid w:val="00117E66"/>
    <w:rsid w:val="001200BA"/>
    <w:rsid w:val="00120176"/>
    <w:rsid w:val="001201E6"/>
    <w:rsid w:val="00120521"/>
    <w:rsid w:val="001205F5"/>
    <w:rsid w:val="0012071F"/>
    <w:rsid w:val="00120980"/>
    <w:rsid w:val="00120BB4"/>
    <w:rsid w:val="00120D58"/>
    <w:rsid w:val="00120F2E"/>
    <w:rsid w:val="001210CB"/>
    <w:rsid w:val="0012111C"/>
    <w:rsid w:val="00121208"/>
    <w:rsid w:val="00121347"/>
    <w:rsid w:val="001213F5"/>
    <w:rsid w:val="001214FC"/>
    <w:rsid w:val="001216B6"/>
    <w:rsid w:val="00121873"/>
    <w:rsid w:val="0012190B"/>
    <w:rsid w:val="00121AF9"/>
    <w:rsid w:val="00122183"/>
    <w:rsid w:val="001224E1"/>
    <w:rsid w:val="00122AE8"/>
    <w:rsid w:val="00122B0E"/>
    <w:rsid w:val="00123797"/>
    <w:rsid w:val="0012379C"/>
    <w:rsid w:val="00123A50"/>
    <w:rsid w:val="00123A53"/>
    <w:rsid w:val="00123D77"/>
    <w:rsid w:val="00124060"/>
    <w:rsid w:val="00124385"/>
    <w:rsid w:val="001246D8"/>
    <w:rsid w:val="00124869"/>
    <w:rsid w:val="00124A0D"/>
    <w:rsid w:val="00124CFE"/>
    <w:rsid w:val="00124D21"/>
    <w:rsid w:val="00124EA1"/>
    <w:rsid w:val="001252B4"/>
    <w:rsid w:val="001255E4"/>
    <w:rsid w:val="0012597D"/>
    <w:rsid w:val="00125A96"/>
    <w:rsid w:val="00125BA7"/>
    <w:rsid w:val="00125F8A"/>
    <w:rsid w:val="001264D6"/>
    <w:rsid w:val="0012658C"/>
    <w:rsid w:val="00126E84"/>
    <w:rsid w:val="001275D3"/>
    <w:rsid w:val="00127770"/>
    <w:rsid w:val="00127D02"/>
    <w:rsid w:val="00130104"/>
    <w:rsid w:val="001308D3"/>
    <w:rsid w:val="00130BB9"/>
    <w:rsid w:val="00131346"/>
    <w:rsid w:val="00131444"/>
    <w:rsid w:val="001317C7"/>
    <w:rsid w:val="00131F42"/>
    <w:rsid w:val="00132667"/>
    <w:rsid w:val="00132DDF"/>
    <w:rsid w:val="00133058"/>
    <w:rsid w:val="0013310F"/>
    <w:rsid w:val="00133186"/>
    <w:rsid w:val="00133779"/>
    <w:rsid w:val="001337A5"/>
    <w:rsid w:val="00133EBC"/>
    <w:rsid w:val="00134CE3"/>
    <w:rsid w:val="0013559A"/>
    <w:rsid w:val="001355D0"/>
    <w:rsid w:val="001358E6"/>
    <w:rsid w:val="00136430"/>
    <w:rsid w:val="00136EEB"/>
    <w:rsid w:val="00136FB7"/>
    <w:rsid w:val="001370D3"/>
    <w:rsid w:val="00137617"/>
    <w:rsid w:val="00137A8D"/>
    <w:rsid w:val="001400E0"/>
    <w:rsid w:val="00140189"/>
    <w:rsid w:val="0014023C"/>
    <w:rsid w:val="0014043F"/>
    <w:rsid w:val="00140BEF"/>
    <w:rsid w:val="00140CFE"/>
    <w:rsid w:val="0014126E"/>
    <w:rsid w:val="001415F4"/>
    <w:rsid w:val="00141B82"/>
    <w:rsid w:val="00141CC1"/>
    <w:rsid w:val="00141DC8"/>
    <w:rsid w:val="001421EF"/>
    <w:rsid w:val="00142758"/>
    <w:rsid w:val="00142D8B"/>
    <w:rsid w:val="00142F2E"/>
    <w:rsid w:val="00142F32"/>
    <w:rsid w:val="001430A7"/>
    <w:rsid w:val="001436E3"/>
    <w:rsid w:val="0014374D"/>
    <w:rsid w:val="001439B5"/>
    <w:rsid w:val="00143B4B"/>
    <w:rsid w:val="00143B82"/>
    <w:rsid w:val="00143E4F"/>
    <w:rsid w:val="00143F07"/>
    <w:rsid w:val="00143F2F"/>
    <w:rsid w:val="00144E3F"/>
    <w:rsid w:val="00145053"/>
    <w:rsid w:val="001457D8"/>
    <w:rsid w:val="00145892"/>
    <w:rsid w:val="00145A33"/>
    <w:rsid w:val="00145EC9"/>
    <w:rsid w:val="00145ECF"/>
    <w:rsid w:val="00145F5F"/>
    <w:rsid w:val="00146157"/>
    <w:rsid w:val="00146170"/>
    <w:rsid w:val="001464B5"/>
    <w:rsid w:val="001466C2"/>
    <w:rsid w:val="00146BA9"/>
    <w:rsid w:val="001478B9"/>
    <w:rsid w:val="00147935"/>
    <w:rsid w:val="00150196"/>
    <w:rsid w:val="001502EB"/>
    <w:rsid w:val="0015140A"/>
    <w:rsid w:val="001515C2"/>
    <w:rsid w:val="00151709"/>
    <w:rsid w:val="00151742"/>
    <w:rsid w:val="00151AB7"/>
    <w:rsid w:val="00151C95"/>
    <w:rsid w:val="00151CCE"/>
    <w:rsid w:val="00151D0B"/>
    <w:rsid w:val="00151F75"/>
    <w:rsid w:val="00152012"/>
    <w:rsid w:val="00152163"/>
    <w:rsid w:val="0015240A"/>
    <w:rsid w:val="00152448"/>
    <w:rsid w:val="00152497"/>
    <w:rsid w:val="0015259B"/>
    <w:rsid w:val="00152A89"/>
    <w:rsid w:val="001532C2"/>
    <w:rsid w:val="0015336C"/>
    <w:rsid w:val="001534F3"/>
    <w:rsid w:val="00153642"/>
    <w:rsid w:val="001536F8"/>
    <w:rsid w:val="001538F4"/>
    <w:rsid w:val="00153A68"/>
    <w:rsid w:val="00153F0C"/>
    <w:rsid w:val="00154213"/>
    <w:rsid w:val="0015440B"/>
    <w:rsid w:val="0015474E"/>
    <w:rsid w:val="00154A5D"/>
    <w:rsid w:val="00155081"/>
    <w:rsid w:val="0015583D"/>
    <w:rsid w:val="00155DDE"/>
    <w:rsid w:val="00155F70"/>
    <w:rsid w:val="00156150"/>
    <w:rsid w:val="00156223"/>
    <w:rsid w:val="00156749"/>
    <w:rsid w:val="001567F4"/>
    <w:rsid w:val="00157007"/>
    <w:rsid w:val="0015715B"/>
    <w:rsid w:val="001576F6"/>
    <w:rsid w:val="001577EC"/>
    <w:rsid w:val="00160424"/>
    <w:rsid w:val="00160AC4"/>
    <w:rsid w:val="00160DBE"/>
    <w:rsid w:val="00160DFE"/>
    <w:rsid w:val="00161C03"/>
    <w:rsid w:val="001620B2"/>
    <w:rsid w:val="001623CA"/>
    <w:rsid w:val="0016280F"/>
    <w:rsid w:val="001628EE"/>
    <w:rsid w:val="00162AE4"/>
    <w:rsid w:val="00162CA2"/>
    <w:rsid w:val="001631CD"/>
    <w:rsid w:val="00163692"/>
    <w:rsid w:val="001636EE"/>
    <w:rsid w:val="001638A7"/>
    <w:rsid w:val="00163A8F"/>
    <w:rsid w:val="00163CD1"/>
    <w:rsid w:val="00164188"/>
    <w:rsid w:val="0016426D"/>
    <w:rsid w:val="0016440B"/>
    <w:rsid w:val="00164626"/>
    <w:rsid w:val="0016486D"/>
    <w:rsid w:val="0016496B"/>
    <w:rsid w:val="00164DB5"/>
    <w:rsid w:val="00164E8C"/>
    <w:rsid w:val="0016596B"/>
    <w:rsid w:val="00165B19"/>
    <w:rsid w:val="00166365"/>
    <w:rsid w:val="0016637E"/>
    <w:rsid w:val="001665C9"/>
    <w:rsid w:val="00166F04"/>
    <w:rsid w:val="0016700B"/>
    <w:rsid w:val="0016767B"/>
    <w:rsid w:val="00167836"/>
    <w:rsid w:val="001702BC"/>
    <w:rsid w:val="001702E2"/>
    <w:rsid w:val="00170781"/>
    <w:rsid w:val="0017095E"/>
    <w:rsid w:val="00170BE0"/>
    <w:rsid w:val="00170E57"/>
    <w:rsid w:val="00170E5F"/>
    <w:rsid w:val="00170F39"/>
    <w:rsid w:val="00170F87"/>
    <w:rsid w:val="00171118"/>
    <w:rsid w:val="00171223"/>
    <w:rsid w:val="001715CD"/>
    <w:rsid w:val="0017192A"/>
    <w:rsid w:val="00171BEE"/>
    <w:rsid w:val="00171E9A"/>
    <w:rsid w:val="0017328F"/>
    <w:rsid w:val="001732DA"/>
    <w:rsid w:val="00173487"/>
    <w:rsid w:val="0017370D"/>
    <w:rsid w:val="00173830"/>
    <w:rsid w:val="00173907"/>
    <w:rsid w:val="00173ADC"/>
    <w:rsid w:val="00173CD3"/>
    <w:rsid w:val="001746E6"/>
    <w:rsid w:val="00174F86"/>
    <w:rsid w:val="00175293"/>
    <w:rsid w:val="00175B3C"/>
    <w:rsid w:val="00175CAC"/>
    <w:rsid w:val="00175E04"/>
    <w:rsid w:val="001763BB"/>
    <w:rsid w:val="00176AF6"/>
    <w:rsid w:val="00176C00"/>
    <w:rsid w:val="00176F3F"/>
    <w:rsid w:val="001770BF"/>
    <w:rsid w:val="001772AF"/>
    <w:rsid w:val="001773B5"/>
    <w:rsid w:val="00177415"/>
    <w:rsid w:val="0017767F"/>
    <w:rsid w:val="001779F2"/>
    <w:rsid w:val="00177CCD"/>
    <w:rsid w:val="00177D23"/>
    <w:rsid w:val="00180521"/>
    <w:rsid w:val="00180997"/>
    <w:rsid w:val="00180D11"/>
    <w:rsid w:val="00180E2C"/>
    <w:rsid w:val="00181327"/>
    <w:rsid w:val="001814D1"/>
    <w:rsid w:val="00181633"/>
    <w:rsid w:val="001816B4"/>
    <w:rsid w:val="001817EF"/>
    <w:rsid w:val="00182196"/>
    <w:rsid w:val="00182210"/>
    <w:rsid w:val="0018259B"/>
    <w:rsid w:val="00182778"/>
    <w:rsid w:val="001827BE"/>
    <w:rsid w:val="00182919"/>
    <w:rsid w:val="00182953"/>
    <w:rsid w:val="00182A4B"/>
    <w:rsid w:val="00182CD1"/>
    <w:rsid w:val="00182D49"/>
    <w:rsid w:val="0018325E"/>
    <w:rsid w:val="001834B5"/>
    <w:rsid w:val="001837F0"/>
    <w:rsid w:val="00183ADE"/>
    <w:rsid w:val="00183B06"/>
    <w:rsid w:val="00183B28"/>
    <w:rsid w:val="00183FE0"/>
    <w:rsid w:val="0018444E"/>
    <w:rsid w:val="0018451F"/>
    <w:rsid w:val="001847DC"/>
    <w:rsid w:val="00184CEE"/>
    <w:rsid w:val="00184E66"/>
    <w:rsid w:val="001859C0"/>
    <w:rsid w:val="00185A16"/>
    <w:rsid w:val="00185EAB"/>
    <w:rsid w:val="00185F32"/>
    <w:rsid w:val="00186134"/>
    <w:rsid w:val="00186203"/>
    <w:rsid w:val="001864D7"/>
    <w:rsid w:val="001864ED"/>
    <w:rsid w:val="001866DA"/>
    <w:rsid w:val="00186BC3"/>
    <w:rsid w:val="00186C72"/>
    <w:rsid w:val="00186E24"/>
    <w:rsid w:val="00186FE1"/>
    <w:rsid w:val="00187210"/>
    <w:rsid w:val="001875DB"/>
    <w:rsid w:val="001900F4"/>
    <w:rsid w:val="00190A3A"/>
    <w:rsid w:val="00190AFC"/>
    <w:rsid w:val="00190EC7"/>
    <w:rsid w:val="00190F7D"/>
    <w:rsid w:val="001910A1"/>
    <w:rsid w:val="00191482"/>
    <w:rsid w:val="001915BF"/>
    <w:rsid w:val="00191E6F"/>
    <w:rsid w:val="0019229F"/>
    <w:rsid w:val="001922B8"/>
    <w:rsid w:val="00192443"/>
    <w:rsid w:val="00192736"/>
    <w:rsid w:val="00192978"/>
    <w:rsid w:val="001929DE"/>
    <w:rsid w:val="001929F0"/>
    <w:rsid w:val="00192FD6"/>
    <w:rsid w:val="001934F7"/>
    <w:rsid w:val="001935E3"/>
    <w:rsid w:val="00193B77"/>
    <w:rsid w:val="00193CDB"/>
    <w:rsid w:val="00193DDB"/>
    <w:rsid w:val="00194762"/>
    <w:rsid w:val="001948F3"/>
    <w:rsid w:val="001948F9"/>
    <w:rsid w:val="001949AF"/>
    <w:rsid w:val="00194D07"/>
    <w:rsid w:val="0019565E"/>
    <w:rsid w:val="0019574E"/>
    <w:rsid w:val="001959BE"/>
    <w:rsid w:val="00195CBB"/>
    <w:rsid w:val="001968BB"/>
    <w:rsid w:val="00196A48"/>
    <w:rsid w:val="00196B26"/>
    <w:rsid w:val="00196D54"/>
    <w:rsid w:val="0019756F"/>
    <w:rsid w:val="001976FE"/>
    <w:rsid w:val="001977A6"/>
    <w:rsid w:val="00197A4A"/>
    <w:rsid w:val="00197F80"/>
    <w:rsid w:val="001A0161"/>
    <w:rsid w:val="001A022C"/>
    <w:rsid w:val="001A09BC"/>
    <w:rsid w:val="001A0A59"/>
    <w:rsid w:val="001A0C2E"/>
    <w:rsid w:val="001A0C62"/>
    <w:rsid w:val="001A13A1"/>
    <w:rsid w:val="001A1633"/>
    <w:rsid w:val="001A18A9"/>
    <w:rsid w:val="001A1BC5"/>
    <w:rsid w:val="001A1BDD"/>
    <w:rsid w:val="001A1D72"/>
    <w:rsid w:val="001A1EA3"/>
    <w:rsid w:val="001A2268"/>
    <w:rsid w:val="001A2312"/>
    <w:rsid w:val="001A2951"/>
    <w:rsid w:val="001A2A28"/>
    <w:rsid w:val="001A2C70"/>
    <w:rsid w:val="001A2DE4"/>
    <w:rsid w:val="001A3CF5"/>
    <w:rsid w:val="001A40B4"/>
    <w:rsid w:val="001A40C7"/>
    <w:rsid w:val="001A40D8"/>
    <w:rsid w:val="001A4293"/>
    <w:rsid w:val="001A440A"/>
    <w:rsid w:val="001A4572"/>
    <w:rsid w:val="001A4BCB"/>
    <w:rsid w:val="001A58A4"/>
    <w:rsid w:val="001A5BCC"/>
    <w:rsid w:val="001A6483"/>
    <w:rsid w:val="001A6790"/>
    <w:rsid w:val="001A6ACB"/>
    <w:rsid w:val="001A6B83"/>
    <w:rsid w:val="001A70E6"/>
    <w:rsid w:val="001A73CE"/>
    <w:rsid w:val="001A74AE"/>
    <w:rsid w:val="001A7718"/>
    <w:rsid w:val="001A7AA7"/>
    <w:rsid w:val="001B0104"/>
    <w:rsid w:val="001B0A58"/>
    <w:rsid w:val="001B0C36"/>
    <w:rsid w:val="001B0F49"/>
    <w:rsid w:val="001B0F58"/>
    <w:rsid w:val="001B0FCF"/>
    <w:rsid w:val="001B134C"/>
    <w:rsid w:val="001B14C1"/>
    <w:rsid w:val="001B27A7"/>
    <w:rsid w:val="001B2829"/>
    <w:rsid w:val="001B28C3"/>
    <w:rsid w:val="001B2C68"/>
    <w:rsid w:val="001B2E53"/>
    <w:rsid w:val="001B38C8"/>
    <w:rsid w:val="001B3FB6"/>
    <w:rsid w:val="001B41FF"/>
    <w:rsid w:val="001B442B"/>
    <w:rsid w:val="001B44FE"/>
    <w:rsid w:val="001B4785"/>
    <w:rsid w:val="001B49B8"/>
    <w:rsid w:val="001B4B92"/>
    <w:rsid w:val="001B4D21"/>
    <w:rsid w:val="001B5009"/>
    <w:rsid w:val="001B551D"/>
    <w:rsid w:val="001B55F1"/>
    <w:rsid w:val="001B58C1"/>
    <w:rsid w:val="001B603D"/>
    <w:rsid w:val="001B6080"/>
    <w:rsid w:val="001B6365"/>
    <w:rsid w:val="001B6370"/>
    <w:rsid w:val="001B6380"/>
    <w:rsid w:val="001B6A78"/>
    <w:rsid w:val="001B6E91"/>
    <w:rsid w:val="001B6EB1"/>
    <w:rsid w:val="001B71A8"/>
    <w:rsid w:val="001C0169"/>
    <w:rsid w:val="001C02A2"/>
    <w:rsid w:val="001C0751"/>
    <w:rsid w:val="001C0F81"/>
    <w:rsid w:val="001C188F"/>
    <w:rsid w:val="001C19FE"/>
    <w:rsid w:val="001C1A64"/>
    <w:rsid w:val="001C1BB2"/>
    <w:rsid w:val="001C2408"/>
    <w:rsid w:val="001C2491"/>
    <w:rsid w:val="001C24CF"/>
    <w:rsid w:val="001C25E3"/>
    <w:rsid w:val="001C2851"/>
    <w:rsid w:val="001C3402"/>
    <w:rsid w:val="001C39E2"/>
    <w:rsid w:val="001C3AD4"/>
    <w:rsid w:val="001C3C1C"/>
    <w:rsid w:val="001C416C"/>
    <w:rsid w:val="001C437D"/>
    <w:rsid w:val="001C4817"/>
    <w:rsid w:val="001C4F42"/>
    <w:rsid w:val="001C53DF"/>
    <w:rsid w:val="001C5441"/>
    <w:rsid w:val="001C59C7"/>
    <w:rsid w:val="001C5A34"/>
    <w:rsid w:val="001C5AB5"/>
    <w:rsid w:val="001C5D1A"/>
    <w:rsid w:val="001C5F63"/>
    <w:rsid w:val="001C63AD"/>
    <w:rsid w:val="001C6667"/>
    <w:rsid w:val="001C6790"/>
    <w:rsid w:val="001C67FD"/>
    <w:rsid w:val="001C76BB"/>
    <w:rsid w:val="001C76F0"/>
    <w:rsid w:val="001C772A"/>
    <w:rsid w:val="001C79C8"/>
    <w:rsid w:val="001D0341"/>
    <w:rsid w:val="001D0540"/>
    <w:rsid w:val="001D0883"/>
    <w:rsid w:val="001D136B"/>
    <w:rsid w:val="001D1675"/>
    <w:rsid w:val="001D1684"/>
    <w:rsid w:val="001D1997"/>
    <w:rsid w:val="001D1CA5"/>
    <w:rsid w:val="001D21EE"/>
    <w:rsid w:val="001D2333"/>
    <w:rsid w:val="001D2A13"/>
    <w:rsid w:val="001D2B67"/>
    <w:rsid w:val="001D2CD9"/>
    <w:rsid w:val="001D332C"/>
    <w:rsid w:val="001D341D"/>
    <w:rsid w:val="001D3528"/>
    <w:rsid w:val="001D3C6A"/>
    <w:rsid w:val="001D3DA4"/>
    <w:rsid w:val="001D4557"/>
    <w:rsid w:val="001D470F"/>
    <w:rsid w:val="001D4972"/>
    <w:rsid w:val="001D4B69"/>
    <w:rsid w:val="001D4D7D"/>
    <w:rsid w:val="001D4FA1"/>
    <w:rsid w:val="001D5080"/>
    <w:rsid w:val="001D5217"/>
    <w:rsid w:val="001D5372"/>
    <w:rsid w:val="001D55E5"/>
    <w:rsid w:val="001D5CD7"/>
    <w:rsid w:val="001D5DED"/>
    <w:rsid w:val="001D5DF9"/>
    <w:rsid w:val="001D6225"/>
    <w:rsid w:val="001D632E"/>
    <w:rsid w:val="001D657E"/>
    <w:rsid w:val="001D6CBF"/>
    <w:rsid w:val="001D6FC9"/>
    <w:rsid w:val="001D7158"/>
    <w:rsid w:val="001D7502"/>
    <w:rsid w:val="001D7AC6"/>
    <w:rsid w:val="001E00BF"/>
    <w:rsid w:val="001E0110"/>
    <w:rsid w:val="001E01C4"/>
    <w:rsid w:val="001E0419"/>
    <w:rsid w:val="001E0611"/>
    <w:rsid w:val="001E10B2"/>
    <w:rsid w:val="001E1486"/>
    <w:rsid w:val="001E14C6"/>
    <w:rsid w:val="001E182B"/>
    <w:rsid w:val="001E1C62"/>
    <w:rsid w:val="001E21C0"/>
    <w:rsid w:val="001E2218"/>
    <w:rsid w:val="001E2C13"/>
    <w:rsid w:val="001E2F98"/>
    <w:rsid w:val="001E32D9"/>
    <w:rsid w:val="001E36AD"/>
    <w:rsid w:val="001E4549"/>
    <w:rsid w:val="001E47F9"/>
    <w:rsid w:val="001E4805"/>
    <w:rsid w:val="001E4842"/>
    <w:rsid w:val="001E4A04"/>
    <w:rsid w:val="001E4A6C"/>
    <w:rsid w:val="001E4E17"/>
    <w:rsid w:val="001E5144"/>
    <w:rsid w:val="001E5267"/>
    <w:rsid w:val="001E5450"/>
    <w:rsid w:val="001E56FA"/>
    <w:rsid w:val="001E5DED"/>
    <w:rsid w:val="001E5EA6"/>
    <w:rsid w:val="001E5FA0"/>
    <w:rsid w:val="001E60CD"/>
    <w:rsid w:val="001E6284"/>
    <w:rsid w:val="001E64A8"/>
    <w:rsid w:val="001E65ED"/>
    <w:rsid w:val="001E6782"/>
    <w:rsid w:val="001E6B59"/>
    <w:rsid w:val="001E6E63"/>
    <w:rsid w:val="001E7987"/>
    <w:rsid w:val="001E7AE9"/>
    <w:rsid w:val="001E7E3D"/>
    <w:rsid w:val="001E7EC3"/>
    <w:rsid w:val="001E7F3D"/>
    <w:rsid w:val="001F0026"/>
    <w:rsid w:val="001F0075"/>
    <w:rsid w:val="001F07FF"/>
    <w:rsid w:val="001F0D1B"/>
    <w:rsid w:val="001F0D37"/>
    <w:rsid w:val="001F11CA"/>
    <w:rsid w:val="001F151C"/>
    <w:rsid w:val="001F16FC"/>
    <w:rsid w:val="001F18E1"/>
    <w:rsid w:val="001F1F72"/>
    <w:rsid w:val="001F2099"/>
    <w:rsid w:val="001F2202"/>
    <w:rsid w:val="001F24B2"/>
    <w:rsid w:val="001F24DC"/>
    <w:rsid w:val="001F259D"/>
    <w:rsid w:val="001F28BA"/>
    <w:rsid w:val="001F2A94"/>
    <w:rsid w:val="001F307C"/>
    <w:rsid w:val="001F3370"/>
    <w:rsid w:val="001F3E04"/>
    <w:rsid w:val="001F3FAE"/>
    <w:rsid w:val="001F4040"/>
    <w:rsid w:val="001F4342"/>
    <w:rsid w:val="001F443C"/>
    <w:rsid w:val="001F486D"/>
    <w:rsid w:val="001F4CA6"/>
    <w:rsid w:val="001F4E41"/>
    <w:rsid w:val="001F4F58"/>
    <w:rsid w:val="001F4F7C"/>
    <w:rsid w:val="001F5133"/>
    <w:rsid w:val="001F54E6"/>
    <w:rsid w:val="001F5673"/>
    <w:rsid w:val="001F5A54"/>
    <w:rsid w:val="001F5A61"/>
    <w:rsid w:val="001F6084"/>
    <w:rsid w:val="001F66D3"/>
    <w:rsid w:val="001F69FE"/>
    <w:rsid w:val="001F6E50"/>
    <w:rsid w:val="001F6F07"/>
    <w:rsid w:val="001F7A7A"/>
    <w:rsid w:val="001F7CD0"/>
    <w:rsid w:val="001F7FCA"/>
    <w:rsid w:val="00200144"/>
    <w:rsid w:val="0020047B"/>
    <w:rsid w:val="0020063D"/>
    <w:rsid w:val="002006F1"/>
    <w:rsid w:val="00200814"/>
    <w:rsid w:val="0020085F"/>
    <w:rsid w:val="002009E8"/>
    <w:rsid w:val="00200AA8"/>
    <w:rsid w:val="00200E9A"/>
    <w:rsid w:val="00201208"/>
    <w:rsid w:val="00201306"/>
    <w:rsid w:val="002017AE"/>
    <w:rsid w:val="00201ACD"/>
    <w:rsid w:val="00201AD0"/>
    <w:rsid w:val="00201DCC"/>
    <w:rsid w:val="00201E18"/>
    <w:rsid w:val="00201E4B"/>
    <w:rsid w:val="002020A1"/>
    <w:rsid w:val="00202227"/>
    <w:rsid w:val="00202827"/>
    <w:rsid w:val="00202B7E"/>
    <w:rsid w:val="00202D9E"/>
    <w:rsid w:val="00202FC7"/>
    <w:rsid w:val="0020334F"/>
    <w:rsid w:val="0020337E"/>
    <w:rsid w:val="00203440"/>
    <w:rsid w:val="00203724"/>
    <w:rsid w:val="0020384D"/>
    <w:rsid w:val="002039CF"/>
    <w:rsid w:val="00203A8B"/>
    <w:rsid w:val="00203B51"/>
    <w:rsid w:val="00204843"/>
    <w:rsid w:val="002048EB"/>
    <w:rsid w:val="00205034"/>
    <w:rsid w:val="00205A4D"/>
    <w:rsid w:val="00205B34"/>
    <w:rsid w:val="00205DF4"/>
    <w:rsid w:val="00205E88"/>
    <w:rsid w:val="00205E98"/>
    <w:rsid w:val="00205FDB"/>
    <w:rsid w:val="002069B6"/>
    <w:rsid w:val="00206BD1"/>
    <w:rsid w:val="00206F47"/>
    <w:rsid w:val="00207768"/>
    <w:rsid w:val="00207D9C"/>
    <w:rsid w:val="0021026B"/>
    <w:rsid w:val="002103F5"/>
    <w:rsid w:val="00210764"/>
    <w:rsid w:val="00210BF8"/>
    <w:rsid w:val="00210D58"/>
    <w:rsid w:val="00211522"/>
    <w:rsid w:val="00211548"/>
    <w:rsid w:val="00211833"/>
    <w:rsid w:val="002119C6"/>
    <w:rsid w:val="00211E91"/>
    <w:rsid w:val="002120BA"/>
    <w:rsid w:val="00212148"/>
    <w:rsid w:val="00212781"/>
    <w:rsid w:val="00212EAA"/>
    <w:rsid w:val="00212F25"/>
    <w:rsid w:val="002130D4"/>
    <w:rsid w:val="0021358A"/>
    <w:rsid w:val="00213656"/>
    <w:rsid w:val="002136B6"/>
    <w:rsid w:val="00213970"/>
    <w:rsid w:val="002145C5"/>
    <w:rsid w:val="00214F59"/>
    <w:rsid w:val="0021529C"/>
    <w:rsid w:val="00215557"/>
    <w:rsid w:val="00215EE7"/>
    <w:rsid w:val="002160D8"/>
    <w:rsid w:val="00216114"/>
    <w:rsid w:val="00216128"/>
    <w:rsid w:val="00216BED"/>
    <w:rsid w:val="00216D9A"/>
    <w:rsid w:val="00216E71"/>
    <w:rsid w:val="00216EDD"/>
    <w:rsid w:val="00217541"/>
    <w:rsid w:val="00217752"/>
    <w:rsid w:val="00217A73"/>
    <w:rsid w:val="00217E34"/>
    <w:rsid w:val="00217E4F"/>
    <w:rsid w:val="00217F0B"/>
    <w:rsid w:val="002201B4"/>
    <w:rsid w:val="00220603"/>
    <w:rsid w:val="00220620"/>
    <w:rsid w:val="00221473"/>
    <w:rsid w:val="00221715"/>
    <w:rsid w:val="002219E2"/>
    <w:rsid w:val="00221D7A"/>
    <w:rsid w:val="00221DC5"/>
    <w:rsid w:val="0022233B"/>
    <w:rsid w:val="002227FA"/>
    <w:rsid w:val="00223516"/>
    <w:rsid w:val="00223661"/>
    <w:rsid w:val="00223975"/>
    <w:rsid w:val="00223B60"/>
    <w:rsid w:val="002241AC"/>
    <w:rsid w:val="00224294"/>
    <w:rsid w:val="0022447E"/>
    <w:rsid w:val="00224795"/>
    <w:rsid w:val="0022492B"/>
    <w:rsid w:val="00224B5D"/>
    <w:rsid w:val="00225277"/>
    <w:rsid w:val="002253D9"/>
    <w:rsid w:val="002255A1"/>
    <w:rsid w:val="00225CD6"/>
    <w:rsid w:val="00225DBC"/>
    <w:rsid w:val="00225DCC"/>
    <w:rsid w:val="00225E2F"/>
    <w:rsid w:val="0022605F"/>
    <w:rsid w:val="00226339"/>
    <w:rsid w:val="00226DA3"/>
    <w:rsid w:val="002274E1"/>
    <w:rsid w:val="00227725"/>
    <w:rsid w:val="00227777"/>
    <w:rsid w:val="00227E0A"/>
    <w:rsid w:val="00227E6A"/>
    <w:rsid w:val="002300F9"/>
    <w:rsid w:val="00230137"/>
    <w:rsid w:val="0023025A"/>
    <w:rsid w:val="00230DEA"/>
    <w:rsid w:val="00230F8E"/>
    <w:rsid w:val="0023127D"/>
    <w:rsid w:val="002325E2"/>
    <w:rsid w:val="0023261C"/>
    <w:rsid w:val="0023262F"/>
    <w:rsid w:val="002326CF"/>
    <w:rsid w:val="00232832"/>
    <w:rsid w:val="00232ADC"/>
    <w:rsid w:val="00232C96"/>
    <w:rsid w:val="00232D52"/>
    <w:rsid w:val="00232F58"/>
    <w:rsid w:val="00233192"/>
    <w:rsid w:val="002331B2"/>
    <w:rsid w:val="002331D2"/>
    <w:rsid w:val="002331DC"/>
    <w:rsid w:val="002334EB"/>
    <w:rsid w:val="00233C5B"/>
    <w:rsid w:val="002340F7"/>
    <w:rsid w:val="0023436D"/>
    <w:rsid w:val="00234536"/>
    <w:rsid w:val="0023471A"/>
    <w:rsid w:val="00234D98"/>
    <w:rsid w:val="002355D8"/>
    <w:rsid w:val="0023566E"/>
    <w:rsid w:val="00236375"/>
    <w:rsid w:val="0023687C"/>
    <w:rsid w:val="0023688D"/>
    <w:rsid w:val="00236E9F"/>
    <w:rsid w:val="00236EA0"/>
    <w:rsid w:val="00237340"/>
    <w:rsid w:val="00237C0E"/>
    <w:rsid w:val="00237C52"/>
    <w:rsid w:val="00237DCB"/>
    <w:rsid w:val="00240177"/>
    <w:rsid w:val="00240268"/>
    <w:rsid w:val="00240307"/>
    <w:rsid w:val="0024039C"/>
    <w:rsid w:val="002409BF"/>
    <w:rsid w:val="00240BEC"/>
    <w:rsid w:val="00240C75"/>
    <w:rsid w:val="002410E1"/>
    <w:rsid w:val="00241111"/>
    <w:rsid w:val="00241E39"/>
    <w:rsid w:val="00242676"/>
    <w:rsid w:val="00243287"/>
    <w:rsid w:val="0024390C"/>
    <w:rsid w:val="00243F52"/>
    <w:rsid w:val="00243FA4"/>
    <w:rsid w:val="002446F3"/>
    <w:rsid w:val="002448D4"/>
    <w:rsid w:val="00244A4A"/>
    <w:rsid w:val="00244AF1"/>
    <w:rsid w:val="00244B6F"/>
    <w:rsid w:val="00244BB6"/>
    <w:rsid w:val="00244ED4"/>
    <w:rsid w:val="00245BD3"/>
    <w:rsid w:val="00246A73"/>
    <w:rsid w:val="00246DEA"/>
    <w:rsid w:val="00246EB4"/>
    <w:rsid w:val="00246EB9"/>
    <w:rsid w:val="00246F83"/>
    <w:rsid w:val="002471B7"/>
    <w:rsid w:val="002475AF"/>
    <w:rsid w:val="00247B18"/>
    <w:rsid w:val="00247E0A"/>
    <w:rsid w:val="00247E7A"/>
    <w:rsid w:val="002500C7"/>
    <w:rsid w:val="0025034F"/>
    <w:rsid w:val="0025040A"/>
    <w:rsid w:val="00251315"/>
    <w:rsid w:val="00251951"/>
    <w:rsid w:val="00251BB7"/>
    <w:rsid w:val="00252441"/>
    <w:rsid w:val="00252C1F"/>
    <w:rsid w:val="00253003"/>
    <w:rsid w:val="00253194"/>
    <w:rsid w:val="00253229"/>
    <w:rsid w:val="00253519"/>
    <w:rsid w:val="00253B74"/>
    <w:rsid w:val="00253EA1"/>
    <w:rsid w:val="002549B2"/>
    <w:rsid w:val="00254B07"/>
    <w:rsid w:val="00254FBF"/>
    <w:rsid w:val="00255636"/>
    <w:rsid w:val="002559E9"/>
    <w:rsid w:val="00256071"/>
    <w:rsid w:val="00256AE4"/>
    <w:rsid w:val="00256F5D"/>
    <w:rsid w:val="00257513"/>
    <w:rsid w:val="00257710"/>
    <w:rsid w:val="00257796"/>
    <w:rsid w:val="00257A2D"/>
    <w:rsid w:val="00257C84"/>
    <w:rsid w:val="0026060A"/>
    <w:rsid w:val="0026192E"/>
    <w:rsid w:val="00262FC5"/>
    <w:rsid w:val="0026315C"/>
    <w:rsid w:val="00263A19"/>
    <w:rsid w:val="00264424"/>
    <w:rsid w:val="002644CC"/>
    <w:rsid w:val="002644F5"/>
    <w:rsid w:val="00264843"/>
    <w:rsid w:val="00264EBD"/>
    <w:rsid w:val="0026515F"/>
    <w:rsid w:val="00265677"/>
    <w:rsid w:val="00265AD8"/>
    <w:rsid w:val="00265CCB"/>
    <w:rsid w:val="00266073"/>
    <w:rsid w:val="0026688C"/>
    <w:rsid w:val="002670B2"/>
    <w:rsid w:val="00267400"/>
    <w:rsid w:val="0026751E"/>
    <w:rsid w:val="00267E46"/>
    <w:rsid w:val="00267EF5"/>
    <w:rsid w:val="00270335"/>
    <w:rsid w:val="00270400"/>
    <w:rsid w:val="002705AE"/>
    <w:rsid w:val="0027062F"/>
    <w:rsid w:val="002713C9"/>
    <w:rsid w:val="00271BEE"/>
    <w:rsid w:val="00271CA2"/>
    <w:rsid w:val="00271CD5"/>
    <w:rsid w:val="00272238"/>
    <w:rsid w:val="002723E5"/>
    <w:rsid w:val="0027279B"/>
    <w:rsid w:val="00272ACF"/>
    <w:rsid w:val="002735C6"/>
    <w:rsid w:val="00273625"/>
    <w:rsid w:val="0027376E"/>
    <w:rsid w:val="002737CC"/>
    <w:rsid w:val="002737E4"/>
    <w:rsid w:val="00273AA4"/>
    <w:rsid w:val="00273D42"/>
    <w:rsid w:val="00273F0A"/>
    <w:rsid w:val="00273FEA"/>
    <w:rsid w:val="002742FE"/>
    <w:rsid w:val="002746A6"/>
    <w:rsid w:val="0027481E"/>
    <w:rsid w:val="00274D91"/>
    <w:rsid w:val="00275018"/>
    <w:rsid w:val="002752D1"/>
    <w:rsid w:val="00275636"/>
    <w:rsid w:val="00275B94"/>
    <w:rsid w:val="00276196"/>
    <w:rsid w:val="00276448"/>
    <w:rsid w:val="0027693F"/>
    <w:rsid w:val="00276B51"/>
    <w:rsid w:val="00276EBF"/>
    <w:rsid w:val="0027739B"/>
    <w:rsid w:val="0027741B"/>
    <w:rsid w:val="0027790D"/>
    <w:rsid w:val="002779E1"/>
    <w:rsid w:val="002800A6"/>
    <w:rsid w:val="00280382"/>
    <w:rsid w:val="002803FC"/>
    <w:rsid w:val="0028058F"/>
    <w:rsid w:val="00280867"/>
    <w:rsid w:val="00280893"/>
    <w:rsid w:val="00280E08"/>
    <w:rsid w:val="00280F15"/>
    <w:rsid w:val="00281404"/>
    <w:rsid w:val="0028154F"/>
    <w:rsid w:val="002817DF"/>
    <w:rsid w:val="0028234D"/>
    <w:rsid w:val="0028254A"/>
    <w:rsid w:val="002825B2"/>
    <w:rsid w:val="00282873"/>
    <w:rsid w:val="002829B0"/>
    <w:rsid w:val="00282CAC"/>
    <w:rsid w:val="00283007"/>
    <w:rsid w:val="0028322D"/>
    <w:rsid w:val="00283515"/>
    <w:rsid w:val="00283595"/>
    <w:rsid w:val="002837F3"/>
    <w:rsid w:val="00283ABC"/>
    <w:rsid w:val="00283DA9"/>
    <w:rsid w:val="00283E21"/>
    <w:rsid w:val="00284495"/>
    <w:rsid w:val="0028495D"/>
    <w:rsid w:val="00284CF7"/>
    <w:rsid w:val="00284F91"/>
    <w:rsid w:val="00284FD1"/>
    <w:rsid w:val="002851D9"/>
    <w:rsid w:val="00285205"/>
    <w:rsid w:val="002854B6"/>
    <w:rsid w:val="00285588"/>
    <w:rsid w:val="00285758"/>
    <w:rsid w:val="00285C5D"/>
    <w:rsid w:val="00285F4F"/>
    <w:rsid w:val="00285FB6"/>
    <w:rsid w:val="00285FCA"/>
    <w:rsid w:val="00286108"/>
    <w:rsid w:val="00286659"/>
    <w:rsid w:val="00286DAB"/>
    <w:rsid w:val="00287275"/>
    <w:rsid w:val="00287493"/>
    <w:rsid w:val="00287589"/>
    <w:rsid w:val="0028764C"/>
    <w:rsid w:val="00287A90"/>
    <w:rsid w:val="00287DA1"/>
    <w:rsid w:val="00287E2E"/>
    <w:rsid w:val="00287F7C"/>
    <w:rsid w:val="00290023"/>
    <w:rsid w:val="00290040"/>
    <w:rsid w:val="002901DA"/>
    <w:rsid w:val="002903DF"/>
    <w:rsid w:val="0029059E"/>
    <w:rsid w:val="002906AC"/>
    <w:rsid w:val="00290744"/>
    <w:rsid w:val="00290D37"/>
    <w:rsid w:val="00290D3B"/>
    <w:rsid w:val="00290E00"/>
    <w:rsid w:val="00290E65"/>
    <w:rsid w:val="00291657"/>
    <w:rsid w:val="0029183B"/>
    <w:rsid w:val="00291906"/>
    <w:rsid w:val="00291FD0"/>
    <w:rsid w:val="002921F8"/>
    <w:rsid w:val="002922BD"/>
    <w:rsid w:val="002929C5"/>
    <w:rsid w:val="00292A08"/>
    <w:rsid w:val="00292B21"/>
    <w:rsid w:val="00292D93"/>
    <w:rsid w:val="002930D1"/>
    <w:rsid w:val="00293202"/>
    <w:rsid w:val="00293461"/>
    <w:rsid w:val="00293527"/>
    <w:rsid w:val="002941B8"/>
    <w:rsid w:val="00294A8B"/>
    <w:rsid w:val="00294DEF"/>
    <w:rsid w:val="00294EA7"/>
    <w:rsid w:val="00294FF7"/>
    <w:rsid w:val="00295709"/>
    <w:rsid w:val="00295746"/>
    <w:rsid w:val="00295D09"/>
    <w:rsid w:val="002963E4"/>
    <w:rsid w:val="00296537"/>
    <w:rsid w:val="00296880"/>
    <w:rsid w:val="00296A6B"/>
    <w:rsid w:val="00296F9E"/>
    <w:rsid w:val="0029706E"/>
    <w:rsid w:val="00297128"/>
    <w:rsid w:val="002972D6"/>
    <w:rsid w:val="00297F34"/>
    <w:rsid w:val="002A0011"/>
    <w:rsid w:val="002A003D"/>
    <w:rsid w:val="002A02EE"/>
    <w:rsid w:val="002A0388"/>
    <w:rsid w:val="002A0735"/>
    <w:rsid w:val="002A078A"/>
    <w:rsid w:val="002A096A"/>
    <w:rsid w:val="002A135B"/>
    <w:rsid w:val="002A17DE"/>
    <w:rsid w:val="002A1896"/>
    <w:rsid w:val="002A25A9"/>
    <w:rsid w:val="002A2682"/>
    <w:rsid w:val="002A294F"/>
    <w:rsid w:val="002A31E7"/>
    <w:rsid w:val="002A355A"/>
    <w:rsid w:val="002A38F1"/>
    <w:rsid w:val="002A3A20"/>
    <w:rsid w:val="002A3C81"/>
    <w:rsid w:val="002A3E8E"/>
    <w:rsid w:val="002A4B5C"/>
    <w:rsid w:val="002A4B67"/>
    <w:rsid w:val="002A4BAC"/>
    <w:rsid w:val="002A4E5D"/>
    <w:rsid w:val="002A500A"/>
    <w:rsid w:val="002A52C3"/>
    <w:rsid w:val="002A53F7"/>
    <w:rsid w:val="002A5E4C"/>
    <w:rsid w:val="002A5F7D"/>
    <w:rsid w:val="002A5FEB"/>
    <w:rsid w:val="002A602E"/>
    <w:rsid w:val="002A60E8"/>
    <w:rsid w:val="002A61FC"/>
    <w:rsid w:val="002A6573"/>
    <w:rsid w:val="002A6720"/>
    <w:rsid w:val="002A67A9"/>
    <w:rsid w:val="002A6A34"/>
    <w:rsid w:val="002A6E56"/>
    <w:rsid w:val="002A7083"/>
    <w:rsid w:val="002A7350"/>
    <w:rsid w:val="002A74B5"/>
    <w:rsid w:val="002A75D1"/>
    <w:rsid w:val="002A7D19"/>
    <w:rsid w:val="002A7E4E"/>
    <w:rsid w:val="002B00B2"/>
    <w:rsid w:val="002B02E0"/>
    <w:rsid w:val="002B0425"/>
    <w:rsid w:val="002B063A"/>
    <w:rsid w:val="002B07E2"/>
    <w:rsid w:val="002B08F4"/>
    <w:rsid w:val="002B0A09"/>
    <w:rsid w:val="002B0E86"/>
    <w:rsid w:val="002B0E8F"/>
    <w:rsid w:val="002B134D"/>
    <w:rsid w:val="002B1BA6"/>
    <w:rsid w:val="002B204A"/>
    <w:rsid w:val="002B2145"/>
    <w:rsid w:val="002B24F2"/>
    <w:rsid w:val="002B2BB7"/>
    <w:rsid w:val="002B2D74"/>
    <w:rsid w:val="002B2F2A"/>
    <w:rsid w:val="002B34C6"/>
    <w:rsid w:val="002B352D"/>
    <w:rsid w:val="002B358A"/>
    <w:rsid w:val="002B39D9"/>
    <w:rsid w:val="002B3C43"/>
    <w:rsid w:val="002B3C8F"/>
    <w:rsid w:val="002B4187"/>
    <w:rsid w:val="002B431F"/>
    <w:rsid w:val="002B4338"/>
    <w:rsid w:val="002B492A"/>
    <w:rsid w:val="002B49CC"/>
    <w:rsid w:val="002B4E89"/>
    <w:rsid w:val="002B5180"/>
    <w:rsid w:val="002B5624"/>
    <w:rsid w:val="002B56B1"/>
    <w:rsid w:val="002B56C0"/>
    <w:rsid w:val="002B5C0B"/>
    <w:rsid w:val="002B6373"/>
    <w:rsid w:val="002B6398"/>
    <w:rsid w:val="002B6624"/>
    <w:rsid w:val="002B67A7"/>
    <w:rsid w:val="002B6DCE"/>
    <w:rsid w:val="002B705C"/>
    <w:rsid w:val="002B7290"/>
    <w:rsid w:val="002B7527"/>
    <w:rsid w:val="002B7B78"/>
    <w:rsid w:val="002B7F1E"/>
    <w:rsid w:val="002B7FAA"/>
    <w:rsid w:val="002C0C67"/>
    <w:rsid w:val="002C1146"/>
    <w:rsid w:val="002C139F"/>
    <w:rsid w:val="002C13AA"/>
    <w:rsid w:val="002C17F0"/>
    <w:rsid w:val="002C187D"/>
    <w:rsid w:val="002C1F27"/>
    <w:rsid w:val="002C23D3"/>
    <w:rsid w:val="002C2550"/>
    <w:rsid w:val="002C2B61"/>
    <w:rsid w:val="002C2FBA"/>
    <w:rsid w:val="002C3A02"/>
    <w:rsid w:val="002C3AF5"/>
    <w:rsid w:val="002C3D19"/>
    <w:rsid w:val="002C4318"/>
    <w:rsid w:val="002C4491"/>
    <w:rsid w:val="002C45E5"/>
    <w:rsid w:val="002C4612"/>
    <w:rsid w:val="002C46E9"/>
    <w:rsid w:val="002C481A"/>
    <w:rsid w:val="002C4B41"/>
    <w:rsid w:val="002C4B9E"/>
    <w:rsid w:val="002C50CC"/>
    <w:rsid w:val="002C5B2E"/>
    <w:rsid w:val="002C6154"/>
    <w:rsid w:val="002C656D"/>
    <w:rsid w:val="002C68A4"/>
    <w:rsid w:val="002C7329"/>
    <w:rsid w:val="002C73E0"/>
    <w:rsid w:val="002C74D8"/>
    <w:rsid w:val="002C7772"/>
    <w:rsid w:val="002C79A2"/>
    <w:rsid w:val="002C7A50"/>
    <w:rsid w:val="002C7C91"/>
    <w:rsid w:val="002D0171"/>
    <w:rsid w:val="002D0407"/>
    <w:rsid w:val="002D090B"/>
    <w:rsid w:val="002D0A13"/>
    <w:rsid w:val="002D0D49"/>
    <w:rsid w:val="002D0D50"/>
    <w:rsid w:val="002D0D66"/>
    <w:rsid w:val="002D0FF1"/>
    <w:rsid w:val="002D1DAE"/>
    <w:rsid w:val="002D2030"/>
    <w:rsid w:val="002D2113"/>
    <w:rsid w:val="002D25A8"/>
    <w:rsid w:val="002D2977"/>
    <w:rsid w:val="002D29F6"/>
    <w:rsid w:val="002D2B4A"/>
    <w:rsid w:val="002D2C43"/>
    <w:rsid w:val="002D317E"/>
    <w:rsid w:val="002D372F"/>
    <w:rsid w:val="002D38B3"/>
    <w:rsid w:val="002D39E2"/>
    <w:rsid w:val="002D3A02"/>
    <w:rsid w:val="002D4418"/>
    <w:rsid w:val="002D4B83"/>
    <w:rsid w:val="002D4D9E"/>
    <w:rsid w:val="002D4DAF"/>
    <w:rsid w:val="002D4FF3"/>
    <w:rsid w:val="002D50CA"/>
    <w:rsid w:val="002D5412"/>
    <w:rsid w:val="002D55FB"/>
    <w:rsid w:val="002D58C0"/>
    <w:rsid w:val="002D5AB4"/>
    <w:rsid w:val="002D5F7A"/>
    <w:rsid w:val="002D61D2"/>
    <w:rsid w:val="002D6B28"/>
    <w:rsid w:val="002D6D67"/>
    <w:rsid w:val="002D6D77"/>
    <w:rsid w:val="002D6DFB"/>
    <w:rsid w:val="002D74CC"/>
    <w:rsid w:val="002D7B3A"/>
    <w:rsid w:val="002D7E0B"/>
    <w:rsid w:val="002D7E81"/>
    <w:rsid w:val="002E0549"/>
    <w:rsid w:val="002E05BE"/>
    <w:rsid w:val="002E0C0B"/>
    <w:rsid w:val="002E0D2F"/>
    <w:rsid w:val="002E0D65"/>
    <w:rsid w:val="002E0EC3"/>
    <w:rsid w:val="002E0EFA"/>
    <w:rsid w:val="002E14B9"/>
    <w:rsid w:val="002E14BE"/>
    <w:rsid w:val="002E14EF"/>
    <w:rsid w:val="002E16A1"/>
    <w:rsid w:val="002E2492"/>
    <w:rsid w:val="002E27C3"/>
    <w:rsid w:val="002E291B"/>
    <w:rsid w:val="002E29C4"/>
    <w:rsid w:val="002E319C"/>
    <w:rsid w:val="002E3623"/>
    <w:rsid w:val="002E3848"/>
    <w:rsid w:val="002E3B6F"/>
    <w:rsid w:val="002E4B96"/>
    <w:rsid w:val="002E51D3"/>
    <w:rsid w:val="002E5226"/>
    <w:rsid w:val="002E52CE"/>
    <w:rsid w:val="002E5472"/>
    <w:rsid w:val="002E5AE5"/>
    <w:rsid w:val="002E5E6E"/>
    <w:rsid w:val="002E5F6D"/>
    <w:rsid w:val="002E63B3"/>
    <w:rsid w:val="002E6F5F"/>
    <w:rsid w:val="002E7CCA"/>
    <w:rsid w:val="002E7F1D"/>
    <w:rsid w:val="002E7F5A"/>
    <w:rsid w:val="002F01D6"/>
    <w:rsid w:val="002F103C"/>
    <w:rsid w:val="002F129E"/>
    <w:rsid w:val="002F152E"/>
    <w:rsid w:val="002F17FA"/>
    <w:rsid w:val="002F1F2D"/>
    <w:rsid w:val="002F207D"/>
    <w:rsid w:val="002F214A"/>
    <w:rsid w:val="002F2192"/>
    <w:rsid w:val="002F268B"/>
    <w:rsid w:val="002F26A4"/>
    <w:rsid w:val="002F325E"/>
    <w:rsid w:val="002F3319"/>
    <w:rsid w:val="002F408A"/>
    <w:rsid w:val="002F44B6"/>
    <w:rsid w:val="002F50BD"/>
    <w:rsid w:val="002F539C"/>
    <w:rsid w:val="002F541A"/>
    <w:rsid w:val="002F5584"/>
    <w:rsid w:val="002F55AA"/>
    <w:rsid w:val="002F5781"/>
    <w:rsid w:val="002F59D4"/>
    <w:rsid w:val="002F5A15"/>
    <w:rsid w:val="002F5A6A"/>
    <w:rsid w:val="002F5ACC"/>
    <w:rsid w:val="002F5AD1"/>
    <w:rsid w:val="002F5C4A"/>
    <w:rsid w:val="002F5FB3"/>
    <w:rsid w:val="002F62EC"/>
    <w:rsid w:val="002F62FD"/>
    <w:rsid w:val="002F63C5"/>
    <w:rsid w:val="002F6405"/>
    <w:rsid w:val="002F66FE"/>
    <w:rsid w:val="002F693C"/>
    <w:rsid w:val="002F69F2"/>
    <w:rsid w:val="002F707B"/>
    <w:rsid w:val="002F72A9"/>
    <w:rsid w:val="002F7375"/>
    <w:rsid w:val="002F7757"/>
    <w:rsid w:val="002F7C39"/>
    <w:rsid w:val="002F7F6F"/>
    <w:rsid w:val="0030032D"/>
    <w:rsid w:val="00300743"/>
    <w:rsid w:val="00300979"/>
    <w:rsid w:val="00300EBC"/>
    <w:rsid w:val="003016A9"/>
    <w:rsid w:val="00301936"/>
    <w:rsid w:val="00301E56"/>
    <w:rsid w:val="00301FD2"/>
    <w:rsid w:val="003021C5"/>
    <w:rsid w:val="003029B3"/>
    <w:rsid w:val="00302A87"/>
    <w:rsid w:val="00302C24"/>
    <w:rsid w:val="00302CB5"/>
    <w:rsid w:val="00302F03"/>
    <w:rsid w:val="00303709"/>
    <w:rsid w:val="003038FD"/>
    <w:rsid w:val="00303900"/>
    <w:rsid w:val="00303B57"/>
    <w:rsid w:val="00303F74"/>
    <w:rsid w:val="00303FA7"/>
    <w:rsid w:val="003040C0"/>
    <w:rsid w:val="00304538"/>
    <w:rsid w:val="00304648"/>
    <w:rsid w:val="00304825"/>
    <w:rsid w:val="003049D9"/>
    <w:rsid w:val="00304B00"/>
    <w:rsid w:val="00304C69"/>
    <w:rsid w:val="00305B56"/>
    <w:rsid w:val="00305C00"/>
    <w:rsid w:val="00305DC9"/>
    <w:rsid w:val="00305DF9"/>
    <w:rsid w:val="00305E0F"/>
    <w:rsid w:val="003062E3"/>
    <w:rsid w:val="00306591"/>
    <w:rsid w:val="0030699F"/>
    <w:rsid w:val="003072DF"/>
    <w:rsid w:val="00307430"/>
    <w:rsid w:val="0030786C"/>
    <w:rsid w:val="00310652"/>
    <w:rsid w:val="003108FF"/>
    <w:rsid w:val="00310AE7"/>
    <w:rsid w:val="00310FC6"/>
    <w:rsid w:val="00311CD6"/>
    <w:rsid w:val="00311D95"/>
    <w:rsid w:val="00311F57"/>
    <w:rsid w:val="003123DA"/>
    <w:rsid w:val="0031289E"/>
    <w:rsid w:val="00313130"/>
    <w:rsid w:val="00313172"/>
    <w:rsid w:val="00313CC7"/>
    <w:rsid w:val="00314011"/>
    <w:rsid w:val="003142BF"/>
    <w:rsid w:val="00314469"/>
    <w:rsid w:val="00314541"/>
    <w:rsid w:val="003149EE"/>
    <w:rsid w:val="00314DE6"/>
    <w:rsid w:val="00314FDB"/>
    <w:rsid w:val="00315178"/>
    <w:rsid w:val="00315248"/>
    <w:rsid w:val="0031553F"/>
    <w:rsid w:val="003159DE"/>
    <w:rsid w:val="00315C15"/>
    <w:rsid w:val="0031638A"/>
    <w:rsid w:val="003164BB"/>
    <w:rsid w:val="00316622"/>
    <w:rsid w:val="003166B6"/>
    <w:rsid w:val="0031680F"/>
    <w:rsid w:val="0031681D"/>
    <w:rsid w:val="0031687D"/>
    <w:rsid w:val="00316BA5"/>
    <w:rsid w:val="003171EE"/>
    <w:rsid w:val="003176FC"/>
    <w:rsid w:val="003219E7"/>
    <w:rsid w:val="00321CFB"/>
    <w:rsid w:val="003220CF"/>
    <w:rsid w:val="00322194"/>
    <w:rsid w:val="003221A0"/>
    <w:rsid w:val="0032246B"/>
    <w:rsid w:val="00322545"/>
    <w:rsid w:val="00322645"/>
    <w:rsid w:val="00322EA6"/>
    <w:rsid w:val="00322FEB"/>
    <w:rsid w:val="00323555"/>
    <w:rsid w:val="00323C3C"/>
    <w:rsid w:val="00323D24"/>
    <w:rsid w:val="0032407E"/>
    <w:rsid w:val="0032422F"/>
    <w:rsid w:val="0032442B"/>
    <w:rsid w:val="003252F2"/>
    <w:rsid w:val="0032544F"/>
    <w:rsid w:val="00325C0B"/>
    <w:rsid w:val="00325CC8"/>
    <w:rsid w:val="00326B5F"/>
    <w:rsid w:val="003270CB"/>
    <w:rsid w:val="0032713B"/>
    <w:rsid w:val="003271BE"/>
    <w:rsid w:val="0032785A"/>
    <w:rsid w:val="00327AEC"/>
    <w:rsid w:val="00327CC3"/>
    <w:rsid w:val="00327F77"/>
    <w:rsid w:val="00330AA8"/>
    <w:rsid w:val="00330BEB"/>
    <w:rsid w:val="00331000"/>
    <w:rsid w:val="003310D7"/>
    <w:rsid w:val="00331379"/>
    <w:rsid w:val="003315D6"/>
    <w:rsid w:val="0033183D"/>
    <w:rsid w:val="00331E7A"/>
    <w:rsid w:val="00331EF4"/>
    <w:rsid w:val="00332127"/>
    <w:rsid w:val="00332682"/>
    <w:rsid w:val="00332AE4"/>
    <w:rsid w:val="00332B95"/>
    <w:rsid w:val="003330C2"/>
    <w:rsid w:val="0033333B"/>
    <w:rsid w:val="00333570"/>
    <w:rsid w:val="00333931"/>
    <w:rsid w:val="003342B9"/>
    <w:rsid w:val="00334605"/>
    <w:rsid w:val="00334826"/>
    <w:rsid w:val="00334837"/>
    <w:rsid w:val="00334E78"/>
    <w:rsid w:val="0033525E"/>
    <w:rsid w:val="0033579D"/>
    <w:rsid w:val="00335A10"/>
    <w:rsid w:val="00335C4F"/>
    <w:rsid w:val="00335D6C"/>
    <w:rsid w:val="00335D73"/>
    <w:rsid w:val="00335F3A"/>
    <w:rsid w:val="00336127"/>
    <w:rsid w:val="0033625E"/>
    <w:rsid w:val="003362FA"/>
    <w:rsid w:val="0033656B"/>
    <w:rsid w:val="003365A7"/>
    <w:rsid w:val="00336769"/>
    <w:rsid w:val="003368BD"/>
    <w:rsid w:val="00336B28"/>
    <w:rsid w:val="00336EE8"/>
    <w:rsid w:val="00336F7B"/>
    <w:rsid w:val="003372ED"/>
    <w:rsid w:val="0033746D"/>
    <w:rsid w:val="00337AB0"/>
    <w:rsid w:val="00337D25"/>
    <w:rsid w:val="00337E3D"/>
    <w:rsid w:val="003406AA"/>
    <w:rsid w:val="0034078B"/>
    <w:rsid w:val="00340868"/>
    <w:rsid w:val="00340C5C"/>
    <w:rsid w:val="00340FFE"/>
    <w:rsid w:val="00341108"/>
    <w:rsid w:val="00341227"/>
    <w:rsid w:val="00341372"/>
    <w:rsid w:val="00341478"/>
    <w:rsid w:val="003423C4"/>
    <w:rsid w:val="00342450"/>
    <w:rsid w:val="003428B0"/>
    <w:rsid w:val="00342901"/>
    <w:rsid w:val="00342A95"/>
    <w:rsid w:val="00342C2B"/>
    <w:rsid w:val="00342EA1"/>
    <w:rsid w:val="00343559"/>
    <w:rsid w:val="00344786"/>
    <w:rsid w:val="0034520A"/>
    <w:rsid w:val="00345CED"/>
    <w:rsid w:val="00345CFF"/>
    <w:rsid w:val="00345D83"/>
    <w:rsid w:val="0034704A"/>
    <w:rsid w:val="0034708F"/>
    <w:rsid w:val="00347094"/>
    <w:rsid w:val="0034738E"/>
    <w:rsid w:val="00347534"/>
    <w:rsid w:val="0034776B"/>
    <w:rsid w:val="00347CBE"/>
    <w:rsid w:val="00350303"/>
    <w:rsid w:val="0035033F"/>
    <w:rsid w:val="003503CD"/>
    <w:rsid w:val="00350436"/>
    <w:rsid w:val="00350447"/>
    <w:rsid w:val="00350F5E"/>
    <w:rsid w:val="00350F68"/>
    <w:rsid w:val="0035163C"/>
    <w:rsid w:val="00351A08"/>
    <w:rsid w:val="00351F6C"/>
    <w:rsid w:val="0035204E"/>
    <w:rsid w:val="003521E0"/>
    <w:rsid w:val="0035280A"/>
    <w:rsid w:val="00353535"/>
    <w:rsid w:val="00353DBB"/>
    <w:rsid w:val="0035400E"/>
    <w:rsid w:val="00354082"/>
    <w:rsid w:val="00354274"/>
    <w:rsid w:val="00354F92"/>
    <w:rsid w:val="003554D8"/>
    <w:rsid w:val="003557B5"/>
    <w:rsid w:val="0035598F"/>
    <w:rsid w:val="003559E4"/>
    <w:rsid w:val="00355B08"/>
    <w:rsid w:val="00355C1B"/>
    <w:rsid w:val="00356507"/>
    <w:rsid w:val="00356709"/>
    <w:rsid w:val="00356E48"/>
    <w:rsid w:val="00356ECB"/>
    <w:rsid w:val="0035700B"/>
    <w:rsid w:val="003576F6"/>
    <w:rsid w:val="0035786A"/>
    <w:rsid w:val="0036004C"/>
    <w:rsid w:val="00360444"/>
    <w:rsid w:val="00360BC0"/>
    <w:rsid w:val="00360EFA"/>
    <w:rsid w:val="00361973"/>
    <w:rsid w:val="003620BE"/>
    <w:rsid w:val="003623B3"/>
    <w:rsid w:val="003624CE"/>
    <w:rsid w:val="00362A62"/>
    <w:rsid w:val="00362ACC"/>
    <w:rsid w:val="00362E38"/>
    <w:rsid w:val="003632E7"/>
    <w:rsid w:val="00363384"/>
    <w:rsid w:val="00363CC2"/>
    <w:rsid w:val="00363DD8"/>
    <w:rsid w:val="003642C5"/>
    <w:rsid w:val="00364342"/>
    <w:rsid w:val="0036441A"/>
    <w:rsid w:val="0036499C"/>
    <w:rsid w:val="00364CD3"/>
    <w:rsid w:val="00365936"/>
    <w:rsid w:val="00365ADF"/>
    <w:rsid w:val="00365D75"/>
    <w:rsid w:val="00365D83"/>
    <w:rsid w:val="0036638E"/>
    <w:rsid w:val="003664F4"/>
    <w:rsid w:val="00366F5B"/>
    <w:rsid w:val="00367AF6"/>
    <w:rsid w:val="00367C2E"/>
    <w:rsid w:val="0037079A"/>
    <w:rsid w:val="00370D5A"/>
    <w:rsid w:val="00370EFA"/>
    <w:rsid w:val="00371266"/>
    <w:rsid w:val="00371EE1"/>
    <w:rsid w:val="003721AC"/>
    <w:rsid w:val="0037233D"/>
    <w:rsid w:val="003723CF"/>
    <w:rsid w:val="00372756"/>
    <w:rsid w:val="00372D9C"/>
    <w:rsid w:val="003732B9"/>
    <w:rsid w:val="00373318"/>
    <w:rsid w:val="003734F7"/>
    <w:rsid w:val="00373C36"/>
    <w:rsid w:val="00373CD8"/>
    <w:rsid w:val="003740B8"/>
    <w:rsid w:val="003745B6"/>
    <w:rsid w:val="003749DF"/>
    <w:rsid w:val="003758C1"/>
    <w:rsid w:val="00375E30"/>
    <w:rsid w:val="00376764"/>
    <w:rsid w:val="00376878"/>
    <w:rsid w:val="00376915"/>
    <w:rsid w:val="0037717B"/>
    <w:rsid w:val="003774E4"/>
    <w:rsid w:val="003779D8"/>
    <w:rsid w:val="00377AB9"/>
    <w:rsid w:val="00377C19"/>
    <w:rsid w:val="00377F7B"/>
    <w:rsid w:val="00380661"/>
    <w:rsid w:val="00380682"/>
    <w:rsid w:val="00380B3E"/>
    <w:rsid w:val="00380B79"/>
    <w:rsid w:val="003818A7"/>
    <w:rsid w:val="00381A54"/>
    <w:rsid w:val="003820C9"/>
    <w:rsid w:val="00382595"/>
    <w:rsid w:val="00382DF1"/>
    <w:rsid w:val="00383135"/>
    <w:rsid w:val="00383370"/>
    <w:rsid w:val="003837B1"/>
    <w:rsid w:val="00383B52"/>
    <w:rsid w:val="00383D54"/>
    <w:rsid w:val="00383EA7"/>
    <w:rsid w:val="003845C9"/>
    <w:rsid w:val="00384848"/>
    <w:rsid w:val="00384D12"/>
    <w:rsid w:val="00384D83"/>
    <w:rsid w:val="00384EF5"/>
    <w:rsid w:val="003859B1"/>
    <w:rsid w:val="003859B8"/>
    <w:rsid w:val="00385B9A"/>
    <w:rsid w:val="00385DEA"/>
    <w:rsid w:val="00386295"/>
    <w:rsid w:val="003864F5"/>
    <w:rsid w:val="003866E4"/>
    <w:rsid w:val="003868F9"/>
    <w:rsid w:val="00386CF4"/>
    <w:rsid w:val="003875F6"/>
    <w:rsid w:val="00390068"/>
    <w:rsid w:val="00390403"/>
    <w:rsid w:val="00390525"/>
    <w:rsid w:val="0039072F"/>
    <w:rsid w:val="003908D5"/>
    <w:rsid w:val="00390AE3"/>
    <w:rsid w:val="00390C82"/>
    <w:rsid w:val="00390E93"/>
    <w:rsid w:val="00390F2B"/>
    <w:rsid w:val="00391A06"/>
    <w:rsid w:val="00391E64"/>
    <w:rsid w:val="00391E74"/>
    <w:rsid w:val="0039242A"/>
    <w:rsid w:val="00392918"/>
    <w:rsid w:val="00392A7E"/>
    <w:rsid w:val="00392E79"/>
    <w:rsid w:val="00393429"/>
    <w:rsid w:val="00393453"/>
    <w:rsid w:val="003936D1"/>
    <w:rsid w:val="00394302"/>
    <w:rsid w:val="0039467F"/>
    <w:rsid w:val="00394D73"/>
    <w:rsid w:val="00395526"/>
    <w:rsid w:val="00395581"/>
    <w:rsid w:val="00395C82"/>
    <w:rsid w:val="00395CE6"/>
    <w:rsid w:val="00395D6D"/>
    <w:rsid w:val="00396048"/>
    <w:rsid w:val="0039622A"/>
    <w:rsid w:val="0039622E"/>
    <w:rsid w:val="0039631F"/>
    <w:rsid w:val="00396421"/>
    <w:rsid w:val="00396A11"/>
    <w:rsid w:val="00397165"/>
    <w:rsid w:val="003972A7"/>
    <w:rsid w:val="0039757F"/>
    <w:rsid w:val="00397C76"/>
    <w:rsid w:val="00397D94"/>
    <w:rsid w:val="003A0711"/>
    <w:rsid w:val="003A0770"/>
    <w:rsid w:val="003A0AFE"/>
    <w:rsid w:val="003A152E"/>
    <w:rsid w:val="003A19E0"/>
    <w:rsid w:val="003A1B65"/>
    <w:rsid w:val="003A1EFF"/>
    <w:rsid w:val="003A2029"/>
    <w:rsid w:val="003A222B"/>
    <w:rsid w:val="003A287D"/>
    <w:rsid w:val="003A3114"/>
    <w:rsid w:val="003A3611"/>
    <w:rsid w:val="003A368B"/>
    <w:rsid w:val="003A36D1"/>
    <w:rsid w:val="003A3726"/>
    <w:rsid w:val="003A39CB"/>
    <w:rsid w:val="003A4347"/>
    <w:rsid w:val="003A4856"/>
    <w:rsid w:val="003A4897"/>
    <w:rsid w:val="003A5D93"/>
    <w:rsid w:val="003A5DBF"/>
    <w:rsid w:val="003A62AE"/>
    <w:rsid w:val="003A62B2"/>
    <w:rsid w:val="003A6373"/>
    <w:rsid w:val="003A6CB6"/>
    <w:rsid w:val="003A6D0C"/>
    <w:rsid w:val="003A6EC9"/>
    <w:rsid w:val="003A7245"/>
    <w:rsid w:val="003A759E"/>
    <w:rsid w:val="003A7FCA"/>
    <w:rsid w:val="003B030E"/>
    <w:rsid w:val="003B0471"/>
    <w:rsid w:val="003B0923"/>
    <w:rsid w:val="003B0A12"/>
    <w:rsid w:val="003B0AEF"/>
    <w:rsid w:val="003B15CB"/>
    <w:rsid w:val="003B16DD"/>
    <w:rsid w:val="003B1C9C"/>
    <w:rsid w:val="003B1CF2"/>
    <w:rsid w:val="003B1DB6"/>
    <w:rsid w:val="003B1E33"/>
    <w:rsid w:val="003B2963"/>
    <w:rsid w:val="003B2EEB"/>
    <w:rsid w:val="003B323B"/>
    <w:rsid w:val="003B3456"/>
    <w:rsid w:val="003B3A41"/>
    <w:rsid w:val="003B3C20"/>
    <w:rsid w:val="003B3C82"/>
    <w:rsid w:val="003B4151"/>
    <w:rsid w:val="003B42C2"/>
    <w:rsid w:val="003B46C2"/>
    <w:rsid w:val="003B46CF"/>
    <w:rsid w:val="003B4857"/>
    <w:rsid w:val="003B5414"/>
    <w:rsid w:val="003B5494"/>
    <w:rsid w:val="003B5530"/>
    <w:rsid w:val="003B559E"/>
    <w:rsid w:val="003B5765"/>
    <w:rsid w:val="003B5A94"/>
    <w:rsid w:val="003B5B3B"/>
    <w:rsid w:val="003B5B87"/>
    <w:rsid w:val="003B6014"/>
    <w:rsid w:val="003B6AD5"/>
    <w:rsid w:val="003B6EF6"/>
    <w:rsid w:val="003B757D"/>
    <w:rsid w:val="003B75BF"/>
    <w:rsid w:val="003B7741"/>
    <w:rsid w:val="003B7774"/>
    <w:rsid w:val="003B7864"/>
    <w:rsid w:val="003B79E0"/>
    <w:rsid w:val="003C0653"/>
    <w:rsid w:val="003C0715"/>
    <w:rsid w:val="003C0967"/>
    <w:rsid w:val="003C0F01"/>
    <w:rsid w:val="003C11D4"/>
    <w:rsid w:val="003C1548"/>
    <w:rsid w:val="003C157D"/>
    <w:rsid w:val="003C1B0F"/>
    <w:rsid w:val="003C1C0B"/>
    <w:rsid w:val="003C1C68"/>
    <w:rsid w:val="003C1C94"/>
    <w:rsid w:val="003C1D03"/>
    <w:rsid w:val="003C1D3E"/>
    <w:rsid w:val="003C1F0B"/>
    <w:rsid w:val="003C20DD"/>
    <w:rsid w:val="003C21BA"/>
    <w:rsid w:val="003C21C9"/>
    <w:rsid w:val="003C2695"/>
    <w:rsid w:val="003C2D21"/>
    <w:rsid w:val="003C2EB8"/>
    <w:rsid w:val="003C3289"/>
    <w:rsid w:val="003C359E"/>
    <w:rsid w:val="003C397D"/>
    <w:rsid w:val="003C39A8"/>
    <w:rsid w:val="003C3AAC"/>
    <w:rsid w:val="003C3C32"/>
    <w:rsid w:val="003C3EFA"/>
    <w:rsid w:val="003C426C"/>
    <w:rsid w:val="003C43C6"/>
    <w:rsid w:val="003C4664"/>
    <w:rsid w:val="003C46F0"/>
    <w:rsid w:val="003C4C9F"/>
    <w:rsid w:val="003C505B"/>
    <w:rsid w:val="003C5211"/>
    <w:rsid w:val="003C5415"/>
    <w:rsid w:val="003C5A20"/>
    <w:rsid w:val="003C5B00"/>
    <w:rsid w:val="003C5E6F"/>
    <w:rsid w:val="003C5F89"/>
    <w:rsid w:val="003C6490"/>
    <w:rsid w:val="003C66D3"/>
    <w:rsid w:val="003C6CF4"/>
    <w:rsid w:val="003C77CF"/>
    <w:rsid w:val="003C77DB"/>
    <w:rsid w:val="003D0989"/>
    <w:rsid w:val="003D0B5B"/>
    <w:rsid w:val="003D0D20"/>
    <w:rsid w:val="003D108A"/>
    <w:rsid w:val="003D14E7"/>
    <w:rsid w:val="003D1E27"/>
    <w:rsid w:val="003D1F0D"/>
    <w:rsid w:val="003D20E0"/>
    <w:rsid w:val="003D2BCA"/>
    <w:rsid w:val="003D30E1"/>
    <w:rsid w:val="003D3EDA"/>
    <w:rsid w:val="003D4783"/>
    <w:rsid w:val="003D478E"/>
    <w:rsid w:val="003D4A5C"/>
    <w:rsid w:val="003D4C09"/>
    <w:rsid w:val="003D5711"/>
    <w:rsid w:val="003D5FF7"/>
    <w:rsid w:val="003D6399"/>
    <w:rsid w:val="003D68A4"/>
    <w:rsid w:val="003D6966"/>
    <w:rsid w:val="003D7132"/>
    <w:rsid w:val="003D7159"/>
    <w:rsid w:val="003D7F01"/>
    <w:rsid w:val="003D7F46"/>
    <w:rsid w:val="003E014C"/>
    <w:rsid w:val="003E02AC"/>
    <w:rsid w:val="003E0540"/>
    <w:rsid w:val="003E054C"/>
    <w:rsid w:val="003E0B2A"/>
    <w:rsid w:val="003E0D86"/>
    <w:rsid w:val="003E1124"/>
    <w:rsid w:val="003E1442"/>
    <w:rsid w:val="003E1497"/>
    <w:rsid w:val="003E1B13"/>
    <w:rsid w:val="003E1CBE"/>
    <w:rsid w:val="003E2806"/>
    <w:rsid w:val="003E2893"/>
    <w:rsid w:val="003E2987"/>
    <w:rsid w:val="003E2B56"/>
    <w:rsid w:val="003E2ECF"/>
    <w:rsid w:val="003E301D"/>
    <w:rsid w:val="003E305E"/>
    <w:rsid w:val="003E3220"/>
    <w:rsid w:val="003E372A"/>
    <w:rsid w:val="003E37EE"/>
    <w:rsid w:val="003E3914"/>
    <w:rsid w:val="003E3DF1"/>
    <w:rsid w:val="003E4003"/>
    <w:rsid w:val="003E44D7"/>
    <w:rsid w:val="003E44E6"/>
    <w:rsid w:val="003E4BBB"/>
    <w:rsid w:val="003E4C29"/>
    <w:rsid w:val="003E4FF2"/>
    <w:rsid w:val="003E5134"/>
    <w:rsid w:val="003E5551"/>
    <w:rsid w:val="003E57E6"/>
    <w:rsid w:val="003E5EF4"/>
    <w:rsid w:val="003E6108"/>
    <w:rsid w:val="003E6427"/>
    <w:rsid w:val="003E6C68"/>
    <w:rsid w:val="003E6FBC"/>
    <w:rsid w:val="003E70B8"/>
    <w:rsid w:val="003E75D6"/>
    <w:rsid w:val="003E7667"/>
    <w:rsid w:val="003F0DD2"/>
    <w:rsid w:val="003F0EA3"/>
    <w:rsid w:val="003F0FA1"/>
    <w:rsid w:val="003F1229"/>
    <w:rsid w:val="003F18AF"/>
    <w:rsid w:val="003F2001"/>
    <w:rsid w:val="003F201B"/>
    <w:rsid w:val="003F2082"/>
    <w:rsid w:val="003F26BD"/>
    <w:rsid w:val="003F2893"/>
    <w:rsid w:val="003F2B3E"/>
    <w:rsid w:val="003F2D85"/>
    <w:rsid w:val="003F30CF"/>
    <w:rsid w:val="003F30D3"/>
    <w:rsid w:val="003F3527"/>
    <w:rsid w:val="003F37A6"/>
    <w:rsid w:val="003F3B34"/>
    <w:rsid w:val="003F3CD6"/>
    <w:rsid w:val="003F3D4C"/>
    <w:rsid w:val="003F3E42"/>
    <w:rsid w:val="003F4075"/>
    <w:rsid w:val="003F40FE"/>
    <w:rsid w:val="003F4499"/>
    <w:rsid w:val="003F477B"/>
    <w:rsid w:val="003F4857"/>
    <w:rsid w:val="003F4F27"/>
    <w:rsid w:val="003F5484"/>
    <w:rsid w:val="003F56D9"/>
    <w:rsid w:val="003F5B30"/>
    <w:rsid w:val="003F5E6C"/>
    <w:rsid w:val="003F5FF1"/>
    <w:rsid w:val="003F616E"/>
    <w:rsid w:val="003F647E"/>
    <w:rsid w:val="003F6C06"/>
    <w:rsid w:val="003F6CCE"/>
    <w:rsid w:val="003F6D90"/>
    <w:rsid w:val="003F7726"/>
    <w:rsid w:val="003F7898"/>
    <w:rsid w:val="003F7AC5"/>
    <w:rsid w:val="003F7B63"/>
    <w:rsid w:val="00400648"/>
    <w:rsid w:val="004006B6"/>
    <w:rsid w:val="004006BD"/>
    <w:rsid w:val="004008FC"/>
    <w:rsid w:val="00400F94"/>
    <w:rsid w:val="00401093"/>
    <w:rsid w:val="00401446"/>
    <w:rsid w:val="00401A2E"/>
    <w:rsid w:val="00401FA7"/>
    <w:rsid w:val="004023DC"/>
    <w:rsid w:val="0040242B"/>
    <w:rsid w:val="004024A9"/>
    <w:rsid w:val="004024AD"/>
    <w:rsid w:val="004026EB"/>
    <w:rsid w:val="00402986"/>
    <w:rsid w:val="00402988"/>
    <w:rsid w:val="00402C45"/>
    <w:rsid w:val="00402DB0"/>
    <w:rsid w:val="004032D8"/>
    <w:rsid w:val="004032DF"/>
    <w:rsid w:val="00403740"/>
    <w:rsid w:val="00403DB5"/>
    <w:rsid w:val="0040423A"/>
    <w:rsid w:val="004044F3"/>
    <w:rsid w:val="00404632"/>
    <w:rsid w:val="004048EA"/>
    <w:rsid w:val="00404A09"/>
    <w:rsid w:val="00404C0E"/>
    <w:rsid w:val="00404D1A"/>
    <w:rsid w:val="00405B88"/>
    <w:rsid w:val="00406118"/>
    <w:rsid w:val="00406C41"/>
    <w:rsid w:val="00406F75"/>
    <w:rsid w:val="0040708D"/>
    <w:rsid w:val="00407ADC"/>
    <w:rsid w:val="00407E67"/>
    <w:rsid w:val="0041053F"/>
    <w:rsid w:val="00410D7C"/>
    <w:rsid w:val="00410E38"/>
    <w:rsid w:val="00411865"/>
    <w:rsid w:val="00411B5D"/>
    <w:rsid w:val="00411C3C"/>
    <w:rsid w:val="00412D4A"/>
    <w:rsid w:val="00412E7E"/>
    <w:rsid w:val="004138DD"/>
    <w:rsid w:val="00413902"/>
    <w:rsid w:val="00413B09"/>
    <w:rsid w:val="00413F3F"/>
    <w:rsid w:val="00414356"/>
    <w:rsid w:val="004157F4"/>
    <w:rsid w:val="00415BD1"/>
    <w:rsid w:val="00415C60"/>
    <w:rsid w:val="00415CC3"/>
    <w:rsid w:val="00415F6A"/>
    <w:rsid w:val="004161B2"/>
    <w:rsid w:val="00416898"/>
    <w:rsid w:val="00416ADA"/>
    <w:rsid w:val="00416D12"/>
    <w:rsid w:val="00416DAB"/>
    <w:rsid w:val="00417137"/>
    <w:rsid w:val="004172FA"/>
    <w:rsid w:val="00417737"/>
    <w:rsid w:val="00417874"/>
    <w:rsid w:val="004201EA"/>
    <w:rsid w:val="0042059B"/>
    <w:rsid w:val="00420622"/>
    <w:rsid w:val="00420D46"/>
    <w:rsid w:val="00420E59"/>
    <w:rsid w:val="00420F2D"/>
    <w:rsid w:val="0042137D"/>
    <w:rsid w:val="00421478"/>
    <w:rsid w:val="0042188E"/>
    <w:rsid w:val="004218CB"/>
    <w:rsid w:val="004219A7"/>
    <w:rsid w:val="00421DE2"/>
    <w:rsid w:val="0042250F"/>
    <w:rsid w:val="00422971"/>
    <w:rsid w:val="00422BFD"/>
    <w:rsid w:val="00422FBC"/>
    <w:rsid w:val="00423907"/>
    <w:rsid w:val="00423A3D"/>
    <w:rsid w:val="00423AB0"/>
    <w:rsid w:val="00423BD9"/>
    <w:rsid w:val="00423C09"/>
    <w:rsid w:val="00423D1E"/>
    <w:rsid w:val="00424286"/>
    <w:rsid w:val="00424945"/>
    <w:rsid w:val="00424C6C"/>
    <w:rsid w:val="00424D43"/>
    <w:rsid w:val="00424DCE"/>
    <w:rsid w:val="00424E87"/>
    <w:rsid w:val="004250FB"/>
    <w:rsid w:val="004254CD"/>
    <w:rsid w:val="00425C13"/>
    <w:rsid w:val="00425E1A"/>
    <w:rsid w:val="00426061"/>
    <w:rsid w:val="00426064"/>
    <w:rsid w:val="00426342"/>
    <w:rsid w:val="00426385"/>
    <w:rsid w:val="0042656E"/>
    <w:rsid w:val="004269FC"/>
    <w:rsid w:val="00426E9B"/>
    <w:rsid w:val="00426EDA"/>
    <w:rsid w:val="00426F44"/>
    <w:rsid w:val="00427841"/>
    <w:rsid w:val="00427889"/>
    <w:rsid w:val="00427D0E"/>
    <w:rsid w:val="00427EBE"/>
    <w:rsid w:val="004301F7"/>
    <w:rsid w:val="0043053D"/>
    <w:rsid w:val="004307D3"/>
    <w:rsid w:val="00430CE2"/>
    <w:rsid w:val="00431881"/>
    <w:rsid w:val="004319FD"/>
    <w:rsid w:val="00431B8B"/>
    <w:rsid w:val="00431D99"/>
    <w:rsid w:val="00432140"/>
    <w:rsid w:val="004328F5"/>
    <w:rsid w:val="00432A2E"/>
    <w:rsid w:val="004336B4"/>
    <w:rsid w:val="004336C5"/>
    <w:rsid w:val="00433CDF"/>
    <w:rsid w:val="00433D0B"/>
    <w:rsid w:val="00433E0F"/>
    <w:rsid w:val="00433EC2"/>
    <w:rsid w:val="004340EA"/>
    <w:rsid w:val="00434346"/>
    <w:rsid w:val="004343D6"/>
    <w:rsid w:val="004346E3"/>
    <w:rsid w:val="00434AB3"/>
    <w:rsid w:val="00434CE9"/>
    <w:rsid w:val="00434E57"/>
    <w:rsid w:val="00434F71"/>
    <w:rsid w:val="0043516D"/>
    <w:rsid w:val="0043578D"/>
    <w:rsid w:val="00435E91"/>
    <w:rsid w:val="00436181"/>
    <w:rsid w:val="0043619E"/>
    <w:rsid w:val="00436EBA"/>
    <w:rsid w:val="004374D9"/>
    <w:rsid w:val="0043751B"/>
    <w:rsid w:val="00437714"/>
    <w:rsid w:val="004378C0"/>
    <w:rsid w:val="00440167"/>
    <w:rsid w:val="00440181"/>
    <w:rsid w:val="00440860"/>
    <w:rsid w:val="00440E71"/>
    <w:rsid w:val="00441134"/>
    <w:rsid w:val="00441323"/>
    <w:rsid w:val="004413F8"/>
    <w:rsid w:val="0044156F"/>
    <w:rsid w:val="004421FF"/>
    <w:rsid w:val="004423FC"/>
    <w:rsid w:val="00442DF6"/>
    <w:rsid w:val="00442F5E"/>
    <w:rsid w:val="0044322B"/>
    <w:rsid w:val="0044368D"/>
    <w:rsid w:val="0044384E"/>
    <w:rsid w:val="00443CCB"/>
    <w:rsid w:val="00443F27"/>
    <w:rsid w:val="00444243"/>
    <w:rsid w:val="00444FE8"/>
    <w:rsid w:val="00445487"/>
    <w:rsid w:val="00445EAC"/>
    <w:rsid w:val="00445FA1"/>
    <w:rsid w:val="00446066"/>
    <w:rsid w:val="00447C6E"/>
    <w:rsid w:val="00450791"/>
    <w:rsid w:val="00450885"/>
    <w:rsid w:val="004508BC"/>
    <w:rsid w:val="00450A4A"/>
    <w:rsid w:val="004513B7"/>
    <w:rsid w:val="004517CE"/>
    <w:rsid w:val="00451826"/>
    <w:rsid w:val="004518F8"/>
    <w:rsid w:val="00451EEA"/>
    <w:rsid w:val="00452132"/>
    <w:rsid w:val="004525AF"/>
    <w:rsid w:val="004526C3"/>
    <w:rsid w:val="00452A83"/>
    <w:rsid w:val="00452A8F"/>
    <w:rsid w:val="00452BD7"/>
    <w:rsid w:val="00452FD9"/>
    <w:rsid w:val="00453168"/>
    <w:rsid w:val="004532FF"/>
    <w:rsid w:val="0045352A"/>
    <w:rsid w:val="00453AF8"/>
    <w:rsid w:val="00453B6A"/>
    <w:rsid w:val="0045432E"/>
    <w:rsid w:val="004543B5"/>
    <w:rsid w:val="00454750"/>
    <w:rsid w:val="00454AD2"/>
    <w:rsid w:val="00454C7D"/>
    <w:rsid w:val="00454E3B"/>
    <w:rsid w:val="00454FD1"/>
    <w:rsid w:val="0045505A"/>
    <w:rsid w:val="00455B3D"/>
    <w:rsid w:val="00455CD7"/>
    <w:rsid w:val="00455F02"/>
    <w:rsid w:val="00456133"/>
    <w:rsid w:val="00456B03"/>
    <w:rsid w:val="004570BF"/>
    <w:rsid w:val="00457247"/>
    <w:rsid w:val="004573B7"/>
    <w:rsid w:val="0045760E"/>
    <w:rsid w:val="00460793"/>
    <w:rsid w:val="00460A87"/>
    <w:rsid w:val="00460BA1"/>
    <w:rsid w:val="00460CEC"/>
    <w:rsid w:val="00461705"/>
    <w:rsid w:val="00461AE6"/>
    <w:rsid w:val="00461B31"/>
    <w:rsid w:val="00462603"/>
    <w:rsid w:val="004633F3"/>
    <w:rsid w:val="00463595"/>
    <w:rsid w:val="00463833"/>
    <w:rsid w:val="004638A9"/>
    <w:rsid w:val="004648C4"/>
    <w:rsid w:val="004648E0"/>
    <w:rsid w:val="00464DE1"/>
    <w:rsid w:val="00464FDA"/>
    <w:rsid w:val="00465727"/>
    <w:rsid w:val="00465914"/>
    <w:rsid w:val="00465C89"/>
    <w:rsid w:val="00465EBE"/>
    <w:rsid w:val="00465FF8"/>
    <w:rsid w:val="004660AD"/>
    <w:rsid w:val="00466178"/>
    <w:rsid w:val="004662CA"/>
    <w:rsid w:val="00466B3C"/>
    <w:rsid w:val="00466B6E"/>
    <w:rsid w:val="00467BE6"/>
    <w:rsid w:val="00467CA9"/>
    <w:rsid w:val="00467DD2"/>
    <w:rsid w:val="00467EA2"/>
    <w:rsid w:val="00470435"/>
    <w:rsid w:val="0047049C"/>
    <w:rsid w:val="004711B7"/>
    <w:rsid w:val="00471330"/>
    <w:rsid w:val="004713B2"/>
    <w:rsid w:val="00471A27"/>
    <w:rsid w:val="00471B5C"/>
    <w:rsid w:val="00471C49"/>
    <w:rsid w:val="00472376"/>
    <w:rsid w:val="004726BF"/>
    <w:rsid w:val="00472E1C"/>
    <w:rsid w:val="0047349B"/>
    <w:rsid w:val="00473CD7"/>
    <w:rsid w:val="00473FD2"/>
    <w:rsid w:val="004740E0"/>
    <w:rsid w:val="004745EA"/>
    <w:rsid w:val="0047497E"/>
    <w:rsid w:val="00475D15"/>
    <w:rsid w:val="00475EEC"/>
    <w:rsid w:val="00476151"/>
    <w:rsid w:val="004766B1"/>
    <w:rsid w:val="0047750B"/>
    <w:rsid w:val="0047779D"/>
    <w:rsid w:val="00477D29"/>
    <w:rsid w:val="00477EBA"/>
    <w:rsid w:val="00480206"/>
    <w:rsid w:val="004804E6"/>
    <w:rsid w:val="00480B13"/>
    <w:rsid w:val="00480FFB"/>
    <w:rsid w:val="00481240"/>
    <w:rsid w:val="00481C38"/>
    <w:rsid w:val="004823F2"/>
    <w:rsid w:val="00482A0C"/>
    <w:rsid w:val="004833B8"/>
    <w:rsid w:val="0048350A"/>
    <w:rsid w:val="004837FA"/>
    <w:rsid w:val="00483B63"/>
    <w:rsid w:val="00483D5F"/>
    <w:rsid w:val="00483F4A"/>
    <w:rsid w:val="0048429B"/>
    <w:rsid w:val="004848CA"/>
    <w:rsid w:val="00484942"/>
    <w:rsid w:val="004849E2"/>
    <w:rsid w:val="00485372"/>
    <w:rsid w:val="00486179"/>
    <w:rsid w:val="0048624F"/>
    <w:rsid w:val="00486731"/>
    <w:rsid w:val="00486D12"/>
    <w:rsid w:val="00486DED"/>
    <w:rsid w:val="00486DFE"/>
    <w:rsid w:val="0048784C"/>
    <w:rsid w:val="00487966"/>
    <w:rsid w:val="00487AB0"/>
    <w:rsid w:val="00487BDD"/>
    <w:rsid w:val="00490459"/>
    <w:rsid w:val="00490596"/>
    <w:rsid w:val="00490708"/>
    <w:rsid w:val="0049108E"/>
    <w:rsid w:val="004910CF"/>
    <w:rsid w:val="004912DE"/>
    <w:rsid w:val="00491E53"/>
    <w:rsid w:val="004920CC"/>
    <w:rsid w:val="00492141"/>
    <w:rsid w:val="004922C5"/>
    <w:rsid w:val="004929D0"/>
    <w:rsid w:val="00493264"/>
    <w:rsid w:val="00493382"/>
    <w:rsid w:val="004935F3"/>
    <w:rsid w:val="004938B6"/>
    <w:rsid w:val="00493A27"/>
    <w:rsid w:val="00493A47"/>
    <w:rsid w:val="00493D81"/>
    <w:rsid w:val="00493DCD"/>
    <w:rsid w:val="004941C0"/>
    <w:rsid w:val="0049449A"/>
    <w:rsid w:val="004946A7"/>
    <w:rsid w:val="00494706"/>
    <w:rsid w:val="00494D43"/>
    <w:rsid w:val="00494FE1"/>
    <w:rsid w:val="00495239"/>
    <w:rsid w:val="00495810"/>
    <w:rsid w:val="00495ACB"/>
    <w:rsid w:val="00495BF2"/>
    <w:rsid w:val="00495D08"/>
    <w:rsid w:val="00496195"/>
    <w:rsid w:val="004962DB"/>
    <w:rsid w:val="0049653A"/>
    <w:rsid w:val="004966DA"/>
    <w:rsid w:val="00496D08"/>
    <w:rsid w:val="00496D95"/>
    <w:rsid w:val="00497016"/>
    <w:rsid w:val="004976A5"/>
    <w:rsid w:val="0049771B"/>
    <w:rsid w:val="004A013D"/>
    <w:rsid w:val="004A08DC"/>
    <w:rsid w:val="004A0917"/>
    <w:rsid w:val="004A12E1"/>
    <w:rsid w:val="004A13FB"/>
    <w:rsid w:val="004A1643"/>
    <w:rsid w:val="004A16CD"/>
    <w:rsid w:val="004A18B4"/>
    <w:rsid w:val="004A1BD5"/>
    <w:rsid w:val="004A22AC"/>
    <w:rsid w:val="004A23A7"/>
    <w:rsid w:val="004A2512"/>
    <w:rsid w:val="004A257E"/>
    <w:rsid w:val="004A26DE"/>
    <w:rsid w:val="004A2873"/>
    <w:rsid w:val="004A30B7"/>
    <w:rsid w:val="004A35D5"/>
    <w:rsid w:val="004A35F8"/>
    <w:rsid w:val="004A37CC"/>
    <w:rsid w:val="004A4124"/>
    <w:rsid w:val="004A45C6"/>
    <w:rsid w:val="004A62C2"/>
    <w:rsid w:val="004A664C"/>
    <w:rsid w:val="004A68E2"/>
    <w:rsid w:val="004A6B3A"/>
    <w:rsid w:val="004A7119"/>
    <w:rsid w:val="004A718C"/>
    <w:rsid w:val="004A7376"/>
    <w:rsid w:val="004A7747"/>
    <w:rsid w:val="004A78BD"/>
    <w:rsid w:val="004A7B29"/>
    <w:rsid w:val="004B00EC"/>
    <w:rsid w:val="004B0576"/>
    <w:rsid w:val="004B05DC"/>
    <w:rsid w:val="004B0A0F"/>
    <w:rsid w:val="004B0A13"/>
    <w:rsid w:val="004B133F"/>
    <w:rsid w:val="004B1402"/>
    <w:rsid w:val="004B15B4"/>
    <w:rsid w:val="004B166E"/>
    <w:rsid w:val="004B211A"/>
    <w:rsid w:val="004B3C14"/>
    <w:rsid w:val="004B3CE3"/>
    <w:rsid w:val="004B3D1E"/>
    <w:rsid w:val="004B4130"/>
    <w:rsid w:val="004B41C6"/>
    <w:rsid w:val="004B4304"/>
    <w:rsid w:val="004B44F8"/>
    <w:rsid w:val="004B4F45"/>
    <w:rsid w:val="004B52B0"/>
    <w:rsid w:val="004B5888"/>
    <w:rsid w:val="004B58C4"/>
    <w:rsid w:val="004B5AED"/>
    <w:rsid w:val="004B5B62"/>
    <w:rsid w:val="004B5C4C"/>
    <w:rsid w:val="004B5CF5"/>
    <w:rsid w:val="004B5E4E"/>
    <w:rsid w:val="004B641C"/>
    <w:rsid w:val="004B64DD"/>
    <w:rsid w:val="004B6B59"/>
    <w:rsid w:val="004B6B9B"/>
    <w:rsid w:val="004B6D91"/>
    <w:rsid w:val="004B701A"/>
    <w:rsid w:val="004B75AE"/>
    <w:rsid w:val="004B7752"/>
    <w:rsid w:val="004C0201"/>
    <w:rsid w:val="004C08E1"/>
    <w:rsid w:val="004C10CA"/>
    <w:rsid w:val="004C1198"/>
    <w:rsid w:val="004C1A54"/>
    <w:rsid w:val="004C216F"/>
    <w:rsid w:val="004C22F0"/>
    <w:rsid w:val="004C24D2"/>
    <w:rsid w:val="004C2DAA"/>
    <w:rsid w:val="004C3759"/>
    <w:rsid w:val="004C3789"/>
    <w:rsid w:val="004C3B62"/>
    <w:rsid w:val="004C3E06"/>
    <w:rsid w:val="004C425D"/>
    <w:rsid w:val="004C43AB"/>
    <w:rsid w:val="004C50DD"/>
    <w:rsid w:val="004C5254"/>
    <w:rsid w:val="004C528F"/>
    <w:rsid w:val="004C531B"/>
    <w:rsid w:val="004C5417"/>
    <w:rsid w:val="004C581A"/>
    <w:rsid w:val="004C5D9F"/>
    <w:rsid w:val="004C5E94"/>
    <w:rsid w:val="004C5F42"/>
    <w:rsid w:val="004C640F"/>
    <w:rsid w:val="004C64F3"/>
    <w:rsid w:val="004C67C9"/>
    <w:rsid w:val="004C6AA8"/>
    <w:rsid w:val="004C6BF3"/>
    <w:rsid w:val="004C6E90"/>
    <w:rsid w:val="004C7187"/>
    <w:rsid w:val="004C758F"/>
    <w:rsid w:val="004C783B"/>
    <w:rsid w:val="004C78F8"/>
    <w:rsid w:val="004C7B54"/>
    <w:rsid w:val="004C7BEF"/>
    <w:rsid w:val="004D014A"/>
    <w:rsid w:val="004D0577"/>
    <w:rsid w:val="004D0AA4"/>
    <w:rsid w:val="004D0C14"/>
    <w:rsid w:val="004D0D44"/>
    <w:rsid w:val="004D1377"/>
    <w:rsid w:val="004D2B6C"/>
    <w:rsid w:val="004D2B83"/>
    <w:rsid w:val="004D2C3C"/>
    <w:rsid w:val="004D333C"/>
    <w:rsid w:val="004D34C3"/>
    <w:rsid w:val="004D360D"/>
    <w:rsid w:val="004D3813"/>
    <w:rsid w:val="004D3D56"/>
    <w:rsid w:val="004D3EA5"/>
    <w:rsid w:val="004D3FD3"/>
    <w:rsid w:val="004D4004"/>
    <w:rsid w:val="004D4914"/>
    <w:rsid w:val="004D4969"/>
    <w:rsid w:val="004D5322"/>
    <w:rsid w:val="004D56CF"/>
    <w:rsid w:val="004D5AB6"/>
    <w:rsid w:val="004D600B"/>
    <w:rsid w:val="004D6568"/>
    <w:rsid w:val="004D6E3E"/>
    <w:rsid w:val="004D7225"/>
    <w:rsid w:val="004D737B"/>
    <w:rsid w:val="004D7BF2"/>
    <w:rsid w:val="004E07C5"/>
    <w:rsid w:val="004E0D44"/>
    <w:rsid w:val="004E0E91"/>
    <w:rsid w:val="004E0FD3"/>
    <w:rsid w:val="004E1366"/>
    <w:rsid w:val="004E2039"/>
    <w:rsid w:val="004E20AE"/>
    <w:rsid w:val="004E2176"/>
    <w:rsid w:val="004E23D1"/>
    <w:rsid w:val="004E2BA3"/>
    <w:rsid w:val="004E318D"/>
    <w:rsid w:val="004E31B9"/>
    <w:rsid w:val="004E34DB"/>
    <w:rsid w:val="004E39EA"/>
    <w:rsid w:val="004E3AB9"/>
    <w:rsid w:val="004E3B77"/>
    <w:rsid w:val="004E3D5F"/>
    <w:rsid w:val="004E3E9D"/>
    <w:rsid w:val="004E4D07"/>
    <w:rsid w:val="004E51FF"/>
    <w:rsid w:val="004E5276"/>
    <w:rsid w:val="004E5376"/>
    <w:rsid w:val="004E538B"/>
    <w:rsid w:val="004E544E"/>
    <w:rsid w:val="004E5AD0"/>
    <w:rsid w:val="004E67B2"/>
    <w:rsid w:val="004E67CA"/>
    <w:rsid w:val="004E6912"/>
    <w:rsid w:val="004E6FA7"/>
    <w:rsid w:val="004E749D"/>
    <w:rsid w:val="004E774B"/>
    <w:rsid w:val="004F01F8"/>
    <w:rsid w:val="004F0495"/>
    <w:rsid w:val="004F08FF"/>
    <w:rsid w:val="004F09D5"/>
    <w:rsid w:val="004F0C5F"/>
    <w:rsid w:val="004F1024"/>
    <w:rsid w:val="004F120D"/>
    <w:rsid w:val="004F13EE"/>
    <w:rsid w:val="004F188E"/>
    <w:rsid w:val="004F1C16"/>
    <w:rsid w:val="004F1CA2"/>
    <w:rsid w:val="004F20C7"/>
    <w:rsid w:val="004F2105"/>
    <w:rsid w:val="004F24CC"/>
    <w:rsid w:val="004F28FD"/>
    <w:rsid w:val="004F2BE0"/>
    <w:rsid w:val="004F3014"/>
    <w:rsid w:val="004F32B1"/>
    <w:rsid w:val="004F34AA"/>
    <w:rsid w:val="004F3561"/>
    <w:rsid w:val="004F3778"/>
    <w:rsid w:val="004F397B"/>
    <w:rsid w:val="004F3AE6"/>
    <w:rsid w:val="004F3B20"/>
    <w:rsid w:val="004F3EB0"/>
    <w:rsid w:val="004F4042"/>
    <w:rsid w:val="004F4335"/>
    <w:rsid w:val="004F4E27"/>
    <w:rsid w:val="004F5482"/>
    <w:rsid w:val="004F56E4"/>
    <w:rsid w:val="004F58EA"/>
    <w:rsid w:val="004F5DBE"/>
    <w:rsid w:val="004F6013"/>
    <w:rsid w:val="004F6805"/>
    <w:rsid w:val="004F68F9"/>
    <w:rsid w:val="004F6950"/>
    <w:rsid w:val="004F6BAC"/>
    <w:rsid w:val="004F6DE1"/>
    <w:rsid w:val="004F71FD"/>
    <w:rsid w:val="004F742D"/>
    <w:rsid w:val="004F7D11"/>
    <w:rsid w:val="005005E1"/>
    <w:rsid w:val="00500E17"/>
    <w:rsid w:val="005010BB"/>
    <w:rsid w:val="0050155B"/>
    <w:rsid w:val="00501763"/>
    <w:rsid w:val="00502485"/>
    <w:rsid w:val="00502945"/>
    <w:rsid w:val="00502964"/>
    <w:rsid w:val="00502E29"/>
    <w:rsid w:val="0050340B"/>
    <w:rsid w:val="00503443"/>
    <w:rsid w:val="005035EF"/>
    <w:rsid w:val="00503704"/>
    <w:rsid w:val="00503DEF"/>
    <w:rsid w:val="005040FD"/>
    <w:rsid w:val="005047A3"/>
    <w:rsid w:val="00504D49"/>
    <w:rsid w:val="00504F13"/>
    <w:rsid w:val="005051B1"/>
    <w:rsid w:val="0050536D"/>
    <w:rsid w:val="00505B1F"/>
    <w:rsid w:val="00505EE6"/>
    <w:rsid w:val="005061B4"/>
    <w:rsid w:val="00506339"/>
    <w:rsid w:val="005064CD"/>
    <w:rsid w:val="00506B58"/>
    <w:rsid w:val="00506E66"/>
    <w:rsid w:val="005073C5"/>
    <w:rsid w:val="00507AD5"/>
    <w:rsid w:val="00507B4E"/>
    <w:rsid w:val="00507DF3"/>
    <w:rsid w:val="00507EE2"/>
    <w:rsid w:val="00507FB2"/>
    <w:rsid w:val="00510137"/>
    <w:rsid w:val="00510245"/>
    <w:rsid w:val="00510634"/>
    <w:rsid w:val="00510823"/>
    <w:rsid w:val="00510CC4"/>
    <w:rsid w:val="00510E3D"/>
    <w:rsid w:val="00511157"/>
    <w:rsid w:val="00511199"/>
    <w:rsid w:val="005117E2"/>
    <w:rsid w:val="005119B8"/>
    <w:rsid w:val="00511A57"/>
    <w:rsid w:val="00511FC7"/>
    <w:rsid w:val="005122E4"/>
    <w:rsid w:val="00512529"/>
    <w:rsid w:val="00512680"/>
    <w:rsid w:val="00512E79"/>
    <w:rsid w:val="005133C6"/>
    <w:rsid w:val="0051360C"/>
    <w:rsid w:val="0051385A"/>
    <w:rsid w:val="0051398E"/>
    <w:rsid w:val="00513A5B"/>
    <w:rsid w:val="0051441B"/>
    <w:rsid w:val="0051454A"/>
    <w:rsid w:val="00514574"/>
    <w:rsid w:val="0051504A"/>
    <w:rsid w:val="005153AA"/>
    <w:rsid w:val="00515596"/>
    <w:rsid w:val="00515AAF"/>
    <w:rsid w:val="00515C12"/>
    <w:rsid w:val="00515CD1"/>
    <w:rsid w:val="00516505"/>
    <w:rsid w:val="00516E80"/>
    <w:rsid w:val="005177A2"/>
    <w:rsid w:val="00517865"/>
    <w:rsid w:val="005178C9"/>
    <w:rsid w:val="00517E65"/>
    <w:rsid w:val="0052020D"/>
    <w:rsid w:val="0052038F"/>
    <w:rsid w:val="005206D7"/>
    <w:rsid w:val="005209DF"/>
    <w:rsid w:val="00520ACD"/>
    <w:rsid w:val="0052130B"/>
    <w:rsid w:val="00521365"/>
    <w:rsid w:val="005213B6"/>
    <w:rsid w:val="00521429"/>
    <w:rsid w:val="00521757"/>
    <w:rsid w:val="00521C6A"/>
    <w:rsid w:val="00521C8C"/>
    <w:rsid w:val="00522570"/>
    <w:rsid w:val="00522667"/>
    <w:rsid w:val="00522784"/>
    <w:rsid w:val="00522929"/>
    <w:rsid w:val="00523398"/>
    <w:rsid w:val="005240CB"/>
    <w:rsid w:val="00524374"/>
    <w:rsid w:val="00524482"/>
    <w:rsid w:val="00524C05"/>
    <w:rsid w:val="00524CDF"/>
    <w:rsid w:val="00524D82"/>
    <w:rsid w:val="0052512B"/>
    <w:rsid w:val="0052517C"/>
    <w:rsid w:val="005257F9"/>
    <w:rsid w:val="00525AF5"/>
    <w:rsid w:val="00525C03"/>
    <w:rsid w:val="00525C90"/>
    <w:rsid w:val="00525D79"/>
    <w:rsid w:val="005273D8"/>
    <w:rsid w:val="005275BE"/>
    <w:rsid w:val="00527980"/>
    <w:rsid w:val="00527F02"/>
    <w:rsid w:val="0053086F"/>
    <w:rsid w:val="00530AFB"/>
    <w:rsid w:val="00530EC6"/>
    <w:rsid w:val="00530F6A"/>
    <w:rsid w:val="0053150D"/>
    <w:rsid w:val="005318D9"/>
    <w:rsid w:val="00531B27"/>
    <w:rsid w:val="00531C6E"/>
    <w:rsid w:val="0053218E"/>
    <w:rsid w:val="005321EC"/>
    <w:rsid w:val="00532372"/>
    <w:rsid w:val="00532684"/>
    <w:rsid w:val="00532E9A"/>
    <w:rsid w:val="005334E3"/>
    <w:rsid w:val="00533DA6"/>
    <w:rsid w:val="00534181"/>
    <w:rsid w:val="0053422F"/>
    <w:rsid w:val="00534301"/>
    <w:rsid w:val="00534798"/>
    <w:rsid w:val="005347B9"/>
    <w:rsid w:val="0053487A"/>
    <w:rsid w:val="0053558C"/>
    <w:rsid w:val="005355EF"/>
    <w:rsid w:val="0053594E"/>
    <w:rsid w:val="00536498"/>
    <w:rsid w:val="005366ED"/>
    <w:rsid w:val="00536AF2"/>
    <w:rsid w:val="00536DA4"/>
    <w:rsid w:val="00536F09"/>
    <w:rsid w:val="00536FD7"/>
    <w:rsid w:val="00537467"/>
    <w:rsid w:val="00537ED3"/>
    <w:rsid w:val="00540272"/>
    <w:rsid w:val="005404E9"/>
    <w:rsid w:val="00540F61"/>
    <w:rsid w:val="00540FDA"/>
    <w:rsid w:val="00541247"/>
    <w:rsid w:val="00541534"/>
    <w:rsid w:val="00541643"/>
    <w:rsid w:val="00541678"/>
    <w:rsid w:val="00541A7B"/>
    <w:rsid w:val="00541EE8"/>
    <w:rsid w:val="005422BF"/>
    <w:rsid w:val="00542349"/>
    <w:rsid w:val="005427B6"/>
    <w:rsid w:val="00542FC6"/>
    <w:rsid w:val="00543180"/>
    <w:rsid w:val="005439DB"/>
    <w:rsid w:val="00543B6E"/>
    <w:rsid w:val="00543C68"/>
    <w:rsid w:val="005445E2"/>
    <w:rsid w:val="00544650"/>
    <w:rsid w:val="005449BC"/>
    <w:rsid w:val="00544A72"/>
    <w:rsid w:val="00544C99"/>
    <w:rsid w:val="00544F79"/>
    <w:rsid w:val="00545026"/>
    <w:rsid w:val="0054524E"/>
    <w:rsid w:val="005452CB"/>
    <w:rsid w:val="00545456"/>
    <w:rsid w:val="0054579B"/>
    <w:rsid w:val="005463DB"/>
    <w:rsid w:val="00546803"/>
    <w:rsid w:val="00546C09"/>
    <w:rsid w:val="00546D58"/>
    <w:rsid w:val="00546EF6"/>
    <w:rsid w:val="00547129"/>
    <w:rsid w:val="005500A5"/>
    <w:rsid w:val="0055013F"/>
    <w:rsid w:val="005502A7"/>
    <w:rsid w:val="005507CB"/>
    <w:rsid w:val="00550BB1"/>
    <w:rsid w:val="00550DB9"/>
    <w:rsid w:val="00550F58"/>
    <w:rsid w:val="0055105E"/>
    <w:rsid w:val="005514E6"/>
    <w:rsid w:val="00551A40"/>
    <w:rsid w:val="00551DB7"/>
    <w:rsid w:val="00551FB9"/>
    <w:rsid w:val="00552099"/>
    <w:rsid w:val="0055236D"/>
    <w:rsid w:val="005529FC"/>
    <w:rsid w:val="00552D7B"/>
    <w:rsid w:val="00553A96"/>
    <w:rsid w:val="00553AFF"/>
    <w:rsid w:val="00553DB6"/>
    <w:rsid w:val="00553F12"/>
    <w:rsid w:val="00553FFB"/>
    <w:rsid w:val="005548E3"/>
    <w:rsid w:val="00554B44"/>
    <w:rsid w:val="00555101"/>
    <w:rsid w:val="0055577F"/>
    <w:rsid w:val="00555A9E"/>
    <w:rsid w:val="0055634F"/>
    <w:rsid w:val="0055648F"/>
    <w:rsid w:val="0055694A"/>
    <w:rsid w:val="00557301"/>
    <w:rsid w:val="00557D8B"/>
    <w:rsid w:val="00557FD8"/>
    <w:rsid w:val="00560303"/>
    <w:rsid w:val="005607B8"/>
    <w:rsid w:val="005608A4"/>
    <w:rsid w:val="00561673"/>
    <w:rsid w:val="00562312"/>
    <w:rsid w:val="00562487"/>
    <w:rsid w:val="005629F0"/>
    <w:rsid w:val="00562AF6"/>
    <w:rsid w:val="0056309E"/>
    <w:rsid w:val="00563141"/>
    <w:rsid w:val="005634FD"/>
    <w:rsid w:val="0056387B"/>
    <w:rsid w:val="00563D6D"/>
    <w:rsid w:val="00563E06"/>
    <w:rsid w:val="00563F2B"/>
    <w:rsid w:val="00563FB0"/>
    <w:rsid w:val="005649F0"/>
    <w:rsid w:val="00564BDD"/>
    <w:rsid w:val="005655DA"/>
    <w:rsid w:val="00565953"/>
    <w:rsid w:val="00565C92"/>
    <w:rsid w:val="00565EDC"/>
    <w:rsid w:val="005663AC"/>
    <w:rsid w:val="00566DED"/>
    <w:rsid w:val="00566E91"/>
    <w:rsid w:val="005670F6"/>
    <w:rsid w:val="0056761A"/>
    <w:rsid w:val="00567F79"/>
    <w:rsid w:val="00570608"/>
    <w:rsid w:val="00570712"/>
    <w:rsid w:val="00570819"/>
    <w:rsid w:val="0057111B"/>
    <w:rsid w:val="005712E9"/>
    <w:rsid w:val="005713F9"/>
    <w:rsid w:val="005716BC"/>
    <w:rsid w:val="005717CA"/>
    <w:rsid w:val="00571E69"/>
    <w:rsid w:val="005722F8"/>
    <w:rsid w:val="0057247C"/>
    <w:rsid w:val="00572B65"/>
    <w:rsid w:val="00573670"/>
    <w:rsid w:val="005736DA"/>
    <w:rsid w:val="00573E98"/>
    <w:rsid w:val="0057469B"/>
    <w:rsid w:val="00574C5E"/>
    <w:rsid w:val="00574FAE"/>
    <w:rsid w:val="00575168"/>
    <w:rsid w:val="0057540F"/>
    <w:rsid w:val="00575740"/>
    <w:rsid w:val="00575AF4"/>
    <w:rsid w:val="00575B2D"/>
    <w:rsid w:val="00575B64"/>
    <w:rsid w:val="00575BDF"/>
    <w:rsid w:val="00575DFB"/>
    <w:rsid w:val="00575EA0"/>
    <w:rsid w:val="005762AD"/>
    <w:rsid w:val="0057678C"/>
    <w:rsid w:val="00576803"/>
    <w:rsid w:val="00576E5F"/>
    <w:rsid w:val="005779AD"/>
    <w:rsid w:val="00577A65"/>
    <w:rsid w:val="0058017A"/>
    <w:rsid w:val="00580322"/>
    <w:rsid w:val="00580E38"/>
    <w:rsid w:val="0058122B"/>
    <w:rsid w:val="005816A9"/>
    <w:rsid w:val="0058199F"/>
    <w:rsid w:val="00581AB8"/>
    <w:rsid w:val="00581E14"/>
    <w:rsid w:val="00581E6B"/>
    <w:rsid w:val="00582110"/>
    <w:rsid w:val="00582D17"/>
    <w:rsid w:val="00583600"/>
    <w:rsid w:val="00583CF6"/>
    <w:rsid w:val="00584B75"/>
    <w:rsid w:val="00585321"/>
    <w:rsid w:val="0058546F"/>
    <w:rsid w:val="0058574C"/>
    <w:rsid w:val="00585925"/>
    <w:rsid w:val="00585CB9"/>
    <w:rsid w:val="00585D10"/>
    <w:rsid w:val="00585EBA"/>
    <w:rsid w:val="00586152"/>
    <w:rsid w:val="00586273"/>
    <w:rsid w:val="00586568"/>
    <w:rsid w:val="00586A41"/>
    <w:rsid w:val="00586E6A"/>
    <w:rsid w:val="0058731A"/>
    <w:rsid w:val="005876C4"/>
    <w:rsid w:val="00587EBD"/>
    <w:rsid w:val="005902DB"/>
    <w:rsid w:val="005902FC"/>
    <w:rsid w:val="00590513"/>
    <w:rsid w:val="00590617"/>
    <w:rsid w:val="00590A66"/>
    <w:rsid w:val="00590B23"/>
    <w:rsid w:val="00590B9F"/>
    <w:rsid w:val="005912AD"/>
    <w:rsid w:val="0059132F"/>
    <w:rsid w:val="00591350"/>
    <w:rsid w:val="0059179E"/>
    <w:rsid w:val="005921E8"/>
    <w:rsid w:val="005922A3"/>
    <w:rsid w:val="00592629"/>
    <w:rsid w:val="0059285A"/>
    <w:rsid w:val="00592CDD"/>
    <w:rsid w:val="0059332E"/>
    <w:rsid w:val="005935C5"/>
    <w:rsid w:val="00593CA1"/>
    <w:rsid w:val="00593F79"/>
    <w:rsid w:val="00594505"/>
    <w:rsid w:val="005948FC"/>
    <w:rsid w:val="0059507F"/>
    <w:rsid w:val="0059579A"/>
    <w:rsid w:val="005959E8"/>
    <w:rsid w:val="00596271"/>
    <w:rsid w:val="005963A2"/>
    <w:rsid w:val="005963BD"/>
    <w:rsid w:val="00596443"/>
    <w:rsid w:val="00596604"/>
    <w:rsid w:val="005969BF"/>
    <w:rsid w:val="00597D74"/>
    <w:rsid w:val="00597DEE"/>
    <w:rsid w:val="005A000A"/>
    <w:rsid w:val="005A038F"/>
    <w:rsid w:val="005A04F2"/>
    <w:rsid w:val="005A0A37"/>
    <w:rsid w:val="005A0BDA"/>
    <w:rsid w:val="005A0CDD"/>
    <w:rsid w:val="005A1013"/>
    <w:rsid w:val="005A153A"/>
    <w:rsid w:val="005A1B0C"/>
    <w:rsid w:val="005A1B42"/>
    <w:rsid w:val="005A1BD6"/>
    <w:rsid w:val="005A1CF0"/>
    <w:rsid w:val="005A1DE2"/>
    <w:rsid w:val="005A1E14"/>
    <w:rsid w:val="005A21C0"/>
    <w:rsid w:val="005A24DD"/>
    <w:rsid w:val="005A2731"/>
    <w:rsid w:val="005A2B43"/>
    <w:rsid w:val="005A2C91"/>
    <w:rsid w:val="005A2D1A"/>
    <w:rsid w:val="005A2DE5"/>
    <w:rsid w:val="005A338B"/>
    <w:rsid w:val="005A33D6"/>
    <w:rsid w:val="005A37FC"/>
    <w:rsid w:val="005A3CA4"/>
    <w:rsid w:val="005A3F0F"/>
    <w:rsid w:val="005A43F7"/>
    <w:rsid w:val="005A4471"/>
    <w:rsid w:val="005A47E7"/>
    <w:rsid w:val="005A4BA3"/>
    <w:rsid w:val="005A4E11"/>
    <w:rsid w:val="005A5472"/>
    <w:rsid w:val="005A588B"/>
    <w:rsid w:val="005A6321"/>
    <w:rsid w:val="005A650D"/>
    <w:rsid w:val="005A653D"/>
    <w:rsid w:val="005A66F1"/>
    <w:rsid w:val="005A6C52"/>
    <w:rsid w:val="005A73C5"/>
    <w:rsid w:val="005A74E6"/>
    <w:rsid w:val="005A7F96"/>
    <w:rsid w:val="005B0287"/>
    <w:rsid w:val="005B0722"/>
    <w:rsid w:val="005B0867"/>
    <w:rsid w:val="005B0EBC"/>
    <w:rsid w:val="005B1440"/>
    <w:rsid w:val="005B1460"/>
    <w:rsid w:val="005B1510"/>
    <w:rsid w:val="005B1696"/>
    <w:rsid w:val="005B1C9D"/>
    <w:rsid w:val="005B1E0D"/>
    <w:rsid w:val="005B1EDF"/>
    <w:rsid w:val="005B24E6"/>
    <w:rsid w:val="005B2651"/>
    <w:rsid w:val="005B2ED7"/>
    <w:rsid w:val="005B309B"/>
    <w:rsid w:val="005B36C2"/>
    <w:rsid w:val="005B373C"/>
    <w:rsid w:val="005B382C"/>
    <w:rsid w:val="005B384D"/>
    <w:rsid w:val="005B3E74"/>
    <w:rsid w:val="005B441C"/>
    <w:rsid w:val="005B491C"/>
    <w:rsid w:val="005B5A38"/>
    <w:rsid w:val="005B5CE5"/>
    <w:rsid w:val="005B5E48"/>
    <w:rsid w:val="005B5E9E"/>
    <w:rsid w:val="005B693F"/>
    <w:rsid w:val="005B6B53"/>
    <w:rsid w:val="005B6C8B"/>
    <w:rsid w:val="005B6F7D"/>
    <w:rsid w:val="005B7493"/>
    <w:rsid w:val="005C1591"/>
    <w:rsid w:val="005C1AAC"/>
    <w:rsid w:val="005C1F59"/>
    <w:rsid w:val="005C21C5"/>
    <w:rsid w:val="005C2227"/>
    <w:rsid w:val="005C2245"/>
    <w:rsid w:val="005C266F"/>
    <w:rsid w:val="005C28CE"/>
    <w:rsid w:val="005C2D3F"/>
    <w:rsid w:val="005C2F63"/>
    <w:rsid w:val="005C3750"/>
    <w:rsid w:val="005C3C88"/>
    <w:rsid w:val="005C3DB8"/>
    <w:rsid w:val="005C3EEB"/>
    <w:rsid w:val="005C3F8D"/>
    <w:rsid w:val="005C438C"/>
    <w:rsid w:val="005C4AA2"/>
    <w:rsid w:val="005C4C08"/>
    <w:rsid w:val="005C4CC1"/>
    <w:rsid w:val="005C4EAD"/>
    <w:rsid w:val="005C4FC3"/>
    <w:rsid w:val="005C50C0"/>
    <w:rsid w:val="005C541F"/>
    <w:rsid w:val="005C5583"/>
    <w:rsid w:val="005C5A4A"/>
    <w:rsid w:val="005C61FB"/>
    <w:rsid w:val="005C6462"/>
    <w:rsid w:val="005C6844"/>
    <w:rsid w:val="005C6B53"/>
    <w:rsid w:val="005C6F6D"/>
    <w:rsid w:val="005C701B"/>
    <w:rsid w:val="005C702B"/>
    <w:rsid w:val="005C70A4"/>
    <w:rsid w:val="005C72DC"/>
    <w:rsid w:val="005C73B6"/>
    <w:rsid w:val="005C7526"/>
    <w:rsid w:val="005C7A99"/>
    <w:rsid w:val="005C7ADD"/>
    <w:rsid w:val="005C7B5F"/>
    <w:rsid w:val="005C7BA3"/>
    <w:rsid w:val="005D0268"/>
    <w:rsid w:val="005D0459"/>
    <w:rsid w:val="005D05F9"/>
    <w:rsid w:val="005D0B00"/>
    <w:rsid w:val="005D0E28"/>
    <w:rsid w:val="005D0F3E"/>
    <w:rsid w:val="005D11BE"/>
    <w:rsid w:val="005D1AC2"/>
    <w:rsid w:val="005D1B06"/>
    <w:rsid w:val="005D1C12"/>
    <w:rsid w:val="005D1D3B"/>
    <w:rsid w:val="005D1E81"/>
    <w:rsid w:val="005D215C"/>
    <w:rsid w:val="005D216D"/>
    <w:rsid w:val="005D2178"/>
    <w:rsid w:val="005D228A"/>
    <w:rsid w:val="005D277B"/>
    <w:rsid w:val="005D3126"/>
    <w:rsid w:val="005D3419"/>
    <w:rsid w:val="005D34B5"/>
    <w:rsid w:val="005D38C4"/>
    <w:rsid w:val="005D406D"/>
    <w:rsid w:val="005D489E"/>
    <w:rsid w:val="005D4B31"/>
    <w:rsid w:val="005D4EE5"/>
    <w:rsid w:val="005D5270"/>
    <w:rsid w:val="005D5ABD"/>
    <w:rsid w:val="005D5F5B"/>
    <w:rsid w:val="005D6D41"/>
    <w:rsid w:val="005D77F1"/>
    <w:rsid w:val="005D793F"/>
    <w:rsid w:val="005D7A38"/>
    <w:rsid w:val="005D7CD3"/>
    <w:rsid w:val="005D7DB9"/>
    <w:rsid w:val="005D7E3A"/>
    <w:rsid w:val="005E0610"/>
    <w:rsid w:val="005E06C4"/>
    <w:rsid w:val="005E0B28"/>
    <w:rsid w:val="005E0DE6"/>
    <w:rsid w:val="005E104A"/>
    <w:rsid w:val="005E10D1"/>
    <w:rsid w:val="005E1A2B"/>
    <w:rsid w:val="005E1B72"/>
    <w:rsid w:val="005E1D99"/>
    <w:rsid w:val="005E2002"/>
    <w:rsid w:val="005E21CD"/>
    <w:rsid w:val="005E30D8"/>
    <w:rsid w:val="005E3323"/>
    <w:rsid w:val="005E37B9"/>
    <w:rsid w:val="005E38FF"/>
    <w:rsid w:val="005E3C96"/>
    <w:rsid w:val="005E3EC7"/>
    <w:rsid w:val="005E4173"/>
    <w:rsid w:val="005E43FD"/>
    <w:rsid w:val="005E4584"/>
    <w:rsid w:val="005E45D2"/>
    <w:rsid w:val="005E45FE"/>
    <w:rsid w:val="005E463F"/>
    <w:rsid w:val="005E4B19"/>
    <w:rsid w:val="005E4B6F"/>
    <w:rsid w:val="005E4DBF"/>
    <w:rsid w:val="005E50FB"/>
    <w:rsid w:val="005E5B7F"/>
    <w:rsid w:val="005E5E29"/>
    <w:rsid w:val="005E6021"/>
    <w:rsid w:val="005E6278"/>
    <w:rsid w:val="005E62CD"/>
    <w:rsid w:val="005E6331"/>
    <w:rsid w:val="005E664E"/>
    <w:rsid w:val="005E6ABC"/>
    <w:rsid w:val="005E7020"/>
    <w:rsid w:val="005E7143"/>
    <w:rsid w:val="005E7692"/>
    <w:rsid w:val="005E789E"/>
    <w:rsid w:val="005E7C47"/>
    <w:rsid w:val="005F0187"/>
    <w:rsid w:val="005F04BB"/>
    <w:rsid w:val="005F0516"/>
    <w:rsid w:val="005F06D0"/>
    <w:rsid w:val="005F071A"/>
    <w:rsid w:val="005F0DA5"/>
    <w:rsid w:val="005F0F39"/>
    <w:rsid w:val="005F1603"/>
    <w:rsid w:val="005F17D2"/>
    <w:rsid w:val="005F2490"/>
    <w:rsid w:val="005F31F2"/>
    <w:rsid w:val="005F3DF6"/>
    <w:rsid w:val="005F4110"/>
    <w:rsid w:val="005F44AB"/>
    <w:rsid w:val="005F4576"/>
    <w:rsid w:val="005F4C4A"/>
    <w:rsid w:val="005F4DDD"/>
    <w:rsid w:val="005F4FC0"/>
    <w:rsid w:val="005F5373"/>
    <w:rsid w:val="005F58EF"/>
    <w:rsid w:val="005F599E"/>
    <w:rsid w:val="005F5BF4"/>
    <w:rsid w:val="005F5D33"/>
    <w:rsid w:val="005F6319"/>
    <w:rsid w:val="005F64B9"/>
    <w:rsid w:val="005F652C"/>
    <w:rsid w:val="005F6592"/>
    <w:rsid w:val="005F661F"/>
    <w:rsid w:val="005F679E"/>
    <w:rsid w:val="005F6853"/>
    <w:rsid w:val="005F70DB"/>
    <w:rsid w:val="005F719E"/>
    <w:rsid w:val="005F723D"/>
    <w:rsid w:val="005F744E"/>
    <w:rsid w:val="005F7741"/>
    <w:rsid w:val="005F78F6"/>
    <w:rsid w:val="005F7B0D"/>
    <w:rsid w:val="005F7E00"/>
    <w:rsid w:val="0060017C"/>
    <w:rsid w:val="0060078B"/>
    <w:rsid w:val="006008DA"/>
    <w:rsid w:val="00600932"/>
    <w:rsid w:val="0060099E"/>
    <w:rsid w:val="00600EEB"/>
    <w:rsid w:val="006010C9"/>
    <w:rsid w:val="0060172B"/>
    <w:rsid w:val="00601CFF"/>
    <w:rsid w:val="00602B0C"/>
    <w:rsid w:val="0060318E"/>
    <w:rsid w:val="0060332F"/>
    <w:rsid w:val="00603ACE"/>
    <w:rsid w:val="00603B22"/>
    <w:rsid w:val="00603CEA"/>
    <w:rsid w:val="00604D1C"/>
    <w:rsid w:val="0060516C"/>
    <w:rsid w:val="00605C8E"/>
    <w:rsid w:val="00605C95"/>
    <w:rsid w:val="00605D74"/>
    <w:rsid w:val="006061CF"/>
    <w:rsid w:val="0060645C"/>
    <w:rsid w:val="0060674A"/>
    <w:rsid w:val="00606799"/>
    <w:rsid w:val="0060681B"/>
    <w:rsid w:val="006068D9"/>
    <w:rsid w:val="00606D1C"/>
    <w:rsid w:val="0060700F"/>
    <w:rsid w:val="006072D4"/>
    <w:rsid w:val="00607A60"/>
    <w:rsid w:val="00607AF1"/>
    <w:rsid w:val="00607BCD"/>
    <w:rsid w:val="00607BF2"/>
    <w:rsid w:val="00607C8A"/>
    <w:rsid w:val="006100BA"/>
    <w:rsid w:val="006100EB"/>
    <w:rsid w:val="00611036"/>
    <w:rsid w:val="0061154E"/>
    <w:rsid w:val="00611D2B"/>
    <w:rsid w:val="00611F69"/>
    <w:rsid w:val="00612496"/>
    <w:rsid w:val="00612CF9"/>
    <w:rsid w:val="00612F99"/>
    <w:rsid w:val="006132F1"/>
    <w:rsid w:val="00613315"/>
    <w:rsid w:val="006133E3"/>
    <w:rsid w:val="006133E8"/>
    <w:rsid w:val="00613999"/>
    <w:rsid w:val="00613C4F"/>
    <w:rsid w:val="00613D75"/>
    <w:rsid w:val="00613E9E"/>
    <w:rsid w:val="006144FA"/>
    <w:rsid w:val="006149AF"/>
    <w:rsid w:val="006149CF"/>
    <w:rsid w:val="00614F17"/>
    <w:rsid w:val="00614FBA"/>
    <w:rsid w:val="00615984"/>
    <w:rsid w:val="00615A38"/>
    <w:rsid w:val="00615D09"/>
    <w:rsid w:val="006167D0"/>
    <w:rsid w:val="006167DA"/>
    <w:rsid w:val="00616ABA"/>
    <w:rsid w:val="00616CD6"/>
    <w:rsid w:val="00616D44"/>
    <w:rsid w:val="00616EBA"/>
    <w:rsid w:val="00617071"/>
    <w:rsid w:val="00617179"/>
    <w:rsid w:val="00617196"/>
    <w:rsid w:val="006173C8"/>
    <w:rsid w:val="00617639"/>
    <w:rsid w:val="00617782"/>
    <w:rsid w:val="00617F92"/>
    <w:rsid w:val="00620064"/>
    <w:rsid w:val="006200EA"/>
    <w:rsid w:val="00620299"/>
    <w:rsid w:val="00620902"/>
    <w:rsid w:val="006209F5"/>
    <w:rsid w:val="00621039"/>
    <w:rsid w:val="00621126"/>
    <w:rsid w:val="006216B2"/>
    <w:rsid w:val="00621A4D"/>
    <w:rsid w:val="00621E9B"/>
    <w:rsid w:val="00622518"/>
    <w:rsid w:val="00622DBE"/>
    <w:rsid w:val="00622E5B"/>
    <w:rsid w:val="00622ECB"/>
    <w:rsid w:val="0062318D"/>
    <w:rsid w:val="006231B2"/>
    <w:rsid w:val="006231B9"/>
    <w:rsid w:val="0062376B"/>
    <w:rsid w:val="00623CEF"/>
    <w:rsid w:val="0062415B"/>
    <w:rsid w:val="00624498"/>
    <w:rsid w:val="006248F5"/>
    <w:rsid w:val="00625160"/>
    <w:rsid w:val="00625350"/>
    <w:rsid w:val="00625616"/>
    <w:rsid w:val="00625ADE"/>
    <w:rsid w:val="00625DE3"/>
    <w:rsid w:val="00626062"/>
    <w:rsid w:val="006260D7"/>
    <w:rsid w:val="006261EC"/>
    <w:rsid w:val="006263A7"/>
    <w:rsid w:val="006265B1"/>
    <w:rsid w:val="00626EAD"/>
    <w:rsid w:val="00627245"/>
    <w:rsid w:val="006277FB"/>
    <w:rsid w:val="00627D40"/>
    <w:rsid w:val="006305FB"/>
    <w:rsid w:val="00630D48"/>
    <w:rsid w:val="00631115"/>
    <w:rsid w:val="00631545"/>
    <w:rsid w:val="00631722"/>
    <w:rsid w:val="00632089"/>
    <w:rsid w:val="00632B7E"/>
    <w:rsid w:val="00633222"/>
    <w:rsid w:val="006332FA"/>
    <w:rsid w:val="00633B25"/>
    <w:rsid w:val="00634EF8"/>
    <w:rsid w:val="0063506F"/>
    <w:rsid w:val="006357BA"/>
    <w:rsid w:val="00635945"/>
    <w:rsid w:val="00635AFC"/>
    <w:rsid w:val="00635EB9"/>
    <w:rsid w:val="00636175"/>
    <w:rsid w:val="00636328"/>
    <w:rsid w:val="00636BC5"/>
    <w:rsid w:val="00637002"/>
    <w:rsid w:val="006370F0"/>
    <w:rsid w:val="006371E5"/>
    <w:rsid w:val="006375B3"/>
    <w:rsid w:val="006377C3"/>
    <w:rsid w:val="006378DD"/>
    <w:rsid w:val="006401C6"/>
    <w:rsid w:val="00640314"/>
    <w:rsid w:val="00640410"/>
    <w:rsid w:val="00640451"/>
    <w:rsid w:val="006406AB"/>
    <w:rsid w:val="00640B55"/>
    <w:rsid w:val="00640F4E"/>
    <w:rsid w:val="0064107F"/>
    <w:rsid w:val="00641106"/>
    <w:rsid w:val="00641AB6"/>
    <w:rsid w:val="00641C48"/>
    <w:rsid w:val="00641D46"/>
    <w:rsid w:val="00642243"/>
    <w:rsid w:val="006427C1"/>
    <w:rsid w:val="00642D32"/>
    <w:rsid w:val="006438C4"/>
    <w:rsid w:val="00643A10"/>
    <w:rsid w:val="00643E41"/>
    <w:rsid w:val="00644911"/>
    <w:rsid w:val="00644AB1"/>
    <w:rsid w:val="006450BD"/>
    <w:rsid w:val="00645B10"/>
    <w:rsid w:val="00645E36"/>
    <w:rsid w:val="00646248"/>
    <w:rsid w:val="0064632B"/>
    <w:rsid w:val="00646B72"/>
    <w:rsid w:val="00646CBC"/>
    <w:rsid w:val="0064737A"/>
    <w:rsid w:val="006474C7"/>
    <w:rsid w:val="00647680"/>
    <w:rsid w:val="00647836"/>
    <w:rsid w:val="006503F3"/>
    <w:rsid w:val="006507CB"/>
    <w:rsid w:val="00650D76"/>
    <w:rsid w:val="006512E7"/>
    <w:rsid w:val="006513DC"/>
    <w:rsid w:val="00651A5B"/>
    <w:rsid w:val="00651A65"/>
    <w:rsid w:val="0065223B"/>
    <w:rsid w:val="00652BBD"/>
    <w:rsid w:val="00652E52"/>
    <w:rsid w:val="00652E85"/>
    <w:rsid w:val="00653C72"/>
    <w:rsid w:val="00654014"/>
    <w:rsid w:val="006540D5"/>
    <w:rsid w:val="00654212"/>
    <w:rsid w:val="00654D43"/>
    <w:rsid w:val="00654DAC"/>
    <w:rsid w:val="00654EE1"/>
    <w:rsid w:val="0065510B"/>
    <w:rsid w:val="00655ACC"/>
    <w:rsid w:val="00656503"/>
    <w:rsid w:val="006565F4"/>
    <w:rsid w:val="0065673E"/>
    <w:rsid w:val="00656745"/>
    <w:rsid w:val="006568C4"/>
    <w:rsid w:val="00656A4E"/>
    <w:rsid w:val="00656C9D"/>
    <w:rsid w:val="00656D03"/>
    <w:rsid w:val="00656D68"/>
    <w:rsid w:val="006574DA"/>
    <w:rsid w:val="006577CF"/>
    <w:rsid w:val="0065785E"/>
    <w:rsid w:val="00657AED"/>
    <w:rsid w:val="00657E22"/>
    <w:rsid w:val="0066045A"/>
    <w:rsid w:val="00660A69"/>
    <w:rsid w:val="00660C35"/>
    <w:rsid w:val="00660E27"/>
    <w:rsid w:val="00660E74"/>
    <w:rsid w:val="00661133"/>
    <w:rsid w:val="00661327"/>
    <w:rsid w:val="00661F3A"/>
    <w:rsid w:val="0066201F"/>
    <w:rsid w:val="00662021"/>
    <w:rsid w:val="006623A0"/>
    <w:rsid w:val="006630DB"/>
    <w:rsid w:val="00663890"/>
    <w:rsid w:val="00663FB7"/>
    <w:rsid w:val="0066403A"/>
    <w:rsid w:val="00664172"/>
    <w:rsid w:val="0066469F"/>
    <w:rsid w:val="00664951"/>
    <w:rsid w:val="006649BF"/>
    <w:rsid w:val="0066501E"/>
    <w:rsid w:val="006655FE"/>
    <w:rsid w:val="00665891"/>
    <w:rsid w:val="00665FC9"/>
    <w:rsid w:val="00666311"/>
    <w:rsid w:val="0066642A"/>
    <w:rsid w:val="0066645F"/>
    <w:rsid w:val="00666630"/>
    <w:rsid w:val="00666785"/>
    <w:rsid w:val="00666E1A"/>
    <w:rsid w:val="006670A3"/>
    <w:rsid w:val="00667152"/>
    <w:rsid w:val="0066747B"/>
    <w:rsid w:val="00667616"/>
    <w:rsid w:val="00667EB0"/>
    <w:rsid w:val="00667F25"/>
    <w:rsid w:val="0067096F"/>
    <w:rsid w:val="00670B09"/>
    <w:rsid w:val="00671344"/>
    <w:rsid w:val="00671390"/>
    <w:rsid w:val="00671504"/>
    <w:rsid w:val="0067196F"/>
    <w:rsid w:val="00671A37"/>
    <w:rsid w:val="00671AA9"/>
    <w:rsid w:val="006722BD"/>
    <w:rsid w:val="0067241D"/>
    <w:rsid w:val="00672964"/>
    <w:rsid w:val="006730D7"/>
    <w:rsid w:val="006733F4"/>
    <w:rsid w:val="00673431"/>
    <w:rsid w:val="00673470"/>
    <w:rsid w:val="00673486"/>
    <w:rsid w:val="0067386C"/>
    <w:rsid w:val="00673A28"/>
    <w:rsid w:val="00673A95"/>
    <w:rsid w:val="00673C97"/>
    <w:rsid w:val="00674022"/>
    <w:rsid w:val="00674C8D"/>
    <w:rsid w:val="006753E2"/>
    <w:rsid w:val="006754CF"/>
    <w:rsid w:val="0067562A"/>
    <w:rsid w:val="006757D7"/>
    <w:rsid w:val="0067580E"/>
    <w:rsid w:val="00675FAC"/>
    <w:rsid w:val="00676584"/>
    <w:rsid w:val="00676A04"/>
    <w:rsid w:val="00676DEB"/>
    <w:rsid w:val="0067744A"/>
    <w:rsid w:val="006775B6"/>
    <w:rsid w:val="00677CBD"/>
    <w:rsid w:val="0068004B"/>
    <w:rsid w:val="006806D4"/>
    <w:rsid w:val="00680752"/>
    <w:rsid w:val="006807DE"/>
    <w:rsid w:val="006808C8"/>
    <w:rsid w:val="00680CD9"/>
    <w:rsid w:val="00680D35"/>
    <w:rsid w:val="00680EB3"/>
    <w:rsid w:val="00681590"/>
    <w:rsid w:val="00681C60"/>
    <w:rsid w:val="00681E53"/>
    <w:rsid w:val="00681EF0"/>
    <w:rsid w:val="006821B0"/>
    <w:rsid w:val="0068240F"/>
    <w:rsid w:val="006825FD"/>
    <w:rsid w:val="00682743"/>
    <w:rsid w:val="00682A02"/>
    <w:rsid w:val="00683B72"/>
    <w:rsid w:val="006842A5"/>
    <w:rsid w:val="00684655"/>
    <w:rsid w:val="00684B43"/>
    <w:rsid w:val="00684C52"/>
    <w:rsid w:val="00685139"/>
    <w:rsid w:val="006851AB"/>
    <w:rsid w:val="0068538E"/>
    <w:rsid w:val="00685394"/>
    <w:rsid w:val="0068543C"/>
    <w:rsid w:val="00685C01"/>
    <w:rsid w:val="00685E7D"/>
    <w:rsid w:val="006866F2"/>
    <w:rsid w:val="0068685C"/>
    <w:rsid w:val="00686A05"/>
    <w:rsid w:val="006874FD"/>
    <w:rsid w:val="0068777B"/>
    <w:rsid w:val="006879C4"/>
    <w:rsid w:val="00687ABD"/>
    <w:rsid w:val="00687AC4"/>
    <w:rsid w:val="00687DC9"/>
    <w:rsid w:val="00687EAE"/>
    <w:rsid w:val="00687F08"/>
    <w:rsid w:val="00690163"/>
    <w:rsid w:val="0069018D"/>
    <w:rsid w:val="006902C6"/>
    <w:rsid w:val="00690BF4"/>
    <w:rsid w:val="00691078"/>
    <w:rsid w:val="0069140B"/>
    <w:rsid w:val="006916D5"/>
    <w:rsid w:val="006916F2"/>
    <w:rsid w:val="00691747"/>
    <w:rsid w:val="00692168"/>
    <w:rsid w:val="0069268E"/>
    <w:rsid w:val="006927F2"/>
    <w:rsid w:val="0069341F"/>
    <w:rsid w:val="00693713"/>
    <w:rsid w:val="006937AC"/>
    <w:rsid w:val="00693855"/>
    <w:rsid w:val="00693ACA"/>
    <w:rsid w:val="00693AE3"/>
    <w:rsid w:val="006949FC"/>
    <w:rsid w:val="00694E51"/>
    <w:rsid w:val="00695CCE"/>
    <w:rsid w:val="00696260"/>
    <w:rsid w:val="00696423"/>
    <w:rsid w:val="00696BB0"/>
    <w:rsid w:val="0069710A"/>
    <w:rsid w:val="00697137"/>
    <w:rsid w:val="0069749F"/>
    <w:rsid w:val="00697EAB"/>
    <w:rsid w:val="006A0152"/>
    <w:rsid w:val="006A025F"/>
    <w:rsid w:val="006A08DC"/>
    <w:rsid w:val="006A0AED"/>
    <w:rsid w:val="006A0FB5"/>
    <w:rsid w:val="006A170D"/>
    <w:rsid w:val="006A1C8D"/>
    <w:rsid w:val="006A22C4"/>
    <w:rsid w:val="006A29AE"/>
    <w:rsid w:val="006A2A62"/>
    <w:rsid w:val="006A3096"/>
    <w:rsid w:val="006A3B82"/>
    <w:rsid w:val="006A3E1F"/>
    <w:rsid w:val="006A44D5"/>
    <w:rsid w:val="006A44FB"/>
    <w:rsid w:val="006A49BF"/>
    <w:rsid w:val="006A4B28"/>
    <w:rsid w:val="006A4C1F"/>
    <w:rsid w:val="006A4F40"/>
    <w:rsid w:val="006A514D"/>
    <w:rsid w:val="006A51D7"/>
    <w:rsid w:val="006A52D1"/>
    <w:rsid w:val="006A52E5"/>
    <w:rsid w:val="006A53E1"/>
    <w:rsid w:val="006A5488"/>
    <w:rsid w:val="006A553A"/>
    <w:rsid w:val="006A5BB1"/>
    <w:rsid w:val="006A5BE5"/>
    <w:rsid w:val="006A633A"/>
    <w:rsid w:val="006A63CC"/>
    <w:rsid w:val="006A6413"/>
    <w:rsid w:val="006A69E5"/>
    <w:rsid w:val="006A6A2E"/>
    <w:rsid w:val="006A6A8B"/>
    <w:rsid w:val="006A6C79"/>
    <w:rsid w:val="006A79AC"/>
    <w:rsid w:val="006A7C29"/>
    <w:rsid w:val="006A7E43"/>
    <w:rsid w:val="006A7FC0"/>
    <w:rsid w:val="006B05BD"/>
    <w:rsid w:val="006B0601"/>
    <w:rsid w:val="006B08B2"/>
    <w:rsid w:val="006B0ED1"/>
    <w:rsid w:val="006B1168"/>
    <w:rsid w:val="006B14DA"/>
    <w:rsid w:val="006B1C6A"/>
    <w:rsid w:val="006B1CFE"/>
    <w:rsid w:val="006B1F36"/>
    <w:rsid w:val="006B250A"/>
    <w:rsid w:val="006B254E"/>
    <w:rsid w:val="006B2665"/>
    <w:rsid w:val="006B2737"/>
    <w:rsid w:val="006B27F9"/>
    <w:rsid w:val="006B297E"/>
    <w:rsid w:val="006B2E80"/>
    <w:rsid w:val="006B3137"/>
    <w:rsid w:val="006B3A25"/>
    <w:rsid w:val="006B3E70"/>
    <w:rsid w:val="006B3EDB"/>
    <w:rsid w:val="006B405E"/>
    <w:rsid w:val="006B4070"/>
    <w:rsid w:val="006B4232"/>
    <w:rsid w:val="006B4286"/>
    <w:rsid w:val="006B42DA"/>
    <w:rsid w:val="006B430F"/>
    <w:rsid w:val="006B4324"/>
    <w:rsid w:val="006B4685"/>
    <w:rsid w:val="006B4829"/>
    <w:rsid w:val="006B4971"/>
    <w:rsid w:val="006B4BF0"/>
    <w:rsid w:val="006B5166"/>
    <w:rsid w:val="006B5F5D"/>
    <w:rsid w:val="006B6044"/>
    <w:rsid w:val="006B6684"/>
    <w:rsid w:val="006B6A34"/>
    <w:rsid w:val="006B6BAD"/>
    <w:rsid w:val="006B74B1"/>
    <w:rsid w:val="006B7AB9"/>
    <w:rsid w:val="006B7B62"/>
    <w:rsid w:val="006C04FB"/>
    <w:rsid w:val="006C0E99"/>
    <w:rsid w:val="006C12BA"/>
    <w:rsid w:val="006C168C"/>
    <w:rsid w:val="006C1D82"/>
    <w:rsid w:val="006C1E7B"/>
    <w:rsid w:val="006C229C"/>
    <w:rsid w:val="006C2573"/>
    <w:rsid w:val="006C2AE3"/>
    <w:rsid w:val="006C2CD5"/>
    <w:rsid w:val="006C3236"/>
    <w:rsid w:val="006C3517"/>
    <w:rsid w:val="006C3549"/>
    <w:rsid w:val="006C38AE"/>
    <w:rsid w:val="006C3A6D"/>
    <w:rsid w:val="006C3CE4"/>
    <w:rsid w:val="006C4030"/>
    <w:rsid w:val="006C48D7"/>
    <w:rsid w:val="006C4BBA"/>
    <w:rsid w:val="006C525E"/>
    <w:rsid w:val="006C5371"/>
    <w:rsid w:val="006C5854"/>
    <w:rsid w:val="006C5864"/>
    <w:rsid w:val="006C5EA2"/>
    <w:rsid w:val="006C613A"/>
    <w:rsid w:val="006C67AC"/>
    <w:rsid w:val="006C68AC"/>
    <w:rsid w:val="006C6A97"/>
    <w:rsid w:val="006C6AFB"/>
    <w:rsid w:val="006C6E72"/>
    <w:rsid w:val="006C71EC"/>
    <w:rsid w:val="006C77D4"/>
    <w:rsid w:val="006C7A87"/>
    <w:rsid w:val="006C7B90"/>
    <w:rsid w:val="006C7C0D"/>
    <w:rsid w:val="006D0995"/>
    <w:rsid w:val="006D09AB"/>
    <w:rsid w:val="006D0BED"/>
    <w:rsid w:val="006D0EF1"/>
    <w:rsid w:val="006D0F9A"/>
    <w:rsid w:val="006D144A"/>
    <w:rsid w:val="006D1AE4"/>
    <w:rsid w:val="006D1C11"/>
    <w:rsid w:val="006D1E9E"/>
    <w:rsid w:val="006D209F"/>
    <w:rsid w:val="006D2631"/>
    <w:rsid w:val="006D2841"/>
    <w:rsid w:val="006D2AD8"/>
    <w:rsid w:val="006D2F32"/>
    <w:rsid w:val="006D36CA"/>
    <w:rsid w:val="006D3CE8"/>
    <w:rsid w:val="006D3E1F"/>
    <w:rsid w:val="006D47B4"/>
    <w:rsid w:val="006D4812"/>
    <w:rsid w:val="006D4861"/>
    <w:rsid w:val="006D4ADD"/>
    <w:rsid w:val="006D4D76"/>
    <w:rsid w:val="006D5073"/>
    <w:rsid w:val="006D53AC"/>
    <w:rsid w:val="006D53E3"/>
    <w:rsid w:val="006D5825"/>
    <w:rsid w:val="006D5A63"/>
    <w:rsid w:val="006D5AFC"/>
    <w:rsid w:val="006D5B4A"/>
    <w:rsid w:val="006D5BD7"/>
    <w:rsid w:val="006D5E82"/>
    <w:rsid w:val="006D6014"/>
    <w:rsid w:val="006D6214"/>
    <w:rsid w:val="006D65E9"/>
    <w:rsid w:val="006D6838"/>
    <w:rsid w:val="006D689D"/>
    <w:rsid w:val="006D69D0"/>
    <w:rsid w:val="006D76E8"/>
    <w:rsid w:val="006D7842"/>
    <w:rsid w:val="006D79CF"/>
    <w:rsid w:val="006D79D5"/>
    <w:rsid w:val="006D7A8F"/>
    <w:rsid w:val="006E0544"/>
    <w:rsid w:val="006E0E39"/>
    <w:rsid w:val="006E0FCF"/>
    <w:rsid w:val="006E123F"/>
    <w:rsid w:val="006E1253"/>
    <w:rsid w:val="006E13E5"/>
    <w:rsid w:val="006E1CE2"/>
    <w:rsid w:val="006E24C6"/>
    <w:rsid w:val="006E2583"/>
    <w:rsid w:val="006E2962"/>
    <w:rsid w:val="006E2B42"/>
    <w:rsid w:val="006E2EC9"/>
    <w:rsid w:val="006E336E"/>
    <w:rsid w:val="006E353C"/>
    <w:rsid w:val="006E3789"/>
    <w:rsid w:val="006E3A73"/>
    <w:rsid w:val="006E50B3"/>
    <w:rsid w:val="006E5240"/>
    <w:rsid w:val="006E5B01"/>
    <w:rsid w:val="006E5C05"/>
    <w:rsid w:val="006E6428"/>
    <w:rsid w:val="006E69D0"/>
    <w:rsid w:val="006E6A45"/>
    <w:rsid w:val="006E6AD2"/>
    <w:rsid w:val="006E6C60"/>
    <w:rsid w:val="006E6CB5"/>
    <w:rsid w:val="006E7059"/>
    <w:rsid w:val="006E7086"/>
    <w:rsid w:val="006E70EA"/>
    <w:rsid w:val="006E76D0"/>
    <w:rsid w:val="006E78BA"/>
    <w:rsid w:val="006E7C76"/>
    <w:rsid w:val="006F0135"/>
    <w:rsid w:val="006F09D5"/>
    <w:rsid w:val="006F13F1"/>
    <w:rsid w:val="006F1611"/>
    <w:rsid w:val="006F184A"/>
    <w:rsid w:val="006F1960"/>
    <w:rsid w:val="006F1A20"/>
    <w:rsid w:val="006F20FC"/>
    <w:rsid w:val="006F2183"/>
    <w:rsid w:val="006F2393"/>
    <w:rsid w:val="006F2414"/>
    <w:rsid w:val="006F26EB"/>
    <w:rsid w:val="006F2A81"/>
    <w:rsid w:val="006F2F5F"/>
    <w:rsid w:val="006F33B2"/>
    <w:rsid w:val="006F344A"/>
    <w:rsid w:val="006F3755"/>
    <w:rsid w:val="006F4494"/>
    <w:rsid w:val="006F454F"/>
    <w:rsid w:val="006F4B12"/>
    <w:rsid w:val="006F4C0A"/>
    <w:rsid w:val="006F4D22"/>
    <w:rsid w:val="006F4FC3"/>
    <w:rsid w:val="006F5266"/>
    <w:rsid w:val="006F55C3"/>
    <w:rsid w:val="006F5D1A"/>
    <w:rsid w:val="006F5E90"/>
    <w:rsid w:val="006F6352"/>
    <w:rsid w:val="006F63BC"/>
    <w:rsid w:val="006F65BA"/>
    <w:rsid w:val="006F693A"/>
    <w:rsid w:val="006F6A80"/>
    <w:rsid w:val="006F6AB4"/>
    <w:rsid w:val="006F70F7"/>
    <w:rsid w:val="006F7BAD"/>
    <w:rsid w:val="0070060D"/>
    <w:rsid w:val="007008B9"/>
    <w:rsid w:val="00700D4F"/>
    <w:rsid w:val="007019F6"/>
    <w:rsid w:val="00702001"/>
    <w:rsid w:val="00702340"/>
    <w:rsid w:val="00702887"/>
    <w:rsid w:val="007033BF"/>
    <w:rsid w:val="0070362E"/>
    <w:rsid w:val="00703977"/>
    <w:rsid w:val="00703CEB"/>
    <w:rsid w:val="00703FFA"/>
    <w:rsid w:val="00704189"/>
    <w:rsid w:val="0070451C"/>
    <w:rsid w:val="007048A5"/>
    <w:rsid w:val="0070490F"/>
    <w:rsid w:val="00704A24"/>
    <w:rsid w:val="0070533A"/>
    <w:rsid w:val="00705728"/>
    <w:rsid w:val="00705A8A"/>
    <w:rsid w:val="00705D94"/>
    <w:rsid w:val="007064D2"/>
    <w:rsid w:val="00706913"/>
    <w:rsid w:val="00707BD1"/>
    <w:rsid w:val="00707EB7"/>
    <w:rsid w:val="00707ED4"/>
    <w:rsid w:val="00710015"/>
    <w:rsid w:val="00710587"/>
    <w:rsid w:val="00710751"/>
    <w:rsid w:val="00710995"/>
    <w:rsid w:val="00710FAB"/>
    <w:rsid w:val="00711310"/>
    <w:rsid w:val="00711455"/>
    <w:rsid w:val="0071175D"/>
    <w:rsid w:val="00711A70"/>
    <w:rsid w:val="00711A7C"/>
    <w:rsid w:val="00711C3D"/>
    <w:rsid w:val="007122EB"/>
    <w:rsid w:val="007123B0"/>
    <w:rsid w:val="007123DB"/>
    <w:rsid w:val="00712AC0"/>
    <w:rsid w:val="007139C8"/>
    <w:rsid w:val="0071408B"/>
    <w:rsid w:val="007140CE"/>
    <w:rsid w:val="00714B99"/>
    <w:rsid w:val="00714BBD"/>
    <w:rsid w:val="00714D8D"/>
    <w:rsid w:val="007152FF"/>
    <w:rsid w:val="0071538D"/>
    <w:rsid w:val="0071570D"/>
    <w:rsid w:val="007158F9"/>
    <w:rsid w:val="00715B63"/>
    <w:rsid w:val="00715C18"/>
    <w:rsid w:val="00716376"/>
    <w:rsid w:val="007163CD"/>
    <w:rsid w:val="0071675E"/>
    <w:rsid w:val="00716A79"/>
    <w:rsid w:val="00716B06"/>
    <w:rsid w:val="00716BF4"/>
    <w:rsid w:val="007173B1"/>
    <w:rsid w:val="00717B58"/>
    <w:rsid w:val="00717C49"/>
    <w:rsid w:val="00717C82"/>
    <w:rsid w:val="00720112"/>
    <w:rsid w:val="007201D7"/>
    <w:rsid w:val="007202CC"/>
    <w:rsid w:val="007203E2"/>
    <w:rsid w:val="00720482"/>
    <w:rsid w:val="007207B9"/>
    <w:rsid w:val="00720CE0"/>
    <w:rsid w:val="007213AE"/>
    <w:rsid w:val="00721B9C"/>
    <w:rsid w:val="00721FE4"/>
    <w:rsid w:val="0072202E"/>
    <w:rsid w:val="00722401"/>
    <w:rsid w:val="00722584"/>
    <w:rsid w:val="00722760"/>
    <w:rsid w:val="00722844"/>
    <w:rsid w:val="00722F55"/>
    <w:rsid w:val="00723315"/>
    <w:rsid w:val="00723336"/>
    <w:rsid w:val="007233B9"/>
    <w:rsid w:val="00723871"/>
    <w:rsid w:val="007239D8"/>
    <w:rsid w:val="00723A79"/>
    <w:rsid w:val="00723DD4"/>
    <w:rsid w:val="0072467B"/>
    <w:rsid w:val="00724695"/>
    <w:rsid w:val="0072491A"/>
    <w:rsid w:val="00724AFD"/>
    <w:rsid w:val="00724C2C"/>
    <w:rsid w:val="00724FB8"/>
    <w:rsid w:val="0072543F"/>
    <w:rsid w:val="00725C4F"/>
    <w:rsid w:val="00725F35"/>
    <w:rsid w:val="00726396"/>
    <w:rsid w:val="0072678F"/>
    <w:rsid w:val="00726A2D"/>
    <w:rsid w:val="00726A84"/>
    <w:rsid w:val="00726B9F"/>
    <w:rsid w:val="00727249"/>
    <w:rsid w:val="00727376"/>
    <w:rsid w:val="007276CC"/>
    <w:rsid w:val="007276DA"/>
    <w:rsid w:val="00727884"/>
    <w:rsid w:val="007301B1"/>
    <w:rsid w:val="0073062F"/>
    <w:rsid w:val="00730C05"/>
    <w:rsid w:val="00730C9A"/>
    <w:rsid w:val="00730D5B"/>
    <w:rsid w:val="00730D6D"/>
    <w:rsid w:val="00730D97"/>
    <w:rsid w:val="007319F3"/>
    <w:rsid w:val="007320E0"/>
    <w:rsid w:val="007324F5"/>
    <w:rsid w:val="00732918"/>
    <w:rsid w:val="00732C91"/>
    <w:rsid w:val="0073300E"/>
    <w:rsid w:val="007333A6"/>
    <w:rsid w:val="00733AF7"/>
    <w:rsid w:val="00733DB0"/>
    <w:rsid w:val="00734342"/>
    <w:rsid w:val="00734A95"/>
    <w:rsid w:val="00734D3B"/>
    <w:rsid w:val="007350E3"/>
    <w:rsid w:val="00735802"/>
    <w:rsid w:val="00735B43"/>
    <w:rsid w:val="00735F8A"/>
    <w:rsid w:val="00736034"/>
    <w:rsid w:val="0073603F"/>
    <w:rsid w:val="0073606C"/>
    <w:rsid w:val="0073678F"/>
    <w:rsid w:val="00736E17"/>
    <w:rsid w:val="00736F73"/>
    <w:rsid w:val="00737355"/>
    <w:rsid w:val="007408C1"/>
    <w:rsid w:val="00740943"/>
    <w:rsid w:val="00740E28"/>
    <w:rsid w:val="007417A3"/>
    <w:rsid w:val="0074194D"/>
    <w:rsid w:val="00741D6A"/>
    <w:rsid w:val="00742022"/>
    <w:rsid w:val="00742104"/>
    <w:rsid w:val="0074243D"/>
    <w:rsid w:val="007425CE"/>
    <w:rsid w:val="0074285A"/>
    <w:rsid w:val="00742CFF"/>
    <w:rsid w:val="00742D17"/>
    <w:rsid w:val="00743101"/>
    <w:rsid w:val="0074388C"/>
    <w:rsid w:val="007438B6"/>
    <w:rsid w:val="007438D8"/>
    <w:rsid w:val="00744063"/>
    <w:rsid w:val="00744072"/>
    <w:rsid w:val="0074427B"/>
    <w:rsid w:val="00744330"/>
    <w:rsid w:val="00744926"/>
    <w:rsid w:val="00744E02"/>
    <w:rsid w:val="00744EC5"/>
    <w:rsid w:val="00745094"/>
    <w:rsid w:val="007451C6"/>
    <w:rsid w:val="00745560"/>
    <w:rsid w:val="007456D8"/>
    <w:rsid w:val="00745BF5"/>
    <w:rsid w:val="00745C56"/>
    <w:rsid w:val="00745D98"/>
    <w:rsid w:val="00746188"/>
    <w:rsid w:val="007464C0"/>
    <w:rsid w:val="0074677C"/>
    <w:rsid w:val="007468CC"/>
    <w:rsid w:val="00746D3C"/>
    <w:rsid w:val="00746D6A"/>
    <w:rsid w:val="00746F27"/>
    <w:rsid w:val="00747264"/>
    <w:rsid w:val="00747348"/>
    <w:rsid w:val="0074736D"/>
    <w:rsid w:val="00747559"/>
    <w:rsid w:val="0074771E"/>
    <w:rsid w:val="0074798B"/>
    <w:rsid w:val="00747FBB"/>
    <w:rsid w:val="007504C9"/>
    <w:rsid w:val="007508C3"/>
    <w:rsid w:val="00750E73"/>
    <w:rsid w:val="007511E4"/>
    <w:rsid w:val="0075156F"/>
    <w:rsid w:val="0075192A"/>
    <w:rsid w:val="00751F14"/>
    <w:rsid w:val="00751F7B"/>
    <w:rsid w:val="0075211B"/>
    <w:rsid w:val="007531C5"/>
    <w:rsid w:val="007535BB"/>
    <w:rsid w:val="007535C3"/>
    <w:rsid w:val="0075417C"/>
    <w:rsid w:val="007543CA"/>
    <w:rsid w:val="007547DE"/>
    <w:rsid w:val="0075499D"/>
    <w:rsid w:val="00754A71"/>
    <w:rsid w:val="00754F28"/>
    <w:rsid w:val="00755481"/>
    <w:rsid w:val="007559B0"/>
    <w:rsid w:val="00755C1E"/>
    <w:rsid w:val="00755C8A"/>
    <w:rsid w:val="007560C6"/>
    <w:rsid w:val="00756221"/>
    <w:rsid w:val="007564DC"/>
    <w:rsid w:val="007576E9"/>
    <w:rsid w:val="00757ECA"/>
    <w:rsid w:val="00757FE1"/>
    <w:rsid w:val="007604E8"/>
    <w:rsid w:val="007607E5"/>
    <w:rsid w:val="0076099A"/>
    <w:rsid w:val="00761254"/>
    <w:rsid w:val="007619F6"/>
    <w:rsid w:val="00761A44"/>
    <w:rsid w:val="00761AEC"/>
    <w:rsid w:val="00761BB7"/>
    <w:rsid w:val="00762299"/>
    <w:rsid w:val="00762C62"/>
    <w:rsid w:val="007635BF"/>
    <w:rsid w:val="00764026"/>
    <w:rsid w:val="00764108"/>
    <w:rsid w:val="0076424A"/>
    <w:rsid w:val="00764583"/>
    <w:rsid w:val="0076472A"/>
    <w:rsid w:val="007648E5"/>
    <w:rsid w:val="0076492A"/>
    <w:rsid w:val="00764996"/>
    <w:rsid w:val="0076509B"/>
    <w:rsid w:val="007653BC"/>
    <w:rsid w:val="00765994"/>
    <w:rsid w:val="00765A1D"/>
    <w:rsid w:val="00765F5B"/>
    <w:rsid w:val="00766296"/>
    <w:rsid w:val="007667EE"/>
    <w:rsid w:val="00766D8C"/>
    <w:rsid w:val="00767230"/>
    <w:rsid w:val="00767346"/>
    <w:rsid w:val="00767BAF"/>
    <w:rsid w:val="00767E15"/>
    <w:rsid w:val="00767EDB"/>
    <w:rsid w:val="00770B2B"/>
    <w:rsid w:val="007719E8"/>
    <w:rsid w:val="00771C0C"/>
    <w:rsid w:val="00772078"/>
    <w:rsid w:val="007722E9"/>
    <w:rsid w:val="007725B1"/>
    <w:rsid w:val="00772684"/>
    <w:rsid w:val="0077289F"/>
    <w:rsid w:val="007729FF"/>
    <w:rsid w:val="00772B57"/>
    <w:rsid w:val="0077343C"/>
    <w:rsid w:val="007738FC"/>
    <w:rsid w:val="00773DAA"/>
    <w:rsid w:val="007742F2"/>
    <w:rsid w:val="00774364"/>
    <w:rsid w:val="00774675"/>
    <w:rsid w:val="0077484E"/>
    <w:rsid w:val="00774865"/>
    <w:rsid w:val="00774CD6"/>
    <w:rsid w:val="00774D71"/>
    <w:rsid w:val="00774DE9"/>
    <w:rsid w:val="00775725"/>
    <w:rsid w:val="00775796"/>
    <w:rsid w:val="0077595E"/>
    <w:rsid w:val="00776108"/>
    <w:rsid w:val="00776426"/>
    <w:rsid w:val="00776821"/>
    <w:rsid w:val="00776A7A"/>
    <w:rsid w:val="00776BE1"/>
    <w:rsid w:val="00776BEA"/>
    <w:rsid w:val="00777C5C"/>
    <w:rsid w:val="00777C80"/>
    <w:rsid w:val="007800DA"/>
    <w:rsid w:val="00780108"/>
    <w:rsid w:val="00780328"/>
    <w:rsid w:val="00780372"/>
    <w:rsid w:val="0078092D"/>
    <w:rsid w:val="00781072"/>
    <w:rsid w:val="00781190"/>
    <w:rsid w:val="00781411"/>
    <w:rsid w:val="007816EA"/>
    <w:rsid w:val="00781718"/>
    <w:rsid w:val="007819D9"/>
    <w:rsid w:val="00781CDA"/>
    <w:rsid w:val="00781D6F"/>
    <w:rsid w:val="00781EF9"/>
    <w:rsid w:val="00781FB1"/>
    <w:rsid w:val="0078200A"/>
    <w:rsid w:val="00782034"/>
    <w:rsid w:val="007820E7"/>
    <w:rsid w:val="00782117"/>
    <w:rsid w:val="00782501"/>
    <w:rsid w:val="007829FD"/>
    <w:rsid w:val="00782CB3"/>
    <w:rsid w:val="00782D7A"/>
    <w:rsid w:val="00782ECC"/>
    <w:rsid w:val="007834E4"/>
    <w:rsid w:val="00783A76"/>
    <w:rsid w:val="00783D42"/>
    <w:rsid w:val="00783E7D"/>
    <w:rsid w:val="0078455D"/>
    <w:rsid w:val="007846DF"/>
    <w:rsid w:val="007849A5"/>
    <w:rsid w:val="00784CEF"/>
    <w:rsid w:val="00785686"/>
    <w:rsid w:val="0078660D"/>
    <w:rsid w:val="007867F9"/>
    <w:rsid w:val="00786821"/>
    <w:rsid w:val="007868A2"/>
    <w:rsid w:val="0078697F"/>
    <w:rsid w:val="00786A9C"/>
    <w:rsid w:val="00786AD3"/>
    <w:rsid w:val="00786BF3"/>
    <w:rsid w:val="00786DF8"/>
    <w:rsid w:val="00786F89"/>
    <w:rsid w:val="00787180"/>
    <w:rsid w:val="00787226"/>
    <w:rsid w:val="007877D2"/>
    <w:rsid w:val="007879FF"/>
    <w:rsid w:val="00787E76"/>
    <w:rsid w:val="00787F64"/>
    <w:rsid w:val="00790322"/>
    <w:rsid w:val="007906AF"/>
    <w:rsid w:val="00790C69"/>
    <w:rsid w:val="00790C9A"/>
    <w:rsid w:val="0079128C"/>
    <w:rsid w:val="00791897"/>
    <w:rsid w:val="00791DAA"/>
    <w:rsid w:val="00791E99"/>
    <w:rsid w:val="00792840"/>
    <w:rsid w:val="0079285E"/>
    <w:rsid w:val="00792991"/>
    <w:rsid w:val="00792AEE"/>
    <w:rsid w:val="00792D44"/>
    <w:rsid w:val="00792D88"/>
    <w:rsid w:val="00793269"/>
    <w:rsid w:val="00793AC9"/>
    <w:rsid w:val="00793BF7"/>
    <w:rsid w:val="00793EAF"/>
    <w:rsid w:val="00793FB8"/>
    <w:rsid w:val="0079449F"/>
    <w:rsid w:val="0079455E"/>
    <w:rsid w:val="007949E2"/>
    <w:rsid w:val="00795303"/>
    <w:rsid w:val="00795496"/>
    <w:rsid w:val="0079561B"/>
    <w:rsid w:val="00795962"/>
    <w:rsid w:val="00795A30"/>
    <w:rsid w:val="00795E34"/>
    <w:rsid w:val="00796590"/>
    <w:rsid w:val="00796F19"/>
    <w:rsid w:val="00797311"/>
    <w:rsid w:val="007977C0"/>
    <w:rsid w:val="00797CA1"/>
    <w:rsid w:val="00797D26"/>
    <w:rsid w:val="007A0490"/>
    <w:rsid w:val="007A05B2"/>
    <w:rsid w:val="007A0EE8"/>
    <w:rsid w:val="007A0F9A"/>
    <w:rsid w:val="007A100D"/>
    <w:rsid w:val="007A16CD"/>
    <w:rsid w:val="007A1B71"/>
    <w:rsid w:val="007A208C"/>
    <w:rsid w:val="007A2734"/>
    <w:rsid w:val="007A27E0"/>
    <w:rsid w:val="007A295F"/>
    <w:rsid w:val="007A2C85"/>
    <w:rsid w:val="007A31FD"/>
    <w:rsid w:val="007A38E8"/>
    <w:rsid w:val="007A3A4C"/>
    <w:rsid w:val="007A40A0"/>
    <w:rsid w:val="007A4360"/>
    <w:rsid w:val="007A4D6F"/>
    <w:rsid w:val="007A540D"/>
    <w:rsid w:val="007A58DF"/>
    <w:rsid w:val="007A6035"/>
    <w:rsid w:val="007A7187"/>
    <w:rsid w:val="007A7F34"/>
    <w:rsid w:val="007B080A"/>
    <w:rsid w:val="007B0B23"/>
    <w:rsid w:val="007B0FC6"/>
    <w:rsid w:val="007B153F"/>
    <w:rsid w:val="007B16BD"/>
    <w:rsid w:val="007B1BA0"/>
    <w:rsid w:val="007B216B"/>
    <w:rsid w:val="007B23A1"/>
    <w:rsid w:val="007B23FF"/>
    <w:rsid w:val="007B2469"/>
    <w:rsid w:val="007B2543"/>
    <w:rsid w:val="007B2620"/>
    <w:rsid w:val="007B28A9"/>
    <w:rsid w:val="007B2983"/>
    <w:rsid w:val="007B2C21"/>
    <w:rsid w:val="007B340E"/>
    <w:rsid w:val="007B356B"/>
    <w:rsid w:val="007B3BA7"/>
    <w:rsid w:val="007B3D02"/>
    <w:rsid w:val="007B407B"/>
    <w:rsid w:val="007B45B5"/>
    <w:rsid w:val="007B463B"/>
    <w:rsid w:val="007B472F"/>
    <w:rsid w:val="007B4803"/>
    <w:rsid w:val="007B4BE0"/>
    <w:rsid w:val="007B526B"/>
    <w:rsid w:val="007B529E"/>
    <w:rsid w:val="007B5418"/>
    <w:rsid w:val="007B55E9"/>
    <w:rsid w:val="007B58E8"/>
    <w:rsid w:val="007B626D"/>
    <w:rsid w:val="007B6281"/>
    <w:rsid w:val="007B6424"/>
    <w:rsid w:val="007B68F9"/>
    <w:rsid w:val="007B6AE3"/>
    <w:rsid w:val="007B6D47"/>
    <w:rsid w:val="007B725E"/>
    <w:rsid w:val="007B7677"/>
    <w:rsid w:val="007B76D6"/>
    <w:rsid w:val="007B7766"/>
    <w:rsid w:val="007B7B7E"/>
    <w:rsid w:val="007B7FCF"/>
    <w:rsid w:val="007C0B9E"/>
    <w:rsid w:val="007C1261"/>
    <w:rsid w:val="007C13B2"/>
    <w:rsid w:val="007C1FE6"/>
    <w:rsid w:val="007C2F3F"/>
    <w:rsid w:val="007C2F6C"/>
    <w:rsid w:val="007C2FD4"/>
    <w:rsid w:val="007C36A1"/>
    <w:rsid w:val="007C375A"/>
    <w:rsid w:val="007C3C7C"/>
    <w:rsid w:val="007C3D45"/>
    <w:rsid w:val="007C418C"/>
    <w:rsid w:val="007C47FE"/>
    <w:rsid w:val="007C50F0"/>
    <w:rsid w:val="007C51B7"/>
    <w:rsid w:val="007C5252"/>
    <w:rsid w:val="007C5714"/>
    <w:rsid w:val="007C711C"/>
    <w:rsid w:val="007C7F5A"/>
    <w:rsid w:val="007D0080"/>
    <w:rsid w:val="007D02B5"/>
    <w:rsid w:val="007D0609"/>
    <w:rsid w:val="007D06EA"/>
    <w:rsid w:val="007D0831"/>
    <w:rsid w:val="007D0AAA"/>
    <w:rsid w:val="007D107D"/>
    <w:rsid w:val="007D10A5"/>
    <w:rsid w:val="007D1248"/>
    <w:rsid w:val="007D138F"/>
    <w:rsid w:val="007D13AC"/>
    <w:rsid w:val="007D13E7"/>
    <w:rsid w:val="007D1B38"/>
    <w:rsid w:val="007D1D5E"/>
    <w:rsid w:val="007D1E0C"/>
    <w:rsid w:val="007D1FA5"/>
    <w:rsid w:val="007D2A11"/>
    <w:rsid w:val="007D3AB8"/>
    <w:rsid w:val="007D3E50"/>
    <w:rsid w:val="007D4DD0"/>
    <w:rsid w:val="007D5186"/>
    <w:rsid w:val="007D51E1"/>
    <w:rsid w:val="007D5788"/>
    <w:rsid w:val="007D59DF"/>
    <w:rsid w:val="007D61C9"/>
    <w:rsid w:val="007D6236"/>
    <w:rsid w:val="007D63A1"/>
    <w:rsid w:val="007D6635"/>
    <w:rsid w:val="007D66CB"/>
    <w:rsid w:val="007D66D8"/>
    <w:rsid w:val="007D674A"/>
    <w:rsid w:val="007D6AC2"/>
    <w:rsid w:val="007D6B40"/>
    <w:rsid w:val="007D6FC3"/>
    <w:rsid w:val="007D709F"/>
    <w:rsid w:val="007D71DC"/>
    <w:rsid w:val="007D7400"/>
    <w:rsid w:val="007D7581"/>
    <w:rsid w:val="007D764C"/>
    <w:rsid w:val="007D789D"/>
    <w:rsid w:val="007D78B5"/>
    <w:rsid w:val="007D7979"/>
    <w:rsid w:val="007E0108"/>
    <w:rsid w:val="007E0419"/>
    <w:rsid w:val="007E0CB3"/>
    <w:rsid w:val="007E0D31"/>
    <w:rsid w:val="007E0D72"/>
    <w:rsid w:val="007E10EB"/>
    <w:rsid w:val="007E1822"/>
    <w:rsid w:val="007E189D"/>
    <w:rsid w:val="007E1E34"/>
    <w:rsid w:val="007E23E0"/>
    <w:rsid w:val="007E2B17"/>
    <w:rsid w:val="007E3076"/>
    <w:rsid w:val="007E3095"/>
    <w:rsid w:val="007E3660"/>
    <w:rsid w:val="007E38B6"/>
    <w:rsid w:val="007E463F"/>
    <w:rsid w:val="007E4EFD"/>
    <w:rsid w:val="007E52BA"/>
    <w:rsid w:val="007E55A8"/>
    <w:rsid w:val="007E5641"/>
    <w:rsid w:val="007E5652"/>
    <w:rsid w:val="007E575F"/>
    <w:rsid w:val="007E5B1E"/>
    <w:rsid w:val="007E6943"/>
    <w:rsid w:val="007E6BB9"/>
    <w:rsid w:val="007E6BBF"/>
    <w:rsid w:val="007E6CEE"/>
    <w:rsid w:val="007E75EA"/>
    <w:rsid w:val="007F00F5"/>
    <w:rsid w:val="007F015A"/>
    <w:rsid w:val="007F053A"/>
    <w:rsid w:val="007F0577"/>
    <w:rsid w:val="007F0A35"/>
    <w:rsid w:val="007F0C32"/>
    <w:rsid w:val="007F0F2B"/>
    <w:rsid w:val="007F1172"/>
    <w:rsid w:val="007F12CC"/>
    <w:rsid w:val="007F13BF"/>
    <w:rsid w:val="007F203B"/>
    <w:rsid w:val="007F2084"/>
    <w:rsid w:val="007F2100"/>
    <w:rsid w:val="007F216D"/>
    <w:rsid w:val="007F2307"/>
    <w:rsid w:val="007F26E9"/>
    <w:rsid w:val="007F28D1"/>
    <w:rsid w:val="007F2918"/>
    <w:rsid w:val="007F29C6"/>
    <w:rsid w:val="007F34B0"/>
    <w:rsid w:val="007F355B"/>
    <w:rsid w:val="007F3577"/>
    <w:rsid w:val="007F3634"/>
    <w:rsid w:val="007F37C5"/>
    <w:rsid w:val="007F3851"/>
    <w:rsid w:val="007F38FE"/>
    <w:rsid w:val="007F3A73"/>
    <w:rsid w:val="007F3BDD"/>
    <w:rsid w:val="007F42F6"/>
    <w:rsid w:val="007F44A1"/>
    <w:rsid w:val="007F49E7"/>
    <w:rsid w:val="007F4EE2"/>
    <w:rsid w:val="007F4F8E"/>
    <w:rsid w:val="007F539B"/>
    <w:rsid w:val="007F58A2"/>
    <w:rsid w:val="007F5A30"/>
    <w:rsid w:val="007F6030"/>
    <w:rsid w:val="007F6303"/>
    <w:rsid w:val="007F6493"/>
    <w:rsid w:val="007F6556"/>
    <w:rsid w:val="007F6629"/>
    <w:rsid w:val="007F6C73"/>
    <w:rsid w:val="007F6F74"/>
    <w:rsid w:val="007F71BF"/>
    <w:rsid w:val="007F731D"/>
    <w:rsid w:val="007F731F"/>
    <w:rsid w:val="00800034"/>
    <w:rsid w:val="00800414"/>
    <w:rsid w:val="00800456"/>
    <w:rsid w:val="00800FCA"/>
    <w:rsid w:val="008011F5"/>
    <w:rsid w:val="0080120A"/>
    <w:rsid w:val="00801C3B"/>
    <w:rsid w:val="00801D5E"/>
    <w:rsid w:val="00801EBA"/>
    <w:rsid w:val="00802427"/>
    <w:rsid w:val="00802464"/>
    <w:rsid w:val="00802698"/>
    <w:rsid w:val="00802897"/>
    <w:rsid w:val="00802A56"/>
    <w:rsid w:val="00802FF8"/>
    <w:rsid w:val="00803269"/>
    <w:rsid w:val="008033B4"/>
    <w:rsid w:val="0080349F"/>
    <w:rsid w:val="00803F12"/>
    <w:rsid w:val="00803FDB"/>
    <w:rsid w:val="008042CC"/>
    <w:rsid w:val="00804D7F"/>
    <w:rsid w:val="008051FD"/>
    <w:rsid w:val="00805452"/>
    <w:rsid w:val="008055A3"/>
    <w:rsid w:val="00805957"/>
    <w:rsid w:val="008059C3"/>
    <w:rsid w:val="00805A6E"/>
    <w:rsid w:val="00805C53"/>
    <w:rsid w:val="00805F96"/>
    <w:rsid w:val="008064E9"/>
    <w:rsid w:val="00806994"/>
    <w:rsid w:val="00807139"/>
    <w:rsid w:val="00807A77"/>
    <w:rsid w:val="00807BE2"/>
    <w:rsid w:val="00810C41"/>
    <w:rsid w:val="00810D27"/>
    <w:rsid w:val="00811114"/>
    <w:rsid w:val="00811194"/>
    <w:rsid w:val="00811383"/>
    <w:rsid w:val="008117AE"/>
    <w:rsid w:val="0081182E"/>
    <w:rsid w:val="0081206F"/>
    <w:rsid w:val="00812216"/>
    <w:rsid w:val="0081231C"/>
    <w:rsid w:val="008124CE"/>
    <w:rsid w:val="00812BAE"/>
    <w:rsid w:val="00812C6B"/>
    <w:rsid w:val="008136BC"/>
    <w:rsid w:val="00813ADC"/>
    <w:rsid w:val="00813B98"/>
    <w:rsid w:val="00813D1F"/>
    <w:rsid w:val="00813F69"/>
    <w:rsid w:val="00813F7B"/>
    <w:rsid w:val="0081413E"/>
    <w:rsid w:val="008141CA"/>
    <w:rsid w:val="008142CE"/>
    <w:rsid w:val="0081451E"/>
    <w:rsid w:val="00814832"/>
    <w:rsid w:val="00814E8C"/>
    <w:rsid w:val="00814EAC"/>
    <w:rsid w:val="00814ED6"/>
    <w:rsid w:val="00814ED8"/>
    <w:rsid w:val="008150E1"/>
    <w:rsid w:val="008152D6"/>
    <w:rsid w:val="00815A81"/>
    <w:rsid w:val="00815A8C"/>
    <w:rsid w:val="00815E19"/>
    <w:rsid w:val="00815EBD"/>
    <w:rsid w:val="0081635F"/>
    <w:rsid w:val="0081684F"/>
    <w:rsid w:val="00816C34"/>
    <w:rsid w:val="008171EF"/>
    <w:rsid w:val="00820022"/>
    <w:rsid w:val="00820057"/>
    <w:rsid w:val="008202A3"/>
    <w:rsid w:val="008202DB"/>
    <w:rsid w:val="00820321"/>
    <w:rsid w:val="00820410"/>
    <w:rsid w:val="0082060F"/>
    <w:rsid w:val="00820B6F"/>
    <w:rsid w:val="00821024"/>
    <w:rsid w:val="008211D0"/>
    <w:rsid w:val="0082151C"/>
    <w:rsid w:val="0082157F"/>
    <w:rsid w:val="008216BD"/>
    <w:rsid w:val="00821881"/>
    <w:rsid w:val="00821A81"/>
    <w:rsid w:val="00821E1C"/>
    <w:rsid w:val="008221B7"/>
    <w:rsid w:val="0082224D"/>
    <w:rsid w:val="00822412"/>
    <w:rsid w:val="008225E1"/>
    <w:rsid w:val="00822777"/>
    <w:rsid w:val="00822DCC"/>
    <w:rsid w:val="00823580"/>
    <w:rsid w:val="008236A9"/>
    <w:rsid w:val="00823872"/>
    <w:rsid w:val="00823884"/>
    <w:rsid w:val="0082413F"/>
    <w:rsid w:val="0082418D"/>
    <w:rsid w:val="008243E5"/>
    <w:rsid w:val="00824C81"/>
    <w:rsid w:val="008255BA"/>
    <w:rsid w:val="008257BA"/>
    <w:rsid w:val="00825918"/>
    <w:rsid w:val="008259C1"/>
    <w:rsid w:val="00825BC1"/>
    <w:rsid w:val="00825D17"/>
    <w:rsid w:val="00825F51"/>
    <w:rsid w:val="008265D9"/>
    <w:rsid w:val="008268EF"/>
    <w:rsid w:val="00826931"/>
    <w:rsid w:val="00826957"/>
    <w:rsid w:val="00826A53"/>
    <w:rsid w:val="00826BEC"/>
    <w:rsid w:val="00826E9D"/>
    <w:rsid w:val="00826FA7"/>
    <w:rsid w:val="008270F0"/>
    <w:rsid w:val="008275E8"/>
    <w:rsid w:val="008278E4"/>
    <w:rsid w:val="00827AAA"/>
    <w:rsid w:val="00827D38"/>
    <w:rsid w:val="008303B5"/>
    <w:rsid w:val="00830657"/>
    <w:rsid w:val="0083078B"/>
    <w:rsid w:val="0083095F"/>
    <w:rsid w:val="008310AE"/>
    <w:rsid w:val="008310F3"/>
    <w:rsid w:val="008314C0"/>
    <w:rsid w:val="00831ABC"/>
    <w:rsid w:val="00831B9A"/>
    <w:rsid w:val="00831D6D"/>
    <w:rsid w:val="00831FFA"/>
    <w:rsid w:val="00832728"/>
    <w:rsid w:val="0083272C"/>
    <w:rsid w:val="00832824"/>
    <w:rsid w:val="00832E14"/>
    <w:rsid w:val="00832EE9"/>
    <w:rsid w:val="0083321E"/>
    <w:rsid w:val="008335C9"/>
    <w:rsid w:val="0083382B"/>
    <w:rsid w:val="008343D9"/>
    <w:rsid w:val="008348CD"/>
    <w:rsid w:val="00834BDA"/>
    <w:rsid w:val="00834DC4"/>
    <w:rsid w:val="0083506A"/>
    <w:rsid w:val="008353F5"/>
    <w:rsid w:val="0083560A"/>
    <w:rsid w:val="00835668"/>
    <w:rsid w:val="008358BB"/>
    <w:rsid w:val="008359D6"/>
    <w:rsid w:val="00835B1A"/>
    <w:rsid w:val="00835ECB"/>
    <w:rsid w:val="008360AC"/>
    <w:rsid w:val="0083611B"/>
    <w:rsid w:val="008361D8"/>
    <w:rsid w:val="0083641A"/>
    <w:rsid w:val="00836833"/>
    <w:rsid w:val="00836D7B"/>
    <w:rsid w:val="008372C3"/>
    <w:rsid w:val="0083786C"/>
    <w:rsid w:val="008379CD"/>
    <w:rsid w:val="00837ABB"/>
    <w:rsid w:val="00837EFA"/>
    <w:rsid w:val="008400C0"/>
    <w:rsid w:val="0084011C"/>
    <w:rsid w:val="00840493"/>
    <w:rsid w:val="008404DB"/>
    <w:rsid w:val="00840567"/>
    <w:rsid w:val="008406E1"/>
    <w:rsid w:val="00840A62"/>
    <w:rsid w:val="00840FFA"/>
    <w:rsid w:val="00841243"/>
    <w:rsid w:val="00841604"/>
    <w:rsid w:val="008418C8"/>
    <w:rsid w:val="00841F6E"/>
    <w:rsid w:val="008421EE"/>
    <w:rsid w:val="008422F5"/>
    <w:rsid w:val="00842630"/>
    <w:rsid w:val="00842676"/>
    <w:rsid w:val="008426AB"/>
    <w:rsid w:val="00842A0E"/>
    <w:rsid w:val="00842DA0"/>
    <w:rsid w:val="00842EB7"/>
    <w:rsid w:val="008433B7"/>
    <w:rsid w:val="0084352F"/>
    <w:rsid w:val="00843545"/>
    <w:rsid w:val="00843D5D"/>
    <w:rsid w:val="00844059"/>
    <w:rsid w:val="00844E6D"/>
    <w:rsid w:val="00844F84"/>
    <w:rsid w:val="00845477"/>
    <w:rsid w:val="00845480"/>
    <w:rsid w:val="00845DB6"/>
    <w:rsid w:val="00845F9B"/>
    <w:rsid w:val="00846992"/>
    <w:rsid w:val="00846F55"/>
    <w:rsid w:val="00847112"/>
    <w:rsid w:val="00847AC1"/>
    <w:rsid w:val="00847BD4"/>
    <w:rsid w:val="00847D3B"/>
    <w:rsid w:val="0085037E"/>
    <w:rsid w:val="0085048F"/>
    <w:rsid w:val="0085077A"/>
    <w:rsid w:val="008508D7"/>
    <w:rsid w:val="00850A6F"/>
    <w:rsid w:val="00850BAD"/>
    <w:rsid w:val="00850FC0"/>
    <w:rsid w:val="0085145D"/>
    <w:rsid w:val="008522E2"/>
    <w:rsid w:val="008525D9"/>
    <w:rsid w:val="00852BBD"/>
    <w:rsid w:val="0085303E"/>
    <w:rsid w:val="0085314D"/>
    <w:rsid w:val="00853730"/>
    <w:rsid w:val="00853B51"/>
    <w:rsid w:val="00853F9A"/>
    <w:rsid w:val="00854401"/>
    <w:rsid w:val="00854717"/>
    <w:rsid w:val="00854968"/>
    <w:rsid w:val="00854D38"/>
    <w:rsid w:val="0085508D"/>
    <w:rsid w:val="008557F8"/>
    <w:rsid w:val="00855D1B"/>
    <w:rsid w:val="00855DDA"/>
    <w:rsid w:val="00855F52"/>
    <w:rsid w:val="008561B8"/>
    <w:rsid w:val="00856400"/>
    <w:rsid w:val="008567E5"/>
    <w:rsid w:val="00856AD9"/>
    <w:rsid w:val="00857E15"/>
    <w:rsid w:val="00860076"/>
    <w:rsid w:val="008600ED"/>
    <w:rsid w:val="00860131"/>
    <w:rsid w:val="008602DB"/>
    <w:rsid w:val="0086089F"/>
    <w:rsid w:val="008609A5"/>
    <w:rsid w:val="00860B62"/>
    <w:rsid w:val="00860CCF"/>
    <w:rsid w:val="00860F0B"/>
    <w:rsid w:val="00860F37"/>
    <w:rsid w:val="00861129"/>
    <w:rsid w:val="008612E2"/>
    <w:rsid w:val="008614EC"/>
    <w:rsid w:val="0086174D"/>
    <w:rsid w:val="00861B46"/>
    <w:rsid w:val="00861BCC"/>
    <w:rsid w:val="008624B9"/>
    <w:rsid w:val="0086275A"/>
    <w:rsid w:val="00862843"/>
    <w:rsid w:val="0086299A"/>
    <w:rsid w:val="00863034"/>
    <w:rsid w:val="008637A6"/>
    <w:rsid w:val="008638E0"/>
    <w:rsid w:val="008639B3"/>
    <w:rsid w:val="00863ADA"/>
    <w:rsid w:val="00863B01"/>
    <w:rsid w:val="00863C16"/>
    <w:rsid w:val="008641E2"/>
    <w:rsid w:val="008649EA"/>
    <w:rsid w:val="00864A9D"/>
    <w:rsid w:val="00865243"/>
    <w:rsid w:val="008652D7"/>
    <w:rsid w:val="008654B6"/>
    <w:rsid w:val="008655AD"/>
    <w:rsid w:val="00865C81"/>
    <w:rsid w:val="008661B0"/>
    <w:rsid w:val="0086687F"/>
    <w:rsid w:val="00866CA7"/>
    <w:rsid w:val="008670B2"/>
    <w:rsid w:val="00867105"/>
    <w:rsid w:val="0086711D"/>
    <w:rsid w:val="00867376"/>
    <w:rsid w:val="0086799A"/>
    <w:rsid w:val="00867B11"/>
    <w:rsid w:val="00867BBC"/>
    <w:rsid w:val="008700EA"/>
    <w:rsid w:val="008701AE"/>
    <w:rsid w:val="00870670"/>
    <w:rsid w:val="00870A10"/>
    <w:rsid w:val="008712C7"/>
    <w:rsid w:val="0087138F"/>
    <w:rsid w:val="008713DB"/>
    <w:rsid w:val="008718DA"/>
    <w:rsid w:val="00871E1B"/>
    <w:rsid w:val="00871F9F"/>
    <w:rsid w:val="00871FCA"/>
    <w:rsid w:val="008724DA"/>
    <w:rsid w:val="0087321A"/>
    <w:rsid w:val="008732FA"/>
    <w:rsid w:val="008736D0"/>
    <w:rsid w:val="00873BC0"/>
    <w:rsid w:val="0087410A"/>
    <w:rsid w:val="00874225"/>
    <w:rsid w:val="008744BC"/>
    <w:rsid w:val="00874616"/>
    <w:rsid w:val="00874959"/>
    <w:rsid w:val="00874A2A"/>
    <w:rsid w:val="0087564F"/>
    <w:rsid w:val="008757CE"/>
    <w:rsid w:val="0087592F"/>
    <w:rsid w:val="00875DB5"/>
    <w:rsid w:val="00876644"/>
    <w:rsid w:val="00876AED"/>
    <w:rsid w:val="00876C7F"/>
    <w:rsid w:val="00877138"/>
    <w:rsid w:val="0088009E"/>
    <w:rsid w:val="008800A5"/>
    <w:rsid w:val="00880422"/>
    <w:rsid w:val="008806FC"/>
    <w:rsid w:val="00880937"/>
    <w:rsid w:val="00880BC1"/>
    <w:rsid w:val="00880E4C"/>
    <w:rsid w:val="00880EDB"/>
    <w:rsid w:val="00880F31"/>
    <w:rsid w:val="008810A5"/>
    <w:rsid w:val="008816B3"/>
    <w:rsid w:val="008817AE"/>
    <w:rsid w:val="008817B2"/>
    <w:rsid w:val="00881883"/>
    <w:rsid w:val="00881EE6"/>
    <w:rsid w:val="008821E9"/>
    <w:rsid w:val="0088234A"/>
    <w:rsid w:val="0088250A"/>
    <w:rsid w:val="008826EC"/>
    <w:rsid w:val="00882E72"/>
    <w:rsid w:val="00883163"/>
    <w:rsid w:val="00883497"/>
    <w:rsid w:val="0088365A"/>
    <w:rsid w:val="00883AB0"/>
    <w:rsid w:val="00883F49"/>
    <w:rsid w:val="0088450D"/>
    <w:rsid w:val="008847C0"/>
    <w:rsid w:val="008848C3"/>
    <w:rsid w:val="00884DEF"/>
    <w:rsid w:val="008852F8"/>
    <w:rsid w:val="008857DE"/>
    <w:rsid w:val="00885B49"/>
    <w:rsid w:val="00886075"/>
    <w:rsid w:val="008863E9"/>
    <w:rsid w:val="0088689E"/>
    <w:rsid w:val="00887283"/>
    <w:rsid w:val="00887671"/>
    <w:rsid w:val="008878CC"/>
    <w:rsid w:val="00887CBF"/>
    <w:rsid w:val="00887F60"/>
    <w:rsid w:val="00890369"/>
    <w:rsid w:val="008906D0"/>
    <w:rsid w:val="00890747"/>
    <w:rsid w:val="00890816"/>
    <w:rsid w:val="008909C9"/>
    <w:rsid w:val="00890DA9"/>
    <w:rsid w:val="0089110A"/>
    <w:rsid w:val="00891372"/>
    <w:rsid w:val="008914E7"/>
    <w:rsid w:val="0089167F"/>
    <w:rsid w:val="008919B8"/>
    <w:rsid w:val="00891B5D"/>
    <w:rsid w:val="00892160"/>
    <w:rsid w:val="00892164"/>
    <w:rsid w:val="0089259D"/>
    <w:rsid w:val="0089268B"/>
    <w:rsid w:val="00892990"/>
    <w:rsid w:val="00892C8E"/>
    <w:rsid w:val="00892DE0"/>
    <w:rsid w:val="00893832"/>
    <w:rsid w:val="00893B05"/>
    <w:rsid w:val="00893D4C"/>
    <w:rsid w:val="00894071"/>
    <w:rsid w:val="0089410C"/>
    <w:rsid w:val="00894478"/>
    <w:rsid w:val="0089471B"/>
    <w:rsid w:val="008950B2"/>
    <w:rsid w:val="008954A5"/>
    <w:rsid w:val="00895AB4"/>
    <w:rsid w:val="00895E1D"/>
    <w:rsid w:val="00895F03"/>
    <w:rsid w:val="0089651F"/>
    <w:rsid w:val="00896876"/>
    <w:rsid w:val="00896936"/>
    <w:rsid w:val="00896CB2"/>
    <w:rsid w:val="00896CC0"/>
    <w:rsid w:val="00896D56"/>
    <w:rsid w:val="00897027"/>
    <w:rsid w:val="00897192"/>
    <w:rsid w:val="0089785C"/>
    <w:rsid w:val="0089787A"/>
    <w:rsid w:val="00897919"/>
    <w:rsid w:val="00897ACB"/>
    <w:rsid w:val="00897E68"/>
    <w:rsid w:val="00897EC0"/>
    <w:rsid w:val="008A0180"/>
    <w:rsid w:val="008A01BB"/>
    <w:rsid w:val="008A0224"/>
    <w:rsid w:val="008A0289"/>
    <w:rsid w:val="008A06A9"/>
    <w:rsid w:val="008A06CD"/>
    <w:rsid w:val="008A0D31"/>
    <w:rsid w:val="008A0D75"/>
    <w:rsid w:val="008A10AC"/>
    <w:rsid w:val="008A1291"/>
    <w:rsid w:val="008A1640"/>
    <w:rsid w:val="008A1940"/>
    <w:rsid w:val="008A1C6D"/>
    <w:rsid w:val="008A1D33"/>
    <w:rsid w:val="008A1E89"/>
    <w:rsid w:val="008A2397"/>
    <w:rsid w:val="008A23F4"/>
    <w:rsid w:val="008A2B80"/>
    <w:rsid w:val="008A2B8B"/>
    <w:rsid w:val="008A3367"/>
    <w:rsid w:val="008A34F6"/>
    <w:rsid w:val="008A35D3"/>
    <w:rsid w:val="008A4DE6"/>
    <w:rsid w:val="008A536D"/>
    <w:rsid w:val="008A578B"/>
    <w:rsid w:val="008A57D3"/>
    <w:rsid w:val="008A5E0B"/>
    <w:rsid w:val="008A6171"/>
    <w:rsid w:val="008A621B"/>
    <w:rsid w:val="008A6D1B"/>
    <w:rsid w:val="008A728B"/>
    <w:rsid w:val="008A72B7"/>
    <w:rsid w:val="008A7343"/>
    <w:rsid w:val="008A751F"/>
    <w:rsid w:val="008A7561"/>
    <w:rsid w:val="008A75C0"/>
    <w:rsid w:val="008A76BC"/>
    <w:rsid w:val="008A781C"/>
    <w:rsid w:val="008A78AF"/>
    <w:rsid w:val="008A78EC"/>
    <w:rsid w:val="008A7914"/>
    <w:rsid w:val="008A7B66"/>
    <w:rsid w:val="008A7E4C"/>
    <w:rsid w:val="008A7F6C"/>
    <w:rsid w:val="008B0A13"/>
    <w:rsid w:val="008B0C41"/>
    <w:rsid w:val="008B0C8E"/>
    <w:rsid w:val="008B0F7D"/>
    <w:rsid w:val="008B11CD"/>
    <w:rsid w:val="008B12AA"/>
    <w:rsid w:val="008B16C0"/>
    <w:rsid w:val="008B2148"/>
    <w:rsid w:val="008B2363"/>
    <w:rsid w:val="008B26B2"/>
    <w:rsid w:val="008B2782"/>
    <w:rsid w:val="008B2A34"/>
    <w:rsid w:val="008B31D7"/>
    <w:rsid w:val="008B32ED"/>
    <w:rsid w:val="008B35FC"/>
    <w:rsid w:val="008B3743"/>
    <w:rsid w:val="008B3C1D"/>
    <w:rsid w:val="008B3F12"/>
    <w:rsid w:val="008B4167"/>
    <w:rsid w:val="008B4739"/>
    <w:rsid w:val="008B4BC5"/>
    <w:rsid w:val="008B4D76"/>
    <w:rsid w:val="008B4F3B"/>
    <w:rsid w:val="008B531E"/>
    <w:rsid w:val="008B57CB"/>
    <w:rsid w:val="008B5CC3"/>
    <w:rsid w:val="008B60A7"/>
    <w:rsid w:val="008B6C78"/>
    <w:rsid w:val="008B711D"/>
    <w:rsid w:val="008B7BA8"/>
    <w:rsid w:val="008C0644"/>
    <w:rsid w:val="008C0CA1"/>
    <w:rsid w:val="008C140F"/>
    <w:rsid w:val="008C148B"/>
    <w:rsid w:val="008C1539"/>
    <w:rsid w:val="008C18BB"/>
    <w:rsid w:val="008C1BB1"/>
    <w:rsid w:val="008C1E45"/>
    <w:rsid w:val="008C2275"/>
    <w:rsid w:val="008C22B8"/>
    <w:rsid w:val="008C230D"/>
    <w:rsid w:val="008C252F"/>
    <w:rsid w:val="008C2E6B"/>
    <w:rsid w:val="008C3355"/>
    <w:rsid w:val="008C3467"/>
    <w:rsid w:val="008C3BBE"/>
    <w:rsid w:val="008C3C19"/>
    <w:rsid w:val="008C4748"/>
    <w:rsid w:val="008C495B"/>
    <w:rsid w:val="008C523A"/>
    <w:rsid w:val="008C5333"/>
    <w:rsid w:val="008C575A"/>
    <w:rsid w:val="008C5D36"/>
    <w:rsid w:val="008C62AF"/>
    <w:rsid w:val="008C69A3"/>
    <w:rsid w:val="008C6D57"/>
    <w:rsid w:val="008C6D9B"/>
    <w:rsid w:val="008C74A0"/>
    <w:rsid w:val="008D030D"/>
    <w:rsid w:val="008D0AD2"/>
    <w:rsid w:val="008D1131"/>
    <w:rsid w:val="008D12C5"/>
    <w:rsid w:val="008D12E0"/>
    <w:rsid w:val="008D1D89"/>
    <w:rsid w:val="008D1EA6"/>
    <w:rsid w:val="008D207D"/>
    <w:rsid w:val="008D20D5"/>
    <w:rsid w:val="008D21BF"/>
    <w:rsid w:val="008D23DD"/>
    <w:rsid w:val="008D26B6"/>
    <w:rsid w:val="008D34E0"/>
    <w:rsid w:val="008D3852"/>
    <w:rsid w:val="008D3ED4"/>
    <w:rsid w:val="008D4084"/>
    <w:rsid w:val="008D4658"/>
    <w:rsid w:val="008D47CB"/>
    <w:rsid w:val="008D4C00"/>
    <w:rsid w:val="008D4C57"/>
    <w:rsid w:val="008D4F05"/>
    <w:rsid w:val="008D5022"/>
    <w:rsid w:val="008D539E"/>
    <w:rsid w:val="008D56D1"/>
    <w:rsid w:val="008D579A"/>
    <w:rsid w:val="008D5FC8"/>
    <w:rsid w:val="008D60A2"/>
    <w:rsid w:val="008D67B2"/>
    <w:rsid w:val="008D6BC0"/>
    <w:rsid w:val="008D7D83"/>
    <w:rsid w:val="008D7FDE"/>
    <w:rsid w:val="008E0491"/>
    <w:rsid w:val="008E062C"/>
    <w:rsid w:val="008E0721"/>
    <w:rsid w:val="008E08FA"/>
    <w:rsid w:val="008E0C18"/>
    <w:rsid w:val="008E0ECB"/>
    <w:rsid w:val="008E13E5"/>
    <w:rsid w:val="008E147C"/>
    <w:rsid w:val="008E166D"/>
    <w:rsid w:val="008E190D"/>
    <w:rsid w:val="008E1A75"/>
    <w:rsid w:val="008E20E0"/>
    <w:rsid w:val="008E2B64"/>
    <w:rsid w:val="008E30DB"/>
    <w:rsid w:val="008E3800"/>
    <w:rsid w:val="008E4479"/>
    <w:rsid w:val="008E447F"/>
    <w:rsid w:val="008E48A0"/>
    <w:rsid w:val="008E507E"/>
    <w:rsid w:val="008E546F"/>
    <w:rsid w:val="008E552E"/>
    <w:rsid w:val="008E622C"/>
    <w:rsid w:val="008E6233"/>
    <w:rsid w:val="008E6396"/>
    <w:rsid w:val="008E6654"/>
    <w:rsid w:val="008E66DB"/>
    <w:rsid w:val="008E67DB"/>
    <w:rsid w:val="008E7552"/>
    <w:rsid w:val="008E7772"/>
    <w:rsid w:val="008E79A5"/>
    <w:rsid w:val="008E7BFF"/>
    <w:rsid w:val="008F034E"/>
    <w:rsid w:val="008F1297"/>
    <w:rsid w:val="008F1CE3"/>
    <w:rsid w:val="008F1CF1"/>
    <w:rsid w:val="008F20D1"/>
    <w:rsid w:val="008F232C"/>
    <w:rsid w:val="008F2626"/>
    <w:rsid w:val="008F2951"/>
    <w:rsid w:val="008F33FE"/>
    <w:rsid w:val="008F3694"/>
    <w:rsid w:val="008F36EC"/>
    <w:rsid w:val="008F3B48"/>
    <w:rsid w:val="008F3F42"/>
    <w:rsid w:val="008F401F"/>
    <w:rsid w:val="008F424F"/>
    <w:rsid w:val="008F47B7"/>
    <w:rsid w:val="008F5019"/>
    <w:rsid w:val="008F51DB"/>
    <w:rsid w:val="008F5546"/>
    <w:rsid w:val="008F56D0"/>
    <w:rsid w:val="008F5C5D"/>
    <w:rsid w:val="008F6372"/>
    <w:rsid w:val="008F76A1"/>
    <w:rsid w:val="008F78C6"/>
    <w:rsid w:val="008F7A5D"/>
    <w:rsid w:val="008F7AB4"/>
    <w:rsid w:val="009002CD"/>
    <w:rsid w:val="0090041D"/>
    <w:rsid w:val="00900679"/>
    <w:rsid w:val="00900AD0"/>
    <w:rsid w:val="00900FC0"/>
    <w:rsid w:val="00901803"/>
    <w:rsid w:val="00901DCB"/>
    <w:rsid w:val="00901E75"/>
    <w:rsid w:val="00901FB9"/>
    <w:rsid w:val="00902729"/>
    <w:rsid w:val="00902749"/>
    <w:rsid w:val="009029ED"/>
    <w:rsid w:val="0090300B"/>
    <w:rsid w:val="00903220"/>
    <w:rsid w:val="0090360B"/>
    <w:rsid w:val="00903F13"/>
    <w:rsid w:val="00904545"/>
    <w:rsid w:val="009046BF"/>
    <w:rsid w:val="00904710"/>
    <w:rsid w:val="00904B21"/>
    <w:rsid w:val="00904D27"/>
    <w:rsid w:val="00905459"/>
    <w:rsid w:val="0090562F"/>
    <w:rsid w:val="0090567F"/>
    <w:rsid w:val="009059BD"/>
    <w:rsid w:val="00905D1D"/>
    <w:rsid w:val="00906037"/>
    <w:rsid w:val="009061E6"/>
    <w:rsid w:val="00906753"/>
    <w:rsid w:val="00906AA9"/>
    <w:rsid w:val="00906EB5"/>
    <w:rsid w:val="00906F96"/>
    <w:rsid w:val="009071EF"/>
    <w:rsid w:val="009072B4"/>
    <w:rsid w:val="00907494"/>
    <w:rsid w:val="009074A8"/>
    <w:rsid w:val="0090761F"/>
    <w:rsid w:val="009076DF"/>
    <w:rsid w:val="009078B9"/>
    <w:rsid w:val="00907FCF"/>
    <w:rsid w:val="00907FF9"/>
    <w:rsid w:val="00910BDB"/>
    <w:rsid w:val="00911183"/>
    <w:rsid w:val="00911188"/>
    <w:rsid w:val="00911268"/>
    <w:rsid w:val="00911317"/>
    <w:rsid w:val="0091155D"/>
    <w:rsid w:val="00911A5C"/>
    <w:rsid w:val="009122B2"/>
    <w:rsid w:val="009125B6"/>
    <w:rsid w:val="0091263B"/>
    <w:rsid w:val="009127D9"/>
    <w:rsid w:val="0091297C"/>
    <w:rsid w:val="00912DD1"/>
    <w:rsid w:val="00912E5C"/>
    <w:rsid w:val="0091302F"/>
    <w:rsid w:val="00913270"/>
    <w:rsid w:val="00913820"/>
    <w:rsid w:val="0091382E"/>
    <w:rsid w:val="009138A6"/>
    <w:rsid w:val="00913CD3"/>
    <w:rsid w:val="0091410D"/>
    <w:rsid w:val="00914A76"/>
    <w:rsid w:val="00914B60"/>
    <w:rsid w:val="00914B77"/>
    <w:rsid w:val="00914F12"/>
    <w:rsid w:val="0091553B"/>
    <w:rsid w:val="009156FC"/>
    <w:rsid w:val="00915898"/>
    <w:rsid w:val="00915AEC"/>
    <w:rsid w:val="0091609D"/>
    <w:rsid w:val="009163C5"/>
    <w:rsid w:val="00916769"/>
    <w:rsid w:val="00916B70"/>
    <w:rsid w:val="00916C6F"/>
    <w:rsid w:val="00916C83"/>
    <w:rsid w:val="00916CA9"/>
    <w:rsid w:val="009170DA"/>
    <w:rsid w:val="009176E1"/>
    <w:rsid w:val="00917A63"/>
    <w:rsid w:val="00917E63"/>
    <w:rsid w:val="00917FA4"/>
    <w:rsid w:val="0092016E"/>
    <w:rsid w:val="009208C6"/>
    <w:rsid w:val="00920BD1"/>
    <w:rsid w:val="00920FBD"/>
    <w:rsid w:val="009213DE"/>
    <w:rsid w:val="0092148C"/>
    <w:rsid w:val="00921624"/>
    <w:rsid w:val="009218D6"/>
    <w:rsid w:val="009218FE"/>
    <w:rsid w:val="009219A3"/>
    <w:rsid w:val="00921AE4"/>
    <w:rsid w:val="00921B6D"/>
    <w:rsid w:val="00921E28"/>
    <w:rsid w:val="0092217D"/>
    <w:rsid w:val="0092250C"/>
    <w:rsid w:val="009228F1"/>
    <w:rsid w:val="009231F4"/>
    <w:rsid w:val="009236F9"/>
    <w:rsid w:val="009238BC"/>
    <w:rsid w:val="00923AE3"/>
    <w:rsid w:val="00924B8F"/>
    <w:rsid w:val="00924BC3"/>
    <w:rsid w:val="00924DE4"/>
    <w:rsid w:val="00925469"/>
    <w:rsid w:val="00926739"/>
    <w:rsid w:val="009268BF"/>
    <w:rsid w:val="00926DD9"/>
    <w:rsid w:val="00926FA9"/>
    <w:rsid w:val="009278A2"/>
    <w:rsid w:val="0092792E"/>
    <w:rsid w:val="00927B49"/>
    <w:rsid w:val="0093005E"/>
    <w:rsid w:val="0093022D"/>
    <w:rsid w:val="009302C5"/>
    <w:rsid w:val="0093056D"/>
    <w:rsid w:val="0093061D"/>
    <w:rsid w:val="0093073D"/>
    <w:rsid w:val="009308DC"/>
    <w:rsid w:val="009309A1"/>
    <w:rsid w:val="00930A23"/>
    <w:rsid w:val="009310F9"/>
    <w:rsid w:val="0093126A"/>
    <w:rsid w:val="0093164F"/>
    <w:rsid w:val="009316D4"/>
    <w:rsid w:val="00931971"/>
    <w:rsid w:val="00931A25"/>
    <w:rsid w:val="00931CD2"/>
    <w:rsid w:val="0093317A"/>
    <w:rsid w:val="009331CF"/>
    <w:rsid w:val="00933312"/>
    <w:rsid w:val="0093332B"/>
    <w:rsid w:val="00933C3C"/>
    <w:rsid w:val="00933C94"/>
    <w:rsid w:val="00933CD9"/>
    <w:rsid w:val="0093401D"/>
    <w:rsid w:val="00934225"/>
    <w:rsid w:val="0093431E"/>
    <w:rsid w:val="009343B9"/>
    <w:rsid w:val="009346F1"/>
    <w:rsid w:val="0093471A"/>
    <w:rsid w:val="009347A3"/>
    <w:rsid w:val="00934A4C"/>
    <w:rsid w:val="00934A9A"/>
    <w:rsid w:val="00934E25"/>
    <w:rsid w:val="00934FB8"/>
    <w:rsid w:val="00935037"/>
    <w:rsid w:val="00935804"/>
    <w:rsid w:val="0093587D"/>
    <w:rsid w:val="00935AF6"/>
    <w:rsid w:val="00935DED"/>
    <w:rsid w:val="00935FB2"/>
    <w:rsid w:val="00936110"/>
    <w:rsid w:val="009362BD"/>
    <w:rsid w:val="0093680D"/>
    <w:rsid w:val="00936CA5"/>
    <w:rsid w:val="00936F42"/>
    <w:rsid w:val="00936F67"/>
    <w:rsid w:val="009372D0"/>
    <w:rsid w:val="00937810"/>
    <w:rsid w:val="00937851"/>
    <w:rsid w:val="00937FED"/>
    <w:rsid w:val="00940087"/>
    <w:rsid w:val="00940092"/>
    <w:rsid w:val="009402FE"/>
    <w:rsid w:val="00940892"/>
    <w:rsid w:val="0094096D"/>
    <w:rsid w:val="00940B4F"/>
    <w:rsid w:val="00940C9E"/>
    <w:rsid w:val="0094129E"/>
    <w:rsid w:val="00942234"/>
    <w:rsid w:val="00942721"/>
    <w:rsid w:val="00942BE7"/>
    <w:rsid w:val="00942E41"/>
    <w:rsid w:val="00942FA0"/>
    <w:rsid w:val="0094324B"/>
    <w:rsid w:val="0094330E"/>
    <w:rsid w:val="00943489"/>
    <w:rsid w:val="009434C4"/>
    <w:rsid w:val="0094363A"/>
    <w:rsid w:val="00943996"/>
    <w:rsid w:val="009445FB"/>
    <w:rsid w:val="00944600"/>
    <w:rsid w:val="00944A75"/>
    <w:rsid w:val="00944BA3"/>
    <w:rsid w:val="00944D3F"/>
    <w:rsid w:val="00944D51"/>
    <w:rsid w:val="00944EC9"/>
    <w:rsid w:val="0094554A"/>
    <w:rsid w:val="00945F40"/>
    <w:rsid w:val="0094610C"/>
    <w:rsid w:val="0094672C"/>
    <w:rsid w:val="00946981"/>
    <w:rsid w:val="00946B9E"/>
    <w:rsid w:val="009470DF"/>
    <w:rsid w:val="00947430"/>
    <w:rsid w:val="00947A69"/>
    <w:rsid w:val="00950725"/>
    <w:rsid w:val="0095081B"/>
    <w:rsid w:val="00950D63"/>
    <w:rsid w:val="00950D95"/>
    <w:rsid w:val="00950E28"/>
    <w:rsid w:val="00950E7C"/>
    <w:rsid w:val="0095102C"/>
    <w:rsid w:val="00951743"/>
    <w:rsid w:val="00951747"/>
    <w:rsid w:val="00951BCD"/>
    <w:rsid w:val="00951D18"/>
    <w:rsid w:val="00952191"/>
    <w:rsid w:val="00952256"/>
    <w:rsid w:val="00952E0D"/>
    <w:rsid w:val="00952ED2"/>
    <w:rsid w:val="00952F37"/>
    <w:rsid w:val="00953C2F"/>
    <w:rsid w:val="00953E9F"/>
    <w:rsid w:val="00954B23"/>
    <w:rsid w:val="00954C03"/>
    <w:rsid w:val="0095517E"/>
    <w:rsid w:val="009552CF"/>
    <w:rsid w:val="00955349"/>
    <w:rsid w:val="009554BA"/>
    <w:rsid w:val="00955662"/>
    <w:rsid w:val="009557A4"/>
    <w:rsid w:val="00955874"/>
    <w:rsid w:val="00955A9C"/>
    <w:rsid w:val="00955AD8"/>
    <w:rsid w:val="00955C17"/>
    <w:rsid w:val="00955C29"/>
    <w:rsid w:val="00956010"/>
    <w:rsid w:val="009560AE"/>
    <w:rsid w:val="0095683C"/>
    <w:rsid w:val="00956CEF"/>
    <w:rsid w:val="00956F25"/>
    <w:rsid w:val="00957279"/>
    <w:rsid w:val="0095744A"/>
    <w:rsid w:val="00957901"/>
    <w:rsid w:val="00960094"/>
    <w:rsid w:val="00960427"/>
    <w:rsid w:val="0096055D"/>
    <w:rsid w:val="009605C0"/>
    <w:rsid w:val="0096063B"/>
    <w:rsid w:val="009607C6"/>
    <w:rsid w:val="00960BEA"/>
    <w:rsid w:val="00960D77"/>
    <w:rsid w:val="00960D90"/>
    <w:rsid w:val="009611D7"/>
    <w:rsid w:val="009611E0"/>
    <w:rsid w:val="00961498"/>
    <w:rsid w:val="00961727"/>
    <w:rsid w:val="009618A4"/>
    <w:rsid w:val="00961903"/>
    <w:rsid w:val="0096220B"/>
    <w:rsid w:val="0096272D"/>
    <w:rsid w:val="00962A20"/>
    <w:rsid w:val="00962BF9"/>
    <w:rsid w:val="00962CC2"/>
    <w:rsid w:val="00962E0A"/>
    <w:rsid w:val="0096358D"/>
    <w:rsid w:val="00963D76"/>
    <w:rsid w:val="0096424C"/>
    <w:rsid w:val="0096485F"/>
    <w:rsid w:val="00965E0E"/>
    <w:rsid w:val="009661DF"/>
    <w:rsid w:val="009665AF"/>
    <w:rsid w:val="00966B96"/>
    <w:rsid w:val="00966D06"/>
    <w:rsid w:val="00966D42"/>
    <w:rsid w:val="00966F43"/>
    <w:rsid w:val="009673AA"/>
    <w:rsid w:val="00967550"/>
    <w:rsid w:val="009675CE"/>
    <w:rsid w:val="0096799A"/>
    <w:rsid w:val="009679C8"/>
    <w:rsid w:val="00967F1C"/>
    <w:rsid w:val="00970044"/>
    <w:rsid w:val="009701AF"/>
    <w:rsid w:val="0097045C"/>
    <w:rsid w:val="0097074D"/>
    <w:rsid w:val="009708D4"/>
    <w:rsid w:val="00971007"/>
    <w:rsid w:val="00971120"/>
    <w:rsid w:val="00971170"/>
    <w:rsid w:val="0097154B"/>
    <w:rsid w:val="00971D45"/>
    <w:rsid w:val="00971F91"/>
    <w:rsid w:val="00972074"/>
    <w:rsid w:val="00972308"/>
    <w:rsid w:val="00972A14"/>
    <w:rsid w:val="00972D7E"/>
    <w:rsid w:val="00972F36"/>
    <w:rsid w:val="009732ED"/>
    <w:rsid w:val="00973390"/>
    <w:rsid w:val="00973509"/>
    <w:rsid w:val="009735FF"/>
    <w:rsid w:val="00973E90"/>
    <w:rsid w:val="009745C4"/>
    <w:rsid w:val="009746CF"/>
    <w:rsid w:val="00974A2F"/>
    <w:rsid w:val="00974B8A"/>
    <w:rsid w:val="00974E8C"/>
    <w:rsid w:val="00974EAC"/>
    <w:rsid w:val="00975FBA"/>
    <w:rsid w:val="0097633F"/>
    <w:rsid w:val="00976449"/>
    <w:rsid w:val="0097695B"/>
    <w:rsid w:val="00976B25"/>
    <w:rsid w:val="00976CA2"/>
    <w:rsid w:val="00976E17"/>
    <w:rsid w:val="009770CD"/>
    <w:rsid w:val="00977357"/>
    <w:rsid w:val="009774D0"/>
    <w:rsid w:val="00980043"/>
    <w:rsid w:val="009800A2"/>
    <w:rsid w:val="00980248"/>
    <w:rsid w:val="00980994"/>
    <w:rsid w:val="009809EC"/>
    <w:rsid w:val="00980A10"/>
    <w:rsid w:val="00980A45"/>
    <w:rsid w:val="009813DE"/>
    <w:rsid w:val="009816F1"/>
    <w:rsid w:val="00981BA0"/>
    <w:rsid w:val="00981BEF"/>
    <w:rsid w:val="0098244E"/>
    <w:rsid w:val="009827D9"/>
    <w:rsid w:val="00982BCF"/>
    <w:rsid w:val="009832F3"/>
    <w:rsid w:val="009837E6"/>
    <w:rsid w:val="009838D2"/>
    <w:rsid w:val="0098392E"/>
    <w:rsid w:val="00983E8D"/>
    <w:rsid w:val="009840DC"/>
    <w:rsid w:val="009846B2"/>
    <w:rsid w:val="009847A2"/>
    <w:rsid w:val="0098493F"/>
    <w:rsid w:val="00984A9E"/>
    <w:rsid w:val="00984B0D"/>
    <w:rsid w:val="00984E6E"/>
    <w:rsid w:val="009852AD"/>
    <w:rsid w:val="0098538C"/>
    <w:rsid w:val="00985769"/>
    <w:rsid w:val="00985875"/>
    <w:rsid w:val="00985FB8"/>
    <w:rsid w:val="009860A2"/>
    <w:rsid w:val="0098617C"/>
    <w:rsid w:val="009864F6"/>
    <w:rsid w:val="009865F6"/>
    <w:rsid w:val="00986710"/>
    <w:rsid w:val="00987ED0"/>
    <w:rsid w:val="00990575"/>
    <w:rsid w:val="00990BC1"/>
    <w:rsid w:val="00990D76"/>
    <w:rsid w:val="00990D90"/>
    <w:rsid w:val="00990E68"/>
    <w:rsid w:val="00991014"/>
    <w:rsid w:val="0099163E"/>
    <w:rsid w:val="00991AFA"/>
    <w:rsid w:val="00991B95"/>
    <w:rsid w:val="00992BAE"/>
    <w:rsid w:val="00992ED5"/>
    <w:rsid w:val="00993576"/>
    <w:rsid w:val="00993FAF"/>
    <w:rsid w:val="00994312"/>
    <w:rsid w:val="00994366"/>
    <w:rsid w:val="0099469B"/>
    <w:rsid w:val="009949F1"/>
    <w:rsid w:val="00994E18"/>
    <w:rsid w:val="00994E6E"/>
    <w:rsid w:val="0099524A"/>
    <w:rsid w:val="00995687"/>
    <w:rsid w:val="00995788"/>
    <w:rsid w:val="0099593D"/>
    <w:rsid w:val="00995A2A"/>
    <w:rsid w:val="00995E28"/>
    <w:rsid w:val="0099604E"/>
    <w:rsid w:val="00996305"/>
    <w:rsid w:val="00996E66"/>
    <w:rsid w:val="009971CD"/>
    <w:rsid w:val="009971D2"/>
    <w:rsid w:val="009A01C0"/>
    <w:rsid w:val="009A0290"/>
    <w:rsid w:val="009A0DB9"/>
    <w:rsid w:val="009A11EA"/>
    <w:rsid w:val="009A15F6"/>
    <w:rsid w:val="009A1BA2"/>
    <w:rsid w:val="009A242E"/>
    <w:rsid w:val="009A2701"/>
    <w:rsid w:val="009A2702"/>
    <w:rsid w:val="009A2BEC"/>
    <w:rsid w:val="009A2C6A"/>
    <w:rsid w:val="009A2EEF"/>
    <w:rsid w:val="009A311A"/>
    <w:rsid w:val="009A359F"/>
    <w:rsid w:val="009A3683"/>
    <w:rsid w:val="009A38C0"/>
    <w:rsid w:val="009A4246"/>
    <w:rsid w:val="009A42C9"/>
    <w:rsid w:val="009A43BD"/>
    <w:rsid w:val="009A48D4"/>
    <w:rsid w:val="009A4E38"/>
    <w:rsid w:val="009A4F45"/>
    <w:rsid w:val="009A5458"/>
    <w:rsid w:val="009A57E3"/>
    <w:rsid w:val="009A59F9"/>
    <w:rsid w:val="009A5BB2"/>
    <w:rsid w:val="009A5BE7"/>
    <w:rsid w:val="009A5DF5"/>
    <w:rsid w:val="009A5F5D"/>
    <w:rsid w:val="009A613F"/>
    <w:rsid w:val="009A67C0"/>
    <w:rsid w:val="009A681F"/>
    <w:rsid w:val="009A6C95"/>
    <w:rsid w:val="009A6DD8"/>
    <w:rsid w:val="009A6EC9"/>
    <w:rsid w:val="009A711A"/>
    <w:rsid w:val="009A76C7"/>
    <w:rsid w:val="009A7735"/>
    <w:rsid w:val="009B034B"/>
    <w:rsid w:val="009B03DF"/>
    <w:rsid w:val="009B06A6"/>
    <w:rsid w:val="009B0749"/>
    <w:rsid w:val="009B0918"/>
    <w:rsid w:val="009B130E"/>
    <w:rsid w:val="009B2114"/>
    <w:rsid w:val="009B26A7"/>
    <w:rsid w:val="009B29B6"/>
    <w:rsid w:val="009B2AE8"/>
    <w:rsid w:val="009B2CA0"/>
    <w:rsid w:val="009B2F33"/>
    <w:rsid w:val="009B3641"/>
    <w:rsid w:val="009B3B79"/>
    <w:rsid w:val="009B403B"/>
    <w:rsid w:val="009B4214"/>
    <w:rsid w:val="009B461E"/>
    <w:rsid w:val="009B4ABC"/>
    <w:rsid w:val="009B4BE4"/>
    <w:rsid w:val="009B4E2B"/>
    <w:rsid w:val="009B5288"/>
    <w:rsid w:val="009B5711"/>
    <w:rsid w:val="009B599E"/>
    <w:rsid w:val="009B5A18"/>
    <w:rsid w:val="009B5A1C"/>
    <w:rsid w:val="009B5B10"/>
    <w:rsid w:val="009B5E7F"/>
    <w:rsid w:val="009B610C"/>
    <w:rsid w:val="009B6977"/>
    <w:rsid w:val="009B7704"/>
    <w:rsid w:val="009B7B52"/>
    <w:rsid w:val="009C025B"/>
    <w:rsid w:val="009C0410"/>
    <w:rsid w:val="009C0AFF"/>
    <w:rsid w:val="009C0E16"/>
    <w:rsid w:val="009C11EC"/>
    <w:rsid w:val="009C13F0"/>
    <w:rsid w:val="009C1612"/>
    <w:rsid w:val="009C1BB7"/>
    <w:rsid w:val="009C2044"/>
    <w:rsid w:val="009C2210"/>
    <w:rsid w:val="009C2485"/>
    <w:rsid w:val="009C2738"/>
    <w:rsid w:val="009C29AB"/>
    <w:rsid w:val="009C2E01"/>
    <w:rsid w:val="009C2F5E"/>
    <w:rsid w:val="009C30A4"/>
    <w:rsid w:val="009C3517"/>
    <w:rsid w:val="009C392F"/>
    <w:rsid w:val="009C3A9C"/>
    <w:rsid w:val="009C3B52"/>
    <w:rsid w:val="009C3DEB"/>
    <w:rsid w:val="009C4213"/>
    <w:rsid w:val="009C44C8"/>
    <w:rsid w:val="009C469E"/>
    <w:rsid w:val="009C491D"/>
    <w:rsid w:val="009C5094"/>
    <w:rsid w:val="009C54C7"/>
    <w:rsid w:val="009C5544"/>
    <w:rsid w:val="009C5795"/>
    <w:rsid w:val="009C5B62"/>
    <w:rsid w:val="009C6187"/>
    <w:rsid w:val="009C6377"/>
    <w:rsid w:val="009C6B34"/>
    <w:rsid w:val="009C6BB6"/>
    <w:rsid w:val="009C700A"/>
    <w:rsid w:val="009C72F0"/>
    <w:rsid w:val="009C7339"/>
    <w:rsid w:val="009C761B"/>
    <w:rsid w:val="009C76EE"/>
    <w:rsid w:val="009C7B93"/>
    <w:rsid w:val="009C7C54"/>
    <w:rsid w:val="009C7CB6"/>
    <w:rsid w:val="009D010A"/>
    <w:rsid w:val="009D016E"/>
    <w:rsid w:val="009D07D8"/>
    <w:rsid w:val="009D0CBA"/>
    <w:rsid w:val="009D0CC8"/>
    <w:rsid w:val="009D1361"/>
    <w:rsid w:val="009D18BA"/>
    <w:rsid w:val="009D1B18"/>
    <w:rsid w:val="009D1F6A"/>
    <w:rsid w:val="009D246D"/>
    <w:rsid w:val="009D247F"/>
    <w:rsid w:val="009D251C"/>
    <w:rsid w:val="009D252C"/>
    <w:rsid w:val="009D2834"/>
    <w:rsid w:val="009D2A67"/>
    <w:rsid w:val="009D2E11"/>
    <w:rsid w:val="009D3E36"/>
    <w:rsid w:val="009D3ECA"/>
    <w:rsid w:val="009D43FF"/>
    <w:rsid w:val="009D4F39"/>
    <w:rsid w:val="009D515C"/>
    <w:rsid w:val="009D5167"/>
    <w:rsid w:val="009D57A4"/>
    <w:rsid w:val="009D5D12"/>
    <w:rsid w:val="009D60A3"/>
    <w:rsid w:val="009D686B"/>
    <w:rsid w:val="009D69A0"/>
    <w:rsid w:val="009D6EEC"/>
    <w:rsid w:val="009D6EF0"/>
    <w:rsid w:val="009D734F"/>
    <w:rsid w:val="009D7886"/>
    <w:rsid w:val="009D7F9F"/>
    <w:rsid w:val="009E04CB"/>
    <w:rsid w:val="009E05B2"/>
    <w:rsid w:val="009E0611"/>
    <w:rsid w:val="009E09DC"/>
    <w:rsid w:val="009E0B04"/>
    <w:rsid w:val="009E0E2D"/>
    <w:rsid w:val="009E0EDA"/>
    <w:rsid w:val="009E0FE1"/>
    <w:rsid w:val="009E1033"/>
    <w:rsid w:val="009E1384"/>
    <w:rsid w:val="009E194F"/>
    <w:rsid w:val="009E1E41"/>
    <w:rsid w:val="009E20E9"/>
    <w:rsid w:val="009E216D"/>
    <w:rsid w:val="009E2C17"/>
    <w:rsid w:val="009E2F7C"/>
    <w:rsid w:val="009E31FD"/>
    <w:rsid w:val="009E39C1"/>
    <w:rsid w:val="009E3B2B"/>
    <w:rsid w:val="009E3E2D"/>
    <w:rsid w:val="009E45E3"/>
    <w:rsid w:val="009E4803"/>
    <w:rsid w:val="009E4834"/>
    <w:rsid w:val="009E496D"/>
    <w:rsid w:val="009E4D39"/>
    <w:rsid w:val="009E5126"/>
    <w:rsid w:val="009E5221"/>
    <w:rsid w:val="009E549E"/>
    <w:rsid w:val="009E5604"/>
    <w:rsid w:val="009E5664"/>
    <w:rsid w:val="009E59D3"/>
    <w:rsid w:val="009E6131"/>
    <w:rsid w:val="009E616B"/>
    <w:rsid w:val="009E63D7"/>
    <w:rsid w:val="009E6772"/>
    <w:rsid w:val="009E68AF"/>
    <w:rsid w:val="009E6AD4"/>
    <w:rsid w:val="009E6AE2"/>
    <w:rsid w:val="009E6F3C"/>
    <w:rsid w:val="009E7149"/>
    <w:rsid w:val="009E7413"/>
    <w:rsid w:val="009E760C"/>
    <w:rsid w:val="009F0050"/>
    <w:rsid w:val="009F0FFC"/>
    <w:rsid w:val="009F16F1"/>
    <w:rsid w:val="009F19C2"/>
    <w:rsid w:val="009F1BA7"/>
    <w:rsid w:val="009F1C23"/>
    <w:rsid w:val="009F1C78"/>
    <w:rsid w:val="009F200F"/>
    <w:rsid w:val="009F2344"/>
    <w:rsid w:val="009F2525"/>
    <w:rsid w:val="009F2A35"/>
    <w:rsid w:val="009F2B2F"/>
    <w:rsid w:val="009F3390"/>
    <w:rsid w:val="009F35EE"/>
    <w:rsid w:val="009F3849"/>
    <w:rsid w:val="009F3866"/>
    <w:rsid w:val="009F3AB3"/>
    <w:rsid w:val="009F3DEA"/>
    <w:rsid w:val="009F4D08"/>
    <w:rsid w:val="009F4D3E"/>
    <w:rsid w:val="009F4D4B"/>
    <w:rsid w:val="009F5266"/>
    <w:rsid w:val="009F58D6"/>
    <w:rsid w:val="009F5F92"/>
    <w:rsid w:val="009F6180"/>
    <w:rsid w:val="009F64C3"/>
    <w:rsid w:val="009F65A6"/>
    <w:rsid w:val="009F6B59"/>
    <w:rsid w:val="009F726C"/>
    <w:rsid w:val="009F728D"/>
    <w:rsid w:val="009F7E5D"/>
    <w:rsid w:val="00A0029D"/>
    <w:rsid w:val="00A00327"/>
    <w:rsid w:val="00A00AF6"/>
    <w:rsid w:val="00A00AFB"/>
    <w:rsid w:val="00A00C1E"/>
    <w:rsid w:val="00A01161"/>
    <w:rsid w:val="00A012E7"/>
    <w:rsid w:val="00A01314"/>
    <w:rsid w:val="00A01B69"/>
    <w:rsid w:val="00A01B8F"/>
    <w:rsid w:val="00A01BC2"/>
    <w:rsid w:val="00A01E60"/>
    <w:rsid w:val="00A02277"/>
    <w:rsid w:val="00A02756"/>
    <w:rsid w:val="00A027C7"/>
    <w:rsid w:val="00A02A3D"/>
    <w:rsid w:val="00A02B49"/>
    <w:rsid w:val="00A02BAA"/>
    <w:rsid w:val="00A02BED"/>
    <w:rsid w:val="00A03231"/>
    <w:rsid w:val="00A034C4"/>
    <w:rsid w:val="00A037AF"/>
    <w:rsid w:val="00A03B7A"/>
    <w:rsid w:val="00A03C1B"/>
    <w:rsid w:val="00A03CBB"/>
    <w:rsid w:val="00A03F4D"/>
    <w:rsid w:val="00A041C4"/>
    <w:rsid w:val="00A04802"/>
    <w:rsid w:val="00A0489F"/>
    <w:rsid w:val="00A04D5B"/>
    <w:rsid w:val="00A05BDF"/>
    <w:rsid w:val="00A05D06"/>
    <w:rsid w:val="00A0646C"/>
    <w:rsid w:val="00A06672"/>
    <w:rsid w:val="00A06743"/>
    <w:rsid w:val="00A067C8"/>
    <w:rsid w:val="00A06813"/>
    <w:rsid w:val="00A06AC8"/>
    <w:rsid w:val="00A06BA5"/>
    <w:rsid w:val="00A06BE9"/>
    <w:rsid w:val="00A06CB3"/>
    <w:rsid w:val="00A077E0"/>
    <w:rsid w:val="00A07A59"/>
    <w:rsid w:val="00A10113"/>
    <w:rsid w:val="00A10233"/>
    <w:rsid w:val="00A108E3"/>
    <w:rsid w:val="00A10EB6"/>
    <w:rsid w:val="00A116C2"/>
    <w:rsid w:val="00A11819"/>
    <w:rsid w:val="00A11A6F"/>
    <w:rsid w:val="00A12238"/>
    <w:rsid w:val="00A12336"/>
    <w:rsid w:val="00A12883"/>
    <w:rsid w:val="00A128B2"/>
    <w:rsid w:val="00A12A64"/>
    <w:rsid w:val="00A12D96"/>
    <w:rsid w:val="00A13524"/>
    <w:rsid w:val="00A1387B"/>
    <w:rsid w:val="00A13CCA"/>
    <w:rsid w:val="00A13DF2"/>
    <w:rsid w:val="00A1438E"/>
    <w:rsid w:val="00A14586"/>
    <w:rsid w:val="00A146A3"/>
    <w:rsid w:val="00A14731"/>
    <w:rsid w:val="00A14A43"/>
    <w:rsid w:val="00A14AED"/>
    <w:rsid w:val="00A14C51"/>
    <w:rsid w:val="00A1505A"/>
    <w:rsid w:val="00A154FE"/>
    <w:rsid w:val="00A156D7"/>
    <w:rsid w:val="00A15783"/>
    <w:rsid w:val="00A15920"/>
    <w:rsid w:val="00A15A6E"/>
    <w:rsid w:val="00A15C63"/>
    <w:rsid w:val="00A15E21"/>
    <w:rsid w:val="00A16136"/>
    <w:rsid w:val="00A16446"/>
    <w:rsid w:val="00A16657"/>
    <w:rsid w:val="00A168BE"/>
    <w:rsid w:val="00A16DC1"/>
    <w:rsid w:val="00A16E7D"/>
    <w:rsid w:val="00A175F5"/>
    <w:rsid w:val="00A17BC9"/>
    <w:rsid w:val="00A17C86"/>
    <w:rsid w:val="00A17D63"/>
    <w:rsid w:val="00A20128"/>
    <w:rsid w:val="00A2016A"/>
    <w:rsid w:val="00A20555"/>
    <w:rsid w:val="00A2093A"/>
    <w:rsid w:val="00A20984"/>
    <w:rsid w:val="00A20DB9"/>
    <w:rsid w:val="00A20E44"/>
    <w:rsid w:val="00A20F03"/>
    <w:rsid w:val="00A214CF"/>
    <w:rsid w:val="00A21814"/>
    <w:rsid w:val="00A21815"/>
    <w:rsid w:val="00A21EC7"/>
    <w:rsid w:val="00A22115"/>
    <w:rsid w:val="00A22117"/>
    <w:rsid w:val="00A22614"/>
    <w:rsid w:val="00A22A38"/>
    <w:rsid w:val="00A22FF3"/>
    <w:rsid w:val="00A237FA"/>
    <w:rsid w:val="00A23B28"/>
    <w:rsid w:val="00A23B6D"/>
    <w:rsid w:val="00A245B2"/>
    <w:rsid w:val="00A2465A"/>
    <w:rsid w:val="00A2475E"/>
    <w:rsid w:val="00A24985"/>
    <w:rsid w:val="00A24B3B"/>
    <w:rsid w:val="00A24F93"/>
    <w:rsid w:val="00A2511A"/>
    <w:rsid w:val="00A26416"/>
    <w:rsid w:val="00A26439"/>
    <w:rsid w:val="00A264E6"/>
    <w:rsid w:val="00A26931"/>
    <w:rsid w:val="00A26A9D"/>
    <w:rsid w:val="00A26FC6"/>
    <w:rsid w:val="00A27292"/>
    <w:rsid w:val="00A27EA2"/>
    <w:rsid w:val="00A27FA3"/>
    <w:rsid w:val="00A30351"/>
    <w:rsid w:val="00A30778"/>
    <w:rsid w:val="00A31650"/>
    <w:rsid w:val="00A3185E"/>
    <w:rsid w:val="00A321C5"/>
    <w:rsid w:val="00A32C8A"/>
    <w:rsid w:val="00A32D03"/>
    <w:rsid w:val="00A32DF0"/>
    <w:rsid w:val="00A33BEC"/>
    <w:rsid w:val="00A33DD0"/>
    <w:rsid w:val="00A33E0F"/>
    <w:rsid w:val="00A33F9B"/>
    <w:rsid w:val="00A340D2"/>
    <w:rsid w:val="00A34233"/>
    <w:rsid w:val="00A342EE"/>
    <w:rsid w:val="00A343DF"/>
    <w:rsid w:val="00A3442A"/>
    <w:rsid w:val="00A34477"/>
    <w:rsid w:val="00A346D6"/>
    <w:rsid w:val="00A34B3F"/>
    <w:rsid w:val="00A34C3E"/>
    <w:rsid w:val="00A351EB"/>
    <w:rsid w:val="00A3626A"/>
    <w:rsid w:val="00A3637F"/>
    <w:rsid w:val="00A366B3"/>
    <w:rsid w:val="00A36D2B"/>
    <w:rsid w:val="00A37CFE"/>
    <w:rsid w:val="00A4006C"/>
    <w:rsid w:val="00A40390"/>
    <w:rsid w:val="00A4063D"/>
    <w:rsid w:val="00A40652"/>
    <w:rsid w:val="00A409F7"/>
    <w:rsid w:val="00A40B52"/>
    <w:rsid w:val="00A40CE2"/>
    <w:rsid w:val="00A410C7"/>
    <w:rsid w:val="00A416C8"/>
    <w:rsid w:val="00A41A8F"/>
    <w:rsid w:val="00A41D5F"/>
    <w:rsid w:val="00A41FCA"/>
    <w:rsid w:val="00A4220C"/>
    <w:rsid w:val="00A42218"/>
    <w:rsid w:val="00A4249A"/>
    <w:rsid w:val="00A42AF7"/>
    <w:rsid w:val="00A42C5D"/>
    <w:rsid w:val="00A42CCC"/>
    <w:rsid w:val="00A433DD"/>
    <w:rsid w:val="00A43E3A"/>
    <w:rsid w:val="00A43F5D"/>
    <w:rsid w:val="00A44001"/>
    <w:rsid w:val="00A44113"/>
    <w:rsid w:val="00A44284"/>
    <w:rsid w:val="00A44537"/>
    <w:rsid w:val="00A449A5"/>
    <w:rsid w:val="00A44CA1"/>
    <w:rsid w:val="00A450A1"/>
    <w:rsid w:val="00A4519C"/>
    <w:rsid w:val="00A454C4"/>
    <w:rsid w:val="00A45622"/>
    <w:rsid w:val="00A456F0"/>
    <w:rsid w:val="00A45A83"/>
    <w:rsid w:val="00A45BF7"/>
    <w:rsid w:val="00A4633B"/>
    <w:rsid w:val="00A46457"/>
    <w:rsid w:val="00A465D4"/>
    <w:rsid w:val="00A466C7"/>
    <w:rsid w:val="00A46BBC"/>
    <w:rsid w:val="00A4715B"/>
    <w:rsid w:val="00A472C2"/>
    <w:rsid w:val="00A47367"/>
    <w:rsid w:val="00A476B5"/>
    <w:rsid w:val="00A47965"/>
    <w:rsid w:val="00A47A94"/>
    <w:rsid w:val="00A47BD0"/>
    <w:rsid w:val="00A47C65"/>
    <w:rsid w:val="00A50239"/>
    <w:rsid w:val="00A50308"/>
    <w:rsid w:val="00A504ED"/>
    <w:rsid w:val="00A505AC"/>
    <w:rsid w:val="00A50668"/>
    <w:rsid w:val="00A506BD"/>
    <w:rsid w:val="00A50A04"/>
    <w:rsid w:val="00A50E7F"/>
    <w:rsid w:val="00A52132"/>
    <w:rsid w:val="00A522FF"/>
    <w:rsid w:val="00A52847"/>
    <w:rsid w:val="00A529A5"/>
    <w:rsid w:val="00A529FF"/>
    <w:rsid w:val="00A52C4F"/>
    <w:rsid w:val="00A52D18"/>
    <w:rsid w:val="00A53679"/>
    <w:rsid w:val="00A53D55"/>
    <w:rsid w:val="00A53F00"/>
    <w:rsid w:val="00A54055"/>
    <w:rsid w:val="00A5435C"/>
    <w:rsid w:val="00A544A5"/>
    <w:rsid w:val="00A54967"/>
    <w:rsid w:val="00A54CFE"/>
    <w:rsid w:val="00A550D3"/>
    <w:rsid w:val="00A55107"/>
    <w:rsid w:val="00A553EC"/>
    <w:rsid w:val="00A5565B"/>
    <w:rsid w:val="00A55878"/>
    <w:rsid w:val="00A55CE3"/>
    <w:rsid w:val="00A55ED4"/>
    <w:rsid w:val="00A5612D"/>
    <w:rsid w:val="00A56144"/>
    <w:rsid w:val="00A564AB"/>
    <w:rsid w:val="00A5678C"/>
    <w:rsid w:val="00A56822"/>
    <w:rsid w:val="00A5715B"/>
    <w:rsid w:val="00A57264"/>
    <w:rsid w:val="00A574A2"/>
    <w:rsid w:val="00A5757E"/>
    <w:rsid w:val="00A57745"/>
    <w:rsid w:val="00A579CC"/>
    <w:rsid w:val="00A57D96"/>
    <w:rsid w:val="00A57FA2"/>
    <w:rsid w:val="00A60608"/>
    <w:rsid w:val="00A60A55"/>
    <w:rsid w:val="00A612FD"/>
    <w:rsid w:val="00A6136A"/>
    <w:rsid w:val="00A61503"/>
    <w:rsid w:val="00A6156D"/>
    <w:rsid w:val="00A616DB"/>
    <w:rsid w:val="00A617AE"/>
    <w:rsid w:val="00A6194F"/>
    <w:rsid w:val="00A61958"/>
    <w:rsid w:val="00A61CAF"/>
    <w:rsid w:val="00A61FFB"/>
    <w:rsid w:val="00A6257E"/>
    <w:rsid w:val="00A626E7"/>
    <w:rsid w:val="00A62812"/>
    <w:rsid w:val="00A62D4E"/>
    <w:rsid w:val="00A62EB5"/>
    <w:rsid w:val="00A634C5"/>
    <w:rsid w:val="00A638FE"/>
    <w:rsid w:val="00A6395B"/>
    <w:rsid w:val="00A6397A"/>
    <w:rsid w:val="00A639BE"/>
    <w:rsid w:val="00A63ACB"/>
    <w:rsid w:val="00A63B0E"/>
    <w:rsid w:val="00A63EF7"/>
    <w:rsid w:val="00A643BF"/>
    <w:rsid w:val="00A644B0"/>
    <w:rsid w:val="00A645FF"/>
    <w:rsid w:val="00A64759"/>
    <w:rsid w:val="00A651AB"/>
    <w:rsid w:val="00A65CFF"/>
    <w:rsid w:val="00A663C6"/>
    <w:rsid w:val="00A669EC"/>
    <w:rsid w:val="00A66C9B"/>
    <w:rsid w:val="00A6737C"/>
    <w:rsid w:val="00A673D5"/>
    <w:rsid w:val="00A6747B"/>
    <w:rsid w:val="00A67E2A"/>
    <w:rsid w:val="00A70289"/>
    <w:rsid w:val="00A704F2"/>
    <w:rsid w:val="00A7089B"/>
    <w:rsid w:val="00A70AB8"/>
    <w:rsid w:val="00A71A40"/>
    <w:rsid w:val="00A71E5F"/>
    <w:rsid w:val="00A71F33"/>
    <w:rsid w:val="00A721D0"/>
    <w:rsid w:val="00A729C0"/>
    <w:rsid w:val="00A72DA6"/>
    <w:rsid w:val="00A72DDB"/>
    <w:rsid w:val="00A73903"/>
    <w:rsid w:val="00A73D69"/>
    <w:rsid w:val="00A73D6D"/>
    <w:rsid w:val="00A73D93"/>
    <w:rsid w:val="00A73DFE"/>
    <w:rsid w:val="00A741B8"/>
    <w:rsid w:val="00A744A2"/>
    <w:rsid w:val="00A74500"/>
    <w:rsid w:val="00A746AE"/>
    <w:rsid w:val="00A7483C"/>
    <w:rsid w:val="00A74CF1"/>
    <w:rsid w:val="00A74D61"/>
    <w:rsid w:val="00A74F04"/>
    <w:rsid w:val="00A7505F"/>
    <w:rsid w:val="00A750A5"/>
    <w:rsid w:val="00A751C7"/>
    <w:rsid w:val="00A754D3"/>
    <w:rsid w:val="00A7567A"/>
    <w:rsid w:val="00A7571A"/>
    <w:rsid w:val="00A759DA"/>
    <w:rsid w:val="00A75E2E"/>
    <w:rsid w:val="00A76038"/>
    <w:rsid w:val="00A760FE"/>
    <w:rsid w:val="00A76105"/>
    <w:rsid w:val="00A76313"/>
    <w:rsid w:val="00A76C82"/>
    <w:rsid w:val="00A76E8B"/>
    <w:rsid w:val="00A772E9"/>
    <w:rsid w:val="00A77504"/>
    <w:rsid w:val="00A775F1"/>
    <w:rsid w:val="00A80137"/>
    <w:rsid w:val="00A804FC"/>
    <w:rsid w:val="00A8077C"/>
    <w:rsid w:val="00A807E9"/>
    <w:rsid w:val="00A80DDC"/>
    <w:rsid w:val="00A80F8A"/>
    <w:rsid w:val="00A81523"/>
    <w:rsid w:val="00A818AF"/>
    <w:rsid w:val="00A818E6"/>
    <w:rsid w:val="00A81D42"/>
    <w:rsid w:val="00A81F2D"/>
    <w:rsid w:val="00A81FC3"/>
    <w:rsid w:val="00A82499"/>
    <w:rsid w:val="00A824CD"/>
    <w:rsid w:val="00A82B2A"/>
    <w:rsid w:val="00A82C59"/>
    <w:rsid w:val="00A82C75"/>
    <w:rsid w:val="00A82FA1"/>
    <w:rsid w:val="00A83070"/>
    <w:rsid w:val="00A8311C"/>
    <w:rsid w:val="00A83C49"/>
    <w:rsid w:val="00A83E4F"/>
    <w:rsid w:val="00A83E89"/>
    <w:rsid w:val="00A8401B"/>
    <w:rsid w:val="00A84745"/>
    <w:rsid w:val="00A84A0D"/>
    <w:rsid w:val="00A84C79"/>
    <w:rsid w:val="00A84DB9"/>
    <w:rsid w:val="00A856BD"/>
    <w:rsid w:val="00A85B38"/>
    <w:rsid w:val="00A85C85"/>
    <w:rsid w:val="00A862CF"/>
    <w:rsid w:val="00A863A2"/>
    <w:rsid w:val="00A869C7"/>
    <w:rsid w:val="00A869CB"/>
    <w:rsid w:val="00A86D2E"/>
    <w:rsid w:val="00A86D79"/>
    <w:rsid w:val="00A86E5E"/>
    <w:rsid w:val="00A870BB"/>
    <w:rsid w:val="00A877E2"/>
    <w:rsid w:val="00A87BA0"/>
    <w:rsid w:val="00A905FD"/>
    <w:rsid w:val="00A90629"/>
    <w:rsid w:val="00A907A8"/>
    <w:rsid w:val="00A909C0"/>
    <w:rsid w:val="00A90A07"/>
    <w:rsid w:val="00A90A35"/>
    <w:rsid w:val="00A91461"/>
    <w:rsid w:val="00A917AC"/>
    <w:rsid w:val="00A91860"/>
    <w:rsid w:val="00A91882"/>
    <w:rsid w:val="00A926E0"/>
    <w:rsid w:val="00A92AA8"/>
    <w:rsid w:val="00A92AB2"/>
    <w:rsid w:val="00A92AFC"/>
    <w:rsid w:val="00A92F08"/>
    <w:rsid w:val="00A9316A"/>
    <w:rsid w:val="00A93372"/>
    <w:rsid w:val="00A9359D"/>
    <w:rsid w:val="00A93A98"/>
    <w:rsid w:val="00A94091"/>
    <w:rsid w:val="00A94307"/>
    <w:rsid w:val="00A94385"/>
    <w:rsid w:val="00A94522"/>
    <w:rsid w:val="00A945C6"/>
    <w:rsid w:val="00A946A1"/>
    <w:rsid w:val="00A94928"/>
    <w:rsid w:val="00A949D5"/>
    <w:rsid w:val="00A94B0B"/>
    <w:rsid w:val="00A94DA9"/>
    <w:rsid w:val="00A94F24"/>
    <w:rsid w:val="00A95085"/>
    <w:rsid w:val="00A95089"/>
    <w:rsid w:val="00A95095"/>
    <w:rsid w:val="00A95130"/>
    <w:rsid w:val="00A9514A"/>
    <w:rsid w:val="00A9582D"/>
    <w:rsid w:val="00A95C1F"/>
    <w:rsid w:val="00A95FA2"/>
    <w:rsid w:val="00A9613C"/>
    <w:rsid w:val="00A96380"/>
    <w:rsid w:val="00A9661F"/>
    <w:rsid w:val="00A96719"/>
    <w:rsid w:val="00A968D5"/>
    <w:rsid w:val="00A97070"/>
    <w:rsid w:val="00A97193"/>
    <w:rsid w:val="00A97715"/>
    <w:rsid w:val="00A97E7F"/>
    <w:rsid w:val="00AA0364"/>
    <w:rsid w:val="00AA0385"/>
    <w:rsid w:val="00AA048F"/>
    <w:rsid w:val="00AA049C"/>
    <w:rsid w:val="00AA0554"/>
    <w:rsid w:val="00AA0999"/>
    <w:rsid w:val="00AA09C8"/>
    <w:rsid w:val="00AA16AB"/>
    <w:rsid w:val="00AA179F"/>
    <w:rsid w:val="00AA2377"/>
    <w:rsid w:val="00AA26B5"/>
    <w:rsid w:val="00AA2C8E"/>
    <w:rsid w:val="00AA309D"/>
    <w:rsid w:val="00AA3151"/>
    <w:rsid w:val="00AA318E"/>
    <w:rsid w:val="00AA3C0B"/>
    <w:rsid w:val="00AA3FE9"/>
    <w:rsid w:val="00AA427B"/>
    <w:rsid w:val="00AA434B"/>
    <w:rsid w:val="00AA4554"/>
    <w:rsid w:val="00AA4A0B"/>
    <w:rsid w:val="00AA5071"/>
    <w:rsid w:val="00AA5485"/>
    <w:rsid w:val="00AA55DB"/>
    <w:rsid w:val="00AA5784"/>
    <w:rsid w:val="00AA5B89"/>
    <w:rsid w:val="00AA5D8B"/>
    <w:rsid w:val="00AA6049"/>
    <w:rsid w:val="00AA71A0"/>
    <w:rsid w:val="00AA74E8"/>
    <w:rsid w:val="00AA774E"/>
    <w:rsid w:val="00AA7DF3"/>
    <w:rsid w:val="00AB0682"/>
    <w:rsid w:val="00AB0F31"/>
    <w:rsid w:val="00AB1106"/>
    <w:rsid w:val="00AB121E"/>
    <w:rsid w:val="00AB1448"/>
    <w:rsid w:val="00AB1928"/>
    <w:rsid w:val="00AB1B72"/>
    <w:rsid w:val="00AB1D41"/>
    <w:rsid w:val="00AB1DDA"/>
    <w:rsid w:val="00AB1DDD"/>
    <w:rsid w:val="00AB2746"/>
    <w:rsid w:val="00AB285A"/>
    <w:rsid w:val="00AB28EE"/>
    <w:rsid w:val="00AB2CDB"/>
    <w:rsid w:val="00AB2E90"/>
    <w:rsid w:val="00AB3261"/>
    <w:rsid w:val="00AB3411"/>
    <w:rsid w:val="00AB34ED"/>
    <w:rsid w:val="00AB387A"/>
    <w:rsid w:val="00AB38FF"/>
    <w:rsid w:val="00AB3AFE"/>
    <w:rsid w:val="00AB3BF4"/>
    <w:rsid w:val="00AB3D56"/>
    <w:rsid w:val="00AB40AA"/>
    <w:rsid w:val="00AB4AF6"/>
    <w:rsid w:val="00AB4ED7"/>
    <w:rsid w:val="00AB50B6"/>
    <w:rsid w:val="00AB5491"/>
    <w:rsid w:val="00AB558E"/>
    <w:rsid w:val="00AB5671"/>
    <w:rsid w:val="00AB59D3"/>
    <w:rsid w:val="00AB63CC"/>
    <w:rsid w:val="00AB63EE"/>
    <w:rsid w:val="00AB68B4"/>
    <w:rsid w:val="00AB6D47"/>
    <w:rsid w:val="00AB6D6A"/>
    <w:rsid w:val="00AB708B"/>
    <w:rsid w:val="00AB7149"/>
    <w:rsid w:val="00AB7465"/>
    <w:rsid w:val="00AB7856"/>
    <w:rsid w:val="00AB7A2C"/>
    <w:rsid w:val="00AB7A8A"/>
    <w:rsid w:val="00AC0066"/>
    <w:rsid w:val="00AC0108"/>
    <w:rsid w:val="00AC01EF"/>
    <w:rsid w:val="00AC04CC"/>
    <w:rsid w:val="00AC07B9"/>
    <w:rsid w:val="00AC0A0B"/>
    <w:rsid w:val="00AC0AA3"/>
    <w:rsid w:val="00AC0BCD"/>
    <w:rsid w:val="00AC0E7A"/>
    <w:rsid w:val="00AC115C"/>
    <w:rsid w:val="00AC1A2C"/>
    <w:rsid w:val="00AC1BB5"/>
    <w:rsid w:val="00AC1CDC"/>
    <w:rsid w:val="00AC2194"/>
    <w:rsid w:val="00AC261C"/>
    <w:rsid w:val="00AC27FA"/>
    <w:rsid w:val="00AC28F8"/>
    <w:rsid w:val="00AC2D46"/>
    <w:rsid w:val="00AC2E07"/>
    <w:rsid w:val="00AC3175"/>
    <w:rsid w:val="00AC37C6"/>
    <w:rsid w:val="00AC3968"/>
    <w:rsid w:val="00AC3EA0"/>
    <w:rsid w:val="00AC4A02"/>
    <w:rsid w:val="00AC4B6A"/>
    <w:rsid w:val="00AC4D27"/>
    <w:rsid w:val="00AC5001"/>
    <w:rsid w:val="00AC53F1"/>
    <w:rsid w:val="00AC55C1"/>
    <w:rsid w:val="00AC5D33"/>
    <w:rsid w:val="00AC705B"/>
    <w:rsid w:val="00AC7F15"/>
    <w:rsid w:val="00AC7F4B"/>
    <w:rsid w:val="00AD08F7"/>
    <w:rsid w:val="00AD0A43"/>
    <w:rsid w:val="00AD12B8"/>
    <w:rsid w:val="00AD12EB"/>
    <w:rsid w:val="00AD14B0"/>
    <w:rsid w:val="00AD15CE"/>
    <w:rsid w:val="00AD16DF"/>
    <w:rsid w:val="00AD1ADF"/>
    <w:rsid w:val="00AD21EF"/>
    <w:rsid w:val="00AD23B9"/>
    <w:rsid w:val="00AD268C"/>
    <w:rsid w:val="00AD2AEB"/>
    <w:rsid w:val="00AD301D"/>
    <w:rsid w:val="00AD35AB"/>
    <w:rsid w:val="00AD3B3D"/>
    <w:rsid w:val="00AD5073"/>
    <w:rsid w:val="00AD526D"/>
    <w:rsid w:val="00AD5768"/>
    <w:rsid w:val="00AD57F2"/>
    <w:rsid w:val="00AD5CC9"/>
    <w:rsid w:val="00AD618E"/>
    <w:rsid w:val="00AD61CD"/>
    <w:rsid w:val="00AD67A4"/>
    <w:rsid w:val="00AD68E1"/>
    <w:rsid w:val="00AD6A62"/>
    <w:rsid w:val="00AD6BF3"/>
    <w:rsid w:val="00AD71B3"/>
    <w:rsid w:val="00AD7349"/>
    <w:rsid w:val="00AD7467"/>
    <w:rsid w:val="00AD76A8"/>
    <w:rsid w:val="00AD7735"/>
    <w:rsid w:val="00AD7AEC"/>
    <w:rsid w:val="00AD7E4A"/>
    <w:rsid w:val="00AD7F79"/>
    <w:rsid w:val="00AE0484"/>
    <w:rsid w:val="00AE092B"/>
    <w:rsid w:val="00AE0982"/>
    <w:rsid w:val="00AE0B26"/>
    <w:rsid w:val="00AE0C4E"/>
    <w:rsid w:val="00AE0DB7"/>
    <w:rsid w:val="00AE0FBA"/>
    <w:rsid w:val="00AE10EC"/>
    <w:rsid w:val="00AE1241"/>
    <w:rsid w:val="00AE202B"/>
    <w:rsid w:val="00AE227F"/>
    <w:rsid w:val="00AE22D8"/>
    <w:rsid w:val="00AE2416"/>
    <w:rsid w:val="00AE26D9"/>
    <w:rsid w:val="00AE2806"/>
    <w:rsid w:val="00AE2978"/>
    <w:rsid w:val="00AE2C0B"/>
    <w:rsid w:val="00AE3236"/>
    <w:rsid w:val="00AE4441"/>
    <w:rsid w:val="00AE4754"/>
    <w:rsid w:val="00AE4F28"/>
    <w:rsid w:val="00AE6069"/>
    <w:rsid w:val="00AE616B"/>
    <w:rsid w:val="00AE6E50"/>
    <w:rsid w:val="00AE6F53"/>
    <w:rsid w:val="00AE7061"/>
    <w:rsid w:val="00AE7191"/>
    <w:rsid w:val="00AE7396"/>
    <w:rsid w:val="00AE751C"/>
    <w:rsid w:val="00AE788C"/>
    <w:rsid w:val="00AE7995"/>
    <w:rsid w:val="00AE7B83"/>
    <w:rsid w:val="00AE7FA9"/>
    <w:rsid w:val="00AF0165"/>
    <w:rsid w:val="00AF05ED"/>
    <w:rsid w:val="00AF1413"/>
    <w:rsid w:val="00AF198D"/>
    <w:rsid w:val="00AF24FE"/>
    <w:rsid w:val="00AF3693"/>
    <w:rsid w:val="00AF3F16"/>
    <w:rsid w:val="00AF4119"/>
    <w:rsid w:val="00AF4185"/>
    <w:rsid w:val="00AF4397"/>
    <w:rsid w:val="00AF4764"/>
    <w:rsid w:val="00AF4AEE"/>
    <w:rsid w:val="00AF516D"/>
    <w:rsid w:val="00AF51B0"/>
    <w:rsid w:val="00AF51EA"/>
    <w:rsid w:val="00AF58B6"/>
    <w:rsid w:val="00AF5FE1"/>
    <w:rsid w:val="00AF6680"/>
    <w:rsid w:val="00AF67B7"/>
    <w:rsid w:val="00AF6C28"/>
    <w:rsid w:val="00AF6E8E"/>
    <w:rsid w:val="00AF72D8"/>
    <w:rsid w:val="00AF7532"/>
    <w:rsid w:val="00B00087"/>
    <w:rsid w:val="00B002DE"/>
    <w:rsid w:val="00B00704"/>
    <w:rsid w:val="00B008BA"/>
    <w:rsid w:val="00B0113C"/>
    <w:rsid w:val="00B01429"/>
    <w:rsid w:val="00B01513"/>
    <w:rsid w:val="00B01843"/>
    <w:rsid w:val="00B0189C"/>
    <w:rsid w:val="00B01E18"/>
    <w:rsid w:val="00B02A0D"/>
    <w:rsid w:val="00B02E68"/>
    <w:rsid w:val="00B02F12"/>
    <w:rsid w:val="00B0338C"/>
    <w:rsid w:val="00B03F97"/>
    <w:rsid w:val="00B0446D"/>
    <w:rsid w:val="00B04AF3"/>
    <w:rsid w:val="00B04B31"/>
    <w:rsid w:val="00B04D7D"/>
    <w:rsid w:val="00B04F07"/>
    <w:rsid w:val="00B05490"/>
    <w:rsid w:val="00B057BD"/>
    <w:rsid w:val="00B057C7"/>
    <w:rsid w:val="00B058E4"/>
    <w:rsid w:val="00B05D8E"/>
    <w:rsid w:val="00B06240"/>
    <w:rsid w:val="00B06334"/>
    <w:rsid w:val="00B06376"/>
    <w:rsid w:val="00B06B5C"/>
    <w:rsid w:val="00B06CEA"/>
    <w:rsid w:val="00B06FD4"/>
    <w:rsid w:val="00B076AB"/>
    <w:rsid w:val="00B0774F"/>
    <w:rsid w:val="00B077B7"/>
    <w:rsid w:val="00B0785E"/>
    <w:rsid w:val="00B07ADA"/>
    <w:rsid w:val="00B10320"/>
    <w:rsid w:val="00B10349"/>
    <w:rsid w:val="00B1034A"/>
    <w:rsid w:val="00B108DC"/>
    <w:rsid w:val="00B109E9"/>
    <w:rsid w:val="00B10B76"/>
    <w:rsid w:val="00B10C21"/>
    <w:rsid w:val="00B10C4C"/>
    <w:rsid w:val="00B10D62"/>
    <w:rsid w:val="00B11075"/>
    <w:rsid w:val="00B11444"/>
    <w:rsid w:val="00B115D3"/>
    <w:rsid w:val="00B11764"/>
    <w:rsid w:val="00B11EFC"/>
    <w:rsid w:val="00B12108"/>
    <w:rsid w:val="00B126EC"/>
    <w:rsid w:val="00B1275E"/>
    <w:rsid w:val="00B12F90"/>
    <w:rsid w:val="00B134F1"/>
    <w:rsid w:val="00B13567"/>
    <w:rsid w:val="00B13DCE"/>
    <w:rsid w:val="00B13E7D"/>
    <w:rsid w:val="00B14591"/>
    <w:rsid w:val="00B14C4B"/>
    <w:rsid w:val="00B14D56"/>
    <w:rsid w:val="00B1558A"/>
    <w:rsid w:val="00B157B2"/>
    <w:rsid w:val="00B15CF1"/>
    <w:rsid w:val="00B15E1F"/>
    <w:rsid w:val="00B15F02"/>
    <w:rsid w:val="00B160BD"/>
    <w:rsid w:val="00B161FC"/>
    <w:rsid w:val="00B168FA"/>
    <w:rsid w:val="00B16CAA"/>
    <w:rsid w:val="00B171B0"/>
    <w:rsid w:val="00B1731B"/>
    <w:rsid w:val="00B17E23"/>
    <w:rsid w:val="00B200FB"/>
    <w:rsid w:val="00B201B1"/>
    <w:rsid w:val="00B201D4"/>
    <w:rsid w:val="00B203C4"/>
    <w:rsid w:val="00B2051D"/>
    <w:rsid w:val="00B20BB7"/>
    <w:rsid w:val="00B20DA5"/>
    <w:rsid w:val="00B20FBA"/>
    <w:rsid w:val="00B20FF5"/>
    <w:rsid w:val="00B2190B"/>
    <w:rsid w:val="00B21BEA"/>
    <w:rsid w:val="00B22024"/>
    <w:rsid w:val="00B2257C"/>
    <w:rsid w:val="00B2267C"/>
    <w:rsid w:val="00B226BE"/>
    <w:rsid w:val="00B22738"/>
    <w:rsid w:val="00B22984"/>
    <w:rsid w:val="00B22B2E"/>
    <w:rsid w:val="00B23F9A"/>
    <w:rsid w:val="00B241FF"/>
    <w:rsid w:val="00B24848"/>
    <w:rsid w:val="00B249AD"/>
    <w:rsid w:val="00B24D25"/>
    <w:rsid w:val="00B251F5"/>
    <w:rsid w:val="00B252CF"/>
    <w:rsid w:val="00B256CD"/>
    <w:rsid w:val="00B25C36"/>
    <w:rsid w:val="00B25C52"/>
    <w:rsid w:val="00B25D00"/>
    <w:rsid w:val="00B26317"/>
    <w:rsid w:val="00B267E2"/>
    <w:rsid w:val="00B26A7A"/>
    <w:rsid w:val="00B26F04"/>
    <w:rsid w:val="00B271E5"/>
    <w:rsid w:val="00B273AD"/>
    <w:rsid w:val="00B27822"/>
    <w:rsid w:val="00B2792B"/>
    <w:rsid w:val="00B27EA0"/>
    <w:rsid w:val="00B30507"/>
    <w:rsid w:val="00B30735"/>
    <w:rsid w:val="00B30AAB"/>
    <w:rsid w:val="00B30BC5"/>
    <w:rsid w:val="00B30DDF"/>
    <w:rsid w:val="00B30E80"/>
    <w:rsid w:val="00B30F2D"/>
    <w:rsid w:val="00B310EA"/>
    <w:rsid w:val="00B31164"/>
    <w:rsid w:val="00B31172"/>
    <w:rsid w:val="00B311F7"/>
    <w:rsid w:val="00B31591"/>
    <w:rsid w:val="00B31C36"/>
    <w:rsid w:val="00B31E38"/>
    <w:rsid w:val="00B31E7D"/>
    <w:rsid w:val="00B32112"/>
    <w:rsid w:val="00B32121"/>
    <w:rsid w:val="00B321C1"/>
    <w:rsid w:val="00B3227F"/>
    <w:rsid w:val="00B325CF"/>
    <w:rsid w:val="00B327D9"/>
    <w:rsid w:val="00B3282B"/>
    <w:rsid w:val="00B32C15"/>
    <w:rsid w:val="00B32F4D"/>
    <w:rsid w:val="00B330FA"/>
    <w:rsid w:val="00B3311E"/>
    <w:rsid w:val="00B332E1"/>
    <w:rsid w:val="00B33A30"/>
    <w:rsid w:val="00B3480E"/>
    <w:rsid w:val="00B34940"/>
    <w:rsid w:val="00B358BA"/>
    <w:rsid w:val="00B35B6E"/>
    <w:rsid w:val="00B35C8C"/>
    <w:rsid w:val="00B35CAB"/>
    <w:rsid w:val="00B35D0B"/>
    <w:rsid w:val="00B36CA6"/>
    <w:rsid w:val="00B36EB2"/>
    <w:rsid w:val="00B3735A"/>
    <w:rsid w:val="00B37A37"/>
    <w:rsid w:val="00B37D15"/>
    <w:rsid w:val="00B37F4A"/>
    <w:rsid w:val="00B404E3"/>
    <w:rsid w:val="00B4092B"/>
    <w:rsid w:val="00B41257"/>
    <w:rsid w:val="00B41468"/>
    <w:rsid w:val="00B416C4"/>
    <w:rsid w:val="00B41793"/>
    <w:rsid w:val="00B41A2B"/>
    <w:rsid w:val="00B41C19"/>
    <w:rsid w:val="00B41F12"/>
    <w:rsid w:val="00B41F33"/>
    <w:rsid w:val="00B424D8"/>
    <w:rsid w:val="00B430D2"/>
    <w:rsid w:val="00B43131"/>
    <w:rsid w:val="00B43491"/>
    <w:rsid w:val="00B4362A"/>
    <w:rsid w:val="00B43C3B"/>
    <w:rsid w:val="00B441DA"/>
    <w:rsid w:val="00B441FD"/>
    <w:rsid w:val="00B44888"/>
    <w:rsid w:val="00B44A0B"/>
    <w:rsid w:val="00B44C15"/>
    <w:rsid w:val="00B4554A"/>
    <w:rsid w:val="00B45A46"/>
    <w:rsid w:val="00B45ECC"/>
    <w:rsid w:val="00B46100"/>
    <w:rsid w:val="00B46EAF"/>
    <w:rsid w:val="00B4708F"/>
    <w:rsid w:val="00B470C1"/>
    <w:rsid w:val="00B47433"/>
    <w:rsid w:val="00B47875"/>
    <w:rsid w:val="00B500A9"/>
    <w:rsid w:val="00B50BA7"/>
    <w:rsid w:val="00B51122"/>
    <w:rsid w:val="00B516E5"/>
    <w:rsid w:val="00B51703"/>
    <w:rsid w:val="00B51F97"/>
    <w:rsid w:val="00B521EE"/>
    <w:rsid w:val="00B52218"/>
    <w:rsid w:val="00B525EF"/>
    <w:rsid w:val="00B52944"/>
    <w:rsid w:val="00B52B2D"/>
    <w:rsid w:val="00B52CF5"/>
    <w:rsid w:val="00B52FDD"/>
    <w:rsid w:val="00B537B6"/>
    <w:rsid w:val="00B53904"/>
    <w:rsid w:val="00B53B99"/>
    <w:rsid w:val="00B53CEE"/>
    <w:rsid w:val="00B5405A"/>
    <w:rsid w:val="00B545B6"/>
    <w:rsid w:val="00B546C7"/>
    <w:rsid w:val="00B54735"/>
    <w:rsid w:val="00B54796"/>
    <w:rsid w:val="00B54A3E"/>
    <w:rsid w:val="00B556A3"/>
    <w:rsid w:val="00B559D4"/>
    <w:rsid w:val="00B55B43"/>
    <w:rsid w:val="00B55D4E"/>
    <w:rsid w:val="00B55ED7"/>
    <w:rsid w:val="00B5646C"/>
    <w:rsid w:val="00B56582"/>
    <w:rsid w:val="00B56986"/>
    <w:rsid w:val="00B56C6A"/>
    <w:rsid w:val="00B56E0B"/>
    <w:rsid w:val="00B571AA"/>
    <w:rsid w:val="00B574DA"/>
    <w:rsid w:val="00B5771E"/>
    <w:rsid w:val="00B57B8D"/>
    <w:rsid w:val="00B608E1"/>
    <w:rsid w:val="00B60C91"/>
    <w:rsid w:val="00B60F42"/>
    <w:rsid w:val="00B60F4F"/>
    <w:rsid w:val="00B60FE1"/>
    <w:rsid w:val="00B61197"/>
    <w:rsid w:val="00B61318"/>
    <w:rsid w:val="00B616A3"/>
    <w:rsid w:val="00B6196E"/>
    <w:rsid w:val="00B625AE"/>
    <w:rsid w:val="00B62B90"/>
    <w:rsid w:val="00B6342A"/>
    <w:rsid w:val="00B635E8"/>
    <w:rsid w:val="00B639C0"/>
    <w:rsid w:val="00B64238"/>
    <w:rsid w:val="00B6429A"/>
    <w:rsid w:val="00B646CD"/>
    <w:rsid w:val="00B64727"/>
    <w:rsid w:val="00B64790"/>
    <w:rsid w:val="00B64AF9"/>
    <w:rsid w:val="00B64D00"/>
    <w:rsid w:val="00B6520D"/>
    <w:rsid w:val="00B65378"/>
    <w:rsid w:val="00B6539B"/>
    <w:rsid w:val="00B6557A"/>
    <w:rsid w:val="00B6589A"/>
    <w:rsid w:val="00B65B6D"/>
    <w:rsid w:val="00B65F9F"/>
    <w:rsid w:val="00B65FD2"/>
    <w:rsid w:val="00B66997"/>
    <w:rsid w:val="00B6714C"/>
    <w:rsid w:val="00B6724D"/>
    <w:rsid w:val="00B6768C"/>
    <w:rsid w:val="00B67911"/>
    <w:rsid w:val="00B67AB7"/>
    <w:rsid w:val="00B67AFC"/>
    <w:rsid w:val="00B67C8B"/>
    <w:rsid w:val="00B67D68"/>
    <w:rsid w:val="00B702F8"/>
    <w:rsid w:val="00B706A7"/>
    <w:rsid w:val="00B706E7"/>
    <w:rsid w:val="00B707AC"/>
    <w:rsid w:val="00B70D98"/>
    <w:rsid w:val="00B7191E"/>
    <w:rsid w:val="00B728BE"/>
    <w:rsid w:val="00B72F91"/>
    <w:rsid w:val="00B7397A"/>
    <w:rsid w:val="00B7401B"/>
    <w:rsid w:val="00B7433B"/>
    <w:rsid w:val="00B743FF"/>
    <w:rsid w:val="00B74734"/>
    <w:rsid w:val="00B755D6"/>
    <w:rsid w:val="00B75697"/>
    <w:rsid w:val="00B761DA"/>
    <w:rsid w:val="00B763C8"/>
    <w:rsid w:val="00B764DC"/>
    <w:rsid w:val="00B7731A"/>
    <w:rsid w:val="00B77403"/>
    <w:rsid w:val="00B77CC6"/>
    <w:rsid w:val="00B77DF3"/>
    <w:rsid w:val="00B80224"/>
    <w:rsid w:val="00B80D76"/>
    <w:rsid w:val="00B80E78"/>
    <w:rsid w:val="00B81021"/>
    <w:rsid w:val="00B81151"/>
    <w:rsid w:val="00B81365"/>
    <w:rsid w:val="00B816A0"/>
    <w:rsid w:val="00B817B2"/>
    <w:rsid w:val="00B81CB9"/>
    <w:rsid w:val="00B8205A"/>
    <w:rsid w:val="00B82099"/>
    <w:rsid w:val="00B82284"/>
    <w:rsid w:val="00B8248E"/>
    <w:rsid w:val="00B826A8"/>
    <w:rsid w:val="00B82700"/>
    <w:rsid w:val="00B82978"/>
    <w:rsid w:val="00B82B24"/>
    <w:rsid w:val="00B82EA3"/>
    <w:rsid w:val="00B82EBF"/>
    <w:rsid w:val="00B8376E"/>
    <w:rsid w:val="00B83F45"/>
    <w:rsid w:val="00B840E2"/>
    <w:rsid w:val="00B84365"/>
    <w:rsid w:val="00B844F5"/>
    <w:rsid w:val="00B847E2"/>
    <w:rsid w:val="00B84B52"/>
    <w:rsid w:val="00B84B92"/>
    <w:rsid w:val="00B84BBC"/>
    <w:rsid w:val="00B84C43"/>
    <w:rsid w:val="00B84C62"/>
    <w:rsid w:val="00B85101"/>
    <w:rsid w:val="00B85280"/>
    <w:rsid w:val="00B853B5"/>
    <w:rsid w:val="00B856DC"/>
    <w:rsid w:val="00B85741"/>
    <w:rsid w:val="00B85837"/>
    <w:rsid w:val="00B85A3B"/>
    <w:rsid w:val="00B862C5"/>
    <w:rsid w:val="00B8672B"/>
    <w:rsid w:val="00B8678C"/>
    <w:rsid w:val="00B86B84"/>
    <w:rsid w:val="00B870E4"/>
    <w:rsid w:val="00B875F9"/>
    <w:rsid w:val="00B87811"/>
    <w:rsid w:val="00B87813"/>
    <w:rsid w:val="00B87F08"/>
    <w:rsid w:val="00B90113"/>
    <w:rsid w:val="00B90836"/>
    <w:rsid w:val="00B90B92"/>
    <w:rsid w:val="00B90E33"/>
    <w:rsid w:val="00B90E62"/>
    <w:rsid w:val="00B90F38"/>
    <w:rsid w:val="00B913DA"/>
    <w:rsid w:val="00B91469"/>
    <w:rsid w:val="00B9170D"/>
    <w:rsid w:val="00B9180A"/>
    <w:rsid w:val="00B91C71"/>
    <w:rsid w:val="00B91DEE"/>
    <w:rsid w:val="00B91EBA"/>
    <w:rsid w:val="00B920DB"/>
    <w:rsid w:val="00B92821"/>
    <w:rsid w:val="00B929F5"/>
    <w:rsid w:val="00B92A16"/>
    <w:rsid w:val="00B92F00"/>
    <w:rsid w:val="00B931F1"/>
    <w:rsid w:val="00B93DED"/>
    <w:rsid w:val="00B93F83"/>
    <w:rsid w:val="00B93FD9"/>
    <w:rsid w:val="00B941D0"/>
    <w:rsid w:val="00B94364"/>
    <w:rsid w:val="00B94504"/>
    <w:rsid w:val="00B948E8"/>
    <w:rsid w:val="00B94A5F"/>
    <w:rsid w:val="00B94B79"/>
    <w:rsid w:val="00B94BAE"/>
    <w:rsid w:val="00B94CC5"/>
    <w:rsid w:val="00B951E8"/>
    <w:rsid w:val="00B9532D"/>
    <w:rsid w:val="00B95384"/>
    <w:rsid w:val="00B9578A"/>
    <w:rsid w:val="00B9590B"/>
    <w:rsid w:val="00B95FFC"/>
    <w:rsid w:val="00B9661E"/>
    <w:rsid w:val="00B967E4"/>
    <w:rsid w:val="00B96AAE"/>
    <w:rsid w:val="00B96D12"/>
    <w:rsid w:val="00B96E9D"/>
    <w:rsid w:val="00B970D1"/>
    <w:rsid w:val="00B9759D"/>
    <w:rsid w:val="00B97A14"/>
    <w:rsid w:val="00B97C0A"/>
    <w:rsid w:val="00B97D7E"/>
    <w:rsid w:val="00BA0093"/>
    <w:rsid w:val="00BA02E6"/>
    <w:rsid w:val="00BA06F6"/>
    <w:rsid w:val="00BA08CF"/>
    <w:rsid w:val="00BA0D20"/>
    <w:rsid w:val="00BA1727"/>
    <w:rsid w:val="00BA172A"/>
    <w:rsid w:val="00BA1966"/>
    <w:rsid w:val="00BA2887"/>
    <w:rsid w:val="00BA288B"/>
    <w:rsid w:val="00BA32D1"/>
    <w:rsid w:val="00BA3462"/>
    <w:rsid w:val="00BA3ED0"/>
    <w:rsid w:val="00BA43AA"/>
    <w:rsid w:val="00BA4682"/>
    <w:rsid w:val="00BA4A4A"/>
    <w:rsid w:val="00BA4ED8"/>
    <w:rsid w:val="00BA5277"/>
    <w:rsid w:val="00BA541B"/>
    <w:rsid w:val="00BA5927"/>
    <w:rsid w:val="00BA66B3"/>
    <w:rsid w:val="00BA6928"/>
    <w:rsid w:val="00BA6E89"/>
    <w:rsid w:val="00BA6F21"/>
    <w:rsid w:val="00BA733A"/>
    <w:rsid w:val="00BA75C8"/>
    <w:rsid w:val="00BA7902"/>
    <w:rsid w:val="00BA7FB3"/>
    <w:rsid w:val="00BB001D"/>
    <w:rsid w:val="00BB038F"/>
    <w:rsid w:val="00BB03BD"/>
    <w:rsid w:val="00BB0BC8"/>
    <w:rsid w:val="00BB0DA3"/>
    <w:rsid w:val="00BB0F8B"/>
    <w:rsid w:val="00BB11A3"/>
    <w:rsid w:val="00BB1B5E"/>
    <w:rsid w:val="00BB1D8C"/>
    <w:rsid w:val="00BB2200"/>
    <w:rsid w:val="00BB232A"/>
    <w:rsid w:val="00BB242D"/>
    <w:rsid w:val="00BB27A6"/>
    <w:rsid w:val="00BB2D97"/>
    <w:rsid w:val="00BB322A"/>
    <w:rsid w:val="00BB35A2"/>
    <w:rsid w:val="00BB4105"/>
    <w:rsid w:val="00BB4CBF"/>
    <w:rsid w:val="00BB5161"/>
    <w:rsid w:val="00BB57BC"/>
    <w:rsid w:val="00BB6210"/>
    <w:rsid w:val="00BB652A"/>
    <w:rsid w:val="00BB6AC5"/>
    <w:rsid w:val="00BB713B"/>
    <w:rsid w:val="00BB76D4"/>
    <w:rsid w:val="00BB7834"/>
    <w:rsid w:val="00BB7E2B"/>
    <w:rsid w:val="00BC0558"/>
    <w:rsid w:val="00BC0E20"/>
    <w:rsid w:val="00BC0E80"/>
    <w:rsid w:val="00BC0F5C"/>
    <w:rsid w:val="00BC1020"/>
    <w:rsid w:val="00BC13AC"/>
    <w:rsid w:val="00BC13DB"/>
    <w:rsid w:val="00BC1974"/>
    <w:rsid w:val="00BC1D19"/>
    <w:rsid w:val="00BC1F53"/>
    <w:rsid w:val="00BC1FEC"/>
    <w:rsid w:val="00BC23DE"/>
    <w:rsid w:val="00BC2B1B"/>
    <w:rsid w:val="00BC33EC"/>
    <w:rsid w:val="00BC3449"/>
    <w:rsid w:val="00BC3667"/>
    <w:rsid w:val="00BC37D3"/>
    <w:rsid w:val="00BC3D21"/>
    <w:rsid w:val="00BC407D"/>
    <w:rsid w:val="00BC464C"/>
    <w:rsid w:val="00BC465D"/>
    <w:rsid w:val="00BC4F95"/>
    <w:rsid w:val="00BC5A23"/>
    <w:rsid w:val="00BC5ABF"/>
    <w:rsid w:val="00BC5F91"/>
    <w:rsid w:val="00BC6201"/>
    <w:rsid w:val="00BC62D8"/>
    <w:rsid w:val="00BC6895"/>
    <w:rsid w:val="00BC6912"/>
    <w:rsid w:val="00BC75EE"/>
    <w:rsid w:val="00BC7A8A"/>
    <w:rsid w:val="00BC7EC6"/>
    <w:rsid w:val="00BD0138"/>
    <w:rsid w:val="00BD029D"/>
    <w:rsid w:val="00BD0419"/>
    <w:rsid w:val="00BD0D89"/>
    <w:rsid w:val="00BD0FB5"/>
    <w:rsid w:val="00BD111E"/>
    <w:rsid w:val="00BD2289"/>
    <w:rsid w:val="00BD2476"/>
    <w:rsid w:val="00BD25E6"/>
    <w:rsid w:val="00BD3124"/>
    <w:rsid w:val="00BD3BD6"/>
    <w:rsid w:val="00BD3FA8"/>
    <w:rsid w:val="00BD4050"/>
    <w:rsid w:val="00BD4372"/>
    <w:rsid w:val="00BD45DD"/>
    <w:rsid w:val="00BD45E7"/>
    <w:rsid w:val="00BD5FF3"/>
    <w:rsid w:val="00BD623D"/>
    <w:rsid w:val="00BD662A"/>
    <w:rsid w:val="00BD7065"/>
    <w:rsid w:val="00BD707A"/>
    <w:rsid w:val="00BD72DF"/>
    <w:rsid w:val="00BD7F86"/>
    <w:rsid w:val="00BE0266"/>
    <w:rsid w:val="00BE04EE"/>
    <w:rsid w:val="00BE0CE4"/>
    <w:rsid w:val="00BE13EC"/>
    <w:rsid w:val="00BE166F"/>
    <w:rsid w:val="00BE1864"/>
    <w:rsid w:val="00BE1B0F"/>
    <w:rsid w:val="00BE1BD3"/>
    <w:rsid w:val="00BE29B5"/>
    <w:rsid w:val="00BE2EBF"/>
    <w:rsid w:val="00BE30EC"/>
    <w:rsid w:val="00BE3317"/>
    <w:rsid w:val="00BE36CB"/>
    <w:rsid w:val="00BE383F"/>
    <w:rsid w:val="00BE3EA1"/>
    <w:rsid w:val="00BE3F6A"/>
    <w:rsid w:val="00BE41B0"/>
    <w:rsid w:val="00BE4277"/>
    <w:rsid w:val="00BE4ADD"/>
    <w:rsid w:val="00BE4C5B"/>
    <w:rsid w:val="00BE4F06"/>
    <w:rsid w:val="00BE5557"/>
    <w:rsid w:val="00BE5940"/>
    <w:rsid w:val="00BE5F1A"/>
    <w:rsid w:val="00BE5F4F"/>
    <w:rsid w:val="00BE6354"/>
    <w:rsid w:val="00BE65B8"/>
    <w:rsid w:val="00BE6E8D"/>
    <w:rsid w:val="00BE73E1"/>
    <w:rsid w:val="00BE7522"/>
    <w:rsid w:val="00BE753B"/>
    <w:rsid w:val="00BE7593"/>
    <w:rsid w:val="00BE77F5"/>
    <w:rsid w:val="00BE7AC2"/>
    <w:rsid w:val="00BE7FB9"/>
    <w:rsid w:val="00BF0269"/>
    <w:rsid w:val="00BF036D"/>
    <w:rsid w:val="00BF08B0"/>
    <w:rsid w:val="00BF1210"/>
    <w:rsid w:val="00BF1506"/>
    <w:rsid w:val="00BF154C"/>
    <w:rsid w:val="00BF186E"/>
    <w:rsid w:val="00BF1C4A"/>
    <w:rsid w:val="00BF1E26"/>
    <w:rsid w:val="00BF242E"/>
    <w:rsid w:val="00BF24EF"/>
    <w:rsid w:val="00BF279C"/>
    <w:rsid w:val="00BF2C37"/>
    <w:rsid w:val="00BF2DF4"/>
    <w:rsid w:val="00BF31ED"/>
    <w:rsid w:val="00BF3306"/>
    <w:rsid w:val="00BF37A8"/>
    <w:rsid w:val="00BF3D28"/>
    <w:rsid w:val="00BF3D53"/>
    <w:rsid w:val="00BF4030"/>
    <w:rsid w:val="00BF43F2"/>
    <w:rsid w:val="00BF461A"/>
    <w:rsid w:val="00BF46FB"/>
    <w:rsid w:val="00BF4BED"/>
    <w:rsid w:val="00BF4CBF"/>
    <w:rsid w:val="00BF5321"/>
    <w:rsid w:val="00BF5389"/>
    <w:rsid w:val="00BF587E"/>
    <w:rsid w:val="00BF62F0"/>
    <w:rsid w:val="00BF6566"/>
    <w:rsid w:val="00BF6949"/>
    <w:rsid w:val="00BF6BAF"/>
    <w:rsid w:val="00BF7727"/>
    <w:rsid w:val="00BF7FBB"/>
    <w:rsid w:val="00C0010A"/>
    <w:rsid w:val="00C001EB"/>
    <w:rsid w:val="00C0067C"/>
    <w:rsid w:val="00C00A2A"/>
    <w:rsid w:val="00C00C6C"/>
    <w:rsid w:val="00C00CA9"/>
    <w:rsid w:val="00C00E46"/>
    <w:rsid w:val="00C01430"/>
    <w:rsid w:val="00C01468"/>
    <w:rsid w:val="00C015C8"/>
    <w:rsid w:val="00C0183E"/>
    <w:rsid w:val="00C019CB"/>
    <w:rsid w:val="00C01E31"/>
    <w:rsid w:val="00C01E70"/>
    <w:rsid w:val="00C01FD8"/>
    <w:rsid w:val="00C020CB"/>
    <w:rsid w:val="00C021A0"/>
    <w:rsid w:val="00C02B55"/>
    <w:rsid w:val="00C02BC0"/>
    <w:rsid w:val="00C02D7D"/>
    <w:rsid w:val="00C038E4"/>
    <w:rsid w:val="00C03AC2"/>
    <w:rsid w:val="00C0407E"/>
    <w:rsid w:val="00C0454C"/>
    <w:rsid w:val="00C04B47"/>
    <w:rsid w:val="00C05273"/>
    <w:rsid w:val="00C052EB"/>
    <w:rsid w:val="00C05342"/>
    <w:rsid w:val="00C05662"/>
    <w:rsid w:val="00C05A7F"/>
    <w:rsid w:val="00C06A51"/>
    <w:rsid w:val="00C06BF8"/>
    <w:rsid w:val="00C06BFD"/>
    <w:rsid w:val="00C06DDE"/>
    <w:rsid w:val="00C07138"/>
    <w:rsid w:val="00C07465"/>
    <w:rsid w:val="00C07562"/>
    <w:rsid w:val="00C07766"/>
    <w:rsid w:val="00C07786"/>
    <w:rsid w:val="00C078F5"/>
    <w:rsid w:val="00C07DEA"/>
    <w:rsid w:val="00C1171F"/>
    <w:rsid w:val="00C118B2"/>
    <w:rsid w:val="00C119A8"/>
    <w:rsid w:val="00C11C41"/>
    <w:rsid w:val="00C11E5C"/>
    <w:rsid w:val="00C11F40"/>
    <w:rsid w:val="00C122C3"/>
    <w:rsid w:val="00C124C4"/>
    <w:rsid w:val="00C124FE"/>
    <w:rsid w:val="00C125AF"/>
    <w:rsid w:val="00C12632"/>
    <w:rsid w:val="00C12892"/>
    <w:rsid w:val="00C12962"/>
    <w:rsid w:val="00C12EB4"/>
    <w:rsid w:val="00C130BA"/>
    <w:rsid w:val="00C13179"/>
    <w:rsid w:val="00C13258"/>
    <w:rsid w:val="00C13542"/>
    <w:rsid w:val="00C13AF4"/>
    <w:rsid w:val="00C13C8B"/>
    <w:rsid w:val="00C13D65"/>
    <w:rsid w:val="00C13E00"/>
    <w:rsid w:val="00C13ED2"/>
    <w:rsid w:val="00C13F0C"/>
    <w:rsid w:val="00C13F70"/>
    <w:rsid w:val="00C14AE8"/>
    <w:rsid w:val="00C14CB5"/>
    <w:rsid w:val="00C14D1E"/>
    <w:rsid w:val="00C1550D"/>
    <w:rsid w:val="00C1583D"/>
    <w:rsid w:val="00C15A0F"/>
    <w:rsid w:val="00C15A73"/>
    <w:rsid w:val="00C1696E"/>
    <w:rsid w:val="00C16AE4"/>
    <w:rsid w:val="00C16DE2"/>
    <w:rsid w:val="00C17848"/>
    <w:rsid w:val="00C17DDD"/>
    <w:rsid w:val="00C20789"/>
    <w:rsid w:val="00C209B6"/>
    <w:rsid w:val="00C210FF"/>
    <w:rsid w:val="00C218AB"/>
    <w:rsid w:val="00C21915"/>
    <w:rsid w:val="00C21B1F"/>
    <w:rsid w:val="00C222EB"/>
    <w:rsid w:val="00C22D2E"/>
    <w:rsid w:val="00C22F46"/>
    <w:rsid w:val="00C230B7"/>
    <w:rsid w:val="00C23F5A"/>
    <w:rsid w:val="00C2402C"/>
    <w:rsid w:val="00C240C3"/>
    <w:rsid w:val="00C24638"/>
    <w:rsid w:val="00C2479A"/>
    <w:rsid w:val="00C24A71"/>
    <w:rsid w:val="00C24B46"/>
    <w:rsid w:val="00C24F42"/>
    <w:rsid w:val="00C24FBE"/>
    <w:rsid w:val="00C25071"/>
    <w:rsid w:val="00C25291"/>
    <w:rsid w:val="00C2547E"/>
    <w:rsid w:val="00C259E6"/>
    <w:rsid w:val="00C2623C"/>
    <w:rsid w:val="00C26256"/>
    <w:rsid w:val="00C262C3"/>
    <w:rsid w:val="00C2675B"/>
    <w:rsid w:val="00C26871"/>
    <w:rsid w:val="00C26B72"/>
    <w:rsid w:val="00C26E10"/>
    <w:rsid w:val="00C27A17"/>
    <w:rsid w:val="00C303B0"/>
    <w:rsid w:val="00C30B2C"/>
    <w:rsid w:val="00C30E5D"/>
    <w:rsid w:val="00C30E8E"/>
    <w:rsid w:val="00C31074"/>
    <w:rsid w:val="00C31129"/>
    <w:rsid w:val="00C31436"/>
    <w:rsid w:val="00C31692"/>
    <w:rsid w:val="00C31880"/>
    <w:rsid w:val="00C31A08"/>
    <w:rsid w:val="00C31A6F"/>
    <w:rsid w:val="00C3239D"/>
    <w:rsid w:val="00C32758"/>
    <w:rsid w:val="00C32792"/>
    <w:rsid w:val="00C3286B"/>
    <w:rsid w:val="00C329F0"/>
    <w:rsid w:val="00C32DDE"/>
    <w:rsid w:val="00C32F71"/>
    <w:rsid w:val="00C33285"/>
    <w:rsid w:val="00C33341"/>
    <w:rsid w:val="00C333A6"/>
    <w:rsid w:val="00C3392D"/>
    <w:rsid w:val="00C33B4D"/>
    <w:rsid w:val="00C33DE7"/>
    <w:rsid w:val="00C33E56"/>
    <w:rsid w:val="00C33FCB"/>
    <w:rsid w:val="00C342CC"/>
    <w:rsid w:val="00C34430"/>
    <w:rsid w:val="00C3447D"/>
    <w:rsid w:val="00C3453C"/>
    <w:rsid w:val="00C346E7"/>
    <w:rsid w:val="00C34B0C"/>
    <w:rsid w:val="00C34B28"/>
    <w:rsid w:val="00C34CCC"/>
    <w:rsid w:val="00C350BE"/>
    <w:rsid w:val="00C353CF"/>
    <w:rsid w:val="00C3543F"/>
    <w:rsid w:val="00C354DB"/>
    <w:rsid w:val="00C35C8B"/>
    <w:rsid w:val="00C36427"/>
    <w:rsid w:val="00C36BEC"/>
    <w:rsid w:val="00C36C7D"/>
    <w:rsid w:val="00C3728A"/>
    <w:rsid w:val="00C372F8"/>
    <w:rsid w:val="00C37879"/>
    <w:rsid w:val="00C37B94"/>
    <w:rsid w:val="00C37ED1"/>
    <w:rsid w:val="00C37EFE"/>
    <w:rsid w:val="00C405EB"/>
    <w:rsid w:val="00C40683"/>
    <w:rsid w:val="00C406C4"/>
    <w:rsid w:val="00C408BC"/>
    <w:rsid w:val="00C40959"/>
    <w:rsid w:val="00C4097C"/>
    <w:rsid w:val="00C41547"/>
    <w:rsid w:val="00C4182B"/>
    <w:rsid w:val="00C41BEE"/>
    <w:rsid w:val="00C41E32"/>
    <w:rsid w:val="00C4208D"/>
    <w:rsid w:val="00C4250C"/>
    <w:rsid w:val="00C42692"/>
    <w:rsid w:val="00C42745"/>
    <w:rsid w:val="00C42B09"/>
    <w:rsid w:val="00C42C44"/>
    <w:rsid w:val="00C42E64"/>
    <w:rsid w:val="00C43380"/>
    <w:rsid w:val="00C43471"/>
    <w:rsid w:val="00C43A5C"/>
    <w:rsid w:val="00C43DEB"/>
    <w:rsid w:val="00C43F54"/>
    <w:rsid w:val="00C447B1"/>
    <w:rsid w:val="00C44C0E"/>
    <w:rsid w:val="00C44FED"/>
    <w:rsid w:val="00C457E6"/>
    <w:rsid w:val="00C46A08"/>
    <w:rsid w:val="00C47775"/>
    <w:rsid w:val="00C4797C"/>
    <w:rsid w:val="00C47BC8"/>
    <w:rsid w:val="00C50779"/>
    <w:rsid w:val="00C50863"/>
    <w:rsid w:val="00C509D1"/>
    <w:rsid w:val="00C50F09"/>
    <w:rsid w:val="00C51560"/>
    <w:rsid w:val="00C5175C"/>
    <w:rsid w:val="00C51C41"/>
    <w:rsid w:val="00C5226F"/>
    <w:rsid w:val="00C52836"/>
    <w:rsid w:val="00C530A5"/>
    <w:rsid w:val="00C5431C"/>
    <w:rsid w:val="00C54D8D"/>
    <w:rsid w:val="00C550DC"/>
    <w:rsid w:val="00C554FA"/>
    <w:rsid w:val="00C555BA"/>
    <w:rsid w:val="00C556C6"/>
    <w:rsid w:val="00C558BD"/>
    <w:rsid w:val="00C55955"/>
    <w:rsid w:val="00C56720"/>
    <w:rsid w:val="00C56952"/>
    <w:rsid w:val="00C56C00"/>
    <w:rsid w:val="00C56D0B"/>
    <w:rsid w:val="00C570DC"/>
    <w:rsid w:val="00C57161"/>
    <w:rsid w:val="00C572AC"/>
    <w:rsid w:val="00C57AD7"/>
    <w:rsid w:val="00C57D79"/>
    <w:rsid w:val="00C60633"/>
    <w:rsid w:val="00C6065E"/>
    <w:rsid w:val="00C60B32"/>
    <w:rsid w:val="00C60B4E"/>
    <w:rsid w:val="00C60B52"/>
    <w:rsid w:val="00C60C02"/>
    <w:rsid w:val="00C618B7"/>
    <w:rsid w:val="00C61FB8"/>
    <w:rsid w:val="00C621FD"/>
    <w:rsid w:val="00C62632"/>
    <w:rsid w:val="00C62AEF"/>
    <w:rsid w:val="00C631DF"/>
    <w:rsid w:val="00C6370A"/>
    <w:rsid w:val="00C637EE"/>
    <w:rsid w:val="00C638FE"/>
    <w:rsid w:val="00C63DAB"/>
    <w:rsid w:val="00C6451D"/>
    <w:rsid w:val="00C64A8E"/>
    <w:rsid w:val="00C64D8D"/>
    <w:rsid w:val="00C64E60"/>
    <w:rsid w:val="00C6512B"/>
    <w:rsid w:val="00C651A3"/>
    <w:rsid w:val="00C651E3"/>
    <w:rsid w:val="00C65427"/>
    <w:rsid w:val="00C6570A"/>
    <w:rsid w:val="00C65838"/>
    <w:rsid w:val="00C65A91"/>
    <w:rsid w:val="00C65C2D"/>
    <w:rsid w:val="00C65ED8"/>
    <w:rsid w:val="00C666E4"/>
    <w:rsid w:val="00C66F0A"/>
    <w:rsid w:val="00C67065"/>
    <w:rsid w:val="00C67110"/>
    <w:rsid w:val="00C671AD"/>
    <w:rsid w:val="00C67E96"/>
    <w:rsid w:val="00C700F6"/>
    <w:rsid w:val="00C704C7"/>
    <w:rsid w:val="00C708D2"/>
    <w:rsid w:val="00C70D4D"/>
    <w:rsid w:val="00C70DBC"/>
    <w:rsid w:val="00C70ECD"/>
    <w:rsid w:val="00C713B2"/>
    <w:rsid w:val="00C713F3"/>
    <w:rsid w:val="00C7165B"/>
    <w:rsid w:val="00C716D2"/>
    <w:rsid w:val="00C719BE"/>
    <w:rsid w:val="00C71B5B"/>
    <w:rsid w:val="00C721FF"/>
    <w:rsid w:val="00C7250D"/>
    <w:rsid w:val="00C726E5"/>
    <w:rsid w:val="00C72BBE"/>
    <w:rsid w:val="00C73054"/>
    <w:rsid w:val="00C731AB"/>
    <w:rsid w:val="00C73725"/>
    <w:rsid w:val="00C73E84"/>
    <w:rsid w:val="00C740A5"/>
    <w:rsid w:val="00C7471B"/>
    <w:rsid w:val="00C74A5D"/>
    <w:rsid w:val="00C74E14"/>
    <w:rsid w:val="00C75099"/>
    <w:rsid w:val="00C75268"/>
    <w:rsid w:val="00C75301"/>
    <w:rsid w:val="00C754FC"/>
    <w:rsid w:val="00C75516"/>
    <w:rsid w:val="00C75E2F"/>
    <w:rsid w:val="00C75EE1"/>
    <w:rsid w:val="00C75F29"/>
    <w:rsid w:val="00C763EC"/>
    <w:rsid w:val="00C763FB"/>
    <w:rsid w:val="00C7640C"/>
    <w:rsid w:val="00C766D4"/>
    <w:rsid w:val="00C76705"/>
    <w:rsid w:val="00C76919"/>
    <w:rsid w:val="00C76A22"/>
    <w:rsid w:val="00C76C50"/>
    <w:rsid w:val="00C76EA5"/>
    <w:rsid w:val="00C775D2"/>
    <w:rsid w:val="00C77845"/>
    <w:rsid w:val="00C77A65"/>
    <w:rsid w:val="00C77ABA"/>
    <w:rsid w:val="00C8067F"/>
    <w:rsid w:val="00C80934"/>
    <w:rsid w:val="00C809F7"/>
    <w:rsid w:val="00C80F8D"/>
    <w:rsid w:val="00C811A0"/>
    <w:rsid w:val="00C8170E"/>
    <w:rsid w:val="00C81F94"/>
    <w:rsid w:val="00C82A32"/>
    <w:rsid w:val="00C82A64"/>
    <w:rsid w:val="00C82AFE"/>
    <w:rsid w:val="00C82EBF"/>
    <w:rsid w:val="00C82EF5"/>
    <w:rsid w:val="00C83358"/>
    <w:rsid w:val="00C83FF8"/>
    <w:rsid w:val="00C8410F"/>
    <w:rsid w:val="00C842F5"/>
    <w:rsid w:val="00C845D9"/>
    <w:rsid w:val="00C8462B"/>
    <w:rsid w:val="00C84768"/>
    <w:rsid w:val="00C84E3B"/>
    <w:rsid w:val="00C85177"/>
    <w:rsid w:val="00C851B7"/>
    <w:rsid w:val="00C855DD"/>
    <w:rsid w:val="00C855EE"/>
    <w:rsid w:val="00C8569A"/>
    <w:rsid w:val="00C857BF"/>
    <w:rsid w:val="00C8598D"/>
    <w:rsid w:val="00C85AB8"/>
    <w:rsid w:val="00C85FC2"/>
    <w:rsid w:val="00C86299"/>
    <w:rsid w:val="00C863EF"/>
    <w:rsid w:val="00C8673B"/>
    <w:rsid w:val="00C86896"/>
    <w:rsid w:val="00C869DD"/>
    <w:rsid w:val="00C86B2D"/>
    <w:rsid w:val="00C86C79"/>
    <w:rsid w:val="00C87398"/>
    <w:rsid w:val="00C8770B"/>
    <w:rsid w:val="00C87DF6"/>
    <w:rsid w:val="00C90179"/>
    <w:rsid w:val="00C90440"/>
    <w:rsid w:val="00C90B02"/>
    <w:rsid w:val="00C90DB8"/>
    <w:rsid w:val="00C9135D"/>
    <w:rsid w:val="00C9141C"/>
    <w:rsid w:val="00C917DA"/>
    <w:rsid w:val="00C91846"/>
    <w:rsid w:val="00C91D52"/>
    <w:rsid w:val="00C91E22"/>
    <w:rsid w:val="00C91FA1"/>
    <w:rsid w:val="00C9206A"/>
    <w:rsid w:val="00C92AE4"/>
    <w:rsid w:val="00C92AFA"/>
    <w:rsid w:val="00C931FE"/>
    <w:rsid w:val="00C935A9"/>
    <w:rsid w:val="00C937D0"/>
    <w:rsid w:val="00C93966"/>
    <w:rsid w:val="00C93A76"/>
    <w:rsid w:val="00C944B5"/>
    <w:rsid w:val="00C9459A"/>
    <w:rsid w:val="00C94950"/>
    <w:rsid w:val="00C94D54"/>
    <w:rsid w:val="00C94D7E"/>
    <w:rsid w:val="00C94F43"/>
    <w:rsid w:val="00C95089"/>
    <w:rsid w:val="00C9538D"/>
    <w:rsid w:val="00C9543F"/>
    <w:rsid w:val="00C956EA"/>
    <w:rsid w:val="00C958DC"/>
    <w:rsid w:val="00C959AB"/>
    <w:rsid w:val="00C95E97"/>
    <w:rsid w:val="00C9686A"/>
    <w:rsid w:val="00C96907"/>
    <w:rsid w:val="00C972CD"/>
    <w:rsid w:val="00C97473"/>
    <w:rsid w:val="00C976DF"/>
    <w:rsid w:val="00C9797B"/>
    <w:rsid w:val="00C979A3"/>
    <w:rsid w:val="00C97BCA"/>
    <w:rsid w:val="00C97D14"/>
    <w:rsid w:val="00CA005F"/>
    <w:rsid w:val="00CA0176"/>
    <w:rsid w:val="00CA07EB"/>
    <w:rsid w:val="00CA080A"/>
    <w:rsid w:val="00CA0819"/>
    <w:rsid w:val="00CA1121"/>
    <w:rsid w:val="00CA16CE"/>
    <w:rsid w:val="00CA1E44"/>
    <w:rsid w:val="00CA2105"/>
    <w:rsid w:val="00CA2787"/>
    <w:rsid w:val="00CA2870"/>
    <w:rsid w:val="00CA2906"/>
    <w:rsid w:val="00CA2B2B"/>
    <w:rsid w:val="00CA2F72"/>
    <w:rsid w:val="00CA3415"/>
    <w:rsid w:val="00CA3428"/>
    <w:rsid w:val="00CA3517"/>
    <w:rsid w:val="00CA36D8"/>
    <w:rsid w:val="00CA379A"/>
    <w:rsid w:val="00CA3BFD"/>
    <w:rsid w:val="00CA3CA9"/>
    <w:rsid w:val="00CA3F24"/>
    <w:rsid w:val="00CA4334"/>
    <w:rsid w:val="00CA44B7"/>
    <w:rsid w:val="00CA478B"/>
    <w:rsid w:val="00CA4952"/>
    <w:rsid w:val="00CA4C35"/>
    <w:rsid w:val="00CA4FDA"/>
    <w:rsid w:val="00CA51E8"/>
    <w:rsid w:val="00CA553C"/>
    <w:rsid w:val="00CA5B0B"/>
    <w:rsid w:val="00CA5B66"/>
    <w:rsid w:val="00CA5CF3"/>
    <w:rsid w:val="00CA5E51"/>
    <w:rsid w:val="00CA656A"/>
    <w:rsid w:val="00CA7131"/>
    <w:rsid w:val="00CA7176"/>
    <w:rsid w:val="00CA769E"/>
    <w:rsid w:val="00CA780C"/>
    <w:rsid w:val="00CA7DD4"/>
    <w:rsid w:val="00CB069C"/>
    <w:rsid w:val="00CB09B7"/>
    <w:rsid w:val="00CB1459"/>
    <w:rsid w:val="00CB1540"/>
    <w:rsid w:val="00CB16D8"/>
    <w:rsid w:val="00CB1BCD"/>
    <w:rsid w:val="00CB1E41"/>
    <w:rsid w:val="00CB1E97"/>
    <w:rsid w:val="00CB20BA"/>
    <w:rsid w:val="00CB2115"/>
    <w:rsid w:val="00CB33F7"/>
    <w:rsid w:val="00CB3573"/>
    <w:rsid w:val="00CB3856"/>
    <w:rsid w:val="00CB395F"/>
    <w:rsid w:val="00CB398E"/>
    <w:rsid w:val="00CB3C98"/>
    <w:rsid w:val="00CB3FDD"/>
    <w:rsid w:val="00CB4155"/>
    <w:rsid w:val="00CB4234"/>
    <w:rsid w:val="00CB43A7"/>
    <w:rsid w:val="00CB4600"/>
    <w:rsid w:val="00CB4CD1"/>
    <w:rsid w:val="00CB4DCD"/>
    <w:rsid w:val="00CB510B"/>
    <w:rsid w:val="00CB5120"/>
    <w:rsid w:val="00CB5159"/>
    <w:rsid w:val="00CB522D"/>
    <w:rsid w:val="00CB5409"/>
    <w:rsid w:val="00CB5525"/>
    <w:rsid w:val="00CB5733"/>
    <w:rsid w:val="00CB58A9"/>
    <w:rsid w:val="00CB5D58"/>
    <w:rsid w:val="00CB5E6E"/>
    <w:rsid w:val="00CB62C6"/>
    <w:rsid w:val="00CB6B56"/>
    <w:rsid w:val="00CB6D07"/>
    <w:rsid w:val="00CB7054"/>
    <w:rsid w:val="00CB751B"/>
    <w:rsid w:val="00CB7744"/>
    <w:rsid w:val="00CC014C"/>
    <w:rsid w:val="00CC03D2"/>
    <w:rsid w:val="00CC05C4"/>
    <w:rsid w:val="00CC08EA"/>
    <w:rsid w:val="00CC0E96"/>
    <w:rsid w:val="00CC11EC"/>
    <w:rsid w:val="00CC14C4"/>
    <w:rsid w:val="00CC17E8"/>
    <w:rsid w:val="00CC1F10"/>
    <w:rsid w:val="00CC2144"/>
    <w:rsid w:val="00CC235B"/>
    <w:rsid w:val="00CC271E"/>
    <w:rsid w:val="00CC2DFF"/>
    <w:rsid w:val="00CC2F2F"/>
    <w:rsid w:val="00CC2FA6"/>
    <w:rsid w:val="00CC3618"/>
    <w:rsid w:val="00CC3644"/>
    <w:rsid w:val="00CC3C1F"/>
    <w:rsid w:val="00CC44E7"/>
    <w:rsid w:val="00CC461D"/>
    <w:rsid w:val="00CC4C4F"/>
    <w:rsid w:val="00CC4F62"/>
    <w:rsid w:val="00CC50C7"/>
    <w:rsid w:val="00CC61EE"/>
    <w:rsid w:val="00CC64F2"/>
    <w:rsid w:val="00CC6896"/>
    <w:rsid w:val="00CC6A66"/>
    <w:rsid w:val="00CC7333"/>
    <w:rsid w:val="00CC769B"/>
    <w:rsid w:val="00CC7B7D"/>
    <w:rsid w:val="00CC7DD6"/>
    <w:rsid w:val="00CD008A"/>
    <w:rsid w:val="00CD0335"/>
    <w:rsid w:val="00CD08A2"/>
    <w:rsid w:val="00CD0B1A"/>
    <w:rsid w:val="00CD1572"/>
    <w:rsid w:val="00CD1C6F"/>
    <w:rsid w:val="00CD1F0F"/>
    <w:rsid w:val="00CD2048"/>
    <w:rsid w:val="00CD20D4"/>
    <w:rsid w:val="00CD2CE1"/>
    <w:rsid w:val="00CD318E"/>
    <w:rsid w:val="00CD34B2"/>
    <w:rsid w:val="00CD35FA"/>
    <w:rsid w:val="00CD3B3D"/>
    <w:rsid w:val="00CD42C6"/>
    <w:rsid w:val="00CD4495"/>
    <w:rsid w:val="00CD4A4E"/>
    <w:rsid w:val="00CD4DAF"/>
    <w:rsid w:val="00CD6223"/>
    <w:rsid w:val="00CD6428"/>
    <w:rsid w:val="00CD6631"/>
    <w:rsid w:val="00CD6668"/>
    <w:rsid w:val="00CD69AC"/>
    <w:rsid w:val="00CD6ABB"/>
    <w:rsid w:val="00CD6AED"/>
    <w:rsid w:val="00CD6CA8"/>
    <w:rsid w:val="00CD6E7C"/>
    <w:rsid w:val="00CD6F0B"/>
    <w:rsid w:val="00CD740D"/>
    <w:rsid w:val="00CD7925"/>
    <w:rsid w:val="00CD7CE3"/>
    <w:rsid w:val="00CD7D82"/>
    <w:rsid w:val="00CD7FD3"/>
    <w:rsid w:val="00CE079A"/>
    <w:rsid w:val="00CE07F5"/>
    <w:rsid w:val="00CE0895"/>
    <w:rsid w:val="00CE09C3"/>
    <w:rsid w:val="00CE0C5B"/>
    <w:rsid w:val="00CE177C"/>
    <w:rsid w:val="00CE1A09"/>
    <w:rsid w:val="00CE1AED"/>
    <w:rsid w:val="00CE20F5"/>
    <w:rsid w:val="00CE2130"/>
    <w:rsid w:val="00CE2E92"/>
    <w:rsid w:val="00CE2EEE"/>
    <w:rsid w:val="00CE345D"/>
    <w:rsid w:val="00CE3798"/>
    <w:rsid w:val="00CE38A4"/>
    <w:rsid w:val="00CE39DB"/>
    <w:rsid w:val="00CE3D37"/>
    <w:rsid w:val="00CE417F"/>
    <w:rsid w:val="00CE46C0"/>
    <w:rsid w:val="00CE4C9D"/>
    <w:rsid w:val="00CE4D7B"/>
    <w:rsid w:val="00CE5385"/>
    <w:rsid w:val="00CE5A71"/>
    <w:rsid w:val="00CE6018"/>
    <w:rsid w:val="00CE6458"/>
    <w:rsid w:val="00CE647F"/>
    <w:rsid w:val="00CE6874"/>
    <w:rsid w:val="00CE6A0D"/>
    <w:rsid w:val="00CE6A5A"/>
    <w:rsid w:val="00CE6E77"/>
    <w:rsid w:val="00CE74EA"/>
    <w:rsid w:val="00CF03F6"/>
    <w:rsid w:val="00CF0711"/>
    <w:rsid w:val="00CF0BF7"/>
    <w:rsid w:val="00CF0D1B"/>
    <w:rsid w:val="00CF0DD8"/>
    <w:rsid w:val="00CF1528"/>
    <w:rsid w:val="00CF16A7"/>
    <w:rsid w:val="00CF18E2"/>
    <w:rsid w:val="00CF1911"/>
    <w:rsid w:val="00CF1B93"/>
    <w:rsid w:val="00CF1F1B"/>
    <w:rsid w:val="00CF2178"/>
    <w:rsid w:val="00CF223B"/>
    <w:rsid w:val="00CF296C"/>
    <w:rsid w:val="00CF305C"/>
    <w:rsid w:val="00CF3172"/>
    <w:rsid w:val="00CF3967"/>
    <w:rsid w:val="00CF3B37"/>
    <w:rsid w:val="00CF3B84"/>
    <w:rsid w:val="00CF3F3F"/>
    <w:rsid w:val="00CF3F51"/>
    <w:rsid w:val="00CF4097"/>
    <w:rsid w:val="00CF40EA"/>
    <w:rsid w:val="00CF48B3"/>
    <w:rsid w:val="00CF492A"/>
    <w:rsid w:val="00CF4945"/>
    <w:rsid w:val="00CF4BBB"/>
    <w:rsid w:val="00CF4F68"/>
    <w:rsid w:val="00CF50F4"/>
    <w:rsid w:val="00CF51CC"/>
    <w:rsid w:val="00CF5275"/>
    <w:rsid w:val="00CF5BF3"/>
    <w:rsid w:val="00CF63DE"/>
    <w:rsid w:val="00CF679B"/>
    <w:rsid w:val="00CF7174"/>
    <w:rsid w:val="00CF783D"/>
    <w:rsid w:val="00D00400"/>
    <w:rsid w:val="00D00E44"/>
    <w:rsid w:val="00D01240"/>
    <w:rsid w:val="00D0128B"/>
    <w:rsid w:val="00D01AC1"/>
    <w:rsid w:val="00D02201"/>
    <w:rsid w:val="00D0230C"/>
    <w:rsid w:val="00D02570"/>
    <w:rsid w:val="00D0257C"/>
    <w:rsid w:val="00D0284D"/>
    <w:rsid w:val="00D03249"/>
    <w:rsid w:val="00D0343B"/>
    <w:rsid w:val="00D036B0"/>
    <w:rsid w:val="00D03854"/>
    <w:rsid w:val="00D03E0B"/>
    <w:rsid w:val="00D04016"/>
    <w:rsid w:val="00D04230"/>
    <w:rsid w:val="00D043CC"/>
    <w:rsid w:val="00D044C5"/>
    <w:rsid w:val="00D045BA"/>
    <w:rsid w:val="00D04784"/>
    <w:rsid w:val="00D04889"/>
    <w:rsid w:val="00D04A54"/>
    <w:rsid w:val="00D04CED"/>
    <w:rsid w:val="00D04D08"/>
    <w:rsid w:val="00D05D49"/>
    <w:rsid w:val="00D05D99"/>
    <w:rsid w:val="00D05F86"/>
    <w:rsid w:val="00D0622D"/>
    <w:rsid w:val="00D06AD4"/>
    <w:rsid w:val="00D06BF7"/>
    <w:rsid w:val="00D06D61"/>
    <w:rsid w:val="00D0736D"/>
    <w:rsid w:val="00D0765E"/>
    <w:rsid w:val="00D07992"/>
    <w:rsid w:val="00D07C96"/>
    <w:rsid w:val="00D101B8"/>
    <w:rsid w:val="00D1041A"/>
    <w:rsid w:val="00D1055A"/>
    <w:rsid w:val="00D1061E"/>
    <w:rsid w:val="00D10715"/>
    <w:rsid w:val="00D110B8"/>
    <w:rsid w:val="00D1116C"/>
    <w:rsid w:val="00D1135B"/>
    <w:rsid w:val="00D11675"/>
    <w:rsid w:val="00D11909"/>
    <w:rsid w:val="00D120F4"/>
    <w:rsid w:val="00D125BA"/>
    <w:rsid w:val="00D12887"/>
    <w:rsid w:val="00D12E6C"/>
    <w:rsid w:val="00D12FCC"/>
    <w:rsid w:val="00D131E3"/>
    <w:rsid w:val="00D1324D"/>
    <w:rsid w:val="00D1326C"/>
    <w:rsid w:val="00D13305"/>
    <w:rsid w:val="00D134ED"/>
    <w:rsid w:val="00D13863"/>
    <w:rsid w:val="00D13C21"/>
    <w:rsid w:val="00D13D0C"/>
    <w:rsid w:val="00D142D6"/>
    <w:rsid w:val="00D14936"/>
    <w:rsid w:val="00D14A48"/>
    <w:rsid w:val="00D14B4D"/>
    <w:rsid w:val="00D14B7A"/>
    <w:rsid w:val="00D14BAC"/>
    <w:rsid w:val="00D14C1D"/>
    <w:rsid w:val="00D14D72"/>
    <w:rsid w:val="00D153A0"/>
    <w:rsid w:val="00D1570A"/>
    <w:rsid w:val="00D15E72"/>
    <w:rsid w:val="00D16068"/>
    <w:rsid w:val="00D162D7"/>
    <w:rsid w:val="00D16469"/>
    <w:rsid w:val="00D1664E"/>
    <w:rsid w:val="00D169BF"/>
    <w:rsid w:val="00D16A34"/>
    <w:rsid w:val="00D16A67"/>
    <w:rsid w:val="00D16A6E"/>
    <w:rsid w:val="00D16D0E"/>
    <w:rsid w:val="00D16E3A"/>
    <w:rsid w:val="00D16F47"/>
    <w:rsid w:val="00D1772E"/>
    <w:rsid w:val="00D17E48"/>
    <w:rsid w:val="00D17F60"/>
    <w:rsid w:val="00D206F2"/>
    <w:rsid w:val="00D20AB0"/>
    <w:rsid w:val="00D20C72"/>
    <w:rsid w:val="00D20F17"/>
    <w:rsid w:val="00D214ED"/>
    <w:rsid w:val="00D215EE"/>
    <w:rsid w:val="00D2182E"/>
    <w:rsid w:val="00D21A93"/>
    <w:rsid w:val="00D225A5"/>
    <w:rsid w:val="00D22BAA"/>
    <w:rsid w:val="00D22DBF"/>
    <w:rsid w:val="00D23150"/>
    <w:rsid w:val="00D23577"/>
    <w:rsid w:val="00D23852"/>
    <w:rsid w:val="00D23B46"/>
    <w:rsid w:val="00D23BD5"/>
    <w:rsid w:val="00D23F2B"/>
    <w:rsid w:val="00D24239"/>
    <w:rsid w:val="00D2495B"/>
    <w:rsid w:val="00D24BDF"/>
    <w:rsid w:val="00D25566"/>
    <w:rsid w:val="00D257B5"/>
    <w:rsid w:val="00D25921"/>
    <w:rsid w:val="00D263A5"/>
    <w:rsid w:val="00D265C6"/>
    <w:rsid w:val="00D26833"/>
    <w:rsid w:val="00D268DD"/>
    <w:rsid w:val="00D26B4C"/>
    <w:rsid w:val="00D26CDE"/>
    <w:rsid w:val="00D26D07"/>
    <w:rsid w:val="00D27074"/>
    <w:rsid w:val="00D27E49"/>
    <w:rsid w:val="00D27ED0"/>
    <w:rsid w:val="00D3025A"/>
    <w:rsid w:val="00D30303"/>
    <w:rsid w:val="00D30476"/>
    <w:rsid w:val="00D30629"/>
    <w:rsid w:val="00D30A95"/>
    <w:rsid w:val="00D30D0F"/>
    <w:rsid w:val="00D312E2"/>
    <w:rsid w:val="00D316CE"/>
    <w:rsid w:val="00D31888"/>
    <w:rsid w:val="00D31983"/>
    <w:rsid w:val="00D31EE8"/>
    <w:rsid w:val="00D31FE2"/>
    <w:rsid w:val="00D322FB"/>
    <w:rsid w:val="00D32302"/>
    <w:rsid w:val="00D3300B"/>
    <w:rsid w:val="00D3311D"/>
    <w:rsid w:val="00D33A96"/>
    <w:rsid w:val="00D341A7"/>
    <w:rsid w:val="00D34A87"/>
    <w:rsid w:val="00D34DD9"/>
    <w:rsid w:val="00D3515B"/>
    <w:rsid w:val="00D356E1"/>
    <w:rsid w:val="00D35A7A"/>
    <w:rsid w:val="00D36434"/>
    <w:rsid w:val="00D3652D"/>
    <w:rsid w:val="00D36562"/>
    <w:rsid w:val="00D36581"/>
    <w:rsid w:val="00D367A8"/>
    <w:rsid w:val="00D36962"/>
    <w:rsid w:val="00D36AD5"/>
    <w:rsid w:val="00D36F65"/>
    <w:rsid w:val="00D36F88"/>
    <w:rsid w:val="00D37038"/>
    <w:rsid w:val="00D37111"/>
    <w:rsid w:val="00D376C8"/>
    <w:rsid w:val="00D377A2"/>
    <w:rsid w:val="00D37E7F"/>
    <w:rsid w:val="00D40E06"/>
    <w:rsid w:val="00D41195"/>
    <w:rsid w:val="00D4127C"/>
    <w:rsid w:val="00D41BAD"/>
    <w:rsid w:val="00D421E9"/>
    <w:rsid w:val="00D422CD"/>
    <w:rsid w:val="00D4235B"/>
    <w:rsid w:val="00D427E4"/>
    <w:rsid w:val="00D4373D"/>
    <w:rsid w:val="00D43B87"/>
    <w:rsid w:val="00D43C84"/>
    <w:rsid w:val="00D44124"/>
    <w:rsid w:val="00D44209"/>
    <w:rsid w:val="00D44645"/>
    <w:rsid w:val="00D447C6"/>
    <w:rsid w:val="00D44C1F"/>
    <w:rsid w:val="00D45112"/>
    <w:rsid w:val="00D453A2"/>
    <w:rsid w:val="00D4544A"/>
    <w:rsid w:val="00D45531"/>
    <w:rsid w:val="00D45ACA"/>
    <w:rsid w:val="00D46146"/>
    <w:rsid w:val="00D46544"/>
    <w:rsid w:val="00D469FD"/>
    <w:rsid w:val="00D46B08"/>
    <w:rsid w:val="00D46D6C"/>
    <w:rsid w:val="00D46D8A"/>
    <w:rsid w:val="00D47300"/>
    <w:rsid w:val="00D4743C"/>
    <w:rsid w:val="00D47B83"/>
    <w:rsid w:val="00D47C93"/>
    <w:rsid w:val="00D47EA5"/>
    <w:rsid w:val="00D47F89"/>
    <w:rsid w:val="00D50392"/>
    <w:rsid w:val="00D503DF"/>
    <w:rsid w:val="00D503E7"/>
    <w:rsid w:val="00D50F26"/>
    <w:rsid w:val="00D50FDC"/>
    <w:rsid w:val="00D51616"/>
    <w:rsid w:val="00D51EFB"/>
    <w:rsid w:val="00D51F16"/>
    <w:rsid w:val="00D51FD4"/>
    <w:rsid w:val="00D5201B"/>
    <w:rsid w:val="00D52111"/>
    <w:rsid w:val="00D52A6E"/>
    <w:rsid w:val="00D52DEB"/>
    <w:rsid w:val="00D5348C"/>
    <w:rsid w:val="00D53806"/>
    <w:rsid w:val="00D53A67"/>
    <w:rsid w:val="00D53E08"/>
    <w:rsid w:val="00D54818"/>
    <w:rsid w:val="00D54830"/>
    <w:rsid w:val="00D54E67"/>
    <w:rsid w:val="00D5526A"/>
    <w:rsid w:val="00D55392"/>
    <w:rsid w:val="00D5540E"/>
    <w:rsid w:val="00D55510"/>
    <w:rsid w:val="00D5574A"/>
    <w:rsid w:val="00D55A1D"/>
    <w:rsid w:val="00D55C91"/>
    <w:rsid w:val="00D5654D"/>
    <w:rsid w:val="00D569DC"/>
    <w:rsid w:val="00D56EF3"/>
    <w:rsid w:val="00D573F5"/>
    <w:rsid w:val="00D57576"/>
    <w:rsid w:val="00D57644"/>
    <w:rsid w:val="00D57690"/>
    <w:rsid w:val="00D57B77"/>
    <w:rsid w:val="00D57FDE"/>
    <w:rsid w:val="00D604E5"/>
    <w:rsid w:val="00D60DB2"/>
    <w:rsid w:val="00D61028"/>
    <w:rsid w:val="00D612CF"/>
    <w:rsid w:val="00D6137F"/>
    <w:rsid w:val="00D6159E"/>
    <w:rsid w:val="00D615EF"/>
    <w:rsid w:val="00D6178C"/>
    <w:rsid w:val="00D617EC"/>
    <w:rsid w:val="00D61941"/>
    <w:rsid w:val="00D61A0B"/>
    <w:rsid w:val="00D61C97"/>
    <w:rsid w:val="00D62059"/>
    <w:rsid w:val="00D626F9"/>
    <w:rsid w:val="00D62A94"/>
    <w:rsid w:val="00D62B59"/>
    <w:rsid w:val="00D6317F"/>
    <w:rsid w:val="00D632FB"/>
    <w:rsid w:val="00D63715"/>
    <w:rsid w:val="00D63AAD"/>
    <w:rsid w:val="00D6459A"/>
    <w:rsid w:val="00D64A9F"/>
    <w:rsid w:val="00D64BA5"/>
    <w:rsid w:val="00D64E4B"/>
    <w:rsid w:val="00D65061"/>
    <w:rsid w:val="00D652D2"/>
    <w:rsid w:val="00D65D5E"/>
    <w:rsid w:val="00D65F00"/>
    <w:rsid w:val="00D65F4C"/>
    <w:rsid w:val="00D66605"/>
    <w:rsid w:val="00D668F4"/>
    <w:rsid w:val="00D669FB"/>
    <w:rsid w:val="00D66BC7"/>
    <w:rsid w:val="00D66E35"/>
    <w:rsid w:val="00D67757"/>
    <w:rsid w:val="00D700A4"/>
    <w:rsid w:val="00D705A8"/>
    <w:rsid w:val="00D708C6"/>
    <w:rsid w:val="00D70B16"/>
    <w:rsid w:val="00D713B5"/>
    <w:rsid w:val="00D714F7"/>
    <w:rsid w:val="00D71892"/>
    <w:rsid w:val="00D71D29"/>
    <w:rsid w:val="00D72586"/>
    <w:rsid w:val="00D726A0"/>
    <w:rsid w:val="00D729E6"/>
    <w:rsid w:val="00D72FDE"/>
    <w:rsid w:val="00D73556"/>
    <w:rsid w:val="00D736DA"/>
    <w:rsid w:val="00D738C5"/>
    <w:rsid w:val="00D73D44"/>
    <w:rsid w:val="00D74207"/>
    <w:rsid w:val="00D745E3"/>
    <w:rsid w:val="00D7465D"/>
    <w:rsid w:val="00D74688"/>
    <w:rsid w:val="00D747B1"/>
    <w:rsid w:val="00D74EEE"/>
    <w:rsid w:val="00D7548B"/>
    <w:rsid w:val="00D755A6"/>
    <w:rsid w:val="00D7579B"/>
    <w:rsid w:val="00D75949"/>
    <w:rsid w:val="00D76126"/>
    <w:rsid w:val="00D769C6"/>
    <w:rsid w:val="00D76BD1"/>
    <w:rsid w:val="00D76EC1"/>
    <w:rsid w:val="00D77066"/>
    <w:rsid w:val="00D77A71"/>
    <w:rsid w:val="00D77D13"/>
    <w:rsid w:val="00D77F2F"/>
    <w:rsid w:val="00D802E3"/>
    <w:rsid w:val="00D80395"/>
    <w:rsid w:val="00D803FD"/>
    <w:rsid w:val="00D80DE5"/>
    <w:rsid w:val="00D8145D"/>
    <w:rsid w:val="00D819D2"/>
    <w:rsid w:val="00D81EA7"/>
    <w:rsid w:val="00D820F0"/>
    <w:rsid w:val="00D821F3"/>
    <w:rsid w:val="00D82999"/>
    <w:rsid w:val="00D83319"/>
    <w:rsid w:val="00D833F7"/>
    <w:rsid w:val="00D836CD"/>
    <w:rsid w:val="00D8381B"/>
    <w:rsid w:val="00D83B5E"/>
    <w:rsid w:val="00D83C16"/>
    <w:rsid w:val="00D83CB8"/>
    <w:rsid w:val="00D83E87"/>
    <w:rsid w:val="00D83ED9"/>
    <w:rsid w:val="00D84366"/>
    <w:rsid w:val="00D85C0D"/>
    <w:rsid w:val="00D86459"/>
    <w:rsid w:val="00D86626"/>
    <w:rsid w:val="00D8665A"/>
    <w:rsid w:val="00D86C8A"/>
    <w:rsid w:val="00D86D3E"/>
    <w:rsid w:val="00D86D7A"/>
    <w:rsid w:val="00D8729A"/>
    <w:rsid w:val="00D87381"/>
    <w:rsid w:val="00D873AC"/>
    <w:rsid w:val="00D87849"/>
    <w:rsid w:val="00D87A88"/>
    <w:rsid w:val="00D87AA5"/>
    <w:rsid w:val="00D87C8A"/>
    <w:rsid w:val="00D902FD"/>
    <w:rsid w:val="00D9040F"/>
    <w:rsid w:val="00D908E4"/>
    <w:rsid w:val="00D90B8B"/>
    <w:rsid w:val="00D91162"/>
    <w:rsid w:val="00D91298"/>
    <w:rsid w:val="00D914C4"/>
    <w:rsid w:val="00D9196D"/>
    <w:rsid w:val="00D91DEE"/>
    <w:rsid w:val="00D922FF"/>
    <w:rsid w:val="00D9240D"/>
    <w:rsid w:val="00D92480"/>
    <w:rsid w:val="00D9256C"/>
    <w:rsid w:val="00D92BAE"/>
    <w:rsid w:val="00D93083"/>
    <w:rsid w:val="00D930F9"/>
    <w:rsid w:val="00D932F8"/>
    <w:rsid w:val="00D93501"/>
    <w:rsid w:val="00D93B19"/>
    <w:rsid w:val="00D93BEB"/>
    <w:rsid w:val="00D93FDD"/>
    <w:rsid w:val="00D94AD5"/>
    <w:rsid w:val="00D953E1"/>
    <w:rsid w:val="00D955B2"/>
    <w:rsid w:val="00D95CE0"/>
    <w:rsid w:val="00D95DB6"/>
    <w:rsid w:val="00D95F0A"/>
    <w:rsid w:val="00D95F37"/>
    <w:rsid w:val="00D961F4"/>
    <w:rsid w:val="00D962EA"/>
    <w:rsid w:val="00D963B1"/>
    <w:rsid w:val="00D96B05"/>
    <w:rsid w:val="00D96CE0"/>
    <w:rsid w:val="00D96EF9"/>
    <w:rsid w:val="00D9766E"/>
    <w:rsid w:val="00D977A3"/>
    <w:rsid w:val="00DA0127"/>
    <w:rsid w:val="00DA01E0"/>
    <w:rsid w:val="00DA0282"/>
    <w:rsid w:val="00DA0417"/>
    <w:rsid w:val="00DA05B1"/>
    <w:rsid w:val="00DA0DE7"/>
    <w:rsid w:val="00DA0FDB"/>
    <w:rsid w:val="00DA1649"/>
    <w:rsid w:val="00DA16BC"/>
    <w:rsid w:val="00DA1D39"/>
    <w:rsid w:val="00DA1F0B"/>
    <w:rsid w:val="00DA22D0"/>
    <w:rsid w:val="00DA239D"/>
    <w:rsid w:val="00DA2431"/>
    <w:rsid w:val="00DA2559"/>
    <w:rsid w:val="00DA2647"/>
    <w:rsid w:val="00DA2A70"/>
    <w:rsid w:val="00DA2CC4"/>
    <w:rsid w:val="00DA3094"/>
    <w:rsid w:val="00DA330E"/>
    <w:rsid w:val="00DA360A"/>
    <w:rsid w:val="00DA42E5"/>
    <w:rsid w:val="00DA44C7"/>
    <w:rsid w:val="00DA4D2D"/>
    <w:rsid w:val="00DA4EBE"/>
    <w:rsid w:val="00DA4F0E"/>
    <w:rsid w:val="00DA51B1"/>
    <w:rsid w:val="00DA53FA"/>
    <w:rsid w:val="00DA5506"/>
    <w:rsid w:val="00DA6328"/>
    <w:rsid w:val="00DA6630"/>
    <w:rsid w:val="00DA6661"/>
    <w:rsid w:val="00DA66CA"/>
    <w:rsid w:val="00DA66FC"/>
    <w:rsid w:val="00DA6B4D"/>
    <w:rsid w:val="00DA7043"/>
    <w:rsid w:val="00DA7543"/>
    <w:rsid w:val="00DA75E7"/>
    <w:rsid w:val="00DA7805"/>
    <w:rsid w:val="00DA7E68"/>
    <w:rsid w:val="00DB0159"/>
    <w:rsid w:val="00DB061E"/>
    <w:rsid w:val="00DB095B"/>
    <w:rsid w:val="00DB0A0E"/>
    <w:rsid w:val="00DB0A56"/>
    <w:rsid w:val="00DB13FC"/>
    <w:rsid w:val="00DB164E"/>
    <w:rsid w:val="00DB1899"/>
    <w:rsid w:val="00DB2169"/>
    <w:rsid w:val="00DB21C2"/>
    <w:rsid w:val="00DB21DB"/>
    <w:rsid w:val="00DB232C"/>
    <w:rsid w:val="00DB2470"/>
    <w:rsid w:val="00DB26BD"/>
    <w:rsid w:val="00DB2987"/>
    <w:rsid w:val="00DB29E1"/>
    <w:rsid w:val="00DB2B38"/>
    <w:rsid w:val="00DB33DA"/>
    <w:rsid w:val="00DB34B1"/>
    <w:rsid w:val="00DB37E2"/>
    <w:rsid w:val="00DB389C"/>
    <w:rsid w:val="00DB39F1"/>
    <w:rsid w:val="00DB3DEA"/>
    <w:rsid w:val="00DB42F2"/>
    <w:rsid w:val="00DB4AA7"/>
    <w:rsid w:val="00DB4EC6"/>
    <w:rsid w:val="00DB55D2"/>
    <w:rsid w:val="00DB5D9E"/>
    <w:rsid w:val="00DB630A"/>
    <w:rsid w:val="00DB6F23"/>
    <w:rsid w:val="00DB7036"/>
    <w:rsid w:val="00DB74AB"/>
    <w:rsid w:val="00DB767E"/>
    <w:rsid w:val="00DB77DB"/>
    <w:rsid w:val="00DB7E63"/>
    <w:rsid w:val="00DC044E"/>
    <w:rsid w:val="00DC0940"/>
    <w:rsid w:val="00DC0970"/>
    <w:rsid w:val="00DC0A9B"/>
    <w:rsid w:val="00DC0F2B"/>
    <w:rsid w:val="00DC143C"/>
    <w:rsid w:val="00DC14D5"/>
    <w:rsid w:val="00DC1745"/>
    <w:rsid w:val="00DC179B"/>
    <w:rsid w:val="00DC1DF7"/>
    <w:rsid w:val="00DC1E42"/>
    <w:rsid w:val="00DC216A"/>
    <w:rsid w:val="00DC2363"/>
    <w:rsid w:val="00DC2695"/>
    <w:rsid w:val="00DC2D4A"/>
    <w:rsid w:val="00DC2D96"/>
    <w:rsid w:val="00DC31AF"/>
    <w:rsid w:val="00DC33E5"/>
    <w:rsid w:val="00DC3683"/>
    <w:rsid w:val="00DC37A9"/>
    <w:rsid w:val="00DC3CC5"/>
    <w:rsid w:val="00DC4513"/>
    <w:rsid w:val="00DC480D"/>
    <w:rsid w:val="00DC4855"/>
    <w:rsid w:val="00DC490D"/>
    <w:rsid w:val="00DC531B"/>
    <w:rsid w:val="00DC55CE"/>
    <w:rsid w:val="00DC5936"/>
    <w:rsid w:val="00DC5ACA"/>
    <w:rsid w:val="00DC5C78"/>
    <w:rsid w:val="00DC5CD7"/>
    <w:rsid w:val="00DC731E"/>
    <w:rsid w:val="00DC7551"/>
    <w:rsid w:val="00DC764C"/>
    <w:rsid w:val="00DC7DBE"/>
    <w:rsid w:val="00DD0222"/>
    <w:rsid w:val="00DD0244"/>
    <w:rsid w:val="00DD063E"/>
    <w:rsid w:val="00DD09E2"/>
    <w:rsid w:val="00DD0A02"/>
    <w:rsid w:val="00DD0C0E"/>
    <w:rsid w:val="00DD0C29"/>
    <w:rsid w:val="00DD0E23"/>
    <w:rsid w:val="00DD0E9E"/>
    <w:rsid w:val="00DD11CD"/>
    <w:rsid w:val="00DD1703"/>
    <w:rsid w:val="00DD2009"/>
    <w:rsid w:val="00DD255A"/>
    <w:rsid w:val="00DD2593"/>
    <w:rsid w:val="00DD29FC"/>
    <w:rsid w:val="00DD2C93"/>
    <w:rsid w:val="00DD2F75"/>
    <w:rsid w:val="00DD32E5"/>
    <w:rsid w:val="00DD3B57"/>
    <w:rsid w:val="00DD3C46"/>
    <w:rsid w:val="00DD3CE1"/>
    <w:rsid w:val="00DD3CEF"/>
    <w:rsid w:val="00DD3F3F"/>
    <w:rsid w:val="00DD4524"/>
    <w:rsid w:val="00DD4568"/>
    <w:rsid w:val="00DD4844"/>
    <w:rsid w:val="00DD4963"/>
    <w:rsid w:val="00DD4BD5"/>
    <w:rsid w:val="00DD53BB"/>
    <w:rsid w:val="00DD5697"/>
    <w:rsid w:val="00DD5874"/>
    <w:rsid w:val="00DD5B85"/>
    <w:rsid w:val="00DD64C0"/>
    <w:rsid w:val="00DD6A3E"/>
    <w:rsid w:val="00DD6F18"/>
    <w:rsid w:val="00DD764D"/>
    <w:rsid w:val="00DD7C6D"/>
    <w:rsid w:val="00DE00D7"/>
    <w:rsid w:val="00DE0763"/>
    <w:rsid w:val="00DE079E"/>
    <w:rsid w:val="00DE0D1F"/>
    <w:rsid w:val="00DE0D54"/>
    <w:rsid w:val="00DE115A"/>
    <w:rsid w:val="00DE137E"/>
    <w:rsid w:val="00DE1740"/>
    <w:rsid w:val="00DE18BD"/>
    <w:rsid w:val="00DE200F"/>
    <w:rsid w:val="00DE20FB"/>
    <w:rsid w:val="00DE2139"/>
    <w:rsid w:val="00DE22CC"/>
    <w:rsid w:val="00DE23DF"/>
    <w:rsid w:val="00DE27CA"/>
    <w:rsid w:val="00DE2869"/>
    <w:rsid w:val="00DE3090"/>
    <w:rsid w:val="00DE30F8"/>
    <w:rsid w:val="00DE331A"/>
    <w:rsid w:val="00DE3784"/>
    <w:rsid w:val="00DE37CE"/>
    <w:rsid w:val="00DE3961"/>
    <w:rsid w:val="00DE3CF1"/>
    <w:rsid w:val="00DE4013"/>
    <w:rsid w:val="00DE44E4"/>
    <w:rsid w:val="00DE4C96"/>
    <w:rsid w:val="00DE50D0"/>
    <w:rsid w:val="00DE5237"/>
    <w:rsid w:val="00DE548C"/>
    <w:rsid w:val="00DE5541"/>
    <w:rsid w:val="00DE5593"/>
    <w:rsid w:val="00DE58AD"/>
    <w:rsid w:val="00DE5963"/>
    <w:rsid w:val="00DE599C"/>
    <w:rsid w:val="00DE5F10"/>
    <w:rsid w:val="00DE62E4"/>
    <w:rsid w:val="00DE6603"/>
    <w:rsid w:val="00DE6A98"/>
    <w:rsid w:val="00DE7205"/>
    <w:rsid w:val="00DE7287"/>
    <w:rsid w:val="00DE7A9B"/>
    <w:rsid w:val="00DE7AD3"/>
    <w:rsid w:val="00DF032E"/>
    <w:rsid w:val="00DF03F8"/>
    <w:rsid w:val="00DF042B"/>
    <w:rsid w:val="00DF0458"/>
    <w:rsid w:val="00DF0979"/>
    <w:rsid w:val="00DF0D77"/>
    <w:rsid w:val="00DF13EA"/>
    <w:rsid w:val="00DF1F24"/>
    <w:rsid w:val="00DF221B"/>
    <w:rsid w:val="00DF24D1"/>
    <w:rsid w:val="00DF2E03"/>
    <w:rsid w:val="00DF3105"/>
    <w:rsid w:val="00DF3723"/>
    <w:rsid w:val="00DF39A7"/>
    <w:rsid w:val="00DF39B4"/>
    <w:rsid w:val="00DF3A45"/>
    <w:rsid w:val="00DF3B20"/>
    <w:rsid w:val="00DF45C8"/>
    <w:rsid w:val="00DF47E5"/>
    <w:rsid w:val="00DF4E16"/>
    <w:rsid w:val="00DF4EC0"/>
    <w:rsid w:val="00DF53DD"/>
    <w:rsid w:val="00DF59BE"/>
    <w:rsid w:val="00DF5AB0"/>
    <w:rsid w:val="00DF6537"/>
    <w:rsid w:val="00DF65E9"/>
    <w:rsid w:val="00DF66B3"/>
    <w:rsid w:val="00DF6B69"/>
    <w:rsid w:val="00DF724F"/>
    <w:rsid w:val="00DF76EE"/>
    <w:rsid w:val="00DF7FDC"/>
    <w:rsid w:val="00E000AB"/>
    <w:rsid w:val="00E0055D"/>
    <w:rsid w:val="00E006C1"/>
    <w:rsid w:val="00E00AAB"/>
    <w:rsid w:val="00E00FD5"/>
    <w:rsid w:val="00E01021"/>
    <w:rsid w:val="00E018FB"/>
    <w:rsid w:val="00E01B6C"/>
    <w:rsid w:val="00E01C33"/>
    <w:rsid w:val="00E01C56"/>
    <w:rsid w:val="00E01D1D"/>
    <w:rsid w:val="00E0243C"/>
    <w:rsid w:val="00E025E0"/>
    <w:rsid w:val="00E02B82"/>
    <w:rsid w:val="00E02EAC"/>
    <w:rsid w:val="00E03283"/>
    <w:rsid w:val="00E03449"/>
    <w:rsid w:val="00E03537"/>
    <w:rsid w:val="00E03630"/>
    <w:rsid w:val="00E03BC2"/>
    <w:rsid w:val="00E03FEA"/>
    <w:rsid w:val="00E0400C"/>
    <w:rsid w:val="00E041D0"/>
    <w:rsid w:val="00E04738"/>
    <w:rsid w:val="00E0491B"/>
    <w:rsid w:val="00E04CEE"/>
    <w:rsid w:val="00E05736"/>
    <w:rsid w:val="00E05E35"/>
    <w:rsid w:val="00E05F82"/>
    <w:rsid w:val="00E06342"/>
    <w:rsid w:val="00E06897"/>
    <w:rsid w:val="00E06CD8"/>
    <w:rsid w:val="00E075E3"/>
    <w:rsid w:val="00E076B9"/>
    <w:rsid w:val="00E10230"/>
    <w:rsid w:val="00E103B5"/>
    <w:rsid w:val="00E10828"/>
    <w:rsid w:val="00E10BC7"/>
    <w:rsid w:val="00E10D49"/>
    <w:rsid w:val="00E10FE9"/>
    <w:rsid w:val="00E110E8"/>
    <w:rsid w:val="00E118B1"/>
    <w:rsid w:val="00E11BD3"/>
    <w:rsid w:val="00E12192"/>
    <w:rsid w:val="00E125AB"/>
    <w:rsid w:val="00E12653"/>
    <w:rsid w:val="00E12FA5"/>
    <w:rsid w:val="00E131C2"/>
    <w:rsid w:val="00E1332B"/>
    <w:rsid w:val="00E13416"/>
    <w:rsid w:val="00E134C5"/>
    <w:rsid w:val="00E13500"/>
    <w:rsid w:val="00E13A50"/>
    <w:rsid w:val="00E13C2A"/>
    <w:rsid w:val="00E13DD8"/>
    <w:rsid w:val="00E13DFD"/>
    <w:rsid w:val="00E142E2"/>
    <w:rsid w:val="00E14391"/>
    <w:rsid w:val="00E1440F"/>
    <w:rsid w:val="00E14DC8"/>
    <w:rsid w:val="00E14F7B"/>
    <w:rsid w:val="00E14FB1"/>
    <w:rsid w:val="00E1504E"/>
    <w:rsid w:val="00E1566D"/>
    <w:rsid w:val="00E15C6B"/>
    <w:rsid w:val="00E15D5E"/>
    <w:rsid w:val="00E1609E"/>
    <w:rsid w:val="00E160A2"/>
    <w:rsid w:val="00E161ED"/>
    <w:rsid w:val="00E16264"/>
    <w:rsid w:val="00E16337"/>
    <w:rsid w:val="00E16784"/>
    <w:rsid w:val="00E16BCF"/>
    <w:rsid w:val="00E16D01"/>
    <w:rsid w:val="00E16D64"/>
    <w:rsid w:val="00E17586"/>
    <w:rsid w:val="00E17695"/>
    <w:rsid w:val="00E20040"/>
    <w:rsid w:val="00E200AB"/>
    <w:rsid w:val="00E205DA"/>
    <w:rsid w:val="00E206A0"/>
    <w:rsid w:val="00E20A00"/>
    <w:rsid w:val="00E20D6B"/>
    <w:rsid w:val="00E21054"/>
    <w:rsid w:val="00E21687"/>
    <w:rsid w:val="00E21811"/>
    <w:rsid w:val="00E21838"/>
    <w:rsid w:val="00E21932"/>
    <w:rsid w:val="00E21F27"/>
    <w:rsid w:val="00E22025"/>
    <w:rsid w:val="00E22220"/>
    <w:rsid w:val="00E22683"/>
    <w:rsid w:val="00E22E90"/>
    <w:rsid w:val="00E2313A"/>
    <w:rsid w:val="00E233E4"/>
    <w:rsid w:val="00E235A2"/>
    <w:rsid w:val="00E23A88"/>
    <w:rsid w:val="00E242F5"/>
    <w:rsid w:val="00E2485E"/>
    <w:rsid w:val="00E248B2"/>
    <w:rsid w:val="00E24B92"/>
    <w:rsid w:val="00E25353"/>
    <w:rsid w:val="00E253EC"/>
    <w:rsid w:val="00E25A22"/>
    <w:rsid w:val="00E25BA8"/>
    <w:rsid w:val="00E26031"/>
    <w:rsid w:val="00E26164"/>
    <w:rsid w:val="00E263D1"/>
    <w:rsid w:val="00E26D03"/>
    <w:rsid w:val="00E27261"/>
    <w:rsid w:val="00E27D8C"/>
    <w:rsid w:val="00E30220"/>
    <w:rsid w:val="00E30692"/>
    <w:rsid w:val="00E30A38"/>
    <w:rsid w:val="00E30F0F"/>
    <w:rsid w:val="00E30F74"/>
    <w:rsid w:val="00E30FF7"/>
    <w:rsid w:val="00E31341"/>
    <w:rsid w:val="00E31352"/>
    <w:rsid w:val="00E31865"/>
    <w:rsid w:val="00E318D6"/>
    <w:rsid w:val="00E31C77"/>
    <w:rsid w:val="00E31E2C"/>
    <w:rsid w:val="00E320FB"/>
    <w:rsid w:val="00E32A83"/>
    <w:rsid w:val="00E32B88"/>
    <w:rsid w:val="00E32FB6"/>
    <w:rsid w:val="00E32FC1"/>
    <w:rsid w:val="00E33085"/>
    <w:rsid w:val="00E335FE"/>
    <w:rsid w:val="00E33833"/>
    <w:rsid w:val="00E34009"/>
    <w:rsid w:val="00E3401C"/>
    <w:rsid w:val="00E340AC"/>
    <w:rsid w:val="00E34486"/>
    <w:rsid w:val="00E347B4"/>
    <w:rsid w:val="00E34EEA"/>
    <w:rsid w:val="00E357E6"/>
    <w:rsid w:val="00E3590C"/>
    <w:rsid w:val="00E35C87"/>
    <w:rsid w:val="00E35F32"/>
    <w:rsid w:val="00E35F9D"/>
    <w:rsid w:val="00E36032"/>
    <w:rsid w:val="00E3625D"/>
    <w:rsid w:val="00E366C9"/>
    <w:rsid w:val="00E366FB"/>
    <w:rsid w:val="00E36703"/>
    <w:rsid w:val="00E3672C"/>
    <w:rsid w:val="00E36980"/>
    <w:rsid w:val="00E36E26"/>
    <w:rsid w:val="00E37A55"/>
    <w:rsid w:val="00E37B54"/>
    <w:rsid w:val="00E37E10"/>
    <w:rsid w:val="00E4039F"/>
    <w:rsid w:val="00E409CD"/>
    <w:rsid w:val="00E40C22"/>
    <w:rsid w:val="00E410AE"/>
    <w:rsid w:val="00E411DB"/>
    <w:rsid w:val="00E4146E"/>
    <w:rsid w:val="00E420F2"/>
    <w:rsid w:val="00E421AB"/>
    <w:rsid w:val="00E42608"/>
    <w:rsid w:val="00E427CD"/>
    <w:rsid w:val="00E42A9F"/>
    <w:rsid w:val="00E43243"/>
    <w:rsid w:val="00E433B9"/>
    <w:rsid w:val="00E43711"/>
    <w:rsid w:val="00E43BCC"/>
    <w:rsid w:val="00E43ECC"/>
    <w:rsid w:val="00E440AF"/>
    <w:rsid w:val="00E4547C"/>
    <w:rsid w:val="00E456BF"/>
    <w:rsid w:val="00E45708"/>
    <w:rsid w:val="00E457DD"/>
    <w:rsid w:val="00E45868"/>
    <w:rsid w:val="00E45D38"/>
    <w:rsid w:val="00E45D4A"/>
    <w:rsid w:val="00E461CD"/>
    <w:rsid w:val="00E46467"/>
    <w:rsid w:val="00E4669C"/>
    <w:rsid w:val="00E466B7"/>
    <w:rsid w:val="00E467B0"/>
    <w:rsid w:val="00E4689B"/>
    <w:rsid w:val="00E4712E"/>
    <w:rsid w:val="00E47783"/>
    <w:rsid w:val="00E47C5C"/>
    <w:rsid w:val="00E47C60"/>
    <w:rsid w:val="00E47C97"/>
    <w:rsid w:val="00E47E05"/>
    <w:rsid w:val="00E5025F"/>
    <w:rsid w:val="00E503B8"/>
    <w:rsid w:val="00E50692"/>
    <w:rsid w:val="00E506AD"/>
    <w:rsid w:val="00E5079F"/>
    <w:rsid w:val="00E50DFB"/>
    <w:rsid w:val="00E50E8F"/>
    <w:rsid w:val="00E51117"/>
    <w:rsid w:val="00E5130F"/>
    <w:rsid w:val="00E519A6"/>
    <w:rsid w:val="00E51EB9"/>
    <w:rsid w:val="00E52108"/>
    <w:rsid w:val="00E52598"/>
    <w:rsid w:val="00E52775"/>
    <w:rsid w:val="00E528BB"/>
    <w:rsid w:val="00E528CD"/>
    <w:rsid w:val="00E53350"/>
    <w:rsid w:val="00E538A8"/>
    <w:rsid w:val="00E53979"/>
    <w:rsid w:val="00E53E03"/>
    <w:rsid w:val="00E541FE"/>
    <w:rsid w:val="00E543AA"/>
    <w:rsid w:val="00E54CFC"/>
    <w:rsid w:val="00E54D20"/>
    <w:rsid w:val="00E54F58"/>
    <w:rsid w:val="00E551F0"/>
    <w:rsid w:val="00E553EF"/>
    <w:rsid w:val="00E559F6"/>
    <w:rsid w:val="00E55A96"/>
    <w:rsid w:val="00E55C4D"/>
    <w:rsid w:val="00E55C5B"/>
    <w:rsid w:val="00E56138"/>
    <w:rsid w:val="00E56732"/>
    <w:rsid w:val="00E56E86"/>
    <w:rsid w:val="00E571A1"/>
    <w:rsid w:val="00E57ACD"/>
    <w:rsid w:val="00E60084"/>
    <w:rsid w:val="00E601EC"/>
    <w:rsid w:val="00E602C7"/>
    <w:rsid w:val="00E61393"/>
    <w:rsid w:val="00E613B7"/>
    <w:rsid w:val="00E61E95"/>
    <w:rsid w:val="00E626A2"/>
    <w:rsid w:val="00E62B09"/>
    <w:rsid w:val="00E62BEF"/>
    <w:rsid w:val="00E62E8F"/>
    <w:rsid w:val="00E635B2"/>
    <w:rsid w:val="00E63D17"/>
    <w:rsid w:val="00E64228"/>
    <w:rsid w:val="00E64445"/>
    <w:rsid w:val="00E64A97"/>
    <w:rsid w:val="00E64AD6"/>
    <w:rsid w:val="00E64D88"/>
    <w:rsid w:val="00E64E02"/>
    <w:rsid w:val="00E64F8F"/>
    <w:rsid w:val="00E653AB"/>
    <w:rsid w:val="00E656D3"/>
    <w:rsid w:val="00E659AF"/>
    <w:rsid w:val="00E65B7E"/>
    <w:rsid w:val="00E666B4"/>
    <w:rsid w:val="00E669C8"/>
    <w:rsid w:val="00E66B26"/>
    <w:rsid w:val="00E66CBE"/>
    <w:rsid w:val="00E66D32"/>
    <w:rsid w:val="00E67221"/>
    <w:rsid w:val="00E677C4"/>
    <w:rsid w:val="00E678C9"/>
    <w:rsid w:val="00E67DCD"/>
    <w:rsid w:val="00E70065"/>
    <w:rsid w:val="00E70075"/>
    <w:rsid w:val="00E700E6"/>
    <w:rsid w:val="00E70531"/>
    <w:rsid w:val="00E70C15"/>
    <w:rsid w:val="00E71255"/>
    <w:rsid w:val="00E71335"/>
    <w:rsid w:val="00E71B9C"/>
    <w:rsid w:val="00E71F9C"/>
    <w:rsid w:val="00E72863"/>
    <w:rsid w:val="00E728A7"/>
    <w:rsid w:val="00E73196"/>
    <w:rsid w:val="00E7341E"/>
    <w:rsid w:val="00E73719"/>
    <w:rsid w:val="00E73904"/>
    <w:rsid w:val="00E73949"/>
    <w:rsid w:val="00E73970"/>
    <w:rsid w:val="00E73A0E"/>
    <w:rsid w:val="00E73D82"/>
    <w:rsid w:val="00E740E5"/>
    <w:rsid w:val="00E74132"/>
    <w:rsid w:val="00E7421B"/>
    <w:rsid w:val="00E74619"/>
    <w:rsid w:val="00E74A59"/>
    <w:rsid w:val="00E74A9C"/>
    <w:rsid w:val="00E74FB1"/>
    <w:rsid w:val="00E74FFE"/>
    <w:rsid w:val="00E75439"/>
    <w:rsid w:val="00E755E9"/>
    <w:rsid w:val="00E75BDF"/>
    <w:rsid w:val="00E76088"/>
    <w:rsid w:val="00E76238"/>
    <w:rsid w:val="00E76DF5"/>
    <w:rsid w:val="00E773B1"/>
    <w:rsid w:val="00E77660"/>
    <w:rsid w:val="00E77877"/>
    <w:rsid w:val="00E7791F"/>
    <w:rsid w:val="00E77C14"/>
    <w:rsid w:val="00E8004B"/>
    <w:rsid w:val="00E8017B"/>
    <w:rsid w:val="00E8056E"/>
    <w:rsid w:val="00E81258"/>
    <w:rsid w:val="00E81261"/>
    <w:rsid w:val="00E812A0"/>
    <w:rsid w:val="00E81367"/>
    <w:rsid w:val="00E81468"/>
    <w:rsid w:val="00E814E6"/>
    <w:rsid w:val="00E817ED"/>
    <w:rsid w:val="00E82602"/>
    <w:rsid w:val="00E8287B"/>
    <w:rsid w:val="00E82B77"/>
    <w:rsid w:val="00E8307A"/>
    <w:rsid w:val="00E83219"/>
    <w:rsid w:val="00E83353"/>
    <w:rsid w:val="00E838F5"/>
    <w:rsid w:val="00E8391B"/>
    <w:rsid w:val="00E840A1"/>
    <w:rsid w:val="00E84EA4"/>
    <w:rsid w:val="00E85095"/>
    <w:rsid w:val="00E850C5"/>
    <w:rsid w:val="00E85107"/>
    <w:rsid w:val="00E85B87"/>
    <w:rsid w:val="00E85CED"/>
    <w:rsid w:val="00E8645A"/>
    <w:rsid w:val="00E865EA"/>
    <w:rsid w:val="00E86C72"/>
    <w:rsid w:val="00E86F85"/>
    <w:rsid w:val="00E87328"/>
    <w:rsid w:val="00E87639"/>
    <w:rsid w:val="00E87D00"/>
    <w:rsid w:val="00E87ED9"/>
    <w:rsid w:val="00E902C7"/>
    <w:rsid w:val="00E90619"/>
    <w:rsid w:val="00E906F4"/>
    <w:rsid w:val="00E907D7"/>
    <w:rsid w:val="00E9097B"/>
    <w:rsid w:val="00E90985"/>
    <w:rsid w:val="00E9099F"/>
    <w:rsid w:val="00E9111C"/>
    <w:rsid w:val="00E9116B"/>
    <w:rsid w:val="00E9161D"/>
    <w:rsid w:val="00E9177A"/>
    <w:rsid w:val="00E91874"/>
    <w:rsid w:val="00E918D9"/>
    <w:rsid w:val="00E91A9B"/>
    <w:rsid w:val="00E91B44"/>
    <w:rsid w:val="00E92A4B"/>
    <w:rsid w:val="00E92C5F"/>
    <w:rsid w:val="00E92F29"/>
    <w:rsid w:val="00E93117"/>
    <w:rsid w:val="00E93544"/>
    <w:rsid w:val="00E93896"/>
    <w:rsid w:val="00E93989"/>
    <w:rsid w:val="00E93CB7"/>
    <w:rsid w:val="00E93E8A"/>
    <w:rsid w:val="00E94497"/>
    <w:rsid w:val="00E945F1"/>
    <w:rsid w:val="00E94783"/>
    <w:rsid w:val="00E94860"/>
    <w:rsid w:val="00E94A9E"/>
    <w:rsid w:val="00E9559D"/>
    <w:rsid w:val="00E9575E"/>
    <w:rsid w:val="00E95815"/>
    <w:rsid w:val="00E9581F"/>
    <w:rsid w:val="00E958C2"/>
    <w:rsid w:val="00E95EB1"/>
    <w:rsid w:val="00E9687D"/>
    <w:rsid w:val="00E96F37"/>
    <w:rsid w:val="00E9708E"/>
    <w:rsid w:val="00E970B9"/>
    <w:rsid w:val="00E97743"/>
    <w:rsid w:val="00E979A6"/>
    <w:rsid w:val="00E97BAF"/>
    <w:rsid w:val="00E97FA3"/>
    <w:rsid w:val="00EA03CA"/>
    <w:rsid w:val="00EA0449"/>
    <w:rsid w:val="00EA08CE"/>
    <w:rsid w:val="00EA08D2"/>
    <w:rsid w:val="00EA0AB6"/>
    <w:rsid w:val="00EA0B07"/>
    <w:rsid w:val="00EA12F9"/>
    <w:rsid w:val="00EA155D"/>
    <w:rsid w:val="00EA1941"/>
    <w:rsid w:val="00EA22E9"/>
    <w:rsid w:val="00EA230C"/>
    <w:rsid w:val="00EA26E1"/>
    <w:rsid w:val="00EA2808"/>
    <w:rsid w:val="00EA2B18"/>
    <w:rsid w:val="00EA2BD9"/>
    <w:rsid w:val="00EA2E59"/>
    <w:rsid w:val="00EA3411"/>
    <w:rsid w:val="00EA3A9F"/>
    <w:rsid w:val="00EA3B78"/>
    <w:rsid w:val="00EA3D16"/>
    <w:rsid w:val="00EA3D8A"/>
    <w:rsid w:val="00EA4324"/>
    <w:rsid w:val="00EA4B37"/>
    <w:rsid w:val="00EA4BAB"/>
    <w:rsid w:val="00EA4BD9"/>
    <w:rsid w:val="00EA4CA3"/>
    <w:rsid w:val="00EA4CC9"/>
    <w:rsid w:val="00EA548A"/>
    <w:rsid w:val="00EA553D"/>
    <w:rsid w:val="00EA55FC"/>
    <w:rsid w:val="00EA5947"/>
    <w:rsid w:val="00EA5948"/>
    <w:rsid w:val="00EA5EEB"/>
    <w:rsid w:val="00EA650C"/>
    <w:rsid w:val="00EA6F98"/>
    <w:rsid w:val="00EA743E"/>
    <w:rsid w:val="00EB00D8"/>
    <w:rsid w:val="00EB039E"/>
    <w:rsid w:val="00EB0D55"/>
    <w:rsid w:val="00EB0E67"/>
    <w:rsid w:val="00EB0EEF"/>
    <w:rsid w:val="00EB109B"/>
    <w:rsid w:val="00EB1241"/>
    <w:rsid w:val="00EB12A7"/>
    <w:rsid w:val="00EB1711"/>
    <w:rsid w:val="00EB18C8"/>
    <w:rsid w:val="00EB20EF"/>
    <w:rsid w:val="00EB2EC0"/>
    <w:rsid w:val="00EB2FB5"/>
    <w:rsid w:val="00EB3571"/>
    <w:rsid w:val="00EB38C3"/>
    <w:rsid w:val="00EB3D1B"/>
    <w:rsid w:val="00EB3E0D"/>
    <w:rsid w:val="00EB3E4C"/>
    <w:rsid w:val="00EB3E7F"/>
    <w:rsid w:val="00EB4DA1"/>
    <w:rsid w:val="00EB4DD7"/>
    <w:rsid w:val="00EB4E95"/>
    <w:rsid w:val="00EB4F42"/>
    <w:rsid w:val="00EB4FD6"/>
    <w:rsid w:val="00EB5772"/>
    <w:rsid w:val="00EB5892"/>
    <w:rsid w:val="00EB5963"/>
    <w:rsid w:val="00EB654D"/>
    <w:rsid w:val="00EB6921"/>
    <w:rsid w:val="00EB6BD3"/>
    <w:rsid w:val="00EB6ECF"/>
    <w:rsid w:val="00EB7208"/>
    <w:rsid w:val="00EB72DC"/>
    <w:rsid w:val="00EB78EB"/>
    <w:rsid w:val="00EB792A"/>
    <w:rsid w:val="00EB797C"/>
    <w:rsid w:val="00EB7AE3"/>
    <w:rsid w:val="00EB7BBE"/>
    <w:rsid w:val="00EB7DA3"/>
    <w:rsid w:val="00EB7F1A"/>
    <w:rsid w:val="00EB7F6E"/>
    <w:rsid w:val="00EC0307"/>
    <w:rsid w:val="00EC05A0"/>
    <w:rsid w:val="00EC074F"/>
    <w:rsid w:val="00EC0979"/>
    <w:rsid w:val="00EC099F"/>
    <w:rsid w:val="00EC0C63"/>
    <w:rsid w:val="00EC0E2F"/>
    <w:rsid w:val="00EC1243"/>
    <w:rsid w:val="00EC1433"/>
    <w:rsid w:val="00EC24F1"/>
    <w:rsid w:val="00EC2983"/>
    <w:rsid w:val="00EC2F3B"/>
    <w:rsid w:val="00EC3132"/>
    <w:rsid w:val="00EC339D"/>
    <w:rsid w:val="00EC351F"/>
    <w:rsid w:val="00EC383B"/>
    <w:rsid w:val="00EC3BA8"/>
    <w:rsid w:val="00EC3BDA"/>
    <w:rsid w:val="00EC3C0B"/>
    <w:rsid w:val="00EC3E28"/>
    <w:rsid w:val="00EC446F"/>
    <w:rsid w:val="00EC45B3"/>
    <w:rsid w:val="00EC4683"/>
    <w:rsid w:val="00EC50CC"/>
    <w:rsid w:val="00EC50DC"/>
    <w:rsid w:val="00EC56AB"/>
    <w:rsid w:val="00EC56D6"/>
    <w:rsid w:val="00EC5717"/>
    <w:rsid w:val="00EC573D"/>
    <w:rsid w:val="00EC60CD"/>
    <w:rsid w:val="00EC656A"/>
    <w:rsid w:val="00EC6F44"/>
    <w:rsid w:val="00EC6FB7"/>
    <w:rsid w:val="00EC745D"/>
    <w:rsid w:val="00EC7963"/>
    <w:rsid w:val="00EC7AE2"/>
    <w:rsid w:val="00ED0092"/>
    <w:rsid w:val="00ED03AD"/>
    <w:rsid w:val="00ED0434"/>
    <w:rsid w:val="00ED04F5"/>
    <w:rsid w:val="00ED0609"/>
    <w:rsid w:val="00ED0634"/>
    <w:rsid w:val="00ED08BB"/>
    <w:rsid w:val="00ED0BCD"/>
    <w:rsid w:val="00ED0E98"/>
    <w:rsid w:val="00ED0F49"/>
    <w:rsid w:val="00ED100B"/>
    <w:rsid w:val="00ED1693"/>
    <w:rsid w:val="00ED18B8"/>
    <w:rsid w:val="00ED1C2B"/>
    <w:rsid w:val="00ED2008"/>
    <w:rsid w:val="00ED2069"/>
    <w:rsid w:val="00ED218D"/>
    <w:rsid w:val="00ED232A"/>
    <w:rsid w:val="00ED268C"/>
    <w:rsid w:val="00ED289E"/>
    <w:rsid w:val="00ED2AD0"/>
    <w:rsid w:val="00ED2BD4"/>
    <w:rsid w:val="00ED2C9B"/>
    <w:rsid w:val="00ED34A6"/>
    <w:rsid w:val="00ED3ABC"/>
    <w:rsid w:val="00ED4512"/>
    <w:rsid w:val="00ED4533"/>
    <w:rsid w:val="00ED45B7"/>
    <w:rsid w:val="00ED4BE3"/>
    <w:rsid w:val="00ED5206"/>
    <w:rsid w:val="00ED54DF"/>
    <w:rsid w:val="00ED577A"/>
    <w:rsid w:val="00ED5FDB"/>
    <w:rsid w:val="00ED6394"/>
    <w:rsid w:val="00ED68C5"/>
    <w:rsid w:val="00ED6D5A"/>
    <w:rsid w:val="00ED7773"/>
    <w:rsid w:val="00ED7BA1"/>
    <w:rsid w:val="00ED7C98"/>
    <w:rsid w:val="00ED7F35"/>
    <w:rsid w:val="00EE0003"/>
    <w:rsid w:val="00EE00E1"/>
    <w:rsid w:val="00EE01A3"/>
    <w:rsid w:val="00EE0A50"/>
    <w:rsid w:val="00EE0B92"/>
    <w:rsid w:val="00EE0F9E"/>
    <w:rsid w:val="00EE0FF6"/>
    <w:rsid w:val="00EE11E2"/>
    <w:rsid w:val="00EE1212"/>
    <w:rsid w:val="00EE1CBF"/>
    <w:rsid w:val="00EE2473"/>
    <w:rsid w:val="00EE2D1A"/>
    <w:rsid w:val="00EE3032"/>
    <w:rsid w:val="00EE3634"/>
    <w:rsid w:val="00EE3667"/>
    <w:rsid w:val="00EE3901"/>
    <w:rsid w:val="00EE3B5C"/>
    <w:rsid w:val="00EE3ECB"/>
    <w:rsid w:val="00EE40D4"/>
    <w:rsid w:val="00EE4290"/>
    <w:rsid w:val="00EE4578"/>
    <w:rsid w:val="00EE45E6"/>
    <w:rsid w:val="00EE45FB"/>
    <w:rsid w:val="00EE4666"/>
    <w:rsid w:val="00EE48C5"/>
    <w:rsid w:val="00EE4C13"/>
    <w:rsid w:val="00EE4E2A"/>
    <w:rsid w:val="00EE522A"/>
    <w:rsid w:val="00EE526D"/>
    <w:rsid w:val="00EE56F7"/>
    <w:rsid w:val="00EE58C2"/>
    <w:rsid w:val="00EE5BCC"/>
    <w:rsid w:val="00EE6347"/>
    <w:rsid w:val="00EE69AC"/>
    <w:rsid w:val="00EE6BBD"/>
    <w:rsid w:val="00EE6C26"/>
    <w:rsid w:val="00EE6F07"/>
    <w:rsid w:val="00EE6F32"/>
    <w:rsid w:val="00EF07A9"/>
    <w:rsid w:val="00EF08CF"/>
    <w:rsid w:val="00EF11E4"/>
    <w:rsid w:val="00EF1223"/>
    <w:rsid w:val="00EF170B"/>
    <w:rsid w:val="00EF1AA0"/>
    <w:rsid w:val="00EF1C66"/>
    <w:rsid w:val="00EF219B"/>
    <w:rsid w:val="00EF21DB"/>
    <w:rsid w:val="00EF23EA"/>
    <w:rsid w:val="00EF25C7"/>
    <w:rsid w:val="00EF26EB"/>
    <w:rsid w:val="00EF2A04"/>
    <w:rsid w:val="00EF3153"/>
    <w:rsid w:val="00EF3584"/>
    <w:rsid w:val="00EF35C3"/>
    <w:rsid w:val="00EF37E0"/>
    <w:rsid w:val="00EF3924"/>
    <w:rsid w:val="00EF39E3"/>
    <w:rsid w:val="00EF3DD9"/>
    <w:rsid w:val="00EF4285"/>
    <w:rsid w:val="00EF469D"/>
    <w:rsid w:val="00EF4836"/>
    <w:rsid w:val="00EF497C"/>
    <w:rsid w:val="00EF4A26"/>
    <w:rsid w:val="00EF4BC4"/>
    <w:rsid w:val="00EF4CCB"/>
    <w:rsid w:val="00EF557E"/>
    <w:rsid w:val="00EF5623"/>
    <w:rsid w:val="00EF566A"/>
    <w:rsid w:val="00EF597C"/>
    <w:rsid w:val="00EF5D32"/>
    <w:rsid w:val="00EF5E09"/>
    <w:rsid w:val="00EF758A"/>
    <w:rsid w:val="00EF7953"/>
    <w:rsid w:val="00EF7BA2"/>
    <w:rsid w:val="00EF7D9D"/>
    <w:rsid w:val="00EF7FC5"/>
    <w:rsid w:val="00F00002"/>
    <w:rsid w:val="00F0038A"/>
    <w:rsid w:val="00F01AFE"/>
    <w:rsid w:val="00F01B34"/>
    <w:rsid w:val="00F01FE7"/>
    <w:rsid w:val="00F02005"/>
    <w:rsid w:val="00F02264"/>
    <w:rsid w:val="00F024DC"/>
    <w:rsid w:val="00F0255F"/>
    <w:rsid w:val="00F03095"/>
    <w:rsid w:val="00F0311F"/>
    <w:rsid w:val="00F03248"/>
    <w:rsid w:val="00F03556"/>
    <w:rsid w:val="00F03DFB"/>
    <w:rsid w:val="00F03EEB"/>
    <w:rsid w:val="00F03F89"/>
    <w:rsid w:val="00F043CA"/>
    <w:rsid w:val="00F04CC6"/>
    <w:rsid w:val="00F05719"/>
    <w:rsid w:val="00F057D3"/>
    <w:rsid w:val="00F058AC"/>
    <w:rsid w:val="00F05DDA"/>
    <w:rsid w:val="00F05ED6"/>
    <w:rsid w:val="00F06413"/>
    <w:rsid w:val="00F06737"/>
    <w:rsid w:val="00F06A3D"/>
    <w:rsid w:val="00F06B9E"/>
    <w:rsid w:val="00F06CFD"/>
    <w:rsid w:val="00F06E29"/>
    <w:rsid w:val="00F071ED"/>
    <w:rsid w:val="00F07334"/>
    <w:rsid w:val="00F073EE"/>
    <w:rsid w:val="00F076E2"/>
    <w:rsid w:val="00F07F51"/>
    <w:rsid w:val="00F07FCB"/>
    <w:rsid w:val="00F100EB"/>
    <w:rsid w:val="00F101E8"/>
    <w:rsid w:val="00F10463"/>
    <w:rsid w:val="00F1083C"/>
    <w:rsid w:val="00F10BC7"/>
    <w:rsid w:val="00F10E35"/>
    <w:rsid w:val="00F1142D"/>
    <w:rsid w:val="00F116EE"/>
    <w:rsid w:val="00F11755"/>
    <w:rsid w:val="00F117B6"/>
    <w:rsid w:val="00F11C4C"/>
    <w:rsid w:val="00F120BD"/>
    <w:rsid w:val="00F1261D"/>
    <w:rsid w:val="00F12744"/>
    <w:rsid w:val="00F12980"/>
    <w:rsid w:val="00F12B77"/>
    <w:rsid w:val="00F13664"/>
    <w:rsid w:val="00F136E3"/>
    <w:rsid w:val="00F13EC4"/>
    <w:rsid w:val="00F13ED1"/>
    <w:rsid w:val="00F14377"/>
    <w:rsid w:val="00F146B6"/>
    <w:rsid w:val="00F147DB"/>
    <w:rsid w:val="00F14ED6"/>
    <w:rsid w:val="00F15091"/>
    <w:rsid w:val="00F155AB"/>
    <w:rsid w:val="00F15682"/>
    <w:rsid w:val="00F1576C"/>
    <w:rsid w:val="00F15811"/>
    <w:rsid w:val="00F15877"/>
    <w:rsid w:val="00F159BC"/>
    <w:rsid w:val="00F15E5E"/>
    <w:rsid w:val="00F16256"/>
    <w:rsid w:val="00F163FA"/>
    <w:rsid w:val="00F16EC9"/>
    <w:rsid w:val="00F17027"/>
    <w:rsid w:val="00F171BC"/>
    <w:rsid w:val="00F17473"/>
    <w:rsid w:val="00F1794A"/>
    <w:rsid w:val="00F17DBD"/>
    <w:rsid w:val="00F2025C"/>
    <w:rsid w:val="00F207DB"/>
    <w:rsid w:val="00F211AA"/>
    <w:rsid w:val="00F21804"/>
    <w:rsid w:val="00F219A9"/>
    <w:rsid w:val="00F21B38"/>
    <w:rsid w:val="00F21CC5"/>
    <w:rsid w:val="00F21DF3"/>
    <w:rsid w:val="00F21E7F"/>
    <w:rsid w:val="00F22317"/>
    <w:rsid w:val="00F2245D"/>
    <w:rsid w:val="00F22523"/>
    <w:rsid w:val="00F2353F"/>
    <w:rsid w:val="00F236EC"/>
    <w:rsid w:val="00F242AE"/>
    <w:rsid w:val="00F24B73"/>
    <w:rsid w:val="00F24E1A"/>
    <w:rsid w:val="00F251F0"/>
    <w:rsid w:val="00F25326"/>
    <w:rsid w:val="00F256ED"/>
    <w:rsid w:val="00F256F5"/>
    <w:rsid w:val="00F2574D"/>
    <w:rsid w:val="00F2581A"/>
    <w:rsid w:val="00F25BED"/>
    <w:rsid w:val="00F25F32"/>
    <w:rsid w:val="00F25FCE"/>
    <w:rsid w:val="00F261E5"/>
    <w:rsid w:val="00F2620A"/>
    <w:rsid w:val="00F26360"/>
    <w:rsid w:val="00F26571"/>
    <w:rsid w:val="00F26721"/>
    <w:rsid w:val="00F268B8"/>
    <w:rsid w:val="00F26943"/>
    <w:rsid w:val="00F27037"/>
    <w:rsid w:val="00F271C8"/>
    <w:rsid w:val="00F274DF"/>
    <w:rsid w:val="00F27650"/>
    <w:rsid w:val="00F27808"/>
    <w:rsid w:val="00F300E8"/>
    <w:rsid w:val="00F30452"/>
    <w:rsid w:val="00F305BB"/>
    <w:rsid w:val="00F3099F"/>
    <w:rsid w:val="00F30BB0"/>
    <w:rsid w:val="00F30D9A"/>
    <w:rsid w:val="00F31325"/>
    <w:rsid w:val="00F31371"/>
    <w:rsid w:val="00F3146C"/>
    <w:rsid w:val="00F3199A"/>
    <w:rsid w:val="00F31A19"/>
    <w:rsid w:val="00F31A3D"/>
    <w:rsid w:val="00F31F10"/>
    <w:rsid w:val="00F31F1A"/>
    <w:rsid w:val="00F320CC"/>
    <w:rsid w:val="00F323FD"/>
    <w:rsid w:val="00F32A01"/>
    <w:rsid w:val="00F32B5E"/>
    <w:rsid w:val="00F32D4F"/>
    <w:rsid w:val="00F32F0B"/>
    <w:rsid w:val="00F33004"/>
    <w:rsid w:val="00F33082"/>
    <w:rsid w:val="00F333EC"/>
    <w:rsid w:val="00F33673"/>
    <w:rsid w:val="00F33975"/>
    <w:rsid w:val="00F33C30"/>
    <w:rsid w:val="00F3417B"/>
    <w:rsid w:val="00F342E8"/>
    <w:rsid w:val="00F34348"/>
    <w:rsid w:val="00F343FD"/>
    <w:rsid w:val="00F346C7"/>
    <w:rsid w:val="00F35511"/>
    <w:rsid w:val="00F35C6E"/>
    <w:rsid w:val="00F35DAE"/>
    <w:rsid w:val="00F36521"/>
    <w:rsid w:val="00F368CB"/>
    <w:rsid w:val="00F36BFB"/>
    <w:rsid w:val="00F36FE5"/>
    <w:rsid w:val="00F37062"/>
    <w:rsid w:val="00F37414"/>
    <w:rsid w:val="00F3789F"/>
    <w:rsid w:val="00F37A41"/>
    <w:rsid w:val="00F4030F"/>
    <w:rsid w:val="00F40453"/>
    <w:rsid w:val="00F406A4"/>
    <w:rsid w:val="00F406D0"/>
    <w:rsid w:val="00F40852"/>
    <w:rsid w:val="00F40AC8"/>
    <w:rsid w:val="00F40D67"/>
    <w:rsid w:val="00F410A2"/>
    <w:rsid w:val="00F410F3"/>
    <w:rsid w:val="00F4123C"/>
    <w:rsid w:val="00F412C6"/>
    <w:rsid w:val="00F41405"/>
    <w:rsid w:val="00F41675"/>
    <w:rsid w:val="00F42098"/>
    <w:rsid w:val="00F423F3"/>
    <w:rsid w:val="00F429C4"/>
    <w:rsid w:val="00F42E7A"/>
    <w:rsid w:val="00F42EAD"/>
    <w:rsid w:val="00F43338"/>
    <w:rsid w:val="00F43BE7"/>
    <w:rsid w:val="00F43D83"/>
    <w:rsid w:val="00F441B7"/>
    <w:rsid w:val="00F44236"/>
    <w:rsid w:val="00F44316"/>
    <w:rsid w:val="00F443D2"/>
    <w:rsid w:val="00F44505"/>
    <w:rsid w:val="00F445CB"/>
    <w:rsid w:val="00F448C7"/>
    <w:rsid w:val="00F45229"/>
    <w:rsid w:val="00F458DD"/>
    <w:rsid w:val="00F45B54"/>
    <w:rsid w:val="00F45D22"/>
    <w:rsid w:val="00F464C7"/>
    <w:rsid w:val="00F46678"/>
    <w:rsid w:val="00F467D2"/>
    <w:rsid w:val="00F46908"/>
    <w:rsid w:val="00F46FB8"/>
    <w:rsid w:val="00F4749B"/>
    <w:rsid w:val="00F47FFD"/>
    <w:rsid w:val="00F501EA"/>
    <w:rsid w:val="00F50929"/>
    <w:rsid w:val="00F5095D"/>
    <w:rsid w:val="00F50BBD"/>
    <w:rsid w:val="00F511D6"/>
    <w:rsid w:val="00F5136C"/>
    <w:rsid w:val="00F516C1"/>
    <w:rsid w:val="00F51811"/>
    <w:rsid w:val="00F51899"/>
    <w:rsid w:val="00F51AA7"/>
    <w:rsid w:val="00F51F06"/>
    <w:rsid w:val="00F52999"/>
    <w:rsid w:val="00F5312C"/>
    <w:rsid w:val="00F53278"/>
    <w:rsid w:val="00F53471"/>
    <w:rsid w:val="00F536F9"/>
    <w:rsid w:val="00F53885"/>
    <w:rsid w:val="00F53B17"/>
    <w:rsid w:val="00F53D27"/>
    <w:rsid w:val="00F53F82"/>
    <w:rsid w:val="00F542E1"/>
    <w:rsid w:val="00F543F1"/>
    <w:rsid w:val="00F545A2"/>
    <w:rsid w:val="00F545FA"/>
    <w:rsid w:val="00F54D78"/>
    <w:rsid w:val="00F54DD0"/>
    <w:rsid w:val="00F5581E"/>
    <w:rsid w:val="00F55A25"/>
    <w:rsid w:val="00F55C0A"/>
    <w:rsid w:val="00F55E6F"/>
    <w:rsid w:val="00F55EDD"/>
    <w:rsid w:val="00F56114"/>
    <w:rsid w:val="00F56553"/>
    <w:rsid w:val="00F569BE"/>
    <w:rsid w:val="00F57835"/>
    <w:rsid w:val="00F60B8B"/>
    <w:rsid w:val="00F60FC0"/>
    <w:rsid w:val="00F614F6"/>
    <w:rsid w:val="00F61707"/>
    <w:rsid w:val="00F61905"/>
    <w:rsid w:val="00F61AF1"/>
    <w:rsid w:val="00F61B7F"/>
    <w:rsid w:val="00F61D6D"/>
    <w:rsid w:val="00F61E4D"/>
    <w:rsid w:val="00F6232F"/>
    <w:rsid w:val="00F6258F"/>
    <w:rsid w:val="00F627B5"/>
    <w:rsid w:val="00F627EA"/>
    <w:rsid w:val="00F62873"/>
    <w:rsid w:val="00F62CC3"/>
    <w:rsid w:val="00F62E9E"/>
    <w:rsid w:val="00F64129"/>
    <w:rsid w:val="00F64343"/>
    <w:rsid w:val="00F643A8"/>
    <w:rsid w:val="00F64432"/>
    <w:rsid w:val="00F6473B"/>
    <w:rsid w:val="00F64897"/>
    <w:rsid w:val="00F64CA6"/>
    <w:rsid w:val="00F64E90"/>
    <w:rsid w:val="00F65280"/>
    <w:rsid w:val="00F652C0"/>
    <w:rsid w:val="00F654DA"/>
    <w:rsid w:val="00F6594C"/>
    <w:rsid w:val="00F6606B"/>
    <w:rsid w:val="00F661D9"/>
    <w:rsid w:val="00F6679A"/>
    <w:rsid w:val="00F6681A"/>
    <w:rsid w:val="00F6695B"/>
    <w:rsid w:val="00F66D3D"/>
    <w:rsid w:val="00F67131"/>
    <w:rsid w:val="00F671D7"/>
    <w:rsid w:val="00F6755D"/>
    <w:rsid w:val="00F675A7"/>
    <w:rsid w:val="00F677E4"/>
    <w:rsid w:val="00F67CD2"/>
    <w:rsid w:val="00F70534"/>
    <w:rsid w:val="00F70667"/>
    <w:rsid w:val="00F70690"/>
    <w:rsid w:val="00F7073D"/>
    <w:rsid w:val="00F71210"/>
    <w:rsid w:val="00F713B5"/>
    <w:rsid w:val="00F7187D"/>
    <w:rsid w:val="00F71C09"/>
    <w:rsid w:val="00F72003"/>
    <w:rsid w:val="00F72231"/>
    <w:rsid w:val="00F72705"/>
    <w:rsid w:val="00F727F5"/>
    <w:rsid w:val="00F729F6"/>
    <w:rsid w:val="00F72D4E"/>
    <w:rsid w:val="00F731DE"/>
    <w:rsid w:val="00F7358C"/>
    <w:rsid w:val="00F739A0"/>
    <w:rsid w:val="00F73B8E"/>
    <w:rsid w:val="00F73CBA"/>
    <w:rsid w:val="00F73DBA"/>
    <w:rsid w:val="00F73DF2"/>
    <w:rsid w:val="00F73E6E"/>
    <w:rsid w:val="00F745DC"/>
    <w:rsid w:val="00F74755"/>
    <w:rsid w:val="00F7585E"/>
    <w:rsid w:val="00F75942"/>
    <w:rsid w:val="00F75FC5"/>
    <w:rsid w:val="00F760BB"/>
    <w:rsid w:val="00F76598"/>
    <w:rsid w:val="00F76682"/>
    <w:rsid w:val="00F76C8D"/>
    <w:rsid w:val="00F76E09"/>
    <w:rsid w:val="00F772C9"/>
    <w:rsid w:val="00F77792"/>
    <w:rsid w:val="00F77AC9"/>
    <w:rsid w:val="00F77B8C"/>
    <w:rsid w:val="00F77DCD"/>
    <w:rsid w:val="00F80AD1"/>
    <w:rsid w:val="00F80DA4"/>
    <w:rsid w:val="00F80F14"/>
    <w:rsid w:val="00F811F8"/>
    <w:rsid w:val="00F81288"/>
    <w:rsid w:val="00F81356"/>
    <w:rsid w:val="00F819EF"/>
    <w:rsid w:val="00F81AAC"/>
    <w:rsid w:val="00F81AF2"/>
    <w:rsid w:val="00F8237F"/>
    <w:rsid w:val="00F823BF"/>
    <w:rsid w:val="00F8269A"/>
    <w:rsid w:val="00F826AA"/>
    <w:rsid w:val="00F826D7"/>
    <w:rsid w:val="00F827EC"/>
    <w:rsid w:val="00F82849"/>
    <w:rsid w:val="00F82AB1"/>
    <w:rsid w:val="00F82BE9"/>
    <w:rsid w:val="00F82D9E"/>
    <w:rsid w:val="00F82FAC"/>
    <w:rsid w:val="00F83050"/>
    <w:rsid w:val="00F83318"/>
    <w:rsid w:val="00F83353"/>
    <w:rsid w:val="00F8336C"/>
    <w:rsid w:val="00F83750"/>
    <w:rsid w:val="00F83ADA"/>
    <w:rsid w:val="00F83E91"/>
    <w:rsid w:val="00F8434E"/>
    <w:rsid w:val="00F8465B"/>
    <w:rsid w:val="00F846BD"/>
    <w:rsid w:val="00F84798"/>
    <w:rsid w:val="00F84BF0"/>
    <w:rsid w:val="00F84FA0"/>
    <w:rsid w:val="00F8528B"/>
    <w:rsid w:val="00F853C5"/>
    <w:rsid w:val="00F85B10"/>
    <w:rsid w:val="00F85B7C"/>
    <w:rsid w:val="00F8604D"/>
    <w:rsid w:val="00F86148"/>
    <w:rsid w:val="00F86232"/>
    <w:rsid w:val="00F867C5"/>
    <w:rsid w:val="00F867D3"/>
    <w:rsid w:val="00F8696C"/>
    <w:rsid w:val="00F86BAF"/>
    <w:rsid w:val="00F87253"/>
    <w:rsid w:val="00F87382"/>
    <w:rsid w:val="00F87B3B"/>
    <w:rsid w:val="00F90005"/>
    <w:rsid w:val="00F905F5"/>
    <w:rsid w:val="00F90D40"/>
    <w:rsid w:val="00F91954"/>
    <w:rsid w:val="00F91A83"/>
    <w:rsid w:val="00F91CFE"/>
    <w:rsid w:val="00F91E43"/>
    <w:rsid w:val="00F91E68"/>
    <w:rsid w:val="00F9229D"/>
    <w:rsid w:val="00F926BD"/>
    <w:rsid w:val="00F927A6"/>
    <w:rsid w:val="00F92A49"/>
    <w:rsid w:val="00F92BCC"/>
    <w:rsid w:val="00F93247"/>
    <w:rsid w:val="00F933F6"/>
    <w:rsid w:val="00F934B5"/>
    <w:rsid w:val="00F934F7"/>
    <w:rsid w:val="00F935B5"/>
    <w:rsid w:val="00F93A1C"/>
    <w:rsid w:val="00F93AF2"/>
    <w:rsid w:val="00F93D75"/>
    <w:rsid w:val="00F93DED"/>
    <w:rsid w:val="00F93E52"/>
    <w:rsid w:val="00F94040"/>
    <w:rsid w:val="00F94098"/>
    <w:rsid w:val="00F94133"/>
    <w:rsid w:val="00F946CE"/>
    <w:rsid w:val="00F95065"/>
    <w:rsid w:val="00F95300"/>
    <w:rsid w:val="00F95335"/>
    <w:rsid w:val="00F95575"/>
    <w:rsid w:val="00F95B0F"/>
    <w:rsid w:val="00F96066"/>
    <w:rsid w:val="00F9607C"/>
    <w:rsid w:val="00F960EE"/>
    <w:rsid w:val="00F962FF"/>
    <w:rsid w:val="00F964EC"/>
    <w:rsid w:val="00F96871"/>
    <w:rsid w:val="00F96978"/>
    <w:rsid w:val="00F969EA"/>
    <w:rsid w:val="00F97307"/>
    <w:rsid w:val="00F97B19"/>
    <w:rsid w:val="00F97C31"/>
    <w:rsid w:val="00FA0548"/>
    <w:rsid w:val="00FA0677"/>
    <w:rsid w:val="00FA0720"/>
    <w:rsid w:val="00FA07AD"/>
    <w:rsid w:val="00FA0919"/>
    <w:rsid w:val="00FA09AB"/>
    <w:rsid w:val="00FA0B74"/>
    <w:rsid w:val="00FA13EE"/>
    <w:rsid w:val="00FA2182"/>
    <w:rsid w:val="00FA2507"/>
    <w:rsid w:val="00FA2EFA"/>
    <w:rsid w:val="00FA3499"/>
    <w:rsid w:val="00FA3693"/>
    <w:rsid w:val="00FA37F9"/>
    <w:rsid w:val="00FA3B4F"/>
    <w:rsid w:val="00FA3F03"/>
    <w:rsid w:val="00FA4050"/>
    <w:rsid w:val="00FA49E0"/>
    <w:rsid w:val="00FA4B42"/>
    <w:rsid w:val="00FA4E05"/>
    <w:rsid w:val="00FA4E0F"/>
    <w:rsid w:val="00FA4E73"/>
    <w:rsid w:val="00FA5121"/>
    <w:rsid w:val="00FA5305"/>
    <w:rsid w:val="00FA55B1"/>
    <w:rsid w:val="00FA5890"/>
    <w:rsid w:val="00FA5919"/>
    <w:rsid w:val="00FA5D31"/>
    <w:rsid w:val="00FA5DD0"/>
    <w:rsid w:val="00FA6524"/>
    <w:rsid w:val="00FA66E6"/>
    <w:rsid w:val="00FA6799"/>
    <w:rsid w:val="00FA6AF8"/>
    <w:rsid w:val="00FA6E64"/>
    <w:rsid w:val="00FA6F56"/>
    <w:rsid w:val="00FA725F"/>
    <w:rsid w:val="00FA7394"/>
    <w:rsid w:val="00FA77CC"/>
    <w:rsid w:val="00FA78FC"/>
    <w:rsid w:val="00FA7D26"/>
    <w:rsid w:val="00FB0162"/>
    <w:rsid w:val="00FB0B31"/>
    <w:rsid w:val="00FB0B79"/>
    <w:rsid w:val="00FB0C5C"/>
    <w:rsid w:val="00FB0EE6"/>
    <w:rsid w:val="00FB1158"/>
    <w:rsid w:val="00FB118A"/>
    <w:rsid w:val="00FB147E"/>
    <w:rsid w:val="00FB1542"/>
    <w:rsid w:val="00FB1951"/>
    <w:rsid w:val="00FB19F4"/>
    <w:rsid w:val="00FB1A44"/>
    <w:rsid w:val="00FB1D25"/>
    <w:rsid w:val="00FB1EAB"/>
    <w:rsid w:val="00FB1FC9"/>
    <w:rsid w:val="00FB2003"/>
    <w:rsid w:val="00FB2338"/>
    <w:rsid w:val="00FB2341"/>
    <w:rsid w:val="00FB2688"/>
    <w:rsid w:val="00FB2DE0"/>
    <w:rsid w:val="00FB2DEE"/>
    <w:rsid w:val="00FB31AC"/>
    <w:rsid w:val="00FB335D"/>
    <w:rsid w:val="00FB3A6E"/>
    <w:rsid w:val="00FB3A8D"/>
    <w:rsid w:val="00FB3D84"/>
    <w:rsid w:val="00FB42C4"/>
    <w:rsid w:val="00FB436A"/>
    <w:rsid w:val="00FB4641"/>
    <w:rsid w:val="00FB4836"/>
    <w:rsid w:val="00FB4A5E"/>
    <w:rsid w:val="00FB5C33"/>
    <w:rsid w:val="00FB5FA7"/>
    <w:rsid w:val="00FB60C7"/>
    <w:rsid w:val="00FB6458"/>
    <w:rsid w:val="00FB646C"/>
    <w:rsid w:val="00FB6560"/>
    <w:rsid w:val="00FB65BA"/>
    <w:rsid w:val="00FB66C3"/>
    <w:rsid w:val="00FB6948"/>
    <w:rsid w:val="00FB6E3E"/>
    <w:rsid w:val="00FB701F"/>
    <w:rsid w:val="00FB769E"/>
    <w:rsid w:val="00FB7991"/>
    <w:rsid w:val="00FB79AB"/>
    <w:rsid w:val="00FC0871"/>
    <w:rsid w:val="00FC0D94"/>
    <w:rsid w:val="00FC0DEB"/>
    <w:rsid w:val="00FC0F81"/>
    <w:rsid w:val="00FC104C"/>
    <w:rsid w:val="00FC105A"/>
    <w:rsid w:val="00FC13ED"/>
    <w:rsid w:val="00FC14E2"/>
    <w:rsid w:val="00FC1859"/>
    <w:rsid w:val="00FC1D3D"/>
    <w:rsid w:val="00FC1E03"/>
    <w:rsid w:val="00FC1E16"/>
    <w:rsid w:val="00FC2192"/>
    <w:rsid w:val="00FC21A6"/>
    <w:rsid w:val="00FC21EB"/>
    <w:rsid w:val="00FC23A6"/>
    <w:rsid w:val="00FC2432"/>
    <w:rsid w:val="00FC2836"/>
    <w:rsid w:val="00FC2A83"/>
    <w:rsid w:val="00FC2B64"/>
    <w:rsid w:val="00FC2BA6"/>
    <w:rsid w:val="00FC2D88"/>
    <w:rsid w:val="00FC3136"/>
    <w:rsid w:val="00FC3250"/>
    <w:rsid w:val="00FC339D"/>
    <w:rsid w:val="00FC35BD"/>
    <w:rsid w:val="00FC36C6"/>
    <w:rsid w:val="00FC38DA"/>
    <w:rsid w:val="00FC3E6E"/>
    <w:rsid w:val="00FC3F8B"/>
    <w:rsid w:val="00FC4740"/>
    <w:rsid w:val="00FC475C"/>
    <w:rsid w:val="00FC486D"/>
    <w:rsid w:val="00FC4978"/>
    <w:rsid w:val="00FC4B02"/>
    <w:rsid w:val="00FC4B72"/>
    <w:rsid w:val="00FC4DF9"/>
    <w:rsid w:val="00FC4F1F"/>
    <w:rsid w:val="00FC5156"/>
    <w:rsid w:val="00FC522D"/>
    <w:rsid w:val="00FC54F1"/>
    <w:rsid w:val="00FC55F7"/>
    <w:rsid w:val="00FC57BC"/>
    <w:rsid w:val="00FC5B0C"/>
    <w:rsid w:val="00FC5C5A"/>
    <w:rsid w:val="00FC6155"/>
    <w:rsid w:val="00FC6ECF"/>
    <w:rsid w:val="00FC727B"/>
    <w:rsid w:val="00FC73BA"/>
    <w:rsid w:val="00FD00DF"/>
    <w:rsid w:val="00FD128B"/>
    <w:rsid w:val="00FD1A1C"/>
    <w:rsid w:val="00FD1A63"/>
    <w:rsid w:val="00FD1B02"/>
    <w:rsid w:val="00FD21BE"/>
    <w:rsid w:val="00FD27A0"/>
    <w:rsid w:val="00FD2AE3"/>
    <w:rsid w:val="00FD374A"/>
    <w:rsid w:val="00FD37F2"/>
    <w:rsid w:val="00FD381B"/>
    <w:rsid w:val="00FD4164"/>
    <w:rsid w:val="00FD47D1"/>
    <w:rsid w:val="00FD4E3C"/>
    <w:rsid w:val="00FD4F62"/>
    <w:rsid w:val="00FD50FF"/>
    <w:rsid w:val="00FD535F"/>
    <w:rsid w:val="00FD55EC"/>
    <w:rsid w:val="00FD5CA0"/>
    <w:rsid w:val="00FD615B"/>
    <w:rsid w:val="00FD63A3"/>
    <w:rsid w:val="00FD6A4D"/>
    <w:rsid w:val="00FD727A"/>
    <w:rsid w:val="00FD7359"/>
    <w:rsid w:val="00FD7ECA"/>
    <w:rsid w:val="00FD7F4D"/>
    <w:rsid w:val="00FD7F7B"/>
    <w:rsid w:val="00FE00E2"/>
    <w:rsid w:val="00FE058D"/>
    <w:rsid w:val="00FE08CF"/>
    <w:rsid w:val="00FE0A5B"/>
    <w:rsid w:val="00FE0EB9"/>
    <w:rsid w:val="00FE12C8"/>
    <w:rsid w:val="00FE1841"/>
    <w:rsid w:val="00FE190A"/>
    <w:rsid w:val="00FE19D2"/>
    <w:rsid w:val="00FE1E55"/>
    <w:rsid w:val="00FE23B8"/>
    <w:rsid w:val="00FE2C87"/>
    <w:rsid w:val="00FE2F41"/>
    <w:rsid w:val="00FE2F88"/>
    <w:rsid w:val="00FE30F2"/>
    <w:rsid w:val="00FE3398"/>
    <w:rsid w:val="00FE3E19"/>
    <w:rsid w:val="00FE55D2"/>
    <w:rsid w:val="00FE5A74"/>
    <w:rsid w:val="00FE5D75"/>
    <w:rsid w:val="00FE63F2"/>
    <w:rsid w:val="00FE67DC"/>
    <w:rsid w:val="00FE6BAE"/>
    <w:rsid w:val="00FE6FA7"/>
    <w:rsid w:val="00FE72DD"/>
    <w:rsid w:val="00FE7755"/>
    <w:rsid w:val="00FE7B6F"/>
    <w:rsid w:val="00FE7D29"/>
    <w:rsid w:val="00FE7E65"/>
    <w:rsid w:val="00FF0085"/>
    <w:rsid w:val="00FF0213"/>
    <w:rsid w:val="00FF0E29"/>
    <w:rsid w:val="00FF0F1D"/>
    <w:rsid w:val="00FF1135"/>
    <w:rsid w:val="00FF1461"/>
    <w:rsid w:val="00FF19FB"/>
    <w:rsid w:val="00FF1A91"/>
    <w:rsid w:val="00FF1AAB"/>
    <w:rsid w:val="00FF1C79"/>
    <w:rsid w:val="00FF1E22"/>
    <w:rsid w:val="00FF2068"/>
    <w:rsid w:val="00FF2343"/>
    <w:rsid w:val="00FF2693"/>
    <w:rsid w:val="00FF2B06"/>
    <w:rsid w:val="00FF3028"/>
    <w:rsid w:val="00FF3323"/>
    <w:rsid w:val="00FF35AB"/>
    <w:rsid w:val="00FF3C4A"/>
    <w:rsid w:val="00FF3E19"/>
    <w:rsid w:val="00FF40C9"/>
    <w:rsid w:val="00FF43D4"/>
    <w:rsid w:val="00FF4834"/>
    <w:rsid w:val="00FF5192"/>
    <w:rsid w:val="00FF51D4"/>
    <w:rsid w:val="00FF5C13"/>
    <w:rsid w:val="00FF5CB1"/>
    <w:rsid w:val="00FF5FB8"/>
    <w:rsid w:val="00FF62CA"/>
    <w:rsid w:val="00FF65C2"/>
    <w:rsid w:val="00FF6A27"/>
    <w:rsid w:val="00FF6DB2"/>
    <w:rsid w:val="00FF7043"/>
    <w:rsid w:val="00FF732A"/>
    <w:rsid w:val="00FF7389"/>
    <w:rsid w:val="00FF75B6"/>
    <w:rsid w:val="00FF7F0C"/>
    <w:rsid w:val="00FF7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BB"/>
    <w:rPr>
      <w:sz w:val="20"/>
      <w:szCs w:val="20"/>
      <w:lang w:val="en-US" w:eastAsia="en-US"/>
    </w:rPr>
  </w:style>
  <w:style w:type="paragraph" w:styleId="Heading1">
    <w:name w:val="heading 1"/>
    <w:basedOn w:val="Normal"/>
    <w:next w:val="Normal"/>
    <w:link w:val="Heading1Char"/>
    <w:uiPriority w:val="99"/>
    <w:qFormat/>
    <w:rsid w:val="00FC339D"/>
    <w:pPr>
      <w:keepNext/>
      <w:ind w:left="720" w:hanging="720"/>
      <w:outlineLvl w:val="0"/>
    </w:pPr>
    <w:rPr>
      <w:b/>
      <w:color w:val="FF0000"/>
      <w:sz w:val="24"/>
    </w:rPr>
  </w:style>
  <w:style w:type="paragraph" w:styleId="Heading2">
    <w:name w:val="heading 2"/>
    <w:basedOn w:val="Normal"/>
    <w:next w:val="Normal"/>
    <w:link w:val="Heading2Char"/>
    <w:uiPriority w:val="99"/>
    <w:qFormat/>
    <w:rsid w:val="00FC339D"/>
    <w:pPr>
      <w:spacing w:before="120"/>
      <w:outlineLvl w:val="1"/>
    </w:pPr>
    <w:rPr>
      <w:b/>
      <w:sz w:val="24"/>
      <w:lang w:val="en-GB"/>
    </w:rPr>
  </w:style>
  <w:style w:type="paragraph" w:styleId="Heading3">
    <w:name w:val="heading 3"/>
    <w:basedOn w:val="Normal"/>
    <w:next w:val="Normal"/>
    <w:link w:val="Heading3Char"/>
    <w:uiPriority w:val="99"/>
    <w:qFormat/>
    <w:rsid w:val="00FC339D"/>
    <w:pPr>
      <w:keepNext/>
      <w:spacing w:before="240" w:after="60"/>
      <w:outlineLvl w:val="2"/>
    </w:pPr>
    <w:rPr>
      <w:b/>
      <w:sz w:val="24"/>
    </w:rPr>
  </w:style>
  <w:style w:type="paragraph" w:styleId="Heading4">
    <w:name w:val="heading 4"/>
    <w:basedOn w:val="Normal"/>
    <w:next w:val="Normal"/>
    <w:link w:val="Heading4Char"/>
    <w:uiPriority w:val="99"/>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link w:val="Heading5Char"/>
    <w:uiPriority w:val="99"/>
    <w:qFormat/>
    <w:rsid w:val="00FC339D"/>
    <w:pPr>
      <w:keepNext/>
      <w:jc w:val="right"/>
      <w:outlineLvl w:val="4"/>
    </w:pPr>
    <w:rPr>
      <w:sz w:val="24"/>
      <w:u w:val="single"/>
    </w:rPr>
  </w:style>
  <w:style w:type="paragraph" w:styleId="Heading6">
    <w:name w:val="heading 6"/>
    <w:basedOn w:val="Normal"/>
    <w:next w:val="Normal"/>
    <w:link w:val="Heading6Char"/>
    <w:uiPriority w:val="99"/>
    <w:qFormat/>
    <w:rsid w:val="00FC339D"/>
    <w:pPr>
      <w:keepNext/>
      <w:ind w:left="709" w:right="-211" w:hanging="709"/>
      <w:outlineLvl w:val="5"/>
    </w:pPr>
    <w:rPr>
      <w:sz w:val="24"/>
    </w:rPr>
  </w:style>
  <w:style w:type="paragraph" w:styleId="Heading7">
    <w:name w:val="heading 7"/>
    <w:basedOn w:val="Normal"/>
    <w:next w:val="Normal"/>
    <w:link w:val="Heading7Char"/>
    <w:uiPriority w:val="99"/>
    <w:qFormat/>
    <w:rsid w:val="00FC339D"/>
    <w:pPr>
      <w:keepNext/>
      <w:spacing w:line="240" w:lineRule="exact"/>
      <w:ind w:left="720"/>
      <w:outlineLvl w:val="6"/>
    </w:pPr>
    <w:rPr>
      <w:b/>
      <w:sz w:val="24"/>
    </w:rPr>
  </w:style>
  <w:style w:type="paragraph" w:styleId="Heading8">
    <w:name w:val="heading 8"/>
    <w:basedOn w:val="Normal"/>
    <w:next w:val="Normal"/>
    <w:link w:val="Heading8Char"/>
    <w:uiPriority w:val="99"/>
    <w:qFormat/>
    <w:rsid w:val="00FC339D"/>
    <w:pPr>
      <w:keepNext/>
      <w:outlineLvl w:val="7"/>
    </w:pPr>
    <w:rPr>
      <w:rFonts w:ascii="CG Times (WT)" w:hAnsi="CG Times (WT)"/>
      <w:u w:val="single"/>
    </w:rPr>
  </w:style>
  <w:style w:type="paragraph" w:styleId="Heading9">
    <w:name w:val="heading 9"/>
    <w:basedOn w:val="Normal"/>
    <w:next w:val="Normal"/>
    <w:link w:val="Heading9Char"/>
    <w:uiPriority w:val="99"/>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7F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747F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747F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B747F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B747F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B747F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B747F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B747F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B747F8"/>
    <w:rPr>
      <w:rFonts w:asciiTheme="majorHAnsi" w:eastAsiaTheme="majorEastAsia" w:hAnsiTheme="majorHAnsi" w:cstheme="majorBidi"/>
      <w:lang w:val="en-US" w:eastAsia="en-US"/>
    </w:rPr>
  </w:style>
  <w:style w:type="paragraph" w:styleId="Header">
    <w:name w:val="header"/>
    <w:basedOn w:val="Normal"/>
    <w:link w:val="HeaderChar"/>
    <w:uiPriority w:val="99"/>
    <w:rsid w:val="00FC339D"/>
    <w:pPr>
      <w:tabs>
        <w:tab w:val="center" w:pos="4320"/>
        <w:tab w:val="right" w:pos="8640"/>
      </w:tabs>
    </w:pPr>
  </w:style>
  <w:style w:type="character" w:customStyle="1" w:styleId="HeaderChar">
    <w:name w:val="Header Char"/>
    <w:basedOn w:val="DefaultParagraphFont"/>
    <w:link w:val="Header"/>
    <w:uiPriority w:val="99"/>
    <w:locked/>
    <w:rsid w:val="00C406C4"/>
    <w:rPr>
      <w:rFonts w:cs="Times New Roman"/>
    </w:rPr>
  </w:style>
  <w:style w:type="paragraph" w:styleId="Footer">
    <w:name w:val="footer"/>
    <w:basedOn w:val="Normal"/>
    <w:link w:val="FooterChar"/>
    <w:uiPriority w:val="99"/>
    <w:rsid w:val="00FC339D"/>
    <w:pPr>
      <w:tabs>
        <w:tab w:val="center" w:pos="4320"/>
        <w:tab w:val="right" w:pos="8640"/>
      </w:tabs>
    </w:pPr>
  </w:style>
  <w:style w:type="character" w:customStyle="1" w:styleId="FooterChar">
    <w:name w:val="Footer Char"/>
    <w:basedOn w:val="DefaultParagraphFont"/>
    <w:link w:val="Footer"/>
    <w:uiPriority w:val="99"/>
    <w:locked/>
    <w:rsid w:val="00D4743C"/>
    <w:rPr>
      <w:rFonts w:cs="Times New Roman"/>
      <w:lang w:val="en-US" w:eastAsia="en-US"/>
    </w:rPr>
  </w:style>
  <w:style w:type="character" w:styleId="PageNumber">
    <w:name w:val="page number"/>
    <w:basedOn w:val="DefaultParagraphFont"/>
    <w:uiPriority w:val="99"/>
    <w:rsid w:val="00FC339D"/>
    <w:rPr>
      <w:rFonts w:cs="Times New Roman"/>
    </w:rPr>
  </w:style>
  <w:style w:type="paragraph" w:styleId="BodyTextIndent">
    <w:name w:val="Body Text Indent"/>
    <w:basedOn w:val="Normal"/>
    <w:link w:val="BodyTextIndentChar"/>
    <w:uiPriority w:val="99"/>
    <w:rsid w:val="00FC339D"/>
    <w:pPr>
      <w:ind w:left="720" w:hanging="720"/>
    </w:pPr>
    <w:rPr>
      <w:sz w:val="24"/>
    </w:rPr>
  </w:style>
  <w:style w:type="character" w:customStyle="1" w:styleId="BodyTextIndentChar">
    <w:name w:val="Body Text Indent Char"/>
    <w:basedOn w:val="DefaultParagraphFont"/>
    <w:link w:val="BodyTextIndent"/>
    <w:uiPriority w:val="99"/>
    <w:locked/>
    <w:rsid w:val="00C406C4"/>
    <w:rPr>
      <w:rFonts w:cs="Times New Roman"/>
      <w:sz w:val="24"/>
    </w:rPr>
  </w:style>
  <w:style w:type="paragraph" w:styleId="BodyTextIndent2">
    <w:name w:val="Body Text Indent 2"/>
    <w:basedOn w:val="Normal"/>
    <w:link w:val="BodyTextIndent2Char"/>
    <w:uiPriority w:val="99"/>
    <w:rsid w:val="00FC339D"/>
    <w:pPr>
      <w:tabs>
        <w:tab w:val="right" w:pos="6840"/>
        <w:tab w:val="right" w:pos="8640"/>
      </w:tabs>
      <w:ind w:left="720"/>
    </w:pPr>
    <w:rPr>
      <w:sz w:val="24"/>
    </w:rPr>
  </w:style>
  <w:style w:type="character" w:customStyle="1" w:styleId="BodyTextIndent2Char">
    <w:name w:val="Body Text Indent 2 Char"/>
    <w:basedOn w:val="DefaultParagraphFont"/>
    <w:link w:val="BodyTextIndent2"/>
    <w:uiPriority w:val="99"/>
    <w:semiHidden/>
    <w:rsid w:val="00B747F8"/>
    <w:rPr>
      <w:sz w:val="20"/>
      <w:szCs w:val="20"/>
      <w:lang w:val="en-US" w:eastAsia="en-US"/>
    </w:rPr>
  </w:style>
  <w:style w:type="paragraph" w:styleId="BodyTextIndent3">
    <w:name w:val="Body Text Indent 3"/>
    <w:basedOn w:val="Normal"/>
    <w:link w:val="BodyTextIndent3Char"/>
    <w:uiPriority w:val="99"/>
    <w:rsid w:val="00FC339D"/>
    <w:pPr>
      <w:tabs>
        <w:tab w:val="right" w:pos="6840"/>
        <w:tab w:val="right" w:pos="8640"/>
      </w:tabs>
      <w:ind w:left="720"/>
    </w:pPr>
    <w:rPr>
      <w:i/>
      <w:color w:val="FF0000"/>
      <w:sz w:val="24"/>
    </w:rPr>
  </w:style>
  <w:style w:type="character" w:customStyle="1" w:styleId="BodyTextIndent3Char">
    <w:name w:val="Body Text Indent 3 Char"/>
    <w:basedOn w:val="DefaultParagraphFont"/>
    <w:link w:val="BodyTextIndent3"/>
    <w:uiPriority w:val="99"/>
    <w:semiHidden/>
    <w:rsid w:val="00B747F8"/>
    <w:rPr>
      <w:sz w:val="16"/>
      <w:szCs w:val="16"/>
      <w:lang w:val="en-US" w:eastAsia="en-US"/>
    </w:rPr>
  </w:style>
  <w:style w:type="paragraph" w:styleId="BodyText2">
    <w:name w:val="Body Text 2"/>
    <w:basedOn w:val="Normal"/>
    <w:link w:val="BodyText2Char"/>
    <w:uiPriority w:val="99"/>
    <w:rsid w:val="00FC339D"/>
    <w:pPr>
      <w:tabs>
        <w:tab w:val="left" w:pos="-720"/>
        <w:tab w:val="left" w:pos="0"/>
      </w:tabs>
      <w:suppressAutoHyphens/>
      <w:jc w:val="both"/>
    </w:pPr>
    <w:rPr>
      <w:spacing w:val="-3"/>
      <w:sz w:val="24"/>
    </w:rPr>
  </w:style>
  <w:style w:type="character" w:customStyle="1" w:styleId="BodyText2Char">
    <w:name w:val="Body Text 2 Char"/>
    <w:basedOn w:val="DefaultParagraphFont"/>
    <w:link w:val="BodyText2"/>
    <w:uiPriority w:val="99"/>
    <w:semiHidden/>
    <w:rsid w:val="00B747F8"/>
    <w:rPr>
      <w:sz w:val="20"/>
      <w:szCs w:val="20"/>
      <w:lang w:val="en-US" w:eastAsia="en-US"/>
    </w:rPr>
  </w:style>
  <w:style w:type="paragraph" w:styleId="BodyText">
    <w:name w:val="Body Text"/>
    <w:basedOn w:val="Normal"/>
    <w:link w:val="BodyTextChar"/>
    <w:uiPriority w:val="99"/>
    <w:rsid w:val="00FC339D"/>
    <w:rPr>
      <w:sz w:val="24"/>
      <w:lang w:val="tr-TR"/>
    </w:rPr>
  </w:style>
  <w:style w:type="character" w:customStyle="1" w:styleId="BodyTextChar">
    <w:name w:val="Body Text Char"/>
    <w:basedOn w:val="DefaultParagraphFont"/>
    <w:link w:val="BodyText"/>
    <w:uiPriority w:val="99"/>
    <w:locked/>
    <w:rsid w:val="00823580"/>
    <w:rPr>
      <w:rFonts w:cs="Times New Roman"/>
      <w:sz w:val="24"/>
      <w:lang w:eastAsia="en-US"/>
    </w:rPr>
  </w:style>
  <w:style w:type="paragraph" w:styleId="DocumentMap">
    <w:name w:val="Document Map"/>
    <w:basedOn w:val="Normal"/>
    <w:link w:val="DocumentMapChar"/>
    <w:uiPriority w:val="99"/>
    <w:semiHidden/>
    <w:rsid w:val="00FC339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747F8"/>
    <w:rPr>
      <w:sz w:val="0"/>
      <w:szCs w:val="0"/>
      <w:lang w:val="en-US" w:eastAsia="en-US"/>
    </w:rPr>
  </w:style>
  <w:style w:type="paragraph" w:styleId="BodyText3">
    <w:name w:val="Body Text 3"/>
    <w:basedOn w:val="Normal"/>
    <w:link w:val="BodyText3Char"/>
    <w:uiPriority w:val="99"/>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character" w:customStyle="1" w:styleId="BodyText3Char">
    <w:name w:val="Body Text 3 Char"/>
    <w:basedOn w:val="DefaultParagraphFont"/>
    <w:link w:val="BodyText3"/>
    <w:uiPriority w:val="99"/>
    <w:semiHidden/>
    <w:rsid w:val="00B747F8"/>
    <w:rPr>
      <w:sz w:val="16"/>
      <w:szCs w:val="16"/>
      <w:lang w:val="en-US" w:eastAsia="en-US"/>
    </w:rPr>
  </w:style>
  <w:style w:type="paragraph" w:customStyle="1" w:styleId="bodytext0">
    <w:name w:val="body_text"/>
    <w:basedOn w:val="Normal"/>
    <w:uiPriority w:val="99"/>
    <w:rsid w:val="00FC339D"/>
    <w:pPr>
      <w:spacing w:after="120"/>
    </w:pPr>
    <w:rPr>
      <w:sz w:val="22"/>
    </w:rPr>
  </w:style>
  <w:style w:type="paragraph" w:styleId="BlockText">
    <w:name w:val="Block Text"/>
    <w:basedOn w:val="Normal"/>
    <w:uiPriority w:val="99"/>
    <w:rsid w:val="00FC339D"/>
    <w:pPr>
      <w:tabs>
        <w:tab w:val="right" w:pos="4320"/>
        <w:tab w:val="right" w:pos="7020"/>
        <w:tab w:val="right" w:pos="8460"/>
      </w:tabs>
      <w:ind w:left="720" w:right="540" w:hanging="630"/>
    </w:pPr>
    <w:rPr>
      <w:sz w:val="24"/>
    </w:rPr>
  </w:style>
  <w:style w:type="paragraph" w:customStyle="1" w:styleId="Style0">
    <w:name w:val="Style0"/>
    <w:uiPriority w:val="99"/>
    <w:rsid w:val="00FC339D"/>
    <w:pPr>
      <w:autoSpaceDE w:val="0"/>
      <w:autoSpaceDN w:val="0"/>
      <w:adjustRightInd w:val="0"/>
    </w:pPr>
    <w:rPr>
      <w:rFonts w:ascii="MS Sans Serif" w:hAnsi="MS Sans Serif"/>
      <w:sz w:val="20"/>
      <w:szCs w:val="24"/>
      <w:lang w:val="en-US" w:eastAsia="en-US"/>
    </w:rPr>
  </w:style>
  <w:style w:type="paragraph" w:customStyle="1" w:styleId="xl25">
    <w:name w:val="xl25"/>
    <w:basedOn w:val="Normal"/>
    <w:uiPriority w:val="99"/>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uiPriority w:val="99"/>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uiPriority w:val="99"/>
    <w:rsid w:val="00FC339D"/>
    <w:pPr>
      <w:spacing w:before="100" w:beforeAutospacing="1" w:after="100" w:afterAutospacing="1"/>
    </w:pPr>
    <w:rPr>
      <w:rFonts w:eastAsia="Arial Unicode MS"/>
      <w:b/>
      <w:bCs/>
      <w:sz w:val="24"/>
      <w:szCs w:val="24"/>
    </w:rPr>
  </w:style>
  <w:style w:type="paragraph" w:customStyle="1" w:styleId="xl28">
    <w:name w:val="xl28"/>
    <w:basedOn w:val="Normal"/>
    <w:uiPriority w:val="99"/>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uiPriority w:val="99"/>
    <w:rsid w:val="00FC339D"/>
    <w:pPr>
      <w:spacing w:before="100" w:beforeAutospacing="1" w:after="100" w:afterAutospacing="1"/>
    </w:pPr>
    <w:rPr>
      <w:rFonts w:eastAsia="Arial Unicode MS"/>
      <w:sz w:val="24"/>
      <w:szCs w:val="24"/>
    </w:rPr>
  </w:style>
  <w:style w:type="paragraph" w:customStyle="1" w:styleId="xl30">
    <w:name w:val="xl30"/>
    <w:basedOn w:val="Normal"/>
    <w:uiPriority w:val="99"/>
    <w:rsid w:val="00FC339D"/>
    <w:pPr>
      <w:spacing w:before="100" w:beforeAutospacing="1" w:after="100" w:afterAutospacing="1"/>
    </w:pPr>
    <w:rPr>
      <w:rFonts w:eastAsia="Arial Unicode MS"/>
      <w:sz w:val="24"/>
      <w:szCs w:val="24"/>
    </w:rPr>
  </w:style>
  <w:style w:type="paragraph" w:customStyle="1" w:styleId="xl31">
    <w:name w:val="xl31"/>
    <w:basedOn w:val="Normal"/>
    <w:uiPriority w:val="99"/>
    <w:rsid w:val="00FC339D"/>
    <w:pPr>
      <w:spacing w:before="100" w:beforeAutospacing="1" w:after="100" w:afterAutospacing="1"/>
    </w:pPr>
    <w:rPr>
      <w:rFonts w:eastAsia="Arial Unicode MS"/>
      <w:b/>
      <w:bCs/>
      <w:sz w:val="24"/>
      <w:szCs w:val="24"/>
    </w:rPr>
  </w:style>
  <w:style w:type="paragraph" w:customStyle="1" w:styleId="xl32">
    <w:name w:val="xl32"/>
    <w:basedOn w:val="Normal"/>
    <w:uiPriority w:val="99"/>
    <w:rsid w:val="00FC339D"/>
    <w:pPr>
      <w:spacing w:before="100" w:beforeAutospacing="1" w:after="100" w:afterAutospacing="1"/>
    </w:pPr>
    <w:rPr>
      <w:rFonts w:eastAsia="Arial Unicode MS"/>
      <w:b/>
      <w:bCs/>
      <w:sz w:val="24"/>
      <w:szCs w:val="24"/>
    </w:rPr>
  </w:style>
  <w:style w:type="paragraph" w:customStyle="1" w:styleId="xl33">
    <w:name w:val="xl33"/>
    <w:basedOn w:val="Normal"/>
    <w:uiPriority w:val="99"/>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FC339D"/>
    <w:pPr>
      <w:spacing w:before="100" w:beforeAutospacing="1" w:after="100" w:afterAutospacing="1"/>
    </w:pPr>
    <w:rPr>
      <w:rFonts w:eastAsia="Arial Unicode MS"/>
      <w:b/>
      <w:bCs/>
      <w:sz w:val="24"/>
      <w:szCs w:val="24"/>
    </w:rPr>
  </w:style>
  <w:style w:type="paragraph" w:customStyle="1" w:styleId="xl36">
    <w:name w:val="xl36"/>
    <w:basedOn w:val="Normal"/>
    <w:uiPriority w:val="99"/>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uiPriority w:val="99"/>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uiPriority w:val="99"/>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uiPriority w:val="99"/>
    <w:rsid w:val="00FC339D"/>
    <w:pPr>
      <w:widowControl w:val="0"/>
      <w:tabs>
        <w:tab w:val="left" w:pos="720"/>
      </w:tabs>
      <w:autoSpaceDE w:val="0"/>
      <w:autoSpaceDN w:val="0"/>
      <w:adjustRightInd w:val="0"/>
      <w:ind w:left="720" w:hanging="720"/>
      <w:jc w:val="both"/>
    </w:pPr>
    <w:rPr>
      <w:sz w:val="24"/>
      <w:szCs w:val="24"/>
      <w:lang w:val="en-US" w:eastAsia="en-US"/>
    </w:rPr>
  </w:style>
  <w:style w:type="paragraph" w:customStyle="1" w:styleId="Body">
    <w:name w:val="Body"/>
    <w:aliases w:val="by,BD"/>
    <w:uiPriority w:val="99"/>
    <w:rsid w:val="00FC339D"/>
    <w:pPr>
      <w:keepLines/>
      <w:spacing w:after="130" w:line="260" w:lineRule="exact"/>
      <w:jc w:val="both"/>
    </w:pPr>
    <w:rPr>
      <w:rFonts w:ascii="Times" w:hAnsi="Times"/>
      <w:szCs w:val="20"/>
      <w:lang w:val="en-GB" w:eastAsia="en-US"/>
    </w:rPr>
  </w:style>
  <w:style w:type="paragraph" w:customStyle="1" w:styleId="000normal">
    <w:name w:val="000normal"/>
    <w:basedOn w:val="Normal"/>
    <w:uiPriority w:val="99"/>
    <w:rsid w:val="00FC339D"/>
    <w:pPr>
      <w:spacing w:before="180" w:after="100" w:afterAutospacing="1"/>
      <w:jc w:val="both"/>
    </w:pPr>
    <w:rPr>
      <w:rFonts w:ascii="Arial" w:eastAsia="Arial Unicode MS" w:hAnsi="Arial" w:cs="Arial"/>
    </w:rPr>
  </w:style>
  <w:style w:type="paragraph" w:customStyle="1" w:styleId="xl24">
    <w:name w:val="xl24"/>
    <w:basedOn w:val="Normal"/>
    <w:uiPriority w:val="99"/>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uiPriority w:val="99"/>
    <w:rsid w:val="00FC339D"/>
    <w:rPr>
      <w:rFonts w:cs="Times New Roman"/>
      <w:color w:val="000066"/>
      <w:u w:val="none"/>
      <w:effect w:val="none"/>
    </w:rPr>
  </w:style>
  <w:style w:type="character" w:styleId="FollowedHyperlink">
    <w:name w:val="FollowedHyperlink"/>
    <w:basedOn w:val="DefaultParagraphFont"/>
    <w:uiPriority w:val="99"/>
    <w:rsid w:val="00FC339D"/>
    <w:rPr>
      <w:rFonts w:cs="Times New Roman"/>
      <w:color w:val="800080"/>
      <w:u w:val="single"/>
    </w:rPr>
  </w:style>
  <w:style w:type="paragraph" w:styleId="BalloonText">
    <w:name w:val="Balloon Text"/>
    <w:basedOn w:val="Normal"/>
    <w:link w:val="BalloonTextChar"/>
    <w:uiPriority w:val="99"/>
    <w:semiHidden/>
    <w:rsid w:val="00337E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9BF"/>
    <w:rPr>
      <w:rFonts w:ascii="Tahoma" w:hAnsi="Tahoma" w:cs="Tahoma"/>
      <w:sz w:val="16"/>
      <w:szCs w:val="16"/>
      <w:lang w:val="en-US" w:eastAsia="en-US" w:bidi="ar-SA"/>
    </w:rPr>
  </w:style>
  <w:style w:type="table" w:styleId="TableGrid">
    <w:name w:val="Table Grid"/>
    <w:basedOn w:val="TableNormal"/>
    <w:uiPriority w:val="99"/>
    <w:rsid w:val="001C19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Normal"/>
    <w:link w:val="bodyChar"/>
    <w:uiPriority w:val="99"/>
    <w:rsid w:val="003C505B"/>
    <w:pPr>
      <w:spacing w:after="120" w:line="260" w:lineRule="exact"/>
      <w:jc w:val="both"/>
    </w:pPr>
    <w:rPr>
      <w:sz w:val="22"/>
      <w:szCs w:val="24"/>
    </w:rPr>
  </w:style>
  <w:style w:type="paragraph" w:customStyle="1" w:styleId="BodybyBD">
    <w:name w:val="Body.by.BD"/>
    <w:uiPriority w:val="99"/>
    <w:rsid w:val="00234536"/>
    <w:pPr>
      <w:keepLines/>
      <w:spacing w:after="130" w:line="260" w:lineRule="exact"/>
      <w:jc w:val="both"/>
    </w:pPr>
    <w:rPr>
      <w:rFonts w:ascii="Times" w:hAnsi="Times"/>
      <w:szCs w:val="20"/>
      <w:lang w:val="en-GB" w:eastAsia="en-US"/>
    </w:rPr>
  </w:style>
  <w:style w:type="paragraph" w:customStyle="1" w:styleId="DefaultParagraphFontParaCharChar">
    <w:name w:val="Default Paragraph Font Para Char Char"/>
    <w:aliases w:val="Default Paragraph Font Para Char Para Char Char"/>
    <w:basedOn w:val="Normal"/>
    <w:uiPriority w:val="99"/>
    <w:rsid w:val="00C52836"/>
  </w:style>
  <w:style w:type="paragraph" w:customStyle="1" w:styleId="bodycopyindent">
    <w:name w:val="body copy indent"/>
    <w:basedOn w:val="Normal"/>
    <w:uiPriority w:val="99"/>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uiPriority w:val="99"/>
    <w:rsid w:val="00D5540E"/>
    <w:pPr>
      <w:spacing w:before="20" w:line="210" w:lineRule="exact"/>
    </w:pPr>
    <w:rPr>
      <w:rFonts w:ascii="Arial" w:hAnsi="Arial" w:cs="Arial"/>
      <w:b/>
      <w:color w:val="000000"/>
      <w:sz w:val="17"/>
      <w:szCs w:val="17"/>
    </w:rPr>
  </w:style>
  <w:style w:type="paragraph" w:customStyle="1" w:styleId="Dividerline">
    <w:name w:val="Divider line"/>
    <w:basedOn w:val="Normal"/>
    <w:uiPriority w:val="99"/>
    <w:rsid w:val="00D5540E"/>
    <w:rPr>
      <w:rFonts w:ascii="Arial" w:hAnsi="Arial" w:cs="Tahoma"/>
      <w:sz w:val="15"/>
      <w:szCs w:val="15"/>
      <w:lang w:val="en-AU"/>
    </w:rPr>
  </w:style>
  <w:style w:type="paragraph" w:customStyle="1" w:styleId="Bodycopybullet">
    <w:name w:val="Body copy bullet"/>
    <w:basedOn w:val="Normal"/>
    <w:uiPriority w:val="99"/>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uiPriority w:val="99"/>
    <w:rsid w:val="00D5540E"/>
    <w:pPr>
      <w:spacing w:before="20" w:line="210" w:lineRule="exact"/>
    </w:pPr>
    <w:rPr>
      <w:rFonts w:ascii="Arial" w:hAnsi="Arial" w:cs="Arial"/>
      <w:color w:val="000000"/>
      <w:sz w:val="17"/>
      <w:szCs w:val="17"/>
      <w:lang w:val="en-US" w:eastAsia="en-US"/>
    </w:rPr>
  </w:style>
  <w:style w:type="paragraph" w:styleId="FootnoteText">
    <w:name w:val="footnote text"/>
    <w:basedOn w:val="Normal"/>
    <w:link w:val="FootnoteTextChar"/>
    <w:uiPriority w:val="99"/>
    <w:semiHidden/>
    <w:rsid w:val="00A50239"/>
    <w:pPr>
      <w:widowControl w:val="0"/>
    </w:pPr>
    <w:rPr>
      <w:rFonts w:ascii="Courier New" w:hAnsi="Courier New"/>
      <w:sz w:val="24"/>
      <w:lang w:val="tr-TR"/>
    </w:rPr>
  </w:style>
  <w:style w:type="character" w:customStyle="1" w:styleId="FootnoteTextChar">
    <w:name w:val="Footnote Text Char"/>
    <w:basedOn w:val="DefaultParagraphFont"/>
    <w:link w:val="FootnoteText"/>
    <w:uiPriority w:val="99"/>
    <w:semiHidden/>
    <w:rsid w:val="00B747F8"/>
    <w:rPr>
      <w:sz w:val="20"/>
      <w:szCs w:val="20"/>
      <w:lang w:val="en-US" w:eastAsia="en-US"/>
    </w:rPr>
  </w:style>
  <w:style w:type="paragraph" w:customStyle="1" w:styleId="CharChar1">
    <w:name w:val="Char Char1"/>
    <w:basedOn w:val="Normal"/>
    <w:uiPriority w:val="99"/>
    <w:rsid w:val="00E1504E"/>
  </w:style>
  <w:style w:type="character" w:customStyle="1" w:styleId="Normal11ptChar">
    <w:name w:val="Normal + 11 pt Char"/>
    <w:aliases w:val="Black Char"/>
    <w:basedOn w:val="DefaultParagraphFont"/>
    <w:uiPriority w:val="99"/>
    <w:rsid w:val="00782501"/>
    <w:rPr>
      <w:rFonts w:cs="Times New Roman"/>
      <w:sz w:val="24"/>
      <w:szCs w:val="24"/>
      <w:lang w:val="tr-TR" w:eastAsia="en-US" w:bidi="ar-SA"/>
    </w:rPr>
  </w:style>
  <w:style w:type="character" w:styleId="CommentReference">
    <w:name w:val="annotation reference"/>
    <w:basedOn w:val="DefaultParagraphFont"/>
    <w:uiPriority w:val="99"/>
    <w:semiHidden/>
    <w:rsid w:val="00CB751B"/>
    <w:rPr>
      <w:rFonts w:cs="Times New Roman"/>
      <w:sz w:val="16"/>
      <w:szCs w:val="16"/>
    </w:rPr>
  </w:style>
  <w:style w:type="paragraph" w:styleId="CommentText">
    <w:name w:val="annotation text"/>
    <w:basedOn w:val="Normal"/>
    <w:link w:val="CommentTextChar"/>
    <w:uiPriority w:val="99"/>
    <w:rsid w:val="00CB751B"/>
  </w:style>
  <w:style w:type="character" w:customStyle="1" w:styleId="CommentTextChar">
    <w:name w:val="Comment Text Char"/>
    <w:basedOn w:val="DefaultParagraphFont"/>
    <w:link w:val="CommentText"/>
    <w:uiPriority w:val="99"/>
    <w:locked/>
    <w:rsid w:val="007D5788"/>
    <w:rPr>
      <w:rFonts w:cs="Times New Roman"/>
    </w:rPr>
  </w:style>
  <w:style w:type="paragraph" w:customStyle="1" w:styleId="Teknik4">
    <w:name w:val="Teknik 4"/>
    <w:uiPriority w:val="99"/>
    <w:rsid w:val="00CB751B"/>
    <w:pPr>
      <w:widowControl w:val="0"/>
      <w:tabs>
        <w:tab w:val="left" w:pos="-720"/>
      </w:tabs>
      <w:suppressAutoHyphens/>
    </w:pPr>
    <w:rPr>
      <w:rFonts w:ascii="Courier New" w:hAnsi="Courier New"/>
      <w:b/>
      <w:sz w:val="24"/>
      <w:szCs w:val="20"/>
      <w:lang w:val="en-AU" w:eastAsia="en-US"/>
    </w:rPr>
  </w:style>
  <w:style w:type="paragraph" w:customStyle="1" w:styleId="1tipi">
    <w:name w:val="(1) tipi"/>
    <w:basedOn w:val="Normal"/>
    <w:uiPriority w:val="99"/>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link w:val="CommentSubjectChar"/>
    <w:uiPriority w:val="99"/>
    <w:semiHidden/>
    <w:rsid w:val="00900679"/>
    <w:rPr>
      <w:b/>
      <w:bCs/>
    </w:rPr>
  </w:style>
  <w:style w:type="character" w:customStyle="1" w:styleId="CommentSubjectChar">
    <w:name w:val="Comment Subject Char"/>
    <w:basedOn w:val="CommentTextChar"/>
    <w:link w:val="CommentSubject"/>
    <w:uiPriority w:val="99"/>
    <w:semiHidden/>
    <w:rsid w:val="00B747F8"/>
    <w:rPr>
      <w:rFonts w:cs="Times New Roman"/>
      <w:b/>
      <w:bCs/>
      <w:sz w:val="20"/>
      <w:szCs w:val="20"/>
      <w:lang w:val="en-US" w:eastAsia="en-US"/>
    </w:rPr>
  </w:style>
  <w:style w:type="paragraph" w:customStyle="1" w:styleId="001normalbold">
    <w:name w:val="001normalbold"/>
    <w:basedOn w:val="Normal"/>
    <w:uiPriority w:val="99"/>
    <w:rsid w:val="00245BD3"/>
    <w:pPr>
      <w:spacing w:before="40" w:after="80"/>
      <w:jc w:val="both"/>
    </w:pPr>
    <w:rPr>
      <w:rFonts w:ascii="Arial" w:eastAsia="Arial Unicode MS" w:hAnsi="Arial" w:cs="Arial"/>
      <w:b/>
      <w:bCs/>
    </w:rPr>
  </w:style>
  <w:style w:type="paragraph" w:styleId="EndnoteText">
    <w:name w:val="endnote text"/>
    <w:basedOn w:val="Normal"/>
    <w:link w:val="EndnoteTextChar"/>
    <w:uiPriority w:val="99"/>
    <w:rsid w:val="00245BD3"/>
    <w:pPr>
      <w:widowControl w:val="0"/>
    </w:pPr>
    <w:rPr>
      <w:rFonts w:ascii="Courier New" w:hAnsi="Courier New"/>
      <w:sz w:val="24"/>
      <w:lang w:val="en-GB"/>
    </w:rPr>
  </w:style>
  <w:style w:type="character" w:customStyle="1" w:styleId="EndnoteTextChar">
    <w:name w:val="Endnote Text Char"/>
    <w:basedOn w:val="DefaultParagraphFont"/>
    <w:link w:val="EndnoteText"/>
    <w:uiPriority w:val="99"/>
    <w:locked/>
    <w:rsid w:val="00DF1F24"/>
    <w:rPr>
      <w:rFonts w:ascii="Courier New" w:hAnsi="Courier New" w:cs="Times New Roman"/>
      <w:sz w:val="24"/>
      <w:lang w:val="en-GB"/>
    </w:rPr>
  </w:style>
  <w:style w:type="paragraph" w:customStyle="1" w:styleId="Normaltext">
    <w:name w:val="Normal text"/>
    <w:basedOn w:val="Normal"/>
    <w:uiPriority w:val="99"/>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uiPriority w:val="99"/>
    <w:rsid w:val="00245BD3"/>
    <w:pPr>
      <w:keepNext/>
      <w:keepLines/>
      <w:tabs>
        <w:tab w:val="left" w:pos="-720"/>
      </w:tabs>
      <w:suppressAutoHyphens/>
    </w:pPr>
    <w:rPr>
      <w:rFonts w:ascii="Courier New" w:hAnsi="Courier New"/>
      <w:sz w:val="24"/>
      <w:szCs w:val="20"/>
      <w:lang w:val="en-US" w:eastAsia="en-US"/>
    </w:rPr>
  </w:style>
  <w:style w:type="paragraph" w:customStyle="1" w:styleId="atipi">
    <w:name w:val="(a) tipi"/>
    <w:basedOn w:val="Normal"/>
    <w:uiPriority w:val="99"/>
    <w:rsid w:val="00245BD3"/>
    <w:pPr>
      <w:ind w:left="1134" w:hanging="567"/>
      <w:jc w:val="both"/>
    </w:pPr>
    <w:rPr>
      <w:rFonts w:ascii="Arial" w:hAnsi="Arial"/>
      <w:sz w:val="24"/>
      <w:lang w:val="tr-TR" w:eastAsia="tr-TR"/>
    </w:rPr>
  </w:style>
  <w:style w:type="paragraph" w:styleId="HTMLPreformatted">
    <w:name w:val="HTML Preformatted"/>
    <w:basedOn w:val="Normal"/>
    <w:link w:val="HTMLPreformattedChar"/>
    <w:uiPriority w:val="99"/>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character" w:customStyle="1" w:styleId="HTMLPreformattedChar">
    <w:name w:val="HTML Preformatted Char"/>
    <w:basedOn w:val="DefaultParagraphFont"/>
    <w:link w:val="HTMLPreformatted"/>
    <w:uiPriority w:val="99"/>
    <w:semiHidden/>
    <w:rsid w:val="00B747F8"/>
    <w:rPr>
      <w:rFonts w:ascii="Courier New" w:hAnsi="Courier New" w:cs="Courier New"/>
      <w:sz w:val="20"/>
      <w:szCs w:val="20"/>
      <w:lang w:val="en-US" w:eastAsia="en-US"/>
    </w:rPr>
  </w:style>
  <w:style w:type="paragraph" w:styleId="PlainText">
    <w:name w:val="Plain Text"/>
    <w:basedOn w:val="Normal"/>
    <w:link w:val="PlainTextChar"/>
    <w:uiPriority w:val="99"/>
    <w:rsid w:val="00245BD3"/>
    <w:pPr>
      <w:overflowPunct w:val="0"/>
      <w:autoSpaceDE w:val="0"/>
      <w:autoSpaceDN w:val="0"/>
      <w:adjustRightInd w:val="0"/>
      <w:textAlignment w:val="baseline"/>
    </w:pPr>
    <w:rPr>
      <w:rFonts w:ascii="Courier New" w:hAnsi="Courier New"/>
      <w:lang w:val="tr-TR"/>
    </w:rPr>
  </w:style>
  <w:style w:type="character" w:customStyle="1" w:styleId="PlainTextChar">
    <w:name w:val="Plain Text Char"/>
    <w:basedOn w:val="DefaultParagraphFont"/>
    <w:link w:val="PlainText"/>
    <w:uiPriority w:val="99"/>
    <w:semiHidden/>
    <w:rsid w:val="00B747F8"/>
    <w:rPr>
      <w:rFonts w:ascii="Courier New" w:hAnsi="Courier New" w:cs="Courier New"/>
      <w:sz w:val="20"/>
      <w:szCs w:val="20"/>
      <w:lang w:val="en-US" w:eastAsia="en-US"/>
    </w:rPr>
  </w:style>
  <w:style w:type="paragraph" w:styleId="NormalWeb">
    <w:name w:val="Normal (Web)"/>
    <w:basedOn w:val="Normal"/>
    <w:uiPriority w:val="99"/>
    <w:rsid w:val="00245BD3"/>
    <w:pPr>
      <w:spacing w:before="100" w:beforeAutospacing="1" w:after="100" w:afterAutospacing="1"/>
    </w:pPr>
    <w:rPr>
      <w:sz w:val="24"/>
      <w:szCs w:val="24"/>
      <w:lang w:val="tr-TR" w:eastAsia="tr-TR"/>
    </w:rPr>
  </w:style>
  <w:style w:type="paragraph" w:customStyle="1" w:styleId="ABLOCKPARA10">
    <w:name w:val="A BLOCK PARA 10"/>
    <w:basedOn w:val="Normal"/>
    <w:uiPriority w:val="99"/>
    <w:rsid w:val="00257513"/>
    <w:rPr>
      <w:rFonts w:ascii="Book Antiqua" w:hAnsi="Book Antiqua"/>
    </w:rPr>
  </w:style>
  <w:style w:type="paragraph" w:styleId="ListParagraph">
    <w:name w:val="List Paragraph"/>
    <w:basedOn w:val="Normal"/>
    <w:uiPriority w:val="99"/>
    <w:qFormat/>
    <w:rsid w:val="009231F4"/>
    <w:pPr>
      <w:spacing w:after="200" w:line="276" w:lineRule="auto"/>
      <w:ind w:left="708"/>
    </w:pPr>
    <w:rPr>
      <w:rFonts w:ascii="Calibri" w:hAnsi="Calibri"/>
      <w:sz w:val="22"/>
      <w:szCs w:val="22"/>
      <w:lang w:val="tr-TR"/>
    </w:rPr>
  </w:style>
  <w:style w:type="paragraph" w:customStyle="1" w:styleId="Default">
    <w:name w:val="Default"/>
    <w:uiPriority w:val="99"/>
    <w:rsid w:val="00B134F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FE19D2"/>
    <w:rPr>
      <w:sz w:val="20"/>
      <w:szCs w:val="20"/>
      <w:lang w:val="en-US" w:eastAsia="en-US"/>
    </w:rPr>
  </w:style>
  <w:style w:type="character" w:customStyle="1" w:styleId="bodyChar">
    <w:name w:val="body Char"/>
    <w:basedOn w:val="DefaultParagraphFont"/>
    <w:link w:val="body0"/>
    <w:uiPriority w:val="99"/>
    <w:locked/>
    <w:rsid w:val="003F5B30"/>
    <w:rPr>
      <w:rFonts w:cs="Times New Roman"/>
      <w:sz w:val="24"/>
      <w:szCs w:val="24"/>
    </w:rPr>
  </w:style>
  <w:style w:type="paragraph" w:customStyle="1" w:styleId="tablebullet">
    <w:name w:val="table bullet"/>
    <w:basedOn w:val="Normal"/>
    <w:uiPriority w:val="99"/>
    <w:rsid w:val="00BA06F6"/>
    <w:pPr>
      <w:numPr>
        <w:numId w:val="31"/>
      </w:numPr>
      <w:overflowPunct w:val="0"/>
      <w:autoSpaceDE w:val="0"/>
      <w:autoSpaceDN w:val="0"/>
      <w:adjustRightInd w:val="0"/>
      <w:spacing w:line="220" w:lineRule="exact"/>
      <w:textAlignment w:val="baseline"/>
    </w:pPr>
    <w:rPr>
      <w:rFonts w:ascii="EYInterstate Light" w:hAnsi="EYInterstate Light"/>
      <w:sz w:val="18"/>
      <w:lang w:val="en-GB"/>
    </w:rPr>
  </w:style>
  <w:style w:type="character" w:styleId="Emphasis">
    <w:name w:val="Emphasis"/>
    <w:basedOn w:val="DefaultParagraphFont"/>
    <w:uiPriority w:val="99"/>
    <w:qFormat/>
    <w:rsid w:val="00891B5D"/>
    <w:rPr>
      <w:rFonts w:cs="Times New Roman"/>
      <w:i/>
      <w:iCs/>
    </w:rPr>
  </w:style>
  <w:style w:type="paragraph" w:customStyle="1" w:styleId="Headline2">
    <w:name w:val="Headline 2"/>
    <w:uiPriority w:val="99"/>
    <w:rsid w:val="00310652"/>
    <w:pPr>
      <w:spacing w:after="240"/>
    </w:pPr>
    <w:rPr>
      <w:rFonts w:ascii="EYInterstate" w:hAnsi="EYInterstate" w:cs="Arial"/>
      <w:b/>
      <w:bCs/>
      <w:color w:val="808080"/>
      <w:kern w:val="32"/>
      <w:sz w:val="24"/>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BB"/>
    <w:rPr>
      <w:sz w:val="20"/>
      <w:szCs w:val="20"/>
      <w:lang w:val="en-US" w:eastAsia="en-US"/>
    </w:rPr>
  </w:style>
  <w:style w:type="paragraph" w:styleId="Heading1">
    <w:name w:val="heading 1"/>
    <w:basedOn w:val="Normal"/>
    <w:next w:val="Normal"/>
    <w:link w:val="Heading1Char"/>
    <w:uiPriority w:val="99"/>
    <w:qFormat/>
    <w:rsid w:val="00FC339D"/>
    <w:pPr>
      <w:keepNext/>
      <w:ind w:left="720" w:hanging="720"/>
      <w:outlineLvl w:val="0"/>
    </w:pPr>
    <w:rPr>
      <w:b/>
      <w:color w:val="FF0000"/>
      <w:sz w:val="24"/>
    </w:rPr>
  </w:style>
  <w:style w:type="paragraph" w:styleId="Heading2">
    <w:name w:val="heading 2"/>
    <w:basedOn w:val="Normal"/>
    <w:next w:val="Normal"/>
    <w:link w:val="Heading2Char"/>
    <w:uiPriority w:val="99"/>
    <w:qFormat/>
    <w:rsid w:val="00FC339D"/>
    <w:pPr>
      <w:spacing w:before="120"/>
      <w:outlineLvl w:val="1"/>
    </w:pPr>
    <w:rPr>
      <w:b/>
      <w:sz w:val="24"/>
      <w:lang w:val="en-GB"/>
    </w:rPr>
  </w:style>
  <w:style w:type="paragraph" w:styleId="Heading3">
    <w:name w:val="heading 3"/>
    <w:basedOn w:val="Normal"/>
    <w:next w:val="Normal"/>
    <w:link w:val="Heading3Char"/>
    <w:uiPriority w:val="99"/>
    <w:qFormat/>
    <w:rsid w:val="00FC339D"/>
    <w:pPr>
      <w:keepNext/>
      <w:spacing w:before="240" w:after="60"/>
      <w:outlineLvl w:val="2"/>
    </w:pPr>
    <w:rPr>
      <w:b/>
      <w:sz w:val="24"/>
    </w:rPr>
  </w:style>
  <w:style w:type="paragraph" w:styleId="Heading4">
    <w:name w:val="heading 4"/>
    <w:basedOn w:val="Normal"/>
    <w:next w:val="Normal"/>
    <w:link w:val="Heading4Char"/>
    <w:uiPriority w:val="99"/>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link w:val="Heading5Char"/>
    <w:uiPriority w:val="99"/>
    <w:qFormat/>
    <w:rsid w:val="00FC339D"/>
    <w:pPr>
      <w:keepNext/>
      <w:jc w:val="right"/>
      <w:outlineLvl w:val="4"/>
    </w:pPr>
    <w:rPr>
      <w:sz w:val="24"/>
      <w:u w:val="single"/>
    </w:rPr>
  </w:style>
  <w:style w:type="paragraph" w:styleId="Heading6">
    <w:name w:val="heading 6"/>
    <w:basedOn w:val="Normal"/>
    <w:next w:val="Normal"/>
    <w:link w:val="Heading6Char"/>
    <w:uiPriority w:val="99"/>
    <w:qFormat/>
    <w:rsid w:val="00FC339D"/>
    <w:pPr>
      <w:keepNext/>
      <w:ind w:left="709" w:right="-211" w:hanging="709"/>
      <w:outlineLvl w:val="5"/>
    </w:pPr>
    <w:rPr>
      <w:sz w:val="24"/>
    </w:rPr>
  </w:style>
  <w:style w:type="paragraph" w:styleId="Heading7">
    <w:name w:val="heading 7"/>
    <w:basedOn w:val="Normal"/>
    <w:next w:val="Normal"/>
    <w:link w:val="Heading7Char"/>
    <w:uiPriority w:val="99"/>
    <w:qFormat/>
    <w:rsid w:val="00FC339D"/>
    <w:pPr>
      <w:keepNext/>
      <w:spacing w:line="240" w:lineRule="exact"/>
      <w:ind w:left="720"/>
      <w:outlineLvl w:val="6"/>
    </w:pPr>
    <w:rPr>
      <w:b/>
      <w:sz w:val="24"/>
    </w:rPr>
  </w:style>
  <w:style w:type="paragraph" w:styleId="Heading8">
    <w:name w:val="heading 8"/>
    <w:basedOn w:val="Normal"/>
    <w:next w:val="Normal"/>
    <w:link w:val="Heading8Char"/>
    <w:uiPriority w:val="99"/>
    <w:qFormat/>
    <w:rsid w:val="00FC339D"/>
    <w:pPr>
      <w:keepNext/>
      <w:outlineLvl w:val="7"/>
    </w:pPr>
    <w:rPr>
      <w:rFonts w:ascii="CG Times (WT)" w:hAnsi="CG Times (WT)"/>
      <w:u w:val="single"/>
    </w:rPr>
  </w:style>
  <w:style w:type="paragraph" w:styleId="Heading9">
    <w:name w:val="heading 9"/>
    <w:basedOn w:val="Normal"/>
    <w:next w:val="Normal"/>
    <w:link w:val="Heading9Char"/>
    <w:uiPriority w:val="99"/>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7F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747F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747F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B747F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B747F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B747F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B747F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B747F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B747F8"/>
    <w:rPr>
      <w:rFonts w:asciiTheme="majorHAnsi" w:eastAsiaTheme="majorEastAsia" w:hAnsiTheme="majorHAnsi" w:cstheme="majorBidi"/>
      <w:lang w:val="en-US" w:eastAsia="en-US"/>
    </w:rPr>
  </w:style>
  <w:style w:type="paragraph" w:styleId="Header">
    <w:name w:val="header"/>
    <w:basedOn w:val="Normal"/>
    <w:link w:val="HeaderChar"/>
    <w:uiPriority w:val="99"/>
    <w:rsid w:val="00FC339D"/>
    <w:pPr>
      <w:tabs>
        <w:tab w:val="center" w:pos="4320"/>
        <w:tab w:val="right" w:pos="8640"/>
      </w:tabs>
    </w:pPr>
  </w:style>
  <w:style w:type="character" w:customStyle="1" w:styleId="HeaderChar">
    <w:name w:val="Header Char"/>
    <w:basedOn w:val="DefaultParagraphFont"/>
    <w:link w:val="Header"/>
    <w:uiPriority w:val="99"/>
    <w:locked/>
    <w:rsid w:val="00C406C4"/>
    <w:rPr>
      <w:rFonts w:cs="Times New Roman"/>
    </w:rPr>
  </w:style>
  <w:style w:type="paragraph" w:styleId="Footer">
    <w:name w:val="footer"/>
    <w:basedOn w:val="Normal"/>
    <w:link w:val="FooterChar"/>
    <w:uiPriority w:val="99"/>
    <w:rsid w:val="00FC339D"/>
    <w:pPr>
      <w:tabs>
        <w:tab w:val="center" w:pos="4320"/>
        <w:tab w:val="right" w:pos="8640"/>
      </w:tabs>
    </w:pPr>
  </w:style>
  <w:style w:type="character" w:customStyle="1" w:styleId="FooterChar">
    <w:name w:val="Footer Char"/>
    <w:basedOn w:val="DefaultParagraphFont"/>
    <w:link w:val="Footer"/>
    <w:uiPriority w:val="99"/>
    <w:locked/>
    <w:rsid w:val="00D4743C"/>
    <w:rPr>
      <w:rFonts w:cs="Times New Roman"/>
      <w:lang w:val="en-US" w:eastAsia="en-US"/>
    </w:rPr>
  </w:style>
  <w:style w:type="character" w:styleId="PageNumber">
    <w:name w:val="page number"/>
    <w:basedOn w:val="DefaultParagraphFont"/>
    <w:uiPriority w:val="99"/>
    <w:rsid w:val="00FC339D"/>
    <w:rPr>
      <w:rFonts w:cs="Times New Roman"/>
    </w:rPr>
  </w:style>
  <w:style w:type="paragraph" w:styleId="BodyTextIndent">
    <w:name w:val="Body Text Indent"/>
    <w:basedOn w:val="Normal"/>
    <w:link w:val="BodyTextIndentChar"/>
    <w:uiPriority w:val="99"/>
    <w:rsid w:val="00FC339D"/>
    <w:pPr>
      <w:ind w:left="720" w:hanging="720"/>
    </w:pPr>
    <w:rPr>
      <w:sz w:val="24"/>
    </w:rPr>
  </w:style>
  <w:style w:type="character" w:customStyle="1" w:styleId="BodyTextIndentChar">
    <w:name w:val="Body Text Indent Char"/>
    <w:basedOn w:val="DefaultParagraphFont"/>
    <w:link w:val="BodyTextIndent"/>
    <w:uiPriority w:val="99"/>
    <w:locked/>
    <w:rsid w:val="00C406C4"/>
    <w:rPr>
      <w:rFonts w:cs="Times New Roman"/>
      <w:sz w:val="24"/>
    </w:rPr>
  </w:style>
  <w:style w:type="paragraph" w:styleId="BodyTextIndent2">
    <w:name w:val="Body Text Indent 2"/>
    <w:basedOn w:val="Normal"/>
    <w:link w:val="BodyTextIndent2Char"/>
    <w:uiPriority w:val="99"/>
    <w:rsid w:val="00FC339D"/>
    <w:pPr>
      <w:tabs>
        <w:tab w:val="right" w:pos="6840"/>
        <w:tab w:val="right" w:pos="8640"/>
      </w:tabs>
      <w:ind w:left="720"/>
    </w:pPr>
    <w:rPr>
      <w:sz w:val="24"/>
    </w:rPr>
  </w:style>
  <w:style w:type="character" w:customStyle="1" w:styleId="BodyTextIndent2Char">
    <w:name w:val="Body Text Indent 2 Char"/>
    <w:basedOn w:val="DefaultParagraphFont"/>
    <w:link w:val="BodyTextIndent2"/>
    <w:uiPriority w:val="99"/>
    <w:semiHidden/>
    <w:rsid w:val="00B747F8"/>
    <w:rPr>
      <w:sz w:val="20"/>
      <w:szCs w:val="20"/>
      <w:lang w:val="en-US" w:eastAsia="en-US"/>
    </w:rPr>
  </w:style>
  <w:style w:type="paragraph" w:styleId="BodyTextIndent3">
    <w:name w:val="Body Text Indent 3"/>
    <w:basedOn w:val="Normal"/>
    <w:link w:val="BodyTextIndent3Char"/>
    <w:uiPriority w:val="99"/>
    <w:rsid w:val="00FC339D"/>
    <w:pPr>
      <w:tabs>
        <w:tab w:val="right" w:pos="6840"/>
        <w:tab w:val="right" w:pos="8640"/>
      </w:tabs>
      <w:ind w:left="720"/>
    </w:pPr>
    <w:rPr>
      <w:i/>
      <w:color w:val="FF0000"/>
      <w:sz w:val="24"/>
    </w:rPr>
  </w:style>
  <w:style w:type="character" w:customStyle="1" w:styleId="BodyTextIndent3Char">
    <w:name w:val="Body Text Indent 3 Char"/>
    <w:basedOn w:val="DefaultParagraphFont"/>
    <w:link w:val="BodyTextIndent3"/>
    <w:uiPriority w:val="99"/>
    <w:semiHidden/>
    <w:rsid w:val="00B747F8"/>
    <w:rPr>
      <w:sz w:val="16"/>
      <w:szCs w:val="16"/>
      <w:lang w:val="en-US" w:eastAsia="en-US"/>
    </w:rPr>
  </w:style>
  <w:style w:type="paragraph" w:styleId="BodyText2">
    <w:name w:val="Body Text 2"/>
    <w:basedOn w:val="Normal"/>
    <w:link w:val="BodyText2Char"/>
    <w:uiPriority w:val="99"/>
    <w:rsid w:val="00FC339D"/>
    <w:pPr>
      <w:tabs>
        <w:tab w:val="left" w:pos="-720"/>
        <w:tab w:val="left" w:pos="0"/>
      </w:tabs>
      <w:suppressAutoHyphens/>
      <w:jc w:val="both"/>
    </w:pPr>
    <w:rPr>
      <w:spacing w:val="-3"/>
      <w:sz w:val="24"/>
    </w:rPr>
  </w:style>
  <w:style w:type="character" w:customStyle="1" w:styleId="BodyText2Char">
    <w:name w:val="Body Text 2 Char"/>
    <w:basedOn w:val="DefaultParagraphFont"/>
    <w:link w:val="BodyText2"/>
    <w:uiPriority w:val="99"/>
    <w:semiHidden/>
    <w:rsid w:val="00B747F8"/>
    <w:rPr>
      <w:sz w:val="20"/>
      <w:szCs w:val="20"/>
      <w:lang w:val="en-US" w:eastAsia="en-US"/>
    </w:rPr>
  </w:style>
  <w:style w:type="paragraph" w:styleId="BodyText">
    <w:name w:val="Body Text"/>
    <w:basedOn w:val="Normal"/>
    <w:link w:val="BodyTextChar"/>
    <w:uiPriority w:val="99"/>
    <w:rsid w:val="00FC339D"/>
    <w:rPr>
      <w:sz w:val="24"/>
      <w:lang w:val="tr-TR"/>
    </w:rPr>
  </w:style>
  <w:style w:type="character" w:customStyle="1" w:styleId="BodyTextChar">
    <w:name w:val="Body Text Char"/>
    <w:basedOn w:val="DefaultParagraphFont"/>
    <w:link w:val="BodyText"/>
    <w:uiPriority w:val="99"/>
    <w:locked/>
    <w:rsid w:val="00823580"/>
    <w:rPr>
      <w:rFonts w:cs="Times New Roman"/>
      <w:sz w:val="24"/>
      <w:lang w:eastAsia="en-US"/>
    </w:rPr>
  </w:style>
  <w:style w:type="paragraph" w:styleId="DocumentMap">
    <w:name w:val="Document Map"/>
    <w:basedOn w:val="Normal"/>
    <w:link w:val="DocumentMapChar"/>
    <w:uiPriority w:val="99"/>
    <w:semiHidden/>
    <w:rsid w:val="00FC339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747F8"/>
    <w:rPr>
      <w:sz w:val="0"/>
      <w:szCs w:val="0"/>
      <w:lang w:val="en-US" w:eastAsia="en-US"/>
    </w:rPr>
  </w:style>
  <w:style w:type="paragraph" w:styleId="BodyText3">
    <w:name w:val="Body Text 3"/>
    <w:basedOn w:val="Normal"/>
    <w:link w:val="BodyText3Char"/>
    <w:uiPriority w:val="99"/>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character" w:customStyle="1" w:styleId="BodyText3Char">
    <w:name w:val="Body Text 3 Char"/>
    <w:basedOn w:val="DefaultParagraphFont"/>
    <w:link w:val="BodyText3"/>
    <w:uiPriority w:val="99"/>
    <w:semiHidden/>
    <w:rsid w:val="00B747F8"/>
    <w:rPr>
      <w:sz w:val="16"/>
      <w:szCs w:val="16"/>
      <w:lang w:val="en-US" w:eastAsia="en-US"/>
    </w:rPr>
  </w:style>
  <w:style w:type="paragraph" w:customStyle="1" w:styleId="bodytext0">
    <w:name w:val="body_text"/>
    <w:basedOn w:val="Normal"/>
    <w:uiPriority w:val="99"/>
    <w:rsid w:val="00FC339D"/>
    <w:pPr>
      <w:spacing w:after="120"/>
    </w:pPr>
    <w:rPr>
      <w:sz w:val="22"/>
    </w:rPr>
  </w:style>
  <w:style w:type="paragraph" w:styleId="BlockText">
    <w:name w:val="Block Text"/>
    <w:basedOn w:val="Normal"/>
    <w:uiPriority w:val="99"/>
    <w:rsid w:val="00FC339D"/>
    <w:pPr>
      <w:tabs>
        <w:tab w:val="right" w:pos="4320"/>
        <w:tab w:val="right" w:pos="7020"/>
        <w:tab w:val="right" w:pos="8460"/>
      </w:tabs>
      <w:ind w:left="720" w:right="540" w:hanging="630"/>
    </w:pPr>
    <w:rPr>
      <w:sz w:val="24"/>
    </w:rPr>
  </w:style>
  <w:style w:type="paragraph" w:customStyle="1" w:styleId="Style0">
    <w:name w:val="Style0"/>
    <w:uiPriority w:val="99"/>
    <w:rsid w:val="00FC339D"/>
    <w:pPr>
      <w:autoSpaceDE w:val="0"/>
      <w:autoSpaceDN w:val="0"/>
      <w:adjustRightInd w:val="0"/>
    </w:pPr>
    <w:rPr>
      <w:rFonts w:ascii="MS Sans Serif" w:hAnsi="MS Sans Serif"/>
      <w:sz w:val="20"/>
      <w:szCs w:val="24"/>
      <w:lang w:val="en-US" w:eastAsia="en-US"/>
    </w:rPr>
  </w:style>
  <w:style w:type="paragraph" w:customStyle="1" w:styleId="xl25">
    <w:name w:val="xl25"/>
    <w:basedOn w:val="Normal"/>
    <w:uiPriority w:val="99"/>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uiPriority w:val="99"/>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uiPriority w:val="99"/>
    <w:rsid w:val="00FC339D"/>
    <w:pPr>
      <w:spacing w:before="100" w:beforeAutospacing="1" w:after="100" w:afterAutospacing="1"/>
    </w:pPr>
    <w:rPr>
      <w:rFonts w:eastAsia="Arial Unicode MS"/>
      <w:b/>
      <w:bCs/>
      <w:sz w:val="24"/>
      <w:szCs w:val="24"/>
    </w:rPr>
  </w:style>
  <w:style w:type="paragraph" w:customStyle="1" w:styleId="xl28">
    <w:name w:val="xl28"/>
    <w:basedOn w:val="Normal"/>
    <w:uiPriority w:val="99"/>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uiPriority w:val="99"/>
    <w:rsid w:val="00FC339D"/>
    <w:pPr>
      <w:spacing w:before="100" w:beforeAutospacing="1" w:after="100" w:afterAutospacing="1"/>
    </w:pPr>
    <w:rPr>
      <w:rFonts w:eastAsia="Arial Unicode MS"/>
      <w:sz w:val="24"/>
      <w:szCs w:val="24"/>
    </w:rPr>
  </w:style>
  <w:style w:type="paragraph" w:customStyle="1" w:styleId="xl30">
    <w:name w:val="xl30"/>
    <w:basedOn w:val="Normal"/>
    <w:uiPriority w:val="99"/>
    <w:rsid w:val="00FC339D"/>
    <w:pPr>
      <w:spacing w:before="100" w:beforeAutospacing="1" w:after="100" w:afterAutospacing="1"/>
    </w:pPr>
    <w:rPr>
      <w:rFonts w:eastAsia="Arial Unicode MS"/>
      <w:sz w:val="24"/>
      <w:szCs w:val="24"/>
    </w:rPr>
  </w:style>
  <w:style w:type="paragraph" w:customStyle="1" w:styleId="xl31">
    <w:name w:val="xl31"/>
    <w:basedOn w:val="Normal"/>
    <w:uiPriority w:val="99"/>
    <w:rsid w:val="00FC339D"/>
    <w:pPr>
      <w:spacing w:before="100" w:beforeAutospacing="1" w:after="100" w:afterAutospacing="1"/>
    </w:pPr>
    <w:rPr>
      <w:rFonts w:eastAsia="Arial Unicode MS"/>
      <w:b/>
      <w:bCs/>
      <w:sz w:val="24"/>
      <w:szCs w:val="24"/>
    </w:rPr>
  </w:style>
  <w:style w:type="paragraph" w:customStyle="1" w:styleId="xl32">
    <w:name w:val="xl32"/>
    <w:basedOn w:val="Normal"/>
    <w:uiPriority w:val="99"/>
    <w:rsid w:val="00FC339D"/>
    <w:pPr>
      <w:spacing w:before="100" w:beforeAutospacing="1" w:after="100" w:afterAutospacing="1"/>
    </w:pPr>
    <w:rPr>
      <w:rFonts w:eastAsia="Arial Unicode MS"/>
      <w:b/>
      <w:bCs/>
      <w:sz w:val="24"/>
      <w:szCs w:val="24"/>
    </w:rPr>
  </w:style>
  <w:style w:type="paragraph" w:customStyle="1" w:styleId="xl33">
    <w:name w:val="xl33"/>
    <w:basedOn w:val="Normal"/>
    <w:uiPriority w:val="99"/>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FC339D"/>
    <w:pPr>
      <w:spacing w:before="100" w:beforeAutospacing="1" w:after="100" w:afterAutospacing="1"/>
    </w:pPr>
    <w:rPr>
      <w:rFonts w:eastAsia="Arial Unicode MS"/>
      <w:b/>
      <w:bCs/>
      <w:sz w:val="24"/>
      <w:szCs w:val="24"/>
    </w:rPr>
  </w:style>
  <w:style w:type="paragraph" w:customStyle="1" w:styleId="xl36">
    <w:name w:val="xl36"/>
    <w:basedOn w:val="Normal"/>
    <w:uiPriority w:val="99"/>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uiPriority w:val="99"/>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uiPriority w:val="99"/>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uiPriority w:val="99"/>
    <w:rsid w:val="00FC339D"/>
    <w:pPr>
      <w:widowControl w:val="0"/>
      <w:tabs>
        <w:tab w:val="left" w:pos="720"/>
      </w:tabs>
      <w:autoSpaceDE w:val="0"/>
      <w:autoSpaceDN w:val="0"/>
      <w:adjustRightInd w:val="0"/>
      <w:ind w:left="720" w:hanging="720"/>
      <w:jc w:val="both"/>
    </w:pPr>
    <w:rPr>
      <w:sz w:val="24"/>
      <w:szCs w:val="24"/>
      <w:lang w:val="en-US" w:eastAsia="en-US"/>
    </w:rPr>
  </w:style>
  <w:style w:type="paragraph" w:customStyle="1" w:styleId="Body">
    <w:name w:val="Body"/>
    <w:aliases w:val="by,BD"/>
    <w:uiPriority w:val="99"/>
    <w:rsid w:val="00FC339D"/>
    <w:pPr>
      <w:keepLines/>
      <w:spacing w:after="130" w:line="260" w:lineRule="exact"/>
      <w:jc w:val="both"/>
    </w:pPr>
    <w:rPr>
      <w:rFonts w:ascii="Times" w:hAnsi="Times"/>
      <w:szCs w:val="20"/>
      <w:lang w:val="en-GB" w:eastAsia="en-US"/>
    </w:rPr>
  </w:style>
  <w:style w:type="paragraph" w:customStyle="1" w:styleId="000normal">
    <w:name w:val="000normal"/>
    <w:basedOn w:val="Normal"/>
    <w:uiPriority w:val="99"/>
    <w:rsid w:val="00FC339D"/>
    <w:pPr>
      <w:spacing w:before="180" w:after="100" w:afterAutospacing="1"/>
      <w:jc w:val="both"/>
    </w:pPr>
    <w:rPr>
      <w:rFonts w:ascii="Arial" w:eastAsia="Arial Unicode MS" w:hAnsi="Arial" w:cs="Arial"/>
    </w:rPr>
  </w:style>
  <w:style w:type="paragraph" w:customStyle="1" w:styleId="xl24">
    <w:name w:val="xl24"/>
    <w:basedOn w:val="Normal"/>
    <w:uiPriority w:val="99"/>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uiPriority w:val="99"/>
    <w:rsid w:val="00FC339D"/>
    <w:rPr>
      <w:rFonts w:cs="Times New Roman"/>
      <w:color w:val="000066"/>
      <w:u w:val="none"/>
      <w:effect w:val="none"/>
    </w:rPr>
  </w:style>
  <w:style w:type="character" w:styleId="FollowedHyperlink">
    <w:name w:val="FollowedHyperlink"/>
    <w:basedOn w:val="DefaultParagraphFont"/>
    <w:uiPriority w:val="99"/>
    <w:rsid w:val="00FC339D"/>
    <w:rPr>
      <w:rFonts w:cs="Times New Roman"/>
      <w:color w:val="800080"/>
      <w:u w:val="single"/>
    </w:rPr>
  </w:style>
  <w:style w:type="paragraph" w:styleId="BalloonText">
    <w:name w:val="Balloon Text"/>
    <w:basedOn w:val="Normal"/>
    <w:link w:val="BalloonTextChar"/>
    <w:uiPriority w:val="99"/>
    <w:semiHidden/>
    <w:rsid w:val="00337E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9BF"/>
    <w:rPr>
      <w:rFonts w:ascii="Tahoma" w:hAnsi="Tahoma" w:cs="Tahoma"/>
      <w:sz w:val="16"/>
      <w:szCs w:val="16"/>
      <w:lang w:val="en-US" w:eastAsia="en-US" w:bidi="ar-SA"/>
    </w:rPr>
  </w:style>
  <w:style w:type="table" w:styleId="TableGrid">
    <w:name w:val="Table Grid"/>
    <w:basedOn w:val="TableNormal"/>
    <w:uiPriority w:val="99"/>
    <w:rsid w:val="001C19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Normal"/>
    <w:link w:val="bodyChar"/>
    <w:uiPriority w:val="99"/>
    <w:rsid w:val="003C505B"/>
    <w:pPr>
      <w:spacing w:after="120" w:line="260" w:lineRule="exact"/>
      <w:jc w:val="both"/>
    </w:pPr>
    <w:rPr>
      <w:sz w:val="22"/>
      <w:szCs w:val="24"/>
    </w:rPr>
  </w:style>
  <w:style w:type="paragraph" w:customStyle="1" w:styleId="BodybyBD">
    <w:name w:val="Body.by.BD"/>
    <w:uiPriority w:val="99"/>
    <w:rsid w:val="00234536"/>
    <w:pPr>
      <w:keepLines/>
      <w:spacing w:after="130" w:line="260" w:lineRule="exact"/>
      <w:jc w:val="both"/>
    </w:pPr>
    <w:rPr>
      <w:rFonts w:ascii="Times" w:hAnsi="Times"/>
      <w:szCs w:val="20"/>
      <w:lang w:val="en-GB" w:eastAsia="en-US"/>
    </w:rPr>
  </w:style>
  <w:style w:type="paragraph" w:customStyle="1" w:styleId="DefaultParagraphFontParaCharChar">
    <w:name w:val="Default Paragraph Font Para Char Char"/>
    <w:aliases w:val="Default Paragraph Font Para Char Para Char Char"/>
    <w:basedOn w:val="Normal"/>
    <w:uiPriority w:val="99"/>
    <w:rsid w:val="00C52836"/>
  </w:style>
  <w:style w:type="paragraph" w:customStyle="1" w:styleId="bodycopyindent">
    <w:name w:val="body copy indent"/>
    <w:basedOn w:val="Normal"/>
    <w:uiPriority w:val="99"/>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uiPriority w:val="99"/>
    <w:rsid w:val="00D5540E"/>
    <w:pPr>
      <w:spacing w:before="20" w:line="210" w:lineRule="exact"/>
    </w:pPr>
    <w:rPr>
      <w:rFonts w:ascii="Arial" w:hAnsi="Arial" w:cs="Arial"/>
      <w:b/>
      <w:color w:val="000000"/>
      <w:sz w:val="17"/>
      <w:szCs w:val="17"/>
    </w:rPr>
  </w:style>
  <w:style w:type="paragraph" w:customStyle="1" w:styleId="Dividerline">
    <w:name w:val="Divider line"/>
    <w:basedOn w:val="Normal"/>
    <w:uiPriority w:val="99"/>
    <w:rsid w:val="00D5540E"/>
    <w:rPr>
      <w:rFonts w:ascii="Arial" w:hAnsi="Arial" w:cs="Tahoma"/>
      <w:sz w:val="15"/>
      <w:szCs w:val="15"/>
      <w:lang w:val="en-AU"/>
    </w:rPr>
  </w:style>
  <w:style w:type="paragraph" w:customStyle="1" w:styleId="Bodycopybullet">
    <w:name w:val="Body copy bullet"/>
    <w:basedOn w:val="Normal"/>
    <w:uiPriority w:val="99"/>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uiPriority w:val="99"/>
    <w:rsid w:val="00D5540E"/>
    <w:pPr>
      <w:spacing w:before="20" w:line="210" w:lineRule="exact"/>
    </w:pPr>
    <w:rPr>
      <w:rFonts w:ascii="Arial" w:hAnsi="Arial" w:cs="Arial"/>
      <w:color w:val="000000"/>
      <w:sz w:val="17"/>
      <w:szCs w:val="17"/>
      <w:lang w:val="en-US" w:eastAsia="en-US"/>
    </w:rPr>
  </w:style>
  <w:style w:type="paragraph" w:styleId="FootnoteText">
    <w:name w:val="footnote text"/>
    <w:basedOn w:val="Normal"/>
    <w:link w:val="FootnoteTextChar"/>
    <w:uiPriority w:val="99"/>
    <w:semiHidden/>
    <w:rsid w:val="00A50239"/>
    <w:pPr>
      <w:widowControl w:val="0"/>
    </w:pPr>
    <w:rPr>
      <w:rFonts w:ascii="Courier New" w:hAnsi="Courier New"/>
      <w:sz w:val="24"/>
      <w:lang w:val="tr-TR"/>
    </w:rPr>
  </w:style>
  <w:style w:type="character" w:customStyle="1" w:styleId="FootnoteTextChar">
    <w:name w:val="Footnote Text Char"/>
    <w:basedOn w:val="DefaultParagraphFont"/>
    <w:link w:val="FootnoteText"/>
    <w:uiPriority w:val="99"/>
    <w:semiHidden/>
    <w:rsid w:val="00B747F8"/>
    <w:rPr>
      <w:sz w:val="20"/>
      <w:szCs w:val="20"/>
      <w:lang w:val="en-US" w:eastAsia="en-US"/>
    </w:rPr>
  </w:style>
  <w:style w:type="paragraph" w:customStyle="1" w:styleId="CharChar1">
    <w:name w:val="Char Char1"/>
    <w:basedOn w:val="Normal"/>
    <w:uiPriority w:val="99"/>
    <w:rsid w:val="00E1504E"/>
  </w:style>
  <w:style w:type="character" w:customStyle="1" w:styleId="Normal11ptChar">
    <w:name w:val="Normal + 11 pt Char"/>
    <w:aliases w:val="Black Char"/>
    <w:basedOn w:val="DefaultParagraphFont"/>
    <w:uiPriority w:val="99"/>
    <w:rsid w:val="00782501"/>
    <w:rPr>
      <w:rFonts w:cs="Times New Roman"/>
      <w:sz w:val="24"/>
      <w:szCs w:val="24"/>
      <w:lang w:val="tr-TR" w:eastAsia="en-US" w:bidi="ar-SA"/>
    </w:rPr>
  </w:style>
  <w:style w:type="character" w:styleId="CommentReference">
    <w:name w:val="annotation reference"/>
    <w:basedOn w:val="DefaultParagraphFont"/>
    <w:uiPriority w:val="99"/>
    <w:semiHidden/>
    <w:rsid w:val="00CB751B"/>
    <w:rPr>
      <w:rFonts w:cs="Times New Roman"/>
      <w:sz w:val="16"/>
      <w:szCs w:val="16"/>
    </w:rPr>
  </w:style>
  <w:style w:type="paragraph" w:styleId="CommentText">
    <w:name w:val="annotation text"/>
    <w:basedOn w:val="Normal"/>
    <w:link w:val="CommentTextChar"/>
    <w:uiPriority w:val="99"/>
    <w:rsid w:val="00CB751B"/>
  </w:style>
  <w:style w:type="character" w:customStyle="1" w:styleId="CommentTextChar">
    <w:name w:val="Comment Text Char"/>
    <w:basedOn w:val="DefaultParagraphFont"/>
    <w:link w:val="CommentText"/>
    <w:uiPriority w:val="99"/>
    <w:locked/>
    <w:rsid w:val="007D5788"/>
    <w:rPr>
      <w:rFonts w:cs="Times New Roman"/>
    </w:rPr>
  </w:style>
  <w:style w:type="paragraph" w:customStyle="1" w:styleId="Teknik4">
    <w:name w:val="Teknik 4"/>
    <w:uiPriority w:val="99"/>
    <w:rsid w:val="00CB751B"/>
    <w:pPr>
      <w:widowControl w:val="0"/>
      <w:tabs>
        <w:tab w:val="left" w:pos="-720"/>
      </w:tabs>
      <w:suppressAutoHyphens/>
    </w:pPr>
    <w:rPr>
      <w:rFonts w:ascii="Courier New" w:hAnsi="Courier New"/>
      <w:b/>
      <w:sz w:val="24"/>
      <w:szCs w:val="20"/>
      <w:lang w:val="en-AU" w:eastAsia="en-US"/>
    </w:rPr>
  </w:style>
  <w:style w:type="paragraph" w:customStyle="1" w:styleId="1tipi">
    <w:name w:val="(1) tipi"/>
    <w:basedOn w:val="Normal"/>
    <w:uiPriority w:val="99"/>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link w:val="CommentSubjectChar"/>
    <w:uiPriority w:val="99"/>
    <w:semiHidden/>
    <w:rsid w:val="00900679"/>
    <w:rPr>
      <w:b/>
      <w:bCs/>
    </w:rPr>
  </w:style>
  <w:style w:type="character" w:customStyle="1" w:styleId="CommentSubjectChar">
    <w:name w:val="Comment Subject Char"/>
    <w:basedOn w:val="CommentTextChar"/>
    <w:link w:val="CommentSubject"/>
    <w:uiPriority w:val="99"/>
    <w:semiHidden/>
    <w:rsid w:val="00B747F8"/>
    <w:rPr>
      <w:rFonts w:cs="Times New Roman"/>
      <w:b/>
      <w:bCs/>
      <w:sz w:val="20"/>
      <w:szCs w:val="20"/>
      <w:lang w:val="en-US" w:eastAsia="en-US"/>
    </w:rPr>
  </w:style>
  <w:style w:type="paragraph" w:customStyle="1" w:styleId="001normalbold">
    <w:name w:val="001normalbold"/>
    <w:basedOn w:val="Normal"/>
    <w:uiPriority w:val="99"/>
    <w:rsid w:val="00245BD3"/>
    <w:pPr>
      <w:spacing w:before="40" w:after="80"/>
      <w:jc w:val="both"/>
    </w:pPr>
    <w:rPr>
      <w:rFonts w:ascii="Arial" w:eastAsia="Arial Unicode MS" w:hAnsi="Arial" w:cs="Arial"/>
      <w:b/>
      <w:bCs/>
    </w:rPr>
  </w:style>
  <w:style w:type="paragraph" w:styleId="EndnoteText">
    <w:name w:val="endnote text"/>
    <w:basedOn w:val="Normal"/>
    <w:link w:val="EndnoteTextChar"/>
    <w:uiPriority w:val="99"/>
    <w:rsid w:val="00245BD3"/>
    <w:pPr>
      <w:widowControl w:val="0"/>
    </w:pPr>
    <w:rPr>
      <w:rFonts w:ascii="Courier New" w:hAnsi="Courier New"/>
      <w:sz w:val="24"/>
      <w:lang w:val="en-GB"/>
    </w:rPr>
  </w:style>
  <w:style w:type="character" w:customStyle="1" w:styleId="EndnoteTextChar">
    <w:name w:val="Endnote Text Char"/>
    <w:basedOn w:val="DefaultParagraphFont"/>
    <w:link w:val="EndnoteText"/>
    <w:uiPriority w:val="99"/>
    <w:locked/>
    <w:rsid w:val="00DF1F24"/>
    <w:rPr>
      <w:rFonts w:ascii="Courier New" w:hAnsi="Courier New" w:cs="Times New Roman"/>
      <w:sz w:val="24"/>
      <w:lang w:val="en-GB"/>
    </w:rPr>
  </w:style>
  <w:style w:type="paragraph" w:customStyle="1" w:styleId="Normaltext">
    <w:name w:val="Normal text"/>
    <w:basedOn w:val="Normal"/>
    <w:uiPriority w:val="99"/>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uiPriority w:val="99"/>
    <w:rsid w:val="00245BD3"/>
    <w:pPr>
      <w:keepNext/>
      <w:keepLines/>
      <w:tabs>
        <w:tab w:val="left" w:pos="-720"/>
      </w:tabs>
      <w:suppressAutoHyphens/>
    </w:pPr>
    <w:rPr>
      <w:rFonts w:ascii="Courier New" w:hAnsi="Courier New"/>
      <w:sz w:val="24"/>
      <w:szCs w:val="20"/>
      <w:lang w:val="en-US" w:eastAsia="en-US"/>
    </w:rPr>
  </w:style>
  <w:style w:type="paragraph" w:customStyle="1" w:styleId="atipi">
    <w:name w:val="(a) tipi"/>
    <w:basedOn w:val="Normal"/>
    <w:uiPriority w:val="99"/>
    <w:rsid w:val="00245BD3"/>
    <w:pPr>
      <w:ind w:left="1134" w:hanging="567"/>
      <w:jc w:val="both"/>
    </w:pPr>
    <w:rPr>
      <w:rFonts w:ascii="Arial" w:hAnsi="Arial"/>
      <w:sz w:val="24"/>
      <w:lang w:val="tr-TR" w:eastAsia="tr-TR"/>
    </w:rPr>
  </w:style>
  <w:style w:type="paragraph" w:styleId="HTMLPreformatted">
    <w:name w:val="HTML Preformatted"/>
    <w:basedOn w:val="Normal"/>
    <w:link w:val="HTMLPreformattedChar"/>
    <w:uiPriority w:val="99"/>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character" w:customStyle="1" w:styleId="HTMLPreformattedChar">
    <w:name w:val="HTML Preformatted Char"/>
    <w:basedOn w:val="DefaultParagraphFont"/>
    <w:link w:val="HTMLPreformatted"/>
    <w:uiPriority w:val="99"/>
    <w:semiHidden/>
    <w:rsid w:val="00B747F8"/>
    <w:rPr>
      <w:rFonts w:ascii="Courier New" w:hAnsi="Courier New" w:cs="Courier New"/>
      <w:sz w:val="20"/>
      <w:szCs w:val="20"/>
      <w:lang w:val="en-US" w:eastAsia="en-US"/>
    </w:rPr>
  </w:style>
  <w:style w:type="paragraph" w:styleId="PlainText">
    <w:name w:val="Plain Text"/>
    <w:basedOn w:val="Normal"/>
    <w:link w:val="PlainTextChar"/>
    <w:uiPriority w:val="99"/>
    <w:rsid w:val="00245BD3"/>
    <w:pPr>
      <w:overflowPunct w:val="0"/>
      <w:autoSpaceDE w:val="0"/>
      <w:autoSpaceDN w:val="0"/>
      <w:adjustRightInd w:val="0"/>
      <w:textAlignment w:val="baseline"/>
    </w:pPr>
    <w:rPr>
      <w:rFonts w:ascii="Courier New" w:hAnsi="Courier New"/>
      <w:lang w:val="tr-TR"/>
    </w:rPr>
  </w:style>
  <w:style w:type="character" w:customStyle="1" w:styleId="PlainTextChar">
    <w:name w:val="Plain Text Char"/>
    <w:basedOn w:val="DefaultParagraphFont"/>
    <w:link w:val="PlainText"/>
    <w:uiPriority w:val="99"/>
    <w:semiHidden/>
    <w:rsid w:val="00B747F8"/>
    <w:rPr>
      <w:rFonts w:ascii="Courier New" w:hAnsi="Courier New" w:cs="Courier New"/>
      <w:sz w:val="20"/>
      <w:szCs w:val="20"/>
      <w:lang w:val="en-US" w:eastAsia="en-US"/>
    </w:rPr>
  </w:style>
  <w:style w:type="paragraph" w:styleId="NormalWeb">
    <w:name w:val="Normal (Web)"/>
    <w:basedOn w:val="Normal"/>
    <w:uiPriority w:val="99"/>
    <w:rsid w:val="00245BD3"/>
    <w:pPr>
      <w:spacing w:before="100" w:beforeAutospacing="1" w:after="100" w:afterAutospacing="1"/>
    </w:pPr>
    <w:rPr>
      <w:sz w:val="24"/>
      <w:szCs w:val="24"/>
      <w:lang w:val="tr-TR" w:eastAsia="tr-TR"/>
    </w:rPr>
  </w:style>
  <w:style w:type="paragraph" w:customStyle="1" w:styleId="ABLOCKPARA10">
    <w:name w:val="A BLOCK PARA 10"/>
    <w:basedOn w:val="Normal"/>
    <w:uiPriority w:val="99"/>
    <w:rsid w:val="00257513"/>
    <w:rPr>
      <w:rFonts w:ascii="Book Antiqua" w:hAnsi="Book Antiqua"/>
    </w:rPr>
  </w:style>
  <w:style w:type="paragraph" w:styleId="ListParagraph">
    <w:name w:val="List Paragraph"/>
    <w:basedOn w:val="Normal"/>
    <w:uiPriority w:val="99"/>
    <w:qFormat/>
    <w:rsid w:val="009231F4"/>
    <w:pPr>
      <w:spacing w:after="200" w:line="276" w:lineRule="auto"/>
      <w:ind w:left="708"/>
    </w:pPr>
    <w:rPr>
      <w:rFonts w:ascii="Calibri" w:hAnsi="Calibri"/>
      <w:sz w:val="22"/>
      <w:szCs w:val="22"/>
      <w:lang w:val="tr-TR"/>
    </w:rPr>
  </w:style>
  <w:style w:type="paragraph" w:customStyle="1" w:styleId="Default">
    <w:name w:val="Default"/>
    <w:uiPriority w:val="99"/>
    <w:rsid w:val="00B134F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FE19D2"/>
    <w:rPr>
      <w:sz w:val="20"/>
      <w:szCs w:val="20"/>
      <w:lang w:val="en-US" w:eastAsia="en-US"/>
    </w:rPr>
  </w:style>
  <w:style w:type="character" w:customStyle="1" w:styleId="bodyChar">
    <w:name w:val="body Char"/>
    <w:basedOn w:val="DefaultParagraphFont"/>
    <w:link w:val="body0"/>
    <w:uiPriority w:val="99"/>
    <w:locked/>
    <w:rsid w:val="003F5B30"/>
    <w:rPr>
      <w:rFonts w:cs="Times New Roman"/>
      <w:sz w:val="24"/>
      <w:szCs w:val="24"/>
    </w:rPr>
  </w:style>
  <w:style w:type="paragraph" w:customStyle="1" w:styleId="tablebullet">
    <w:name w:val="table bullet"/>
    <w:basedOn w:val="Normal"/>
    <w:uiPriority w:val="99"/>
    <w:rsid w:val="00BA06F6"/>
    <w:pPr>
      <w:numPr>
        <w:numId w:val="31"/>
      </w:numPr>
      <w:overflowPunct w:val="0"/>
      <w:autoSpaceDE w:val="0"/>
      <w:autoSpaceDN w:val="0"/>
      <w:adjustRightInd w:val="0"/>
      <w:spacing w:line="220" w:lineRule="exact"/>
      <w:textAlignment w:val="baseline"/>
    </w:pPr>
    <w:rPr>
      <w:rFonts w:ascii="EYInterstate Light" w:hAnsi="EYInterstate Light"/>
      <w:sz w:val="18"/>
      <w:lang w:val="en-GB"/>
    </w:rPr>
  </w:style>
  <w:style w:type="character" w:styleId="Emphasis">
    <w:name w:val="Emphasis"/>
    <w:basedOn w:val="DefaultParagraphFont"/>
    <w:uiPriority w:val="99"/>
    <w:qFormat/>
    <w:rsid w:val="00891B5D"/>
    <w:rPr>
      <w:rFonts w:cs="Times New Roman"/>
      <w:i/>
      <w:iCs/>
    </w:rPr>
  </w:style>
  <w:style w:type="paragraph" w:customStyle="1" w:styleId="Headline2">
    <w:name w:val="Headline 2"/>
    <w:uiPriority w:val="99"/>
    <w:rsid w:val="00310652"/>
    <w:pPr>
      <w:spacing w:after="240"/>
    </w:pPr>
    <w:rPr>
      <w:rFonts w:ascii="EYInterstate" w:hAnsi="EYInterstate" w:cs="Arial"/>
      <w:b/>
      <w:bCs/>
      <w:color w:val="808080"/>
      <w:kern w:val="32"/>
      <w:sz w:val="24"/>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4626">
      <w:marLeft w:val="0"/>
      <w:marRight w:val="0"/>
      <w:marTop w:val="0"/>
      <w:marBottom w:val="0"/>
      <w:divBdr>
        <w:top w:val="none" w:sz="0" w:space="0" w:color="auto"/>
        <w:left w:val="none" w:sz="0" w:space="0" w:color="auto"/>
        <w:bottom w:val="none" w:sz="0" w:space="0" w:color="auto"/>
        <w:right w:val="none" w:sz="0" w:space="0" w:color="auto"/>
      </w:divBdr>
    </w:div>
    <w:div w:id="851064627">
      <w:marLeft w:val="0"/>
      <w:marRight w:val="0"/>
      <w:marTop w:val="0"/>
      <w:marBottom w:val="0"/>
      <w:divBdr>
        <w:top w:val="none" w:sz="0" w:space="0" w:color="auto"/>
        <w:left w:val="none" w:sz="0" w:space="0" w:color="auto"/>
        <w:bottom w:val="none" w:sz="0" w:space="0" w:color="auto"/>
        <w:right w:val="none" w:sz="0" w:space="0" w:color="auto"/>
      </w:divBdr>
    </w:div>
    <w:div w:id="851064628">
      <w:marLeft w:val="0"/>
      <w:marRight w:val="0"/>
      <w:marTop w:val="0"/>
      <w:marBottom w:val="0"/>
      <w:divBdr>
        <w:top w:val="none" w:sz="0" w:space="0" w:color="auto"/>
        <w:left w:val="none" w:sz="0" w:space="0" w:color="auto"/>
        <w:bottom w:val="none" w:sz="0" w:space="0" w:color="auto"/>
        <w:right w:val="none" w:sz="0" w:space="0" w:color="auto"/>
      </w:divBdr>
    </w:div>
    <w:div w:id="851064629">
      <w:marLeft w:val="0"/>
      <w:marRight w:val="0"/>
      <w:marTop w:val="0"/>
      <w:marBottom w:val="0"/>
      <w:divBdr>
        <w:top w:val="none" w:sz="0" w:space="0" w:color="auto"/>
        <w:left w:val="none" w:sz="0" w:space="0" w:color="auto"/>
        <w:bottom w:val="none" w:sz="0" w:space="0" w:color="auto"/>
        <w:right w:val="none" w:sz="0" w:space="0" w:color="auto"/>
      </w:divBdr>
    </w:div>
    <w:div w:id="851064630">
      <w:marLeft w:val="0"/>
      <w:marRight w:val="0"/>
      <w:marTop w:val="0"/>
      <w:marBottom w:val="0"/>
      <w:divBdr>
        <w:top w:val="none" w:sz="0" w:space="0" w:color="auto"/>
        <w:left w:val="none" w:sz="0" w:space="0" w:color="auto"/>
        <w:bottom w:val="none" w:sz="0" w:space="0" w:color="auto"/>
        <w:right w:val="none" w:sz="0" w:space="0" w:color="auto"/>
      </w:divBdr>
    </w:div>
    <w:div w:id="851064631">
      <w:marLeft w:val="0"/>
      <w:marRight w:val="0"/>
      <w:marTop w:val="0"/>
      <w:marBottom w:val="0"/>
      <w:divBdr>
        <w:top w:val="none" w:sz="0" w:space="0" w:color="auto"/>
        <w:left w:val="none" w:sz="0" w:space="0" w:color="auto"/>
        <w:bottom w:val="none" w:sz="0" w:space="0" w:color="auto"/>
        <w:right w:val="none" w:sz="0" w:space="0" w:color="auto"/>
      </w:divBdr>
    </w:div>
    <w:div w:id="851064632">
      <w:marLeft w:val="0"/>
      <w:marRight w:val="0"/>
      <w:marTop w:val="0"/>
      <w:marBottom w:val="0"/>
      <w:divBdr>
        <w:top w:val="none" w:sz="0" w:space="0" w:color="auto"/>
        <w:left w:val="none" w:sz="0" w:space="0" w:color="auto"/>
        <w:bottom w:val="none" w:sz="0" w:space="0" w:color="auto"/>
        <w:right w:val="none" w:sz="0" w:space="0" w:color="auto"/>
      </w:divBdr>
    </w:div>
    <w:div w:id="851064633">
      <w:marLeft w:val="0"/>
      <w:marRight w:val="0"/>
      <w:marTop w:val="0"/>
      <w:marBottom w:val="0"/>
      <w:divBdr>
        <w:top w:val="none" w:sz="0" w:space="0" w:color="auto"/>
        <w:left w:val="none" w:sz="0" w:space="0" w:color="auto"/>
        <w:bottom w:val="none" w:sz="0" w:space="0" w:color="auto"/>
        <w:right w:val="none" w:sz="0" w:space="0" w:color="auto"/>
      </w:divBdr>
    </w:div>
    <w:div w:id="851064634">
      <w:marLeft w:val="0"/>
      <w:marRight w:val="0"/>
      <w:marTop w:val="0"/>
      <w:marBottom w:val="0"/>
      <w:divBdr>
        <w:top w:val="none" w:sz="0" w:space="0" w:color="auto"/>
        <w:left w:val="none" w:sz="0" w:space="0" w:color="auto"/>
        <w:bottom w:val="none" w:sz="0" w:space="0" w:color="auto"/>
        <w:right w:val="none" w:sz="0" w:space="0" w:color="auto"/>
      </w:divBdr>
    </w:div>
    <w:div w:id="851064635">
      <w:marLeft w:val="0"/>
      <w:marRight w:val="0"/>
      <w:marTop w:val="0"/>
      <w:marBottom w:val="0"/>
      <w:divBdr>
        <w:top w:val="none" w:sz="0" w:space="0" w:color="auto"/>
        <w:left w:val="none" w:sz="0" w:space="0" w:color="auto"/>
        <w:bottom w:val="none" w:sz="0" w:space="0" w:color="auto"/>
        <w:right w:val="none" w:sz="0" w:space="0" w:color="auto"/>
      </w:divBdr>
    </w:div>
    <w:div w:id="851064636">
      <w:marLeft w:val="0"/>
      <w:marRight w:val="0"/>
      <w:marTop w:val="0"/>
      <w:marBottom w:val="0"/>
      <w:divBdr>
        <w:top w:val="none" w:sz="0" w:space="0" w:color="auto"/>
        <w:left w:val="none" w:sz="0" w:space="0" w:color="auto"/>
        <w:bottom w:val="none" w:sz="0" w:space="0" w:color="auto"/>
        <w:right w:val="none" w:sz="0" w:space="0" w:color="auto"/>
      </w:divBdr>
    </w:div>
    <w:div w:id="851064637">
      <w:marLeft w:val="0"/>
      <w:marRight w:val="0"/>
      <w:marTop w:val="0"/>
      <w:marBottom w:val="0"/>
      <w:divBdr>
        <w:top w:val="none" w:sz="0" w:space="0" w:color="auto"/>
        <w:left w:val="none" w:sz="0" w:space="0" w:color="auto"/>
        <w:bottom w:val="none" w:sz="0" w:space="0" w:color="auto"/>
        <w:right w:val="none" w:sz="0" w:space="0" w:color="auto"/>
      </w:divBdr>
    </w:div>
    <w:div w:id="851064638">
      <w:marLeft w:val="0"/>
      <w:marRight w:val="0"/>
      <w:marTop w:val="0"/>
      <w:marBottom w:val="0"/>
      <w:divBdr>
        <w:top w:val="none" w:sz="0" w:space="0" w:color="auto"/>
        <w:left w:val="none" w:sz="0" w:space="0" w:color="auto"/>
        <w:bottom w:val="none" w:sz="0" w:space="0" w:color="auto"/>
        <w:right w:val="none" w:sz="0" w:space="0" w:color="auto"/>
      </w:divBdr>
    </w:div>
    <w:div w:id="851064639">
      <w:marLeft w:val="0"/>
      <w:marRight w:val="0"/>
      <w:marTop w:val="0"/>
      <w:marBottom w:val="0"/>
      <w:divBdr>
        <w:top w:val="none" w:sz="0" w:space="0" w:color="auto"/>
        <w:left w:val="none" w:sz="0" w:space="0" w:color="auto"/>
        <w:bottom w:val="none" w:sz="0" w:space="0" w:color="auto"/>
        <w:right w:val="none" w:sz="0" w:space="0" w:color="auto"/>
      </w:divBdr>
    </w:div>
    <w:div w:id="851064640">
      <w:marLeft w:val="0"/>
      <w:marRight w:val="0"/>
      <w:marTop w:val="0"/>
      <w:marBottom w:val="0"/>
      <w:divBdr>
        <w:top w:val="none" w:sz="0" w:space="0" w:color="auto"/>
        <w:left w:val="none" w:sz="0" w:space="0" w:color="auto"/>
        <w:bottom w:val="none" w:sz="0" w:space="0" w:color="auto"/>
        <w:right w:val="none" w:sz="0" w:space="0" w:color="auto"/>
      </w:divBdr>
    </w:div>
    <w:div w:id="851064641">
      <w:marLeft w:val="0"/>
      <w:marRight w:val="0"/>
      <w:marTop w:val="0"/>
      <w:marBottom w:val="0"/>
      <w:divBdr>
        <w:top w:val="none" w:sz="0" w:space="0" w:color="auto"/>
        <w:left w:val="none" w:sz="0" w:space="0" w:color="auto"/>
        <w:bottom w:val="none" w:sz="0" w:space="0" w:color="auto"/>
        <w:right w:val="none" w:sz="0" w:space="0" w:color="auto"/>
      </w:divBdr>
    </w:div>
    <w:div w:id="851064642">
      <w:marLeft w:val="0"/>
      <w:marRight w:val="0"/>
      <w:marTop w:val="0"/>
      <w:marBottom w:val="0"/>
      <w:divBdr>
        <w:top w:val="none" w:sz="0" w:space="0" w:color="auto"/>
        <w:left w:val="none" w:sz="0" w:space="0" w:color="auto"/>
        <w:bottom w:val="none" w:sz="0" w:space="0" w:color="auto"/>
        <w:right w:val="none" w:sz="0" w:space="0" w:color="auto"/>
      </w:divBdr>
    </w:div>
    <w:div w:id="851064643">
      <w:marLeft w:val="0"/>
      <w:marRight w:val="0"/>
      <w:marTop w:val="0"/>
      <w:marBottom w:val="0"/>
      <w:divBdr>
        <w:top w:val="none" w:sz="0" w:space="0" w:color="auto"/>
        <w:left w:val="none" w:sz="0" w:space="0" w:color="auto"/>
        <w:bottom w:val="none" w:sz="0" w:space="0" w:color="auto"/>
        <w:right w:val="none" w:sz="0" w:space="0" w:color="auto"/>
      </w:divBdr>
    </w:div>
    <w:div w:id="851064644">
      <w:marLeft w:val="0"/>
      <w:marRight w:val="0"/>
      <w:marTop w:val="0"/>
      <w:marBottom w:val="0"/>
      <w:divBdr>
        <w:top w:val="none" w:sz="0" w:space="0" w:color="auto"/>
        <w:left w:val="none" w:sz="0" w:space="0" w:color="auto"/>
        <w:bottom w:val="none" w:sz="0" w:space="0" w:color="auto"/>
        <w:right w:val="none" w:sz="0" w:space="0" w:color="auto"/>
      </w:divBdr>
    </w:div>
    <w:div w:id="851064645">
      <w:marLeft w:val="0"/>
      <w:marRight w:val="0"/>
      <w:marTop w:val="0"/>
      <w:marBottom w:val="0"/>
      <w:divBdr>
        <w:top w:val="none" w:sz="0" w:space="0" w:color="auto"/>
        <w:left w:val="none" w:sz="0" w:space="0" w:color="auto"/>
        <w:bottom w:val="none" w:sz="0" w:space="0" w:color="auto"/>
        <w:right w:val="none" w:sz="0" w:space="0" w:color="auto"/>
      </w:divBdr>
    </w:div>
    <w:div w:id="851064646">
      <w:marLeft w:val="0"/>
      <w:marRight w:val="0"/>
      <w:marTop w:val="0"/>
      <w:marBottom w:val="0"/>
      <w:divBdr>
        <w:top w:val="none" w:sz="0" w:space="0" w:color="auto"/>
        <w:left w:val="none" w:sz="0" w:space="0" w:color="auto"/>
        <w:bottom w:val="none" w:sz="0" w:space="0" w:color="auto"/>
        <w:right w:val="none" w:sz="0" w:space="0" w:color="auto"/>
      </w:divBdr>
    </w:div>
    <w:div w:id="851064647">
      <w:marLeft w:val="0"/>
      <w:marRight w:val="0"/>
      <w:marTop w:val="0"/>
      <w:marBottom w:val="0"/>
      <w:divBdr>
        <w:top w:val="none" w:sz="0" w:space="0" w:color="auto"/>
        <w:left w:val="none" w:sz="0" w:space="0" w:color="auto"/>
        <w:bottom w:val="none" w:sz="0" w:space="0" w:color="auto"/>
        <w:right w:val="none" w:sz="0" w:space="0" w:color="auto"/>
      </w:divBdr>
    </w:div>
    <w:div w:id="851064648">
      <w:marLeft w:val="0"/>
      <w:marRight w:val="0"/>
      <w:marTop w:val="0"/>
      <w:marBottom w:val="0"/>
      <w:divBdr>
        <w:top w:val="none" w:sz="0" w:space="0" w:color="auto"/>
        <w:left w:val="none" w:sz="0" w:space="0" w:color="auto"/>
        <w:bottom w:val="none" w:sz="0" w:space="0" w:color="auto"/>
        <w:right w:val="none" w:sz="0" w:space="0" w:color="auto"/>
      </w:divBdr>
    </w:div>
    <w:div w:id="851064649">
      <w:marLeft w:val="0"/>
      <w:marRight w:val="0"/>
      <w:marTop w:val="0"/>
      <w:marBottom w:val="0"/>
      <w:divBdr>
        <w:top w:val="none" w:sz="0" w:space="0" w:color="auto"/>
        <w:left w:val="none" w:sz="0" w:space="0" w:color="auto"/>
        <w:bottom w:val="none" w:sz="0" w:space="0" w:color="auto"/>
        <w:right w:val="none" w:sz="0" w:space="0" w:color="auto"/>
      </w:divBdr>
    </w:div>
    <w:div w:id="851064650">
      <w:marLeft w:val="0"/>
      <w:marRight w:val="0"/>
      <w:marTop w:val="0"/>
      <w:marBottom w:val="0"/>
      <w:divBdr>
        <w:top w:val="none" w:sz="0" w:space="0" w:color="auto"/>
        <w:left w:val="none" w:sz="0" w:space="0" w:color="auto"/>
        <w:bottom w:val="none" w:sz="0" w:space="0" w:color="auto"/>
        <w:right w:val="none" w:sz="0" w:space="0" w:color="auto"/>
      </w:divBdr>
    </w:div>
    <w:div w:id="851064651">
      <w:marLeft w:val="0"/>
      <w:marRight w:val="0"/>
      <w:marTop w:val="0"/>
      <w:marBottom w:val="0"/>
      <w:divBdr>
        <w:top w:val="none" w:sz="0" w:space="0" w:color="auto"/>
        <w:left w:val="none" w:sz="0" w:space="0" w:color="auto"/>
        <w:bottom w:val="none" w:sz="0" w:space="0" w:color="auto"/>
        <w:right w:val="none" w:sz="0" w:space="0" w:color="auto"/>
      </w:divBdr>
    </w:div>
    <w:div w:id="851064652">
      <w:marLeft w:val="0"/>
      <w:marRight w:val="0"/>
      <w:marTop w:val="0"/>
      <w:marBottom w:val="0"/>
      <w:divBdr>
        <w:top w:val="none" w:sz="0" w:space="0" w:color="auto"/>
        <w:left w:val="none" w:sz="0" w:space="0" w:color="auto"/>
        <w:bottom w:val="none" w:sz="0" w:space="0" w:color="auto"/>
        <w:right w:val="none" w:sz="0" w:space="0" w:color="auto"/>
      </w:divBdr>
    </w:div>
    <w:div w:id="851064653">
      <w:marLeft w:val="0"/>
      <w:marRight w:val="0"/>
      <w:marTop w:val="0"/>
      <w:marBottom w:val="0"/>
      <w:divBdr>
        <w:top w:val="none" w:sz="0" w:space="0" w:color="auto"/>
        <w:left w:val="none" w:sz="0" w:space="0" w:color="auto"/>
        <w:bottom w:val="none" w:sz="0" w:space="0" w:color="auto"/>
        <w:right w:val="none" w:sz="0" w:space="0" w:color="auto"/>
      </w:divBdr>
    </w:div>
    <w:div w:id="851064654">
      <w:marLeft w:val="0"/>
      <w:marRight w:val="0"/>
      <w:marTop w:val="0"/>
      <w:marBottom w:val="0"/>
      <w:divBdr>
        <w:top w:val="none" w:sz="0" w:space="0" w:color="auto"/>
        <w:left w:val="none" w:sz="0" w:space="0" w:color="auto"/>
        <w:bottom w:val="none" w:sz="0" w:space="0" w:color="auto"/>
        <w:right w:val="none" w:sz="0" w:space="0" w:color="auto"/>
      </w:divBdr>
    </w:div>
    <w:div w:id="851064655">
      <w:marLeft w:val="0"/>
      <w:marRight w:val="0"/>
      <w:marTop w:val="0"/>
      <w:marBottom w:val="0"/>
      <w:divBdr>
        <w:top w:val="none" w:sz="0" w:space="0" w:color="auto"/>
        <w:left w:val="none" w:sz="0" w:space="0" w:color="auto"/>
        <w:bottom w:val="none" w:sz="0" w:space="0" w:color="auto"/>
        <w:right w:val="none" w:sz="0" w:space="0" w:color="auto"/>
      </w:divBdr>
    </w:div>
    <w:div w:id="851064656">
      <w:marLeft w:val="0"/>
      <w:marRight w:val="0"/>
      <w:marTop w:val="0"/>
      <w:marBottom w:val="0"/>
      <w:divBdr>
        <w:top w:val="none" w:sz="0" w:space="0" w:color="auto"/>
        <w:left w:val="none" w:sz="0" w:space="0" w:color="auto"/>
        <w:bottom w:val="none" w:sz="0" w:space="0" w:color="auto"/>
        <w:right w:val="none" w:sz="0" w:space="0" w:color="auto"/>
      </w:divBdr>
    </w:div>
    <w:div w:id="851064657">
      <w:marLeft w:val="0"/>
      <w:marRight w:val="0"/>
      <w:marTop w:val="0"/>
      <w:marBottom w:val="0"/>
      <w:divBdr>
        <w:top w:val="none" w:sz="0" w:space="0" w:color="auto"/>
        <w:left w:val="none" w:sz="0" w:space="0" w:color="auto"/>
        <w:bottom w:val="none" w:sz="0" w:space="0" w:color="auto"/>
        <w:right w:val="none" w:sz="0" w:space="0" w:color="auto"/>
      </w:divBdr>
    </w:div>
    <w:div w:id="851064658">
      <w:marLeft w:val="0"/>
      <w:marRight w:val="0"/>
      <w:marTop w:val="0"/>
      <w:marBottom w:val="0"/>
      <w:divBdr>
        <w:top w:val="none" w:sz="0" w:space="0" w:color="auto"/>
        <w:left w:val="none" w:sz="0" w:space="0" w:color="auto"/>
        <w:bottom w:val="none" w:sz="0" w:space="0" w:color="auto"/>
        <w:right w:val="none" w:sz="0" w:space="0" w:color="auto"/>
      </w:divBdr>
    </w:div>
    <w:div w:id="851064659">
      <w:marLeft w:val="0"/>
      <w:marRight w:val="0"/>
      <w:marTop w:val="0"/>
      <w:marBottom w:val="0"/>
      <w:divBdr>
        <w:top w:val="none" w:sz="0" w:space="0" w:color="auto"/>
        <w:left w:val="none" w:sz="0" w:space="0" w:color="auto"/>
        <w:bottom w:val="none" w:sz="0" w:space="0" w:color="auto"/>
        <w:right w:val="none" w:sz="0" w:space="0" w:color="auto"/>
      </w:divBdr>
    </w:div>
    <w:div w:id="851064660">
      <w:marLeft w:val="0"/>
      <w:marRight w:val="0"/>
      <w:marTop w:val="0"/>
      <w:marBottom w:val="0"/>
      <w:divBdr>
        <w:top w:val="none" w:sz="0" w:space="0" w:color="auto"/>
        <w:left w:val="none" w:sz="0" w:space="0" w:color="auto"/>
        <w:bottom w:val="none" w:sz="0" w:space="0" w:color="auto"/>
        <w:right w:val="none" w:sz="0" w:space="0" w:color="auto"/>
      </w:divBdr>
    </w:div>
    <w:div w:id="851064661">
      <w:marLeft w:val="0"/>
      <w:marRight w:val="0"/>
      <w:marTop w:val="0"/>
      <w:marBottom w:val="0"/>
      <w:divBdr>
        <w:top w:val="none" w:sz="0" w:space="0" w:color="auto"/>
        <w:left w:val="none" w:sz="0" w:space="0" w:color="auto"/>
        <w:bottom w:val="none" w:sz="0" w:space="0" w:color="auto"/>
        <w:right w:val="none" w:sz="0" w:space="0" w:color="auto"/>
      </w:divBdr>
    </w:div>
    <w:div w:id="851064662">
      <w:marLeft w:val="0"/>
      <w:marRight w:val="0"/>
      <w:marTop w:val="0"/>
      <w:marBottom w:val="0"/>
      <w:divBdr>
        <w:top w:val="none" w:sz="0" w:space="0" w:color="auto"/>
        <w:left w:val="none" w:sz="0" w:space="0" w:color="auto"/>
        <w:bottom w:val="none" w:sz="0" w:space="0" w:color="auto"/>
        <w:right w:val="none" w:sz="0" w:space="0" w:color="auto"/>
      </w:divBdr>
    </w:div>
    <w:div w:id="851064663">
      <w:marLeft w:val="0"/>
      <w:marRight w:val="0"/>
      <w:marTop w:val="0"/>
      <w:marBottom w:val="0"/>
      <w:divBdr>
        <w:top w:val="none" w:sz="0" w:space="0" w:color="auto"/>
        <w:left w:val="none" w:sz="0" w:space="0" w:color="auto"/>
        <w:bottom w:val="none" w:sz="0" w:space="0" w:color="auto"/>
        <w:right w:val="none" w:sz="0" w:space="0" w:color="auto"/>
      </w:divBdr>
    </w:div>
    <w:div w:id="851064664">
      <w:marLeft w:val="0"/>
      <w:marRight w:val="0"/>
      <w:marTop w:val="0"/>
      <w:marBottom w:val="0"/>
      <w:divBdr>
        <w:top w:val="none" w:sz="0" w:space="0" w:color="auto"/>
        <w:left w:val="none" w:sz="0" w:space="0" w:color="auto"/>
        <w:bottom w:val="none" w:sz="0" w:space="0" w:color="auto"/>
        <w:right w:val="none" w:sz="0" w:space="0" w:color="auto"/>
      </w:divBdr>
    </w:div>
    <w:div w:id="851064665">
      <w:marLeft w:val="0"/>
      <w:marRight w:val="0"/>
      <w:marTop w:val="0"/>
      <w:marBottom w:val="0"/>
      <w:divBdr>
        <w:top w:val="none" w:sz="0" w:space="0" w:color="auto"/>
        <w:left w:val="none" w:sz="0" w:space="0" w:color="auto"/>
        <w:bottom w:val="none" w:sz="0" w:space="0" w:color="auto"/>
        <w:right w:val="none" w:sz="0" w:space="0" w:color="auto"/>
      </w:divBdr>
    </w:div>
    <w:div w:id="851064666">
      <w:marLeft w:val="0"/>
      <w:marRight w:val="0"/>
      <w:marTop w:val="0"/>
      <w:marBottom w:val="0"/>
      <w:divBdr>
        <w:top w:val="none" w:sz="0" w:space="0" w:color="auto"/>
        <w:left w:val="none" w:sz="0" w:space="0" w:color="auto"/>
        <w:bottom w:val="none" w:sz="0" w:space="0" w:color="auto"/>
        <w:right w:val="none" w:sz="0" w:space="0" w:color="auto"/>
      </w:divBdr>
    </w:div>
    <w:div w:id="851064667">
      <w:marLeft w:val="0"/>
      <w:marRight w:val="0"/>
      <w:marTop w:val="0"/>
      <w:marBottom w:val="0"/>
      <w:divBdr>
        <w:top w:val="none" w:sz="0" w:space="0" w:color="auto"/>
        <w:left w:val="none" w:sz="0" w:space="0" w:color="auto"/>
        <w:bottom w:val="none" w:sz="0" w:space="0" w:color="auto"/>
        <w:right w:val="none" w:sz="0" w:space="0" w:color="auto"/>
      </w:divBdr>
    </w:div>
    <w:div w:id="851064668">
      <w:marLeft w:val="0"/>
      <w:marRight w:val="0"/>
      <w:marTop w:val="0"/>
      <w:marBottom w:val="0"/>
      <w:divBdr>
        <w:top w:val="none" w:sz="0" w:space="0" w:color="auto"/>
        <w:left w:val="none" w:sz="0" w:space="0" w:color="auto"/>
        <w:bottom w:val="none" w:sz="0" w:space="0" w:color="auto"/>
        <w:right w:val="none" w:sz="0" w:space="0" w:color="auto"/>
      </w:divBdr>
    </w:div>
    <w:div w:id="851064669">
      <w:marLeft w:val="0"/>
      <w:marRight w:val="0"/>
      <w:marTop w:val="0"/>
      <w:marBottom w:val="0"/>
      <w:divBdr>
        <w:top w:val="none" w:sz="0" w:space="0" w:color="auto"/>
        <w:left w:val="none" w:sz="0" w:space="0" w:color="auto"/>
        <w:bottom w:val="none" w:sz="0" w:space="0" w:color="auto"/>
        <w:right w:val="none" w:sz="0" w:space="0" w:color="auto"/>
      </w:divBdr>
    </w:div>
    <w:div w:id="851064670">
      <w:marLeft w:val="0"/>
      <w:marRight w:val="0"/>
      <w:marTop w:val="0"/>
      <w:marBottom w:val="0"/>
      <w:divBdr>
        <w:top w:val="none" w:sz="0" w:space="0" w:color="auto"/>
        <w:left w:val="none" w:sz="0" w:space="0" w:color="auto"/>
        <w:bottom w:val="none" w:sz="0" w:space="0" w:color="auto"/>
        <w:right w:val="none" w:sz="0" w:space="0" w:color="auto"/>
      </w:divBdr>
    </w:div>
    <w:div w:id="851064671">
      <w:marLeft w:val="0"/>
      <w:marRight w:val="0"/>
      <w:marTop w:val="0"/>
      <w:marBottom w:val="0"/>
      <w:divBdr>
        <w:top w:val="none" w:sz="0" w:space="0" w:color="auto"/>
        <w:left w:val="none" w:sz="0" w:space="0" w:color="auto"/>
        <w:bottom w:val="none" w:sz="0" w:space="0" w:color="auto"/>
        <w:right w:val="none" w:sz="0" w:space="0" w:color="auto"/>
      </w:divBdr>
    </w:div>
    <w:div w:id="851064672">
      <w:marLeft w:val="0"/>
      <w:marRight w:val="0"/>
      <w:marTop w:val="0"/>
      <w:marBottom w:val="0"/>
      <w:divBdr>
        <w:top w:val="none" w:sz="0" w:space="0" w:color="auto"/>
        <w:left w:val="none" w:sz="0" w:space="0" w:color="auto"/>
        <w:bottom w:val="none" w:sz="0" w:space="0" w:color="auto"/>
        <w:right w:val="none" w:sz="0" w:space="0" w:color="auto"/>
      </w:divBdr>
    </w:div>
    <w:div w:id="851064673">
      <w:marLeft w:val="0"/>
      <w:marRight w:val="0"/>
      <w:marTop w:val="0"/>
      <w:marBottom w:val="0"/>
      <w:divBdr>
        <w:top w:val="none" w:sz="0" w:space="0" w:color="auto"/>
        <w:left w:val="none" w:sz="0" w:space="0" w:color="auto"/>
        <w:bottom w:val="none" w:sz="0" w:space="0" w:color="auto"/>
        <w:right w:val="none" w:sz="0" w:space="0" w:color="auto"/>
      </w:divBdr>
    </w:div>
    <w:div w:id="851064674">
      <w:marLeft w:val="0"/>
      <w:marRight w:val="0"/>
      <w:marTop w:val="0"/>
      <w:marBottom w:val="0"/>
      <w:divBdr>
        <w:top w:val="none" w:sz="0" w:space="0" w:color="auto"/>
        <w:left w:val="none" w:sz="0" w:space="0" w:color="auto"/>
        <w:bottom w:val="none" w:sz="0" w:space="0" w:color="auto"/>
        <w:right w:val="none" w:sz="0" w:space="0" w:color="auto"/>
      </w:divBdr>
    </w:div>
    <w:div w:id="851064675">
      <w:marLeft w:val="0"/>
      <w:marRight w:val="0"/>
      <w:marTop w:val="0"/>
      <w:marBottom w:val="0"/>
      <w:divBdr>
        <w:top w:val="none" w:sz="0" w:space="0" w:color="auto"/>
        <w:left w:val="none" w:sz="0" w:space="0" w:color="auto"/>
        <w:bottom w:val="none" w:sz="0" w:space="0" w:color="auto"/>
        <w:right w:val="none" w:sz="0" w:space="0" w:color="auto"/>
      </w:divBdr>
    </w:div>
    <w:div w:id="851064676">
      <w:marLeft w:val="0"/>
      <w:marRight w:val="0"/>
      <w:marTop w:val="0"/>
      <w:marBottom w:val="0"/>
      <w:divBdr>
        <w:top w:val="none" w:sz="0" w:space="0" w:color="auto"/>
        <w:left w:val="none" w:sz="0" w:space="0" w:color="auto"/>
        <w:bottom w:val="none" w:sz="0" w:space="0" w:color="auto"/>
        <w:right w:val="none" w:sz="0" w:space="0" w:color="auto"/>
      </w:divBdr>
    </w:div>
    <w:div w:id="851064677">
      <w:marLeft w:val="0"/>
      <w:marRight w:val="0"/>
      <w:marTop w:val="0"/>
      <w:marBottom w:val="0"/>
      <w:divBdr>
        <w:top w:val="none" w:sz="0" w:space="0" w:color="auto"/>
        <w:left w:val="none" w:sz="0" w:space="0" w:color="auto"/>
        <w:bottom w:val="none" w:sz="0" w:space="0" w:color="auto"/>
        <w:right w:val="none" w:sz="0" w:space="0" w:color="auto"/>
      </w:divBdr>
    </w:div>
    <w:div w:id="851064678">
      <w:marLeft w:val="0"/>
      <w:marRight w:val="0"/>
      <w:marTop w:val="0"/>
      <w:marBottom w:val="0"/>
      <w:divBdr>
        <w:top w:val="none" w:sz="0" w:space="0" w:color="auto"/>
        <w:left w:val="none" w:sz="0" w:space="0" w:color="auto"/>
        <w:bottom w:val="none" w:sz="0" w:space="0" w:color="auto"/>
        <w:right w:val="none" w:sz="0" w:space="0" w:color="auto"/>
      </w:divBdr>
    </w:div>
    <w:div w:id="851064679">
      <w:marLeft w:val="0"/>
      <w:marRight w:val="0"/>
      <w:marTop w:val="0"/>
      <w:marBottom w:val="0"/>
      <w:divBdr>
        <w:top w:val="none" w:sz="0" w:space="0" w:color="auto"/>
        <w:left w:val="none" w:sz="0" w:space="0" w:color="auto"/>
        <w:bottom w:val="none" w:sz="0" w:space="0" w:color="auto"/>
        <w:right w:val="none" w:sz="0" w:space="0" w:color="auto"/>
      </w:divBdr>
    </w:div>
    <w:div w:id="851064680">
      <w:marLeft w:val="0"/>
      <w:marRight w:val="0"/>
      <w:marTop w:val="0"/>
      <w:marBottom w:val="0"/>
      <w:divBdr>
        <w:top w:val="none" w:sz="0" w:space="0" w:color="auto"/>
        <w:left w:val="none" w:sz="0" w:space="0" w:color="auto"/>
        <w:bottom w:val="none" w:sz="0" w:space="0" w:color="auto"/>
        <w:right w:val="none" w:sz="0" w:space="0" w:color="auto"/>
      </w:divBdr>
    </w:div>
    <w:div w:id="851064681">
      <w:marLeft w:val="0"/>
      <w:marRight w:val="0"/>
      <w:marTop w:val="0"/>
      <w:marBottom w:val="0"/>
      <w:divBdr>
        <w:top w:val="none" w:sz="0" w:space="0" w:color="auto"/>
        <w:left w:val="none" w:sz="0" w:space="0" w:color="auto"/>
        <w:bottom w:val="none" w:sz="0" w:space="0" w:color="auto"/>
        <w:right w:val="none" w:sz="0" w:space="0" w:color="auto"/>
      </w:divBdr>
    </w:div>
    <w:div w:id="851064682">
      <w:marLeft w:val="0"/>
      <w:marRight w:val="0"/>
      <w:marTop w:val="0"/>
      <w:marBottom w:val="0"/>
      <w:divBdr>
        <w:top w:val="none" w:sz="0" w:space="0" w:color="auto"/>
        <w:left w:val="none" w:sz="0" w:space="0" w:color="auto"/>
        <w:bottom w:val="none" w:sz="0" w:space="0" w:color="auto"/>
        <w:right w:val="none" w:sz="0" w:space="0" w:color="auto"/>
      </w:divBdr>
    </w:div>
    <w:div w:id="851064683">
      <w:marLeft w:val="0"/>
      <w:marRight w:val="0"/>
      <w:marTop w:val="0"/>
      <w:marBottom w:val="0"/>
      <w:divBdr>
        <w:top w:val="none" w:sz="0" w:space="0" w:color="auto"/>
        <w:left w:val="none" w:sz="0" w:space="0" w:color="auto"/>
        <w:bottom w:val="none" w:sz="0" w:space="0" w:color="auto"/>
        <w:right w:val="none" w:sz="0" w:space="0" w:color="auto"/>
      </w:divBdr>
    </w:div>
    <w:div w:id="851064684">
      <w:marLeft w:val="0"/>
      <w:marRight w:val="0"/>
      <w:marTop w:val="0"/>
      <w:marBottom w:val="0"/>
      <w:divBdr>
        <w:top w:val="none" w:sz="0" w:space="0" w:color="auto"/>
        <w:left w:val="none" w:sz="0" w:space="0" w:color="auto"/>
        <w:bottom w:val="none" w:sz="0" w:space="0" w:color="auto"/>
        <w:right w:val="none" w:sz="0" w:space="0" w:color="auto"/>
      </w:divBdr>
    </w:div>
    <w:div w:id="851064685">
      <w:marLeft w:val="0"/>
      <w:marRight w:val="0"/>
      <w:marTop w:val="0"/>
      <w:marBottom w:val="0"/>
      <w:divBdr>
        <w:top w:val="none" w:sz="0" w:space="0" w:color="auto"/>
        <w:left w:val="none" w:sz="0" w:space="0" w:color="auto"/>
        <w:bottom w:val="none" w:sz="0" w:space="0" w:color="auto"/>
        <w:right w:val="none" w:sz="0" w:space="0" w:color="auto"/>
      </w:divBdr>
    </w:div>
    <w:div w:id="851064686">
      <w:marLeft w:val="0"/>
      <w:marRight w:val="0"/>
      <w:marTop w:val="0"/>
      <w:marBottom w:val="0"/>
      <w:divBdr>
        <w:top w:val="none" w:sz="0" w:space="0" w:color="auto"/>
        <w:left w:val="none" w:sz="0" w:space="0" w:color="auto"/>
        <w:bottom w:val="none" w:sz="0" w:space="0" w:color="auto"/>
        <w:right w:val="none" w:sz="0" w:space="0" w:color="auto"/>
      </w:divBdr>
    </w:div>
    <w:div w:id="851064687">
      <w:marLeft w:val="0"/>
      <w:marRight w:val="0"/>
      <w:marTop w:val="0"/>
      <w:marBottom w:val="0"/>
      <w:divBdr>
        <w:top w:val="none" w:sz="0" w:space="0" w:color="auto"/>
        <w:left w:val="none" w:sz="0" w:space="0" w:color="auto"/>
        <w:bottom w:val="none" w:sz="0" w:space="0" w:color="auto"/>
        <w:right w:val="none" w:sz="0" w:space="0" w:color="auto"/>
      </w:divBdr>
    </w:div>
    <w:div w:id="851064688">
      <w:marLeft w:val="0"/>
      <w:marRight w:val="0"/>
      <w:marTop w:val="0"/>
      <w:marBottom w:val="0"/>
      <w:divBdr>
        <w:top w:val="none" w:sz="0" w:space="0" w:color="auto"/>
        <w:left w:val="none" w:sz="0" w:space="0" w:color="auto"/>
        <w:bottom w:val="none" w:sz="0" w:space="0" w:color="auto"/>
        <w:right w:val="none" w:sz="0" w:space="0" w:color="auto"/>
      </w:divBdr>
    </w:div>
    <w:div w:id="851064689">
      <w:marLeft w:val="0"/>
      <w:marRight w:val="0"/>
      <w:marTop w:val="0"/>
      <w:marBottom w:val="0"/>
      <w:divBdr>
        <w:top w:val="none" w:sz="0" w:space="0" w:color="auto"/>
        <w:left w:val="none" w:sz="0" w:space="0" w:color="auto"/>
        <w:bottom w:val="none" w:sz="0" w:space="0" w:color="auto"/>
        <w:right w:val="none" w:sz="0" w:space="0" w:color="auto"/>
      </w:divBdr>
    </w:div>
    <w:div w:id="851064690">
      <w:marLeft w:val="0"/>
      <w:marRight w:val="0"/>
      <w:marTop w:val="0"/>
      <w:marBottom w:val="0"/>
      <w:divBdr>
        <w:top w:val="none" w:sz="0" w:space="0" w:color="auto"/>
        <w:left w:val="none" w:sz="0" w:space="0" w:color="auto"/>
        <w:bottom w:val="none" w:sz="0" w:space="0" w:color="auto"/>
        <w:right w:val="none" w:sz="0" w:space="0" w:color="auto"/>
      </w:divBdr>
    </w:div>
    <w:div w:id="851064691">
      <w:marLeft w:val="0"/>
      <w:marRight w:val="0"/>
      <w:marTop w:val="0"/>
      <w:marBottom w:val="0"/>
      <w:divBdr>
        <w:top w:val="none" w:sz="0" w:space="0" w:color="auto"/>
        <w:left w:val="none" w:sz="0" w:space="0" w:color="auto"/>
        <w:bottom w:val="none" w:sz="0" w:space="0" w:color="auto"/>
        <w:right w:val="none" w:sz="0" w:space="0" w:color="auto"/>
      </w:divBdr>
    </w:div>
    <w:div w:id="851064692">
      <w:marLeft w:val="0"/>
      <w:marRight w:val="0"/>
      <w:marTop w:val="0"/>
      <w:marBottom w:val="0"/>
      <w:divBdr>
        <w:top w:val="none" w:sz="0" w:space="0" w:color="auto"/>
        <w:left w:val="none" w:sz="0" w:space="0" w:color="auto"/>
        <w:bottom w:val="none" w:sz="0" w:space="0" w:color="auto"/>
        <w:right w:val="none" w:sz="0" w:space="0" w:color="auto"/>
      </w:divBdr>
    </w:div>
    <w:div w:id="851064693">
      <w:marLeft w:val="0"/>
      <w:marRight w:val="0"/>
      <w:marTop w:val="0"/>
      <w:marBottom w:val="0"/>
      <w:divBdr>
        <w:top w:val="none" w:sz="0" w:space="0" w:color="auto"/>
        <w:left w:val="none" w:sz="0" w:space="0" w:color="auto"/>
        <w:bottom w:val="none" w:sz="0" w:space="0" w:color="auto"/>
        <w:right w:val="none" w:sz="0" w:space="0" w:color="auto"/>
      </w:divBdr>
    </w:div>
    <w:div w:id="851064694">
      <w:marLeft w:val="0"/>
      <w:marRight w:val="0"/>
      <w:marTop w:val="0"/>
      <w:marBottom w:val="0"/>
      <w:divBdr>
        <w:top w:val="none" w:sz="0" w:space="0" w:color="auto"/>
        <w:left w:val="none" w:sz="0" w:space="0" w:color="auto"/>
        <w:bottom w:val="none" w:sz="0" w:space="0" w:color="auto"/>
        <w:right w:val="none" w:sz="0" w:space="0" w:color="auto"/>
      </w:divBdr>
    </w:div>
    <w:div w:id="85106469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851064697">
      <w:marLeft w:val="0"/>
      <w:marRight w:val="0"/>
      <w:marTop w:val="0"/>
      <w:marBottom w:val="0"/>
      <w:divBdr>
        <w:top w:val="none" w:sz="0" w:space="0" w:color="auto"/>
        <w:left w:val="none" w:sz="0" w:space="0" w:color="auto"/>
        <w:bottom w:val="none" w:sz="0" w:space="0" w:color="auto"/>
        <w:right w:val="none" w:sz="0" w:space="0" w:color="auto"/>
      </w:divBdr>
    </w:div>
    <w:div w:id="851064698">
      <w:marLeft w:val="0"/>
      <w:marRight w:val="0"/>
      <w:marTop w:val="0"/>
      <w:marBottom w:val="0"/>
      <w:divBdr>
        <w:top w:val="none" w:sz="0" w:space="0" w:color="auto"/>
        <w:left w:val="none" w:sz="0" w:space="0" w:color="auto"/>
        <w:bottom w:val="none" w:sz="0" w:space="0" w:color="auto"/>
        <w:right w:val="none" w:sz="0" w:space="0" w:color="auto"/>
      </w:divBdr>
    </w:div>
    <w:div w:id="851064699">
      <w:marLeft w:val="0"/>
      <w:marRight w:val="0"/>
      <w:marTop w:val="0"/>
      <w:marBottom w:val="0"/>
      <w:divBdr>
        <w:top w:val="none" w:sz="0" w:space="0" w:color="auto"/>
        <w:left w:val="none" w:sz="0" w:space="0" w:color="auto"/>
        <w:bottom w:val="none" w:sz="0" w:space="0" w:color="auto"/>
        <w:right w:val="none" w:sz="0" w:space="0" w:color="auto"/>
      </w:divBdr>
    </w:div>
    <w:div w:id="851064700">
      <w:marLeft w:val="0"/>
      <w:marRight w:val="0"/>
      <w:marTop w:val="0"/>
      <w:marBottom w:val="0"/>
      <w:divBdr>
        <w:top w:val="none" w:sz="0" w:space="0" w:color="auto"/>
        <w:left w:val="none" w:sz="0" w:space="0" w:color="auto"/>
        <w:bottom w:val="none" w:sz="0" w:space="0" w:color="auto"/>
        <w:right w:val="none" w:sz="0" w:space="0" w:color="auto"/>
      </w:divBdr>
    </w:div>
    <w:div w:id="851064701">
      <w:marLeft w:val="0"/>
      <w:marRight w:val="0"/>
      <w:marTop w:val="0"/>
      <w:marBottom w:val="0"/>
      <w:divBdr>
        <w:top w:val="none" w:sz="0" w:space="0" w:color="auto"/>
        <w:left w:val="none" w:sz="0" w:space="0" w:color="auto"/>
        <w:bottom w:val="none" w:sz="0" w:space="0" w:color="auto"/>
        <w:right w:val="none" w:sz="0" w:space="0" w:color="auto"/>
      </w:divBdr>
    </w:div>
    <w:div w:id="851064702">
      <w:marLeft w:val="0"/>
      <w:marRight w:val="0"/>
      <w:marTop w:val="0"/>
      <w:marBottom w:val="0"/>
      <w:divBdr>
        <w:top w:val="none" w:sz="0" w:space="0" w:color="auto"/>
        <w:left w:val="none" w:sz="0" w:space="0" w:color="auto"/>
        <w:bottom w:val="none" w:sz="0" w:space="0" w:color="auto"/>
        <w:right w:val="none" w:sz="0" w:space="0" w:color="auto"/>
      </w:divBdr>
    </w:div>
    <w:div w:id="851064703">
      <w:marLeft w:val="0"/>
      <w:marRight w:val="0"/>
      <w:marTop w:val="0"/>
      <w:marBottom w:val="0"/>
      <w:divBdr>
        <w:top w:val="none" w:sz="0" w:space="0" w:color="auto"/>
        <w:left w:val="none" w:sz="0" w:space="0" w:color="auto"/>
        <w:bottom w:val="none" w:sz="0" w:space="0" w:color="auto"/>
        <w:right w:val="none" w:sz="0" w:space="0" w:color="auto"/>
      </w:divBdr>
    </w:div>
    <w:div w:id="851064704">
      <w:marLeft w:val="0"/>
      <w:marRight w:val="0"/>
      <w:marTop w:val="0"/>
      <w:marBottom w:val="0"/>
      <w:divBdr>
        <w:top w:val="none" w:sz="0" w:space="0" w:color="auto"/>
        <w:left w:val="none" w:sz="0" w:space="0" w:color="auto"/>
        <w:bottom w:val="none" w:sz="0" w:space="0" w:color="auto"/>
        <w:right w:val="none" w:sz="0" w:space="0" w:color="auto"/>
      </w:divBdr>
    </w:div>
    <w:div w:id="851064705">
      <w:marLeft w:val="0"/>
      <w:marRight w:val="0"/>
      <w:marTop w:val="0"/>
      <w:marBottom w:val="0"/>
      <w:divBdr>
        <w:top w:val="none" w:sz="0" w:space="0" w:color="auto"/>
        <w:left w:val="none" w:sz="0" w:space="0" w:color="auto"/>
        <w:bottom w:val="none" w:sz="0" w:space="0" w:color="auto"/>
        <w:right w:val="none" w:sz="0" w:space="0" w:color="auto"/>
      </w:divBdr>
    </w:div>
    <w:div w:id="851064706">
      <w:marLeft w:val="0"/>
      <w:marRight w:val="0"/>
      <w:marTop w:val="0"/>
      <w:marBottom w:val="0"/>
      <w:divBdr>
        <w:top w:val="none" w:sz="0" w:space="0" w:color="auto"/>
        <w:left w:val="none" w:sz="0" w:space="0" w:color="auto"/>
        <w:bottom w:val="none" w:sz="0" w:space="0" w:color="auto"/>
        <w:right w:val="none" w:sz="0" w:space="0" w:color="auto"/>
      </w:divBdr>
    </w:div>
    <w:div w:id="851064707">
      <w:marLeft w:val="0"/>
      <w:marRight w:val="0"/>
      <w:marTop w:val="0"/>
      <w:marBottom w:val="0"/>
      <w:divBdr>
        <w:top w:val="none" w:sz="0" w:space="0" w:color="auto"/>
        <w:left w:val="none" w:sz="0" w:space="0" w:color="auto"/>
        <w:bottom w:val="none" w:sz="0" w:space="0" w:color="auto"/>
        <w:right w:val="none" w:sz="0" w:space="0" w:color="auto"/>
      </w:divBdr>
    </w:div>
    <w:div w:id="851064708">
      <w:marLeft w:val="0"/>
      <w:marRight w:val="0"/>
      <w:marTop w:val="0"/>
      <w:marBottom w:val="0"/>
      <w:divBdr>
        <w:top w:val="none" w:sz="0" w:space="0" w:color="auto"/>
        <w:left w:val="none" w:sz="0" w:space="0" w:color="auto"/>
        <w:bottom w:val="none" w:sz="0" w:space="0" w:color="auto"/>
        <w:right w:val="none" w:sz="0" w:space="0" w:color="auto"/>
      </w:divBdr>
    </w:div>
    <w:div w:id="851064709">
      <w:marLeft w:val="0"/>
      <w:marRight w:val="0"/>
      <w:marTop w:val="0"/>
      <w:marBottom w:val="0"/>
      <w:divBdr>
        <w:top w:val="none" w:sz="0" w:space="0" w:color="auto"/>
        <w:left w:val="none" w:sz="0" w:space="0" w:color="auto"/>
        <w:bottom w:val="none" w:sz="0" w:space="0" w:color="auto"/>
        <w:right w:val="none" w:sz="0" w:space="0" w:color="auto"/>
      </w:divBdr>
    </w:div>
    <w:div w:id="851064710">
      <w:marLeft w:val="0"/>
      <w:marRight w:val="0"/>
      <w:marTop w:val="0"/>
      <w:marBottom w:val="0"/>
      <w:divBdr>
        <w:top w:val="none" w:sz="0" w:space="0" w:color="auto"/>
        <w:left w:val="none" w:sz="0" w:space="0" w:color="auto"/>
        <w:bottom w:val="none" w:sz="0" w:space="0" w:color="auto"/>
        <w:right w:val="none" w:sz="0" w:space="0" w:color="auto"/>
      </w:divBdr>
    </w:div>
    <w:div w:id="851064711">
      <w:marLeft w:val="0"/>
      <w:marRight w:val="0"/>
      <w:marTop w:val="0"/>
      <w:marBottom w:val="0"/>
      <w:divBdr>
        <w:top w:val="none" w:sz="0" w:space="0" w:color="auto"/>
        <w:left w:val="none" w:sz="0" w:space="0" w:color="auto"/>
        <w:bottom w:val="none" w:sz="0" w:space="0" w:color="auto"/>
        <w:right w:val="none" w:sz="0" w:space="0" w:color="auto"/>
      </w:divBdr>
    </w:div>
    <w:div w:id="851064712">
      <w:marLeft w:val="0"/>
      <w:marRight w:val="0"/>
      <w:marTop w:val="0"/>
      <w:marBottom w:val="0"/>
      <w:divBdr>
        <w:top w:val="none" w:sz="0" w:space="0" w:color="auto"/>
        <w:left w:val="none" w:sz="0" w:space="0" w:color="auto"/>
        <w:bottom w:val="none" w:sz="0" w:space="0" w:color="auto"/>
        <w:right w:val="none" w:sz="0" w:space="0" w:color="auto"/>
      </w:divBdr>
    </w:div>
    <w:div w:id="851064713">
      <w:marLeft w:val="0"/>
      <w:marRight w:val="0"/>
      <w:marTop w:val="0"/>
      <w:marBottom w:val="0"/>
      <w:divBdr>
        <w:top w:val="none" w:sz="0" w:space="0" w:color="auto"/>
        <w:left w:val="none" w:sz="0" w:space="0" w:color="auto"/>
        <w:bottom w:val="none" w:sz="0" w:space="0" w:color="auto"/>
        <w:right w:val="none" w:sz="0" w:space="0" w:color="auto"/>
      </w:divBdr>
    </w:div>
    <w:div w:id="851064714">
      <w:marLeft w:val="0"/>
      <w:marRight w:val="0"/>
      <w:marTop w:val="0"/>
      <w:marBottom w:val="0"/>
      <w:divBdr>
        <w:top w:val="none" w:sz="0" w:space="0" w:color="auto"/>
        <w:left w:val="none" w:sz="0" w:space="0" w:color="auto"/>
        <w:bottom w:val="none" w:sz="0" w:space="0" w:color="auto"/>
        <w:right w:val="none" w:sz="0" w:space="0" w:color="auto"/>
      </w:divBdr>
    </w:div>
    <w:div w:id="851064715">
      <w:marLeft w:val="0"/>
      <w:marRight w:val="0"/>
      <w:marTop w:val="0"/>
      <w:marBottom w:val="0"/>
      <w:divBdr>
        <w:top w:val="none" w:sz="0" w:space="0" w:color="auto"/>
        <w:left w:val="none" w:sz="0" w:space="0" w:color="auto"/>
        <w:bottom w:val="none" w:sz="0" w:space="0" w:color="auto"/>
        <w:right w:val="none" w:sz="0" w:space="0" w:color="auto"/>
      </w:divBdr>
    </w:div>
    <w:div w:id="851064716">
      <w:marLeft w:val="0"/>
      <w:marRight w:val="0"/>
      <w:marTop w:val="0"/>
      <w:marBottom w:val="0"/>
      <w:divBdr>
        <w:top w:val="none" w:sz="0" w:space="0" w:color="auto"/>
        <w:left w:val="none" w:sz="0" w:space="0" w:color="auto"/>
        <w:bottom w:val="none" w:sz="0" w:space="0" w:color="auto"/>
        <w:right w:val="none" w:sz="0" w:space="0" w:color="auto"/>
      </w:divBdr>
    </w:div>
    <w:div w:id="851064717">
      <w:marLeft w:val="0"/>
      <w:marRight w:val="0"/>
      <w:marTop w:val="0"/>
      <w:marBottom w:val="0"/>
      <w:divBdr>
        <w:top w:val="none" w:sz="0" w:space="0" w:color="auto"/>
        <w:left w:val="none" w:sz="0" w:space="0" w:color="auto"/>
        <w:bottom w:val="none" w:sz="0" w:space="0" w:color="auto"/>
        <w:right w:val="none" w:sz="0" w:space="0" w:color="auto"/>
      </w:divBdr>
    </w:div>
    <w:div w:id="851064718">
      <w:marLeft w:val="0"/>
      <w:marRight w:val="0"/>
      <w:marTop w:val="0"/>
      <w:marBottom w:val="0"/>
      <w:divBdr>
        <w:top w:val="none" w:sz="0" w:space="0" w:color="auto"/>
        <w:left w:val="none" w:sz="0" w:space="0" w:color="auto"/>
        <w:bottom w:val="none" w:sz="0" w:space="0" w:color="auto"/>
        <w:right w:val="none" w:sz="0" w:space="0" w:color="auto"/>
      </w:divBdr>
    </w:div>
    <w:div w:id="851064719">
      <w:marLeft w:val="0"/>
      <w:marRight w:val="0"/>
      <w:marTop w:val="0"/>
      <w:marBottom w:val="0"/>
      <w:divBdr>
        <w:top w:val="none" w:sz="0" w:space="0" w:color="auto"/>
        <w:left w:val="none" w:sz="0" w:space="0" w:color="auto"/>
        <w:bottom w:val="none" w:sz="0" w:space="0" w:color="auto"/>
        <w:right w:val="none" w:sz="0" w:space="0" w:color="auto"/>
      </w:divBdr>
    </w:div>
    <w:div w:id="851064720">
      <w:marLeft w:val="0"/>
      <w:marRight w:val="0"/>
      <w:marTop w:val="0"/>
      <w:marBottom w:val="0"/>
      <w:divBdr>
        <w:top w:val="none" w:sz="0" w:space="0" w:color="auto"/>
        <w:left w:val="none" w:sz="0" w:space="0" w:color="auto"/>
        <w:bottom w:val="none" w:sz="0" w:space="0" w:color="auto"/>
        <w:right w:val="none" w:sz="0" w:space="0" w:color="auto"/>
      </w:divBdr>
    </w:div>
    <w:div w:id="851064721">
      <w:marLeft w:val="0"/>
      <w:marRight w:val="0"/>
      <w:marTop w:val="0"/>
      <w:marBottom w:val="0"/>
      <w:divBdr>
        <w:top w:val="none" w:sz="0" w:space="0" w:color="auto"/>
        <w:left w:val="none" w:sz="0" w:space="0" w:color="auto"/>
        <w:bottom w:val="none" w:sz="0" w:space="0" w:color="auto"/>
        <w:right w:val="none" w:sz="0" w:space="0" w:color="auto"/>
      </w:divBdr>
    </w:div>
    <w:div w:id="851064722">
      <w:marLeft w:val="0"/>
      <w:marRight w:val="0"/>
      <w:marTop w:val="0"/>
      <w:marBottom w:val="0"/>
      <w:divBdr>
        <w:top w:val="none" w:sz="0" w:space="0" w:color="auto"/>
        <w:left w:val="none" w:sz="0" w:space="0" w:color="auto"/>
        <w:bottom w:val="none" w:sz="0" w:space="0" w:color="auto"/>
        <w:right w:val="none" w:sz="0" w:space="0" w:color="auto"/>
      </w:divBdr>
    </w:div>
    <w:div w:id="851064723">
      <w:marLeft w:val="0"/>
      <w:marRight w:val="0"/>
      <w:marTop w:val="0"/>
      <w:marBottom w:val="0"/>
      <w:divBdr>
        <w:top w:val="none" w:sz="0" w:space="0" w:color="auto"/>
        <w:left w:val="none" w:sz="0" w:space="0" w:color="auto"/>
        <w:bottom w:val="none" w:sz="0" w:space="0" w:color="auto"/>
        <w:right w:val="none" w:sz="0" w:space="0" w:color="auto"/>
      </w:divBdr>
    </w:div>
    <w:div w:id="851064724">
      <w:marLeft w:val="0"/>
      <w:marRight w:val="0"/>
      <w:marTop w:val="0"/>
      <w:marBottom w:val="0"/>
      <w:divBdr>
        <w:top w:val="none" w:sz="0" w:space="0" w:color="auto"/>
        <w:left w:val="none" w:sz="0" w:space="0" w:color="auto"/>
        <w:bottom w:val="none" w:sz="0" w:space="0" w:color="auto"/>
        <w:right w:val="none" w:sz="0" w:space="0" w:color="auto"/>
      </w:divBdr>
    </w:div>
    <w:div w:id="851064725">
      <w:marLeft w:val="0"/>
      <w:marRight w:val="0"/>
      <w:marTop w:val="0"/>
      <w:marBottom w:val="0"/>
      <w:divBdr>
        <w:top w:val="none" w:sz="0" w:space="0" w:color="auto"/>
        <w:left w:val="none" w:sz="0" w:space="0" w:color="auto"/>
        <w:bottom w:val="none" w:sz="0" w:space="0" w:color="auto"/>
        <w:right w:val="none" w:sz="0" w:space="0" w:color="auto"/>
      </w:divBdr>
    </w:div>
    <w:div w:id="851064726">
      <w:marLeft w:val="0"/>
      <w:marRight w:val="0"/>
      <w:marTop w:val="0"/>
      <w:marBottom w:val="0"/>
      <w:divBdr>
        <w:top w:val="none" w:sz="0" w:space="0" w:color="auto"/>
        <w:left w:val="none" w:sz="0" w:space="0" w:color="auto"/>
        <w:bottom w:val="none" w:sz="0" w:space="0" w:color="auto"/>
        <w:right w:val="none" w:sz="0" w:space="0" w:color="auto"/>
      </w:divBdr>
    </w:div>
    <w:div w:id="851064727">
      <w:marLeft w:val="0"/>
      <w:marRight w:val="0"/>
      <w:marTop w:val="0"/>
      <w:marBottom w:val="0"/>
      <w:divBdr>
        <w:top w:val="none" w:sz="0" w:space="0" w:color="auto"/>
        <w:left w:val="none" w:sz="0" w:space="0" w:color="auto"/>
        <w:bottom w:val="none" w:sz="0" w:space="0" w:color="auto"/>
        <w:right w:val="none" w:sz="0" w:space="0" w:color="auto"/>
      </w:divBdr>
    </w:div>
    <w:div w:id="851064728">
      <w:marLeft w:val="0"/>
      <w:marRight w:val="0"/>
      <w:marTop w:val="0"/>
      <w:marBottom w:val="0"/>
      <w:divBdr>
        <w:top w:val="none" w:sz="0" w:space="0" w:color="auto"/>
        <w:left w:val="none" w:sz="0" w:space="0" w:color="auto"/>
        <w:bottom w:val="none" w:sz="0" w:space="0" w:color="auto"/>
        <w:right w:val="none" w:sz="0" w:space="0" w:color="auto"/>
      </w:divBdr>
    </w:div>
    <w:div w:id="851064729">
      <w:marLeft w:val="0"/>
      <w:marRight w:val="0"/>
      <w:marTop w:val="0"/>
      <w:marBottom w:val="0"/>
      <w:divBdr>
        <w:top w:val="none" w:sz="0" w:space="0" w:color="auto"/>
        <w:left w:val="none" w:sz="0" w:space="0" w:color="auto"/>
        <w:bottom w:val="none" w:sz="0" w:space="0" w:color="auto"/>
        <w:right w:val="none" w:sz="0" w:space="0" w:color="auto"/>
      </w:divBdr>
    </w:div>
    <w:div w:id="851064730">
      <w:marLeft w:val="0"/>
      <w:marRight w:val="0"/>
      <w:marTop w:val="0"/>
      <w:marBottom w:val="0"/>
      <w:divBdr>
        <w:top w:val="none" w:sz="0" w:space="0" w:color="auto"/>
        <w:left w:val="none" w:sz="0" w:space="0" w:color="auto"/>
        <w:bottom w:val="none" w:sz="0" w:space="0" w:color="auto"/>
        <w:right w:val="none" w:sz="0" w:space="0" w:color="auto"/>
      </w:divBdr>
    </w:div>
    <w:div w:id="851064731">
      <w:marLeft w:val="0"/>
      <w:marRight w:val="0"/>
      <w:marTop w:val="0"/>
      <w:marBottom w:val="0"/>
      <w:divBdr>
        <w:top w:val="none" w:sz="0" w:space="0" w:color="auto"/>
        <w:left w:val="none" w:sz="0" w:space="0" w:color="auto"/>
        <w:bottom w:val="none" w:sz="0" w:space="0" w:color="auto"/>
        <w:right w:val="none" w:sz="0" w:space="0" w:color="auto"/>
      </w:divBdr>
    </w:div>
    <w:div w:id="851064732">
      <w:marLeft w:val="0"/>
      <w:marRight w:val="0"/>
      <w:marTop w:val="0"/>
      <w:marBottom w:val="0"/>
      <w:divBdr>
        <w:top w:val="none" w:sz="0" w:space="0" w:color="auto"/>
        <w:left w:val="none" w:sz="0" w:space="0" w:color="auto"/>
        <w:bottom w:val="none" w:sz="0" w:space="0" w:color="auto"/>
        <w:right w:val="none" w:sz="0" w:space="0" w:color="auto"/>
      </w:divBdr>
    </w:div>
    <w:div w:id="851064733">
      <w:marLeft w:val="0"/>
      <w:marRight w:val="0"/>
      <w:marTop w:val="0"/>
      <w:marBottom w:val="0"/>
      <w:divBdr>
        <w:top w:val="none" w:sz="0" w:space="0" w:color="auto"/>
        <w:left w:val="none" w:sz="0" w:space="0" w:color="auto"/>
        <w:bottom w:val="none" w:sz="0" w:space="0" w:color="auto"/>
        <w:right w:val="none" w:sz="0" w:space="0" w:color="auto"/>
      </w:divBdr>
    </w:div>
    <w:div w:id="851064734">
      <w:marLeft w:val="0"/>
      <w:marRight w:val="0"/>
      <w:marTop w:val="0"/>
      <w:marBottom w:val="0"/>
      <w:divBdr>
        <w:top w:val="none" w:sz="0" w:space="0" w:color="auto"/>
        <w:left w:val="none" w:sz="0" w:space="0" w:color="auto"/>
        <w:bottom w:val="none" w:sz="0" w:space="0" w:color="auto"/>
        <w:right w:val="none" w:sz="0" w:space="0" w:color="auto"/>
      </w:divBdr>
    </w:div>
    <w:div w:id="851064735">
      <w:marLeft w:val="0"/>
      <w:marRight w:val="0"/>
      <w:marTop w:val="0"/>
      <w:marBottom w:val="0"/>
      <w:divBdr>
        <w:top w:val="none" w:sz="0" w:space="0" w:color="auto"/>
        <w:left w:val="none" w:sz="0" w:space="0" w:color="auto"/>
        <w:bottom w:val="none" w:sz="0" w:space="0" w:color="auto"/>
        <w:right w:val="none" w:sz="0" w:space="0" w:color="auto"/>
      </w:divBdr>
    </w:div>
    <w:div w:id="851064736">
      <w:marLeft w:val="0"/>
      <w:marRight w:val="0"/>
      <w:marTop w:val="0"/>
      <w:marBottom w:val="0"/>
      <w:divBdr>
        <w:top w:val="none" w:sz="0" w:space="0" w:color="auto"/>
        <w:left w:val="none" w:sz="0" w:space="0" w:color="auto"/>
        <w:bottom w:val="none" w:sz="0" w:space="0" w:color="auto"/>
        <w:right w:val="none" w:sz="0" w:space="0" w:color="auto"/>
      </w:divBdr>
    </w:div>
    <w:div w:id="851064737">
      <w:marLeft w:val="0"/>
      <w:marRight w:val="0"/>
      <w:marTop w:val="0"/>
      <w:marBottom w:val="0"/>
      <w:divBdr>
        <w:top w:val="none" w:sz="0" w:space="0" w:color="auto"/>
        <w:left w:val="none" w:sz="0" w:space="0" w:color="auto"/>
        <w:bottom w:val="none" w:sz="0" w:space="0" w:color="auto"/>
        <w:right w:val="none" w:sz="0" w:space="0" w:color="auto"/>
      </w:divBdr>
    </w:div>
    <w:div w:id="851064738">
      <w:marLeft w:val="0"/>
      <w:marRight w:val="0"/>
      <w:marTop w:val="0"/>
      <w:marBottom w:val="0"/>
      <w:divBdr>
        <w:top w:val="none" w:sz="0" w:space="0" w:color="auto"/>
        <w:left w:val="none" w:sz="0" w:space="0" w:color="auto"/>
        <w:bottom w:val="none" w:sz="0" w:space="0" w:color="auto"/>
        <w:right w:val="none" w:sz="0" w:space="0" w:color="auto"/>
      </w:divBdr>
    </w:div>
    <w:div w:id="851064739">
      <w:marLeft w:val="0"/>
      <w:marRight w:val="0"/>
      <w:marTop w:val="0"/>
      <w:marBottom w:val="0"/>
      <w:divBdr>
        <w:top w:val="none" w:sz="0" w:space="0" w:color="auto"/>
        <w:left w:val="none" w:sz="0" w:space="0" w:color="auto"/>
        <w:bottom w:val="none" w:sz="0" w:space="0" w:color="auto"/>
        <w:right w:val="none" w:sz="0" w:space="0" w:color="auto"/>
      </w:divBdr>
    </w:div>
    <w:div w:id="851064740">
      <w:marLeft w:val="0"/>
      <w:marRight w:val="0"/>
      <w:marTop w:val="0"/>
      <w:marBottom w:val="0"/>
      <w:divBdr>
        <w:top w:val="none" w:sz="0" w:space="0" w:color="auto"/>
        <w:left w:val="none" w:sz="0" w:space="0" w:color="auto"/>
        <w:bottom w:val="none" w:sz="0" w:space="0" w:color="auto"/>
        <w:right w:val="none" w:sz="0" w:space="0" w:color="auto"/>
      </w:divBdr>
    </w:div>
    <w:div w:id="851064741">
      <w:marLeft w:val="0"/>
      <w:marRight w:val="0"/>
      <w:marTop w:val="0"/>
      <w:marBottom w:val="0"/>
      <w:divBdr>
        <w:top w:val="none" w:sz="0" w:space="0" w:color="auto"/>
        <w:left w:val="none" w:sz="0" w:space="0" w:color="auto"/>
        <w:bottom w:val="none" w:sz="0" w:space="0" w:color="auto"/>
        <w:right w:val="none" w:sz="0" w:space="0" w:color="auto"/>
      </w:divBdr>
    </w:div>
    <w:div w:id="851064742">
      <w:marLeft w:val="0"/>
      <w:marRight w:val="0"/>
      <w:marTop w:val="0"/>
      <w:marBottom w:val="0"/>
      <w:divBdr>
        <w:top w:val="none" w:sz="0" w:space="0" w:color="auto"/>
        <w:left w:val="none" w:sz="0" w:space="0" w:color="auto"/>
        <w:bottom w:val="none" w:sz="0" w:space="0" w:color="auto"/>
        <w:right w:val="none" w:sz="0" w:space="0" w:color="auto"/>
      </w:divBdr>
    </w:div>
    <w:div w:id="851064743">
      <w:marLeft w:val="0"/>
      <w:marRight w:val="0"/>
      <w:marTop w:val="0"/>
      <w:marBottom w:val="0"/>
      <w:divBdr>
        <w:top w:val="none" w:sz="0" w:space="0" w:color="auto"/>
        <w:left w:val="none" w:sz="0" w:space="0" w:color="auto"/>
        <w:bottom w:val="none" w:sz="0" w:space="0" w:color="auto"/>
        <w:right w:val="none" w:sz="0" w:space="0" w:color="auto"/>
      </w:divBdr>
    </w:div>
    <w:div w:id="851064744">
      <w:marLeft w:val="0"/>
      <w:marRight w:val="0"/>
      <w:marTop w:val="0"/>
      <w:marBottom w:val="0"/>
      <w:divBdr>
        <w:top w:val="none" w:sz="0" w:space="0" w:color="auto"/>
        <w:left w:val="none" w:sz="0" w:space="0" w:color="auto"/>
        <w:bottom w:val="none" w:sz="0" w:space="0" w:color="auto"/>
        <w:right w:val="none" w:sz="0" w:space="0" w:color="auto"/>
      </w:divBdr>
    </w:div>
    <w:div w:id="851064745">
      <w:marLeft w:val="0"/>
      <w:marRight w:val="0"/>
      <w:marTop w:val="0"/>
      <w:marBottom w:val="0"/>
      <w:divBdr>
        <w:top w:val="none" w:sz="0" w:space="0" w:color="auto"/>
        <w:left w:val="none" w:sz="0" w:space="0" w:color="auto"/>
        <w:bottom w:val="none" w:sz="0" w:space="0" w:color="auto"/>
        <w:right w:val="none" w:sz="0" w:space="0" w:color="auto"/>
      </w:divBdr>
    </w:div>
    <w:div w:id="851064746">
      <w:marLeft w:val="0"/>
      <w:marRight w:val="0"/>
      <w:marTop w:val="0"/>
      <w:marBottom w:val="0"/>
      <w:divBdr>
        <w:top w:val="none" w:sz="0" w:space="0" w:color="auto"/>
        <w:left w:val="none" w:sz="0" w:space="0" w:color="auto"/>
        <w:bottom w:val="none" w:sz="0" w:space="0" w:color="auto"/>
        <w:right w:val="none" w:sz="0" w:space="0" w:color="auto"/>
      </w:divBdr>
    </w:div>
    <w:div w:id="851064747">
      <w:marLeft w:val="0"/>
      <w:marRight w:val="0"/>
      <w:marTop w:val="0"/>
      <w:marBottom w:val="0"/>
      <w:divBdr>
        <w:top w:val="none" w:sz="0" w:space="0" w:color="auto"/>
        <w:left w:val="none" w:sz="0" w:space="0" w:color="auto"/>
        <w:bottom w:val="none" w:sz="0" w:space="0" w:color="auto"/>
        <w:right w:val="none" w:sz="0" w:space="0" w:color="auto"/>
      </w:divBdr>
    </w:div>
    <w:div w:id="851064748">
      <w:marLeft w:val="0"/>
      <w:marRight w:val="0"/>
      <w:marTop w:val="0"/>
      <w:marBottom w:val="0"/>
      <w:divBdr>
        <w:top w:val="none" w:sz="0" w:space="0" w:color="auto"/>
        <w:left w:val="none" w:sz="0" w:space="0" w:color="auto"/>
        <w:bottom w:val="none" w:sz="0" w:space="0" w:color="auto"/>
        <w:right w:val="none" w:sz="0" w:space="0" w:color="auto"/>
      </w:divBdr>
    </w:div>
    <w:div w:id="851064749">
      <w:marLeft w:val="0"/>
      <w:marRight w:val="0"/>
      <w:marTop w:val="0"/>
      <w:marBottom w:val="0"/>
      <w:divBdr>
        <w:top w:val="none" w:sz="0" w:space="0" w:color="auto"/>
        <w:left w:val="none" w:sz="0" w:space="0" w:color="auto"/>
        <w:bottom w:val="none" w:sz="0" w:space="0" w:color="auto"/>
        <w:right w:val="none" w:sz="0" w:space="0" w:color="auto"/>
      </w:divBdr>
    </w:div>
    <w:div w:id="851064750">
      <w:marLeft w:val="0"/>
      <w:marRight w:val="0"/>
      <w:marTop w:val="0"/>
      <w:marBottom w:val="0"/>
      <w:divBdr>
        <w:top w:val="none" w:sz="0" w:space="0" w:color="auto"/>
        <w:left w:val="none" w:sz="0" w:space="0" w:color="auto"/>
        <w:bottom w:val="none" w:sz="0" w:space="0" w:color="auto"/>
        <w:right w:val="none" w:sz="0" w:space="0" w:color="auto"/>
      </w:divBdr>
    </w:div>
    <w:div w:id="851064751">
      <w:marLeft w:val="0"/>
      <w:marRight w:val="0"/>
      <w:marTop w:val="0"/>
      <w:marBottom w:val="0"/>
      <w:divBdr>
        <w:top w:val="none" w:sz="0" w:space="0" w:color="auto"/>
        <w:left w:val="none" w:sz="0" w:space="0" w:color="auto"/>
        <w:bottom w:val="none" w:sz="0" w:space="0" w:color="auto"/>
        <w:right w:val="none" w:sz="0" w:space="0" w:color="auto"/>
      </w:divBdr>
    </w:div>
    <w:div w:id="851064752">
      <w:marLeft w:val="0"/>
      <w:marRight w:val="0"/>
      <w:marTop w:val="0"/>
      <w:marBottom w:val="0"/>
      <w:divBdr>
        <w:top w:val="none" w:sz="0" w:space="0" w:color="auto"/>
        <w:left w:val="none" w:sz="0" w:space="0" w:color="auto"/>
        <w:bottom w:val="none" w:sz="0" w:space="0" w:color="auto"/>
        <w:right w:val="none" w:sz="0" w:space="0" w:color="auto"/>
      </w:divBdr>
    </w:div>
    <w:div w:id="851064753">
      <w:marLeft w:val="0"/>
      <w:marRight w:val="0"/>
      <w:marTop w:val="0"/>
      <w:marBottom w:val="0"/>
      <w:divBdr>
        <w:top w:val="none" w:sz="0" w:space="0" w:color="auto"/>
        <w:left w:val="none" w:sz="0" w:space="0" w:color="auto"/>
        <w:bottom w:val="none" w:sz="0" w:space="0" w:color="auto"/>
        <w:right w:val="none" w:sz="0" w:space="0" w:color="auto"/>
      </w:divBdr>
    </w:div>
    <w:div w:id="851064754">
      <w:marLeft w:val="0"/>
      <w:marRight w:val="0"/>
      <w:marTop w:val="0"/>
      <w:marBottom w:val="0"/>
      <w:divBdr>
        <w:top w:val="none" w:sz="0" w:space="0" w:color="auto"/>
        <w:left w:val="none" w:sz="0" w:space="0" w:color="auto"/>
        <w:bottom w:val="none" w:sz="0" w:space="0" w:color="auto"/>
        <w:right w:val="none" w:sz="0" w:space="0" w:color="auto"/>
      </w:divBdr>
    </w:div>
    <w:div w:id="851064755">
      <w:marLeft w:val="0"/>
      <w:marRight w:val="0"/>
      <w:marTop w:val="0"/>
      <w:marBottom w:val="0"/>
      <w:divBdr>
        <w:top w:val="none" w:sz="0" w:space="0" w:color="auto"/>
        <w:left w:val="none" w:sz="0" w:space="0" w:color="auto"/>
        <w:bottom w:val="none" w:sz="0" w:space="0" w:color="auto"/>
        <w:right w:val="none" w:sz="0" w:space="0" w:color="auto"/>
      </w:divBdr>
    </w:div>
    <w:div w:id="851064756">
      <w:marLeft w:val="0"/>
      <w:marRight w:val="0"/>
      <w:marTop w:val="0"/>
      <w:marBottom w:val="0"/>
      <w:divBdr>
        <w:top w:val="none" w:sz="0" w:space="0" w:color="auto"/>
        <w:left w:val="none" w:sz="0" w:space="0" w:color="auto"/>
        <w:bottom w:val="none" w:sz="0" w:space="0" w:color="auto"/>
        <w:right w:val="none" w:sz="0" w:space="0" w:color="auto"/>
      </w:divBdr>
    </w:div>
    <w:div w:id="851064757">
      <w:marLeft w:val="0"/>
      <w:marRight w:val="0"/>
      <w:marTop w:val="0"/>
      <w:marBottom w:val="0"/>
      <w:divBdr>
        <w:top w:val="none" w:sz="0" w:space="0" w:color="auto"/>
        <w:left w:val="none" w:sz="0" w:space="0" w:color="auto"/>
        <w:bottom w:val="none" w:sz="0" w:space="0" w:color="auto"/>
        <w:right w:val="none" w:sz="0" w:space="0" w:color="auto"/>
      </w:divBdr>
    </w:div>
    <w:div w:id="851064758">
      <w:marLeft w:val="0"/>
      <w:marRight w:val="0"/>
      <w:marTop w:val="0"/>
      <w:marBottom w:val="0"/>
      <w:divBdr>
        <w:top w:val="none" w:sz="0" w:space="0" w:color="auto"/>
        <w:left w:val="none" w:sz="0" w:space="0" w:color="auto"/>
        <w:bottom w:val="none" w:sz="0" w:space="0" w:color="auto"/>
        <w:right w:val="none" w:sz="0" w:space="0" w:color="auto"/>
      </w:divBdr>
    </w:div>
    <w:div w:id="851064759">
      <w:marLeft w:val="0"/>
      <w:marRight w:val="0"/>
      <w:marTop w:val="0"/>
      <w:marBottom w:val="0"/>
      <w:divBdr>
        <w:top w:val="none" w:sz="0" w:space="0" w:color="auto"/>
        <w:left w:val="none" w:sz="0" w:space="0" w:color="auto"/>
        <w:bottom w:val="none" w:sz="0" w:space="0" w:color="auto"/>
        <w:right w:val="none" w:sz="0" w:space="0" w:color="auto"/>
      </w:divBdr>
    </w:div>
    <w:div w:id="851064760">
      <w:marLeft w:val="0"/>
      <w:marRight w:val="0"/>
      <w:marTop w:val="0"/>
      <w:marBottom w:val="0"/>
      <w:divBdr>
        <w:top w:val="none" w:sz="0" w:space="0" w:color="auto"/>
        <w:left w:val="none" w:sz="0" w:space="0" w:color="auto"/>
        <w:bottom w:val="none" w:sz="0" w:space="0" w:color="auto"/>
        <w:right w:val="none" w:sz="0" w:space="0" w:color="auto"/>
      </w:divBdr>
    </w:div>
    <w:div w:id="851064761">
      <w:marLeft w:val="0"/>
      <w:marRight w:val="0"/>
      <w:marTop w:val="0"/>
      <w:marBottom w:val="0"/>
      <w:divBdr>
        <w:top w:val="none" w:sz="0" w:space="0" w:color="auto"/>
        <w:left w:val="none" w:sz="0" w:space="0" w:color="auto"/>
        <w:bottom w:val="none" w:sz="0" w:space="0" w:color="auto"/>
        <w:right w:val="none" w:sz="0" w:space="0" w:color="auto"/>
      </w:divBdr>
    </w:div>
    <w:div w:id="851064762">
      <w:marLeft w:val="0"/>
      <w:marRight w:val="0"/>
      <w:marTop w:val="0"/>
      <w:marBottom w:val="0"/>
      <w:divBdr>
        <w:top w:val="none" w:sz="0" w:space="0" w:color="auto"/>
        <w:left w:val="none" w:sz="0" w:space="0" w:color="auto"/>
        <w:bottom w:val="none" w:sz="0" w:space="0" w:color="auto"/>
        <w:right w:val="none" w:sz="0" w:space="0" w:color="auto"/>
      </w:divBdr>
    </w:div>
    <w:div w:id="851064763">
      <w:marLeft w:val="0"/>
      <w:marRight w:val="0"/>
      <w:marTop w:val="0"/>
      <w:marBottom w:val="0"/>
      <w:divBdr>
        <w:top w:val="none" w:sz="0" w:space="0" w:color="auto"/>
        <w:left w:val="none" w:sz="0" w:space="0" w:color="auto"/>
        <w:bottom w:val="none" w:sz="0" w:space="0" w:color="auto"/>
        <w:right w:val="none" w:sz="0" w:space="0" w:color="auto"/>
      </w:divBdr>
    </w:div>
    <w:div w:id="851064764">
      <w:marLeft w:val="0"/>
      <w:marRight w:val="0"/>
      <w:marTop w:val="0"/>
      <w:marBottom w:val="0"/>
      <w:divBdr>
        <w:top w:val="none" w:sz="0" w:space="0" w:color="auto"/>
        <w:left w:val="none" w:sz="0" w:space="0" w:color="auto"/>
        <w:bottom w:val="none" w:sz="0" w:space="0" w:color="auto"/>
        <w:right w:val="none" w:sz="0" w:space="0" w:color="auto"/>
      </w:divBdr>
    </w:div>
    <w:div w:id="851064765">
      <w:marLeft w:val="0"/>
      <w:marRight w:val="0"/>
      <w:marTop w:val="0"/>
      <w:marBottom w:val="0"/>
      <w:divBdr>
        <w:top w:val="none" w:sz="0" w:space="0" w:color="auto"/>
        <w:left w:val="none" w:sz="0" w:space="0" w:color="auto"/>
        <w:bottom w:val="none" w:sz="0" w:space="0" w:color="auto"/>
        <w:right w:val="none" w:sz="0" w:space="0" w:color="auto"/>
      </w:divBdr>
    </w:div>
    <w:div w:id="851064766">
      <w:marLeft w:val="0"/>
      <w:marRight w:val="0"/>
      <w:marTop w:val="0"/>
      <w:marBottom w:val="0"/>
      <w:divBdr>
        <w:top w:val="none" w:sz="0" w:space="0" w:color="auto"/>
        <w:left w:val="none" w:sz="0" w:space="0" w:color="auto"/>
        <w:bottom w:val="none" w:sz="0" w:space="0" w:color="auto"/>
        <w:right w:val="none" w:sz="0" w:space="0" w:color="auto"/>
      </w:divBdr>
    </w:div>
    <w:div w:id="851064767">
      <w:marLeft w:val="0"/>
      <w:marRight w:val="0"/>
      <w:marTop w:val="0"/>
      <w:marBottom w:val="0"/>
      <w:divBdr>
        <w:top w:val="none" w:sz="0" w:space="0" w:color="auto"/>
        <w:left w:val="none" w:sz="0" w:space="0" w:color="auto"/>
        <w:bottom w:val="none" w:sz="0" w:space="0" w:color="auto"/>
        <w:right w:val="none" w:sz="0" w:space="0" w:color="auto"/>
      </w:divBdr>
    </w:div>
    <w:div w:id="851064768">
      <w:marLeft w:val="0"/>
      <w:marRight w:val="0"/>
      <w:marTop w:val="0"/>
      <w:marBottom w:val="0"/>
      <w:divBdr>
        <w:top w:val="none" w:sz="0" w:space="0" w:color="auto"/>
        <w:left w:val="none" w:sz="0" w:space="0" w:color="auto"/>
        <w:bottom w:val="none" w:sz="0" w:space="0" w:color="auto"/>
        <w:right w:val="none" w:sz="0" w:space="0" w:color="auto"/>
      </w:divBdr>
    </w:div>
    <w:div w:id="851064769">
      <w:marLeft w:val="0"/>
      <w:marRight w:val="0"/>
      <w:marTop w:val="0"/>
      <w:marBottom w:val="0"/>
      <w:divBdr>
        <w:top w:val="none" w:sz="0" w:space="0" w:color="auto"/>
        <w:left w:val="none" w:sz="0" w:space="0" w:color="auto"/>
        <w:bottom w:val="none" w:sz="0" w:space="0" w:color="auto"/>
        <w:right w:val="none" w:sz="0" w:space="0" w:color="auto"/>
      </w:divBdr>
    </w:div>
    <w:div w:id="851064770">
      <w:marLeft w:val="0"/>
      <w:marRight w:val="0"/>
      <w:marTop w:val="0"/>
      <w:marBottom w:val="0"/>
      <w:divBdr>
        <w:top w:val="none" w:sz="0" w:space="0" w:color="auto"/>
        <w:left w:val="none" w:sz="0" w:space="0" w:color="auto"/>
        <w:bottom w:val="none" w:sz="0" w:space="0" w:color="auto"/>
        <w:right w:val="none" w:sz="0" w:space="0" w:color="auto"/>
      </w:divBdr>
    </w:div>
    <w:div w:id="851064771">
      <w:marLeft w:val="0"/>
      <w:marRight w:val="0"/>
      <w:marTop w:val="0"/>
      <w:marBottom w:val="0"/>
      <w:divBdr>
        <w:top w:val="none" w:sz="0" w:space="0" w:color="auto"/>
        <w:left w:val="none" w:sz="0" w:space="0" w:color="auto"/>
        <w:bottom w:val="none" w:sz="0" w:space="0" w:color="auto"/>
        <w:right w:val="none" w:sz="0" w:space="0" w:color="auto"/>
      </w:divBdr>
    </w:div>
    <w:div w:id="851064772">
      <w:marLeft w:val="0"/>
      <w:marRight w:val="0"/>
      <w:marTop w:val="0"/>
      <w:marBottom w:val="0"/>
      <w:divBdr>
        <w:top w:val="none" w:sz="0" w:space="0" w:color="auto"/>
        <w:left w:val="none" w:sz="0" w:space="0" w:color="auto"/>
        <w:bottom w:val="none" w:sz="0" w:space="0" w:color="auto"/>
        <w:right w:val="none" w:sz="0" w:space="0" w:color="auto"/>
      </w:divBdr>
    </w:div>
    <w:div w:id="851064773">
      <w:marLeft w:val="0"/>
      <w:marRight w:val="0"/>
      <w:marTop w:val="0"/>
      <w:marBottom w:val="0"/>
      <w:divBdr>
        <w:top w:val="none" w:sz="0" w:space="0" w:color="auto"/>
        <w:left w:val="none" w:sz="0" w:space="0" w:color="auto"/>
        <w:bottom w:val="none" w:sz="0" w:space="0" w:color="auto"/>
        <w:right w:val="none" w:sz="0" w:space="0" w:color="auto"/>
      </w:divBdr>
    </w:div>
    <w:div w:id="851064774">
      <w:marLeft w:val="0"/>
      <w:marRight w:val="0"/>
      <w:marTop w:val="0"/>
      <w:marBottom w:val="0"/>
      <w:divBdr>
        <w:top w:val="none" w:sz="0" w:space="0" w:color="auto"/>
        <w:left w:val="none" w:sz="0" w:space="0" w:color="auto"/>
        <w:bottom w:val="none" w:sz="0" w:space="0" w:color="auto"/>
        <w:right w:val="none" w:sz="0" w:space="0" w:color="auto"/>
      </w:divBdr>
    </w:div>
    <w:div w:id="851064775">
      <w:marLeft w:val="0"/>
      <w:marRight w:val="0"/>
      <w:marTop w:val="0"/>
      <w:marBottom w:val="0"/>
      <w:divBdr>
        <w:top w:val="none" w:sz="0" w:space="0" w:color="auto"/>
        <w:left w:val="none" w:sz="0" w:space="0" w:color="auto"/>
        <w:bottom w:val="none" w:sz="0" w:space="0" w:color="auto"/>
        <w:right w:val="none" w:sz="0" w:space="0" w:color="auto"/>
      </w:divBdr>
    </w:div>
    <w:div w:id="851064776">
      <w:marLeft w:val="0"/>
      <w:marRight w:val="0"/>
      <w:marTop w:val="0"/>
      <w:marBottom w:val="0"/>
      <w:divBdr>
        <w:top w:val="none" w:sz="0" w:space="0" w:color="auto"/>
        <w:left w:val="none" w:sz="0" w:space="0" w:color="auto"/>
        <w:bottom w:val="none" w:sz="0" w:space="0" w:color="auto"/>
        <w:right w:val="none" w:sz="0" w:space="0" w:color="auto"/>
      </w:divBdr>
    </w:div>
    <w:div w:id="851064777">
      <w:marLeft w:val="0"/>
      <w:marRight w:val="0"/>
      <w:marTop w:val="0"/>
      <w:marBottom w:val="0"/>
      <w:divBdr>
        <w:top w:val="none" w:sz="0" w:space="0" w:color="auto"/>
        <w:left w:val="none" w:sz="0" w:space="0" w:color="auto"/>
        <w:bottom w:val="none" w:sz="0" w:space="0" w:color="auto"/>
        <w:right w:val="none" w:sz="0" w:space="0" w:color="auto"/>
      </w:divBdr>
    </w:div>
    <w:div w:id="851064778">
      <w:marLeft w:val="0"/>
      <w:marRight w:val="0"/>
      <w:marTop w:val="0"/>
      <w:marBottom w:val="0"/>
      <w:divBdr>
        <w:top w:val="none" w:sz="0" w:space="0" w:color="auto"/>
        <w:left w:val="none" w:sz="0" w:space="0" w:color="auto"/>
        <w:bottom w:val="none" w:sz="0" w:space="0" w:color="auto"/>
        <w:right w:val="none" w:sz="0" w:space="0" w:color="auto"/>
      </w:divBdr>
    </w:div>
    <w:div w:id="851064779">
      <w:marLeft w:val="0"/>
      <w:marRight w:val="0"/>
      <w:marTop w:val="0"/>
      <w:marBottom w:val="0"/>
      <w:divBdr>
        <w:top w:val="none" w:sz="0" w:space="0" w:color="auto"/>
        <w:left w:val="none" w:sz="0" w:space="0" w:color="auto"/>
        <w:bottom w:val="none" w:sz="0" w:space="0" w:color="auto"/>
        <w:right w:val="none" w:sz="0" w:space="0" w:color="auto"/>
      </w:divBdr>
    </w:div>
    <w:div w:id="851064780">
      <w:marLeft w:val="0"/>
      <w:marRight w:val="0"/>
      <w:marTop w:val="0"/>
      <w:marBottom w:val="0"/>
      <w:divBdr>
        <w:top w:val="none" w:sz="0" w:space="0" w:color="auto"/>
        <w:left w:val="none" w:sz="0" w:space="0" w:color="auto"/>
        <w:bottom w:val="none" w:sz="0" w:space="0" w:color="auto"/>
        <w:right w:val="none" w:sz="0" w:space="0" w:color="auto"/>
      </w:divBdr>
    </w:div>
    <w:div w:id="851064781">
      <w:marLeft w:val="0"/>
      <w:marRight w:val="0"/>
      <w:marTop w:val="0"/>
      <w:marBottom w:val="0"/>
      <w:divBdr>
        <w:top w:val="none" w:sz="0" w:space="0" w:color="auto"/>
        <w:left w:val="none" w:sz="0" w:space="0" w:color="auto"/>
        <w:bottom w:val="none" w:sz="0" w:space="0" w:color="auto"/>
        <w:right w:val="none" w:sz="0" w:space="0" w:color="auto"/>
      </w:divBdr>
    </w:div>
    <w:div w:id="851064782">
      <w:marLeft w:val="0"/>
      <w:marRight w:val="0"/>
      <w:marTop w:val="0"/>
      <w:marBottom w:val="0"/>
      <w:divBdr>
        <w:top w:val="none" w:sz="0" w:space="0" w:color="auto"/>
        <w:left w:val="none" w:sz="0" w:space="0" w:color="auto"/>
        <w:bottom w:val="none" w:sz="0" w:space="0" w:color="auto"/>
        <w:right w:val="none" w:sz="0" w:space="0" w:color="auto"/>
      </w:divBdr>
    </w:div>
    <w:div w:id="851064783">
      <w:marLeft w:val="0"/>
      <w:marRight w:val="0"/>
      <w:marTop w:val="0"/>
      <w:marBottom w:val="0"/>
      <w:divBdr>
        <w:top w:val="none" w:sz="0" w:space="0" w:color="auto"/>
        <w:left w:val="none" w:sz="0" w:space="0" w:color="auto"/>
        <w:bottom w:val="none" w:sz="0" w:space="0" w:color="auto"/>
        <w:right w:val="none" w:sz="0" w:space="0" w:color="auto"/>
      </w:divBdr>
    </w:div>
    <w:div w:id="851064784">
      <w:marLeft w:val="0"/>
      <w:marRight w:val="0"/>
      <w:marTop w:val="0"/>
      <w:marBottom w:val="0"/>
      <w:divBdr>
        <w:top w:val="none" w:sz="0" w:space="0" w:color="auto"/>
        <w:left w:val="none" w:sz="0" w:space="0" w:color="auto"/>
        <w:bottom w:val="none" w:sz="0" w:space="0" w:color="auto"/>
        <w:right w:val="none" w:sz="0" w:space="0" w:color="auto"/>
      </w:divBdr>
    </w:div>
    <w:div w:id="851064785">
      <w:marLeft w:val="0"/>
      <w:marRight w:val="0"/>
      <w:marTop w:val="0"/>
      <w:marBottom w:val="0"/>
      <w:divBdr>
        <w:top w:val="none" w:sz="0" w:space="0" w:color="auto"/>
        <w:left w:val="none" w:sz="0" w:space="0" w:color="auto"/>
        <w:bottom w:val="none" w:sz="0" w:space="0" w:color="auto"/>
        <w:right w:val="none" w:sz="0" w:space="0" w:color="auto"/>
      </w:divBdr>
    </w:div>
    <w:div w:id="851064786">
      <w:marLeft w:val="0"/>
      <w:marRight w:val="0"/>
      <w:marTop w:val="0"/>
      <w:marBottom w:val="0"/>
      <w:divBdr>
        <w:top w:val="none" w:sz="0" w:space="0" w:color="auto"/>
        <w:left w:val="none" w:sz="0" w:space="0" w:color="auto"/>
        <w:bottom w:val="none" w:sz="0" w:space="0" w:color="auto"/>
        <w:right w:val="none" w:sz="0" w:space="0" w:color="auto"/>
      </w:divBdr>
    </w:div>
    <w:div w:id="851064787">
      <w:marLeft w:val="0"/>
      <w:marRight w:val="0"/>
      <w:marTop w:val="0"/>
      <w:marBottom w:val="0"/>
      <w:divBdr>
        <w:top w:val="none" w:sz="0" w:space="0" w:color="auto"/>
        <w:left w:val="none" w:sz="0" w:space="0" w:color="auto"/>
        <w:bottom w:val="none" w:sz="0" w:space="0" w:color="auto"/>
        <w:right w:val="none" w:sz="0" w:space="0" w:color="auto"/>
      </w:divBdr>
    </w:div>
    <w:div w:id="851064788">
      <w:marLeft w:val="0"/>
      <w:marRight w:val="0"/>
      <w:marTop w:val="0"/>
      <w:marBottom w:val="0"/>
      <w:divBdr>
        <w:top w:val="none" w:sz="0" w:space="0" w:color="auto"/>
        <w:left w:val="none" w:sz="0" w:space="0" w:color="auto"/>
        <w:bottom w:val="none" w:sz="0" w:space="0" w:color="auto"/>
        <w:right w:val="none" w:sz="0" w:space="0" w:color="auto"/>
      </w:divBdr>
    </w:div>
    <w:div w:id="851064789">
      <w:marLeft w:val="0"/>
      <w:marRight w:val="0"/>
      <w:marTop w:val="0"/>
      <w:marBottom w:val="0"/>
      <w:divBdr>
        <w:top w:val="none" w:sz="0" w:space="0" w:color="auto"/>
        <w:left w:val="none" w:sz="0" w:space="0" w:color="auto"/>
        <w:bottom w:val="none" w:sz="0" w:space="0" w:color="auto"/>
        <w:right w:val="none" w:sz="0" w:space="0" w:color="auto"/>
      </w:divBdr>
    </w:div>
    <w:div w:id="851064790">
      <w:marLeft w:val="0"/>
      <w:marRight w:val="0"/>
      <w:marTop w:val="0"/>
      <w:marBottom w:val="0"/>
      <w:divBdr>
        <w:top w:val="none" w:sz="0" w:space="0" w:color="auto"/>
        <w:left w:val="none" w:sz="0" w:space="0" w:color="auto"/>
        <w:bottom w:val="none" w:sz="0" w:space="0" w:color="auto"/>
        <w:right w:val="none" w:sz="0" w:space="0" w:color="auto"/>
      </w:divBdr>
    </w:div>
    <w:div w:id="851064791">
      <w:marLeft w:val="0"/>
      <w:marRight w:val="0"/>
      <w:marTop w:val="0"/>
      <w:marBottom w:val="0"/>
      <w:divBdr>
        <w:top w:val="none" w:sz="0" w:space="0" w:color="auto"/>
        <w:left w:val="none" w:sz="0" w:space="0" w:color="auto"/>
        <w:bottom w:val="none" w:sz="0" w:space="0" w:color="auto"/>
        <w:right w:val="none" w:sz="0" w:space="0" w:color="auto"/>
      </w:divBdr>
    </w:div>
    <w:div w:id="851064792">
      <w:marLeft w:val="0"/>
      <w:marRight w:val="0"/>
      <w:marTop w:val="0"/>
      <w:marBottom w:val="0"/>
      <w:divBdr>
        <w:top w:val="none" w:sz="0" w:space="0" w:color="auto"/>
        <w:left w:val="none" w:sz="0" w:space="0" w:color="auto"/>
        <w:bottom w:val="none" w:sz="0" w:space="0" w:color="auto"/>
        <w:right w:val="none" w:sz="0" w:space="0" w:color="auto"/>
      </w:divBdr>
    </w:div>
    <w:div w:id="851064793">
      <w:marLeft w:val="0"/>
      <w:marRight w:val="0"/>
      <w:marTop w:val="0"/>
      <w:marBottom w:val="0"/>
      <w:divBdr>
        <w:top w:val="none" w:sz="0" w:space="0" w:color="auto"/>
        <w:left w:val="none" w:sz="0" w:space="0" w:color="auto"/>
        <w:bottom w:val="none" w:sz="0" w:space="0" w:color="auto"/>
        <w:right w:val="none" w:sz="0" w:space="0" w:color="auto"/>
      </w:divBdr>
    </w:div>
    <w:div w:id="851064794">
      <w:marLeft w:val="0"/>
      <w:marRight w:val="0"/>
      <w:marTop w:val="0"/>
      <w:marBottom w:val="0"/>
      <w:divBdr>
        <w:top w:val="none" w:sz="0" w:space="0" w:color="auto"/>
        <w:left w:val="none" w:sz="0" w:space="0" w:color="auto"/>
        <w:bottom w:val="none" w:sz="0" w:space="0" w:color="auto"/>
        <w:right w:val="none" w:sz="0" w:space="0" w:color="auto"/>
      </w:divBdr>
    </w:div>
    <w:div w:id="851064795">
      <w:marLeft w:val="0"/>
      <w:marRight w:val="0"/>
      <w:marTop w:val="0"/>
      <w:marBottom w:val="0"/>
      <w:divBdr>
        <w:top w:val="none" w:sz="0" w:space="0" w:color="auto"/>
        <w:left w:val="none" w:sz="0" w:space="0" w:color="auto"/>
        <w:bottom w:val="none" w:sz="0" w:space="0" w:color="auto"/>
        <w:right w:val="none" w:sz="0" w:space="0" w:color="auto"/>
      </w:divBdr>
    </w:div>
    <w:div w:id="851064796">
      <w:marLeft w:val="0"/>
      <w:marRight w:val="0"/>
      <w:marTop w:val="0"/>
      <w:marBottom w:val="0"/>
      <w:divBdr>
        <w:top w:val="none" w:sz="0" w:space="0" w:color="auto"/>
        <w:left w:val="none" w:sz="0" w:space="0" w:color="auto"/>
        <w:bottom w:val="none" w:sz="0" w:space="0" w:color="auto"/>
        <w:right w:val="none" w:sz="0" w:space="0" w:color="auto"/>
      </w:divBdr>
    </w:div>
    <w:div w:id="851064797">
      <w:marLeft w:val="0"/>
      <w:marRight w:val="0"/>
      <w:marTop w:val="0"/>
      <w:marBottom w:val="0"/>
      <w:divBdr>
        <w:top w:val="none" w:sz="0" w:space="0" w:color="auto"/>
        <w:left w:val="none" w:sz="0" w:space="0" w:color="auto"/>
        <w:bottom w:val="none" w:sz="0" w:space="0" w:color="auto"/>
        <w:right w:val="none" w:sz="0" w:space="0" w:color="auto"/>
      </w:divBdr>
    </w:div>
    <w:div w:id="851064798">
      <w:marLeft w:val="0"/>
      <w:marRight w:val="0"/>
      <w:marTop w:val="0"/>
      <w:marBottom w:val="0"/>
      <w:divBdr>
        <w:top w:val="none" w:sz="0" w:space="0" w:color="auto"/>
        <w:left w:val="none" w:sz="0" w:space="0" w:color="auto"/>
        <w:bottom w:val="none" w:sz="0" w:space="0" w:color="auto"/>
        <w:right w:val="none" w:sz="0" w:space="0" w:color="auto"/>
      </w:divBdr>
    </w:div>
    <w:div w:id="851064799">
      <w:marLeft w:val="0"/>
      <w:marRight w:val="0"/>
      <w:marTop w:val="0"/>
      <w:marBottom w:val="0"/>
      <w:divBdr>
        <w:top w:val="none" w:sz="0" w:space="0" w:color="auto"/>
        <w:left w:val="none" w:sz="0" w:space="0" w:color="auto"/>
        <w:bottom w:val="none" w:sz="0" w:space="0" w:color="auto"/>
        <w:right w:val="none" w:sz="0" w:space="0" w:color="auto"/>
      </w:divBdr>
    </w:div>
    <w:div w:id="851064800">
      <w:marLeft w:val="0"/>
      <w:marRight w:val="0"/>
      <w:marTop w:val="0"/>
      <w:marBottom w:val="0"/>
      <w:divBdr>
        <w:top w:val="none" w:sz="0" w:space="0" w:color="auto"/>
        <w:left w:val="none" w:sz="0" w:space="0" w:color="auto"/>
        <w:bottom w:val="none" w:sz="0" w:space="0" w:color="auto"/>
        <w:right w:val="none" w:sz="0" w:space="0" w:color="auto"/>
      </w:divBdr>
    </w:div>
    <w:div w:id="851064801">
      <w:marLeft w:val="0"/>
      <w:marRight w:val="0"/>
      <w:marTop w:val="0"/>
      <w:marBottom w:val="0"/>
      <w:divBdr>
        <w:top w:val="none" w:sz="0" w:space="0" w:color="auto"/>
        <w:left w:val="none" w:sz="0" w:space="0" w:color="auto"/>
        <w:bottom w:val="none" w:sz="0" w:space="0" w:color="auto"/>
        <w:right w:val="none" w:sz="0" w:space="0" w:color="auto"/>
      </w:divBdr>
    </w:div>
    <w:div w:id="851064802">
      <w:marLeft w:val="0"/>
      <w:marRight w:val="0"/>
      <w:marTop w:val="0"/>
      <w:marBottom w:val="0"/>
      <w:divBdr>
        <w:top w:val="none" w:sz="0" w:space="0" w:color="auto"/>
        <w:left w:val="none" w:sz="0" w:space="0" w:color="auto"/>
        <w:bottom w:val="none" w:sz="0" w:space="0" w:color="auto"/>
        <w:right w:val="none" w:sz="0" w:space="0" w:color="auto"/>
      </w:divBdr>
    </w:div>
    <w:div w:id="851064803">
      <w:marLeft w:val="0"/>
      <w:marRight w:val="0"/>
      <w:marTop w:val="0"/>
      <w:marBottom w:val="0"/>
      <w:divBdr>
        <w:top w:val="none" w:sz="0" w:space="0" w:color="auto"/>
        <w:left w:val="none" w:sz="0" w:space="0" w:color="auto"/>
        <w:bottom w:val="none" w:sz="0" w:space="0" w:color="auto"/>
        <w:right w:val="none" w:sz="0" w:space="0" w:color="auto"/>
      </w:divBdr>
    </w:div>
    <w:div w:id="851064804">
      <w:marLeft w:val="0"/>
      <w:marRight w:val="0"/>
      <w:marTop w:val="0"/>
      <w:marBottom w:val="0"/>
      <w:divBdr>
        <w:top w:val="none" w:sz="0" w:space="0" w:color="auto"/>
        <w:left w:val="none" w:sz="0" w:space="0" w:color="auto"/>
        <w:bottom w:val="none" w:sz="0" w:space="0" w:color="auto"/>
        <w:right w:val="none" w:sz="0" w:space="0" w:color="auto"/>
      </w:divBdr>
    </w:div>
    <w:div w:id="851064805">
      <w:marLeft w:val="0"/>
      <w:marRight w:val="0"/>
      <w:marTop w:val="0"/>
      <w:marBottom w:val="0"/>
      <w:divBdr>
        <w:top w:val="none" w:sz="0" w:space="0" w:color="auto"/>
        <w:left w:val="none" w:sz="0" w:space="0" w:color="auto"/>
        <w:bottom w:val="none" w:sz="0" w:space="0" w:color="auto"/>
        <w:right w:val="none" w:sz="0" w:space="0" w:color="auto"/>
      </w:divBdr>
    </w:div>
    <w:div w:id="851064806">
      <w:marLeft w:val="0"/>
      <w:marRight w:val="0"/>
      <w:marTop w:val="0"/>
      <w:marBottom w:val="0"/>
      <w:divBdr>
        <w:top w:val="none" w:sz="0" w:space="0" w:color="auto"/>
        <w:left w:val="none" w:sz="0" w:space="0" w:color="auto"/>
        <w:bottom w:val="none" w:sz="0" w:space="0" w:color="auto"/>
        <w:right w:val="none" w:sz="0" w:space="0" w:color="auto"/>
      </w:divBdr>
    </w:div>
    <w:div w:id="851064807">
      <w:marLeft w:val="0"/>
      <w:marRight w:val="0"/>
      <w:marTop w:val="0"/>
      <w:marBottom w:val="0"/>
      <w:divBdr>
        <w:top w:val="none" w:sz="0" w:space="0" w:color="auto"/>
        <w:left w:val="none" w:sz="0" w:space="0" w:color="auto"/>
        <w:bottom w:val="none" w:sz="0" w:space="0" w:color="auto"/>
        <w:right w:val="none" w:sz="0" w:space="0" w:color="auto"/>
      </w:divBdr>
    </w:div>
    <w:div w:id="851064808">
      <w:marLeft w:val="0"/>
      <w:marRight w:val="0"/>
      <w:marTop w:val="0"/>
      <w:marBottom w:val="0"/>
      <w:divBdr>
        <w:top w:val="none" w:sz="0" w:space="0" w:color="auto"/>
        <w:left w:val="none" w:sz="0" w:space="0" w:color="auto"/>
        <w:bottom w:val="none" w:sz="0" w:space="0" w:color="auto"/>
        <w:right w:val="none" w:sz="0" w:space="0" w:color="auto"/>
      </w:divBdr>
    </w:div>
    <w:div w:id="851064809">
      <w:marLeft w:val="0"/>
      <w:marRight w:val="0"/>
      <w:marTop w:val="0"/>
      <w:marBottom w:val="0"/>
      <w:divBdr>
        <w:top w:val="none" w:sz="0" w:space="0" w:color="auto"/>
        <w:left w:val="none" w:sz="0" w:space="0" w:color="auto"/>
        <w:bottom w:val="none" w:sz="0" w:space="0" w:color="auto"/>
        <w:right w:val="none" w:sz="0" w:space="0" w:color="auto"/>
      </w:divBdr>
    </w:div>
    <w:div w:id="851064810">
      <w:marLeft w:val="0"/>
      <w:marRight w:val="0"/>
      <w:marTop w:val="0"/>
      <w:marBottom w:val="0"/>
      <w:divBdr>
        <w:top w:val="none" w:sz="0" w:space="0" w:color="auto"/>
        <w:left w:val="none" w:sz="0" w:space="0" w:color="auto"/>
        <w:bottom w:val="none" w:sz="0" w:space="0" w:color="auto"/>
        <w:right w:val="none" w:sz="0" w:space="0" w:color="auto"/>
      </w:divBdr>
    </w:div>
    <w:div w:id="851064811">
      <w:marLeft w:val="0"/>
      <w:marRight w:val="0"/>
      <w:marTop w:val="0"/>
      <w:marBottom w:val="0"/>
      <w:divBdr>
        <w:top w:val="none" w:sz="0" w:space="0" w:color="auto"/>
        <w:left w:val="none" w:sz="0" w:space="0" w:color="auto"/>
        <w:bottom w:val="none" w:sz="0" w:space="0" w:color="auto"/>
        <w:right w:val="none" w:sz="0" w:space="0" w:color="auto"/>
      </w:divBdr>
    </w:div>
    <w:div w:id="851064812">
      <w:marLeft w:val="0"/>
      <w:marRight w:val="0"/>
      <w:marTop w:val="0"/>
      <w:marBottom w:val="0"/>
      <w:divBdr>
        <w:top w:val="none" w:sz="0" w:space="0" w:color="auto"/>
        <w:left w:val="none" w:sz="0" w:space="0" w:color="auto"/>
        <w:bottom w:val="none" w:sz="0" w:space="0" w:color="auto"/>
        <w:right w:val="none" w:sz="0" w:space="0" w:color="auto"/>
      </w:divBdr>
    </w:div>
    <w:div w:id="851064813">
      <w:marLeft w:val="0"/>
      <w:marRight w:val="0"/>
      <w:marTop w:val="0"/>
      <w:marBottom w:val="0"/>
      <w:divBdr>
        <w:top w:val="none" w:sz="0" w:space="0" w:color="auto"/>
        <w:left w:val="none" w:sz="0" w:space="0" w:color="auto"/>
        <w:bottom w:val="none" w:sz="0" w:space="0" w:color="auto"/>
        <w:right w:val="none" w:sz="0" w:space="0" w:color="auto"/>
      </w:divBdr>
    </w:div>
    <w:div w:id="851064814">
      <w:marLeft w:val="0"/>
      <w:marRight w:val="0"/>
      <w:marTop w:val="0"/>
      <w:marBottom w:val="0"/>
      <w:divBdr>
        <w:top w:val="none" w:sz="0" w:space="0" w:color="auto"/>
        <w:left w:val="none" w:sz="0" w:space="0" w:color="auto"/>
        <w:bottom w:val="none" w:sz="0" w:space="0" w:color="auto"/>
        <w:right w:val="none" w:sz="0" w:space="0" w:color="auto"/>
      </w:divBdr>
    </w:div>
    <w:div w:id="851064815">
      <w:marLeft w:val="0"/>
      <w:marRight w:val="0"/>
      <w:marTop w:val="0"/>
      <w:marBottom w:val="0"/>
      <w:divBdr>
        <w:top w:val="none" w:sz="0" w:space="0" w:color="auto"/>
        <w:left w:val="none" w:sz="0" w:space="0" w:color="auto"/>
        <w:bottom w:val="none" w:sz="0" w:space="0" w:color="auto"/>
        <w:right w:val="none" w:sz="0" w:space="0" w:color="auto"/>
      </w:divBdr>
    </w:div>
    <w:div w:id="851064816">
      <w:marLeft w:val="0"/>
      <w:marRight w:val="0"/>
      <w:marTop w:val="0"/>
      <w:marBottom w:val="0"/>
      <w:divBdr>
        <w:top w:val="none" w:sz="0" w:space="0" w:color="auto"/>
        <w:left w:val="none" w:sz="0" w:space="0" w:color="auto"/>
        <w:bottom w:val="none" w:sz="0" w:space="0" w:color="auto"/>
        <w:right w:val="none" w:sz="0" w:space="0" w:color="auto"/>
      </w:divBdr>
    </w:div>
    <w:div w:id="851064817">
      <w:marLeft w:val="0"/>
      <w:marRight w:val="0"/>
      <w:marTop w:val="0"/>
      <w:marBottom w:val="0"/>
      <w:divBdr>
        <w:top w:val="none" w:sz="0" w:space="0" w:color="auto"/>
        <w:left w:val="none" w:sz="0" w:space="0" w:color="auto"/>
        <w:bottom w:val="none" w:sz="0" w:space="0" w:color="auto"/>
        <w:right w:val="none" w:sz="0" w:space="0" w:color="auto"/>
      </w:divBdr>
    </w:div>
    <w:div w:id="851064818">
      <w:marLeft w:val="0"/>
      <w:marRight w:val="0"/>
      <w:marTop w:val="0"/>
      <w:marBottom w:val="0"/>
      <w:divBdr>
        <w:top w:val="none" w:sz="0" w:space="0" w:color="auto"/>
        <w:left w:val="none" w:sz="0" w:space="0" w:color="auto"/>
        <w:bottom w:val="none" w:sz="0" w:space="0" w:color="auto"/>
        <w:right w:val="none" w:sz="0" w:space="0" w:color="auto"/>
      </w:divBdr>
    </w:div>
    <w:div w:id="851064819">
      <w:marLeft w:val="0"/>
      <w:marRight w:val="0"/>
      <w:marTop w:val="0"/>
      <w:marBottom w:val="0"/>
      <w:divBdr>
        <w:top w:val="none" w:sz="0" w:space="0" w:color="auto"/>
        <w:left w:val="none" w:sz="0" w:space="0" w:color="auto"/>
        <w:bottom w:val="none" w:sz="0" w:space="0" w:color="auto"/>
        <w:right w:val="none" w:sz="0" w:space="0" w:color="auto"/>
      </w:divBdr>
    </w:div>
    <w:div w:id="851064820">
      <w:marLeft w:val="0"/>
      <w:marRight w:val="0"/>
      <w:marTop w:val="0"/>
      <w:marBottom w:val="0"/>
      <w:divBdr>
        <w:top w:val="none" w:sz="0" w:space="0" w:color="auto"/>
        <w:left w:val="none" w:sz="0" w:space="0" w:color="auto"/>
        <w:bottom w:val="none" w:sz="0" w:space="0" w:color="auto"/>
        <w:right w:val="none" w:sz="0" w:space="0" w:color="auto"/>
      </w:divBdr>
    </w:div>
    <w:div w:id="851064821">
      <w:marLeft w:val="0"/>
      <w:marRight w:val="0"/>
      <w:marTop w:val="0"/>
      <w:marBottom w:val="0"/>
      <w:divBdr>
        <w:top w:val="none" w:sz="0" w:space="0" w:color="auto"/>
        <w:left w:val="none" w:sz="0" w:space="0" w:color="auto"/>
        <w:bottom w:val="none" w:sz="0" w:space="0" w:color="auto"/>
        <w:right w:val="none" w:sz="0" w:space="0" w:color="auto"/>
      </w:divBdr>
    </w:div>
    <w:div w:id="851064822">
      <w:marLeft w:val="0"/>
      <w:marRight w:val="0"/>
      <w:marTop w:val="0"/>
      <w:marBottom w:val="0"/>
      <w:divBdr>
        <w:top w:val="none" w:sz="0" w:space="0" w:color="auto"/>
        <w:left w:val="none" w:sz="0" w:space="0" w:color="auto"/>
        <w:bottom w:val="none" w:sz="0" w:space="0" w:color="auto"/>
        <w:right w:val="none" w:sz="0" w:space="0" w:color="auto"/>
      </w:divBdr>
    </w:div>
    <w:div w:id="851064823">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851064825">
      <w:marLeft w:val="0"/>
      <w:marRight w:val="0"/>
      <w:marTop w:val="0"/>
      <w:marBottom w:val="0"/>
      <w:divBdr>
        <w:top w:val="none" w:sz="0" w:space="0" w:color="auto"/>
        <w:left w:val="none" w:sz="0" w:space="0" w:color="auto"/>
        <w:bottom w:val="none" w:sz="0" w:space="0" w:color="auto"/>
        <w:right w:val="none" w:sz="0" w:space="0" w:color="auto"/>
      </w:divBdr>
    </w:div>
    <w:div w:id="851064826">
      <w:marLeft w:val="0"/>
      <w:marRight w:val="0"/>
      <w:marTop w:val="0"/>
      <w:marBottom w:val="0"/>
      <w:divBdr>
        <w:top w:val="none" w:sz="0" w:space="0" w:color="auto"/>
        <w:left w:val="none" w:sz="0" w:space="0" w:color="auto"/>
        <w:bottom w:val="none" w:sz="0" w:space="0" w:color="auto"/>
        <w:right w:val="none" w:sz="0" w:space="0" w:color="auto"/>
      </w:divBdr>
    </w:div>
    <w:div w:id="851064827">
      <w:marLeft w:val="0"/>
      <w:marRight w:val="0"/>
      <w:marTop w:val="0"/>
      <w:marBottom w:val="0"/>
      <w:divBdr>
        <w:top w:val="none" w:sz="0" w:space="0" w:color="auto"/>
        <w:left w:val="none" w:sz="0" w:space="0" w:color="auto"/>
        <w:bottom w:val="none" w:sz="0" w:space="0" w:color="auto"/>
        <w:right w:val="none" w:sz="0" w:space="0" w:color="auto"/>
      </w:divBdr>
    </w:div>
    <w:div w:id="851064828">
      <w:marLeft w:val="0"/>
      <w:marRight w:val="0"/>
      <w:marTop w:val="0"/>
      <w:marBottom w:val="0"/>
      <w:divBdr>
        <w:top w:val="none" w:sz="0" w:space="0" w:color="auto"/>
        <w:left w:val="none" w:sz="0" w:space="0" w:color="auto"/>
        <w:bottom w:val="none" w:sz="0" w:space="0" w:color="auto"/>
        <w:right w:val="none" w:sz="0" w:space="0" w:color="auto"/>
      </w:divBdr>
    </w:div>
    <w:div w:id="851064829">
      <w:marLeft w:val="0"/>
      <w:marRight w:val="0"/>
      <w:marTop w:val="0"/>
      <w:marBottom w:val="0"/>
      <w:divBdr>
        <w:top w:val="none" w:sz="0" w:space="0" w:color="auto"/>
        <w:left w:val="none" w:sz="0" w:space="0" w:color="auto"/>
        <w:bottom w:val="none" w:sz="0" w:space="0" w:color="auto"/>
        <w:right w:val="none" w:sz="0" w:space="0" w:color="auto"/>
      </w:divBdr>
    </w:div>
    <w:div w:id="851064830">
      <w:marLeft w:val="0"/>
      <w:marRight w:val="0"/>
      <w:marTop w:val="0"/>
      <w:marBottom w:val="0"/>
      <w:divBdr>
        <w:top w:val="none" w:sz="0" w:space="0" w:color="auto"/>
        <w:left w:val="none" w:sz="0" w:space="0" w:color="auto"/>
        <w:bottom w:val="none" w:sz="0" w:space="0" w:color="auto"/>
        <w:right w:val="none" w:sz="0" w:space="0" w:color="auto"/>
      </w:divBdr>
    </w:div>
    <w:div w:id="851064831">
      <w:marLeft w:val="0"/>
      <w:marRight w:val="0"/>
      <w:marTop w:val="0"/>
      <w:marBottom w:val="0"/>
      <w:divBdr>
        <w:top w:val="none" w:sz="0" w:space="0" w:color="auto"/>
        <w:left w:val="none" w:sz="0" w:space="0" w:color="auto"/>
        <w:bottom w:val="none" w:sz="0" w:space="0" w:color="auto"/>
        <w:right w:val="none" w:sz="0" w:space="0" w:color="auto"/>
      </w:divBdr>
    </w:div>
    <w:div w:id="851064832">
      <w:marLeft w:val="0"/>
      <w:marRight w:val="0"/>
      <w:marTop w:val="0"/>
      <w:marBottom w:val="0"/>
      <w:divBdr>
        <w:top w:val="none" w:sz="0" w:space="0" w:color="auto"/>
        <w:left w:val="none" w:sz="0" w:space="0" w:color="auto"/>
        <w:bottom w:val="none" w:sz="0" w:space="0" w:color="auto"/>
        <w:right w:val="none" w:sz="0" w:space="0" w:color="auto"/>
      </w:divBdr>
    </w:div>
    <w:div w:id="851064833">
      <w:marLeft w:val="0"/>
      <w:marRight w:val="0"/>
      <w:marTop w:val="0"/>
      <w:marBottom w:val="0"/>
      <w:divBdr>
        <w:top w:val="none" w:sz="0" w:space="0" w:color="auto"/>
        <w:left w:val="none" w:sz="0" w:space="0" w:color="auto"/>
        <w:bottom w:val="none" w:sz="0" w:space="0" w:color="auto"/>
        <w:right w:val="none" w:sz="0" w:space="0" w:color="auto"/>
      </w:divBdr>
    </w:div>
    <w:div w:id="851064834">
      <w:marLeft w:val="0"/>
      <w:marRight w:val="0"/>
      <w:marTop w:val="0"/>
      <w:marBottom w:val="0"/>
      <w:divBdr>
        <w:top w:val="none" w:sz="0" w:space="0" w:color="auto"/>
        <w:left w:val="none" w:sz="0" w:space="0" w:color="auto"/>
        <w:bottom w:val="none" w:sz="0" w:space="0" w:color="auto"/>
        <w:right w:val="none" w:sz="0" w:space="0" w:color="auto"/>
      </w:divBdr>
    </w:div>
    <w:div w:id="851064835">
      <w:marLeft w:val="0"/>
      <w:marRight w:val="0"/>
      <w:marTop w:val="0"/>
      <w:marBottom w:val="0"/>
      <w:divBdr>
        <w:top w:val="none" w:sz="0" w:space="0" w:color="auto"/>
        <w:left w:val="none" w:sz="0" w:space="0" w:color="auto"/>
        <w:bottom w:val="none" w:sz="0" w:space="0" w:color="auto"/>
        <w:right w:val="none" w:sz="0" w:space="0" w:color="auto"/>
      </w:divBdr>
    </w:div>
    <w:div w:id="851064836">
      <w:marLeft w:val="0"/>
      <w:marRight w:val="0"/>
      <w:marTop w:val="0"/>
      <w:marBottom w:val="0"/>
      <w:divBdr>
        <w:top w:val="none" w:sz="0" w:space="0" w:color="auto"/>
        <w:left w:val="none" w:sz="0" w:space="0" w:color="auto"/>
        <w:bottom w:val="none" w:sz="0" w:space="0" w:color="auto"/>
        <w:right w:val="none" w:sz="0" w:space="0" w:color="auto"/>
      </w:divBdr>
    </w:div>
    <w:div w:id="851064837">
      <w:marLeft w:val="0"/>
      <w:marRight w:val="0"/>
      <w:marTop w:val="0"/>
      <w:marBottom w:val="0"/>
      <w:divBdr>
        <w:top w:val="none" w:sz="0" w:space="0" w:color="auto"/>
        <w:left w:val="none" w:sz="0" w:space="0" w:color="auto"/>
        <w:bottom w:val="none" w:sz="0" w:space="0" w:color="auto"/>
        <w:right w:val="none" w:sz="0" w:space="0" w:color="auto"/>
      </w:divBdr>
    </w:div>
    <w:div w:id="851064838">
      <w:marLeft w:val="0"/>
      <w:marRight w:val="0"/>
      <w:marTop w:val="0"/>
      <w:marBottom w:val="0"/>
      <w:divBdr>
        <w:top w:val="none" w:sz="0" w:space="0" w:color="auto"/>
        <w:left w:val="none" w:sz="0" w:space="0" w:color="auto"/>
        <w:bottom w:val="none" w:sz="0" w:space="0" w:color="auto"/>
        <w:right w:val="none" w:sz="0" w:space="0" w:color="auto"/>
      </w:divBdr>
    </w:div>
    <w:div w:id="851064839">
      <w:marLeft w:val="0"/>
      <w:marRight w:val="0"/>
      <w:marTop w:val="0"/>
      <w:marBottom w:val="0"/>
      <w:divBdr>
        <w:top w:val="none" w:sz="0" w:space="0" w:color="auto"/>
        <w:left w:val="none" w:sz="0" w:space="0" w:color="auto"/>
        <w:bottom w:val="none" w:sz="0" w:space="0" w:color="auto"/>
        <w:right w:val="none" w:sz="0" w:space="0" w:color="auto"/>
      </w:divBdr>
    </w:div>
    <w:div w:id="851064840">
      <w:marLeft w:val="0"/>
      <w:marRight w:val="0"/>
      <w:marTop w:val="0"/>
      <w:marBottom w:val="0"/>
      <w:divBdr>
        <w:top w:val="none" w:sz="0" w:space="0" w:color="auto"/>
        <w:left w:val="none" w:sz="0" w:space="0" w:color="auto"/>
        <w:bottom w:val="none" w:sz="0" w:space="0" w:color="auto"/>
        <w:right w:val="none" w:sz="0" w:space="0" w:color="auto"/>
      </w:divBdr>
    </w:div>
    <w:div w:id="851064841">
      <w:marLeft w:val="0"/>
      <w:marRight w:val="0"/>
      <w:marTop w:val="0"/>
      <w:marBottom w:val="0"/>
      <w:divBdr>
        <w:top w:val="none" w:sz="0" w:space="0" w:color="auto"/>
        <w:left w:val="none" w:sz="0" w:space="0" w:color="auto"/>
        <w:bottom w:val="none" w:sz="0" w:space="0" w:color="auto"/>
        <w:right w:val="none" w:sz="0" w:space="0" w:color="auto"/>
      </w:divBdr>
    </w:div>
    <w:div w:id="851064842">
      <w:marLeft w:val="0"/>
      <w:marRight w:val="0"/>
      <w:marTop w:val="0"/>
      <w:marBottom w:val="0"/>
      <w:divBdr>
        <w:top w:val="none" w:sz="0" w:space="0" w:color="auto"/>
        <w:left w:val="none" w:sz="0" w:space="0" w:color="auto"/>
        <w:bottom w:val="none" w:sz="0" w:space="0" w:color="auto"/>
        <w:right w:val="none" w:sz="0" w:space="0" w:color="auto"/>
      </w:divBdr>
    </w:div>
    <w:div w:id="851064843">
      <w:marLeft w:val="0"/>
      <w:marRight w:val="0"/>
      <w:marTop w:val="0"/>
      <w:marBottom w:val="0"/>
      <w:divBdr>
        <w:top w:val="none" w:sz="0" w:space="0" w:color="auto"/>
        <w:left w:val="none" w:sz="0" w:space="0" w:color="auto"/>
        <w:bottom w:val="none" w:sz="0" w:space="0" w:color="auto"/>
        <w:right w:val="none" w:sz="0" w:space="0" w:color="auto"/>
      </w:divBdr>
    </w:div>
    <w:div w:id="851064844">
      <w:marLeft w:val="0"/>
      <w:marRight w:val="0"/>
      <w:marTop w:val="0"/>
      <w:marBottom w:val="0"/>
      <w:divBdr>
        <w:top w:val="none" w:sz="0" w:space="0" w:color="auto"/>
        <w:left w:val="none" w:sz="0" w:space="0" w:color="auto"/>
        <w:bottom w:val="none" w:sz="0" w:space="0" w:color="auto"/>
        <w:right w:val="none" w:sz="0" w:space="0" w:color="auto"/>
      </w:divBdr>
    </w:div>
    <w:div w:id="851064845">
      <w:marLeft w:val="0"/>
      <w:marRight w:val="0"/>
      <w:marTop w:val="0"/>
      <w:marBottom w:val="0"/>
      <w:divBdr>
        <w:top w:val="none" w:sz="0" w:space="0" w:color="auto"/>
        <w:left w:val="none" w:sz="0" w:space="0" w:color="auto"/>
        <w:bottom w:val="none" w:sz="0" w:space="0" w:color="auto"/>
        <w:right w:val="none" w:sz="0" w:space="0" w:color="auto"/>
      </w:divBdr>
    </w:div>
    <w:div w:id="851064846">
      <w:marLeft w:val="0"/>
      <w:marRight w:val="0"/>
      <w:marTop w:val="0"/>
      <w:marBottom w:val="0"/>
      <w:divBdr>
        <w:top w:val="none" w:sz="0" w:space="0" w:color="auto"/>
        <w:left w:val="none" w:sz="0" w:space="0" w:color="auto"/>
        <w:bottom w:val="none" w:sz="0" w:space="0" w:color="auto"/>
        <w:right w:val="none" w:sz="0" w:space="0" w:color="auto"/>
      </w:divBdr>
    </w:div>
    <w:div w:id="851064847">
      <w:marLeft w:val="0"/>
      <w:marRight w:val="0"/>
      <w:marTop w:val="0"/>
      <w:marBottom w:val="0"/>
      <w:divBdr>
        <w:top w:val="none" w:sz="0" w:space="0" w:color="auto"/>
        <w:left w:val="none" w:sz="0" w:space="0" w:color="auto"/>
        <w:bottom w:val="none" w:sz="0" w:space="0" w:color="auto"/>
        <w:right w:val="none" w:sz="0" w:space="0" w:color="auto"/>
      </w:divBdr>
    </w:div>
    <w:div w:id="851064848">
      <w:marLeft w:val="0"/>
      <w:marRight w:val="0"/>
      <w:marTop w:val="0"/>
      <w:marBottom w:val="0"/>
      <w:divBdr>
        <w:top w:val="none" w:sz="0" w:space="0" w:color="auto"/>
        <w:left w:val="none" w:sz="0" w:space="0" w:color="auto"/>
        <w:bottom w:val="none" w:sz="0" w:space="0" w:color="auto"/>
        <w:right w:val="none" w:sz="0" w:space="0" w:color="auto"/>
      </w:divBdr>
    </w:div>
    <w:div w:id="851064849">
      <w:marLeft w:val="0"/>
      <w:marRight w:val="0"/>
      <w:marTop w:val="0"/>
      <w:marBottom w:val="0"/>
      <w:divBdr>
        <w:top w:val="none" w:sz="0" w:space="0" w:color="auto"/>
        <w:left w:val="none" w:sz="0" w:space="0" w:color="auto"/>
        <w:bottom w:val="none" w:sz="0" w:space="0" w:color="auto"/>
        <w:right w:val="none" w:sz="0" w:space="0" w:color="auto"/>
      </w:divBdr>
    </w:div>
    <w:div w:id="851064850">
      <w:marLeft w:val="0"/>
      <w:marRight w:val="0"/>
      <w:marTop w:val="0"/>
      <w:marBottom w:val="0"/>
      <w:divBdr>
        <w:top w:val="none" w:sz="0" w:space="0" w:color="auto"/>
        <w:left w:val="none" w:sz="0" w:space="0" w:color="auto"/>
        <w:bottom w:val="none" w:sz="0" w:space="0" w:color="auto"/>
        <w:right w:val="none" w:sz="0" w:space="0" w:color="auto"/>
      </w:divBdr>
    </w:div>
    <w:div w:id="851064851">
      <w:marLeft w:val="0"/>
      <w:marRight w:val="0"/>
      <w:marTop w:val="0"/>
      <w:marBottom w:val="0"/>
      <w:divBdr>
        <w:top w:val="none" w:sz="0" w:space="0" w:color="auto"/>
        <w:left w:val="none" w:sz="0" w:space="0" w:color="auto"/>
        <w:bottom w:val="none" w:sz="0" w:space="0" w:color="auto"/>
        <w:right w:val="none" w:sz="0" w:space="0" w:color="auto"/>
      </w:divBdr>
    </w:div>
    <w:div w:id="851064852">
      <w:marLeft w:val="0"/>
      <w:marRight w:val="0"/>
      <w:marTop w:val="0"/>
      <w:marBottom w:val="0"/>
      <w:divBdr>
        <w:top w:val="none" w:sz="0" w:space="0" w:color="auto"/>
        <w:left w:val="none" w:sz="0" w:space="0" w:color="auto"/>
        <w:bottom w:val="none" w:sz="0" w:space="0" w:color="auto"/>
        <w:right w:val="none" w:sz="0" w:space="0" w:color="auto"/>
      </w:divBdr>
    </w:div>
    <w:div w:id="851064853">
      <w:marLeft w:val="0"/>
      <w:marRight w:val="0"/>
      <w:marTop w:val="0"/>
      <w:marBottom w:val="0"/>
      <w:divBdr>
        <w:top w:val="none" w:sz="0" w:space="0" w:color="auto"/>
        <w:left w:val="none" w:sz="0" w:space="0" w:color="auto"/>
        <w:bottom w:val="none" w:sz="0" w:space="0" w:color="auto"/>
        <w:right w:val="none" w:sz="0" w:space="0" w:color="auto"/>
      </w:divBdr>
    </w:div>
    <w:div w:id="851064854">
      <w:marLeft w:val="0"/>
      <w:marRight w:val="0"/>
      <w:marTop w:val="0"/>
      <w:marBottom w:val="0"/>
      <w:divBdr>
        <w:top w:val="none" w:sz="0" w:space="0" w:color="auto"/>
        <w:left w:val="none" w:sz="0" w:space="0" w:color="auto"/>
        <w:bottom w:val="none" w:sz="0" w:space="0" w:color="auto"/>
        <w:right w:val="none" w:sz="0" w:space="0" w:color="auto"/>
      </w:divBdr>
    </w:div>
    <w:div w:id="851064855">
      <w:marLeft w:val="0"/>
      <w:marRight w:val="0"/>
      <w:marTop w:val="0"/>
      <w:marBottom w:val="0"/>
      <w:divBdr>
        <w:top w:val="none" w:sz="0" w:space="0" w:color="auto"/>
        <w:left w:val="none" w:sz="0" w:space="0" w:color="auto"/>
        <w:bottom w:val="none" w:sz="0" w:space="0" w:color="auto"/>
        <w:right w:val="none" w:sz="0" w:space="0" w:color="auto"/>
      </w:divBdr>
    </w:div>
    <w:div w:id="851064856">
      <w:marLeft w:val="0"/>
      <w:marRight w:val="0"/>
      <w:marTop w:val="0"/>
      <w:marBottom w:val="0"/>
      <w:divBdr>
        <w:top w:val="none" w:sz="0" w:space="0" w:color="auto"/>
        <w:left w:val="none" w:sz="0" w:space="0" w:color="auto"/>
        <w:bottom w:val="none" w:sz="0" w:space="0" w:color="auto"/>
        <w:right w:val="none" w:sz="0" w:space="0" w:color="auto"/>
      </w:divBdr>
    </w:div>
    <w:div w:id="851064857">
      <w:marLeft w:val="0"/>
      <w:marRight w:val="0"/>
      <w:marTop w:val="0"/>
      <w:marBottom w:val="0"/>
      <w:divBdr>
        <w:top w:val="none" w:sz="0" w:space="0" w:color="auto"/>
        <w:left w:val="none" w:sz="0" w:space="0" w:color="auto"/>
        <w:bottom w:val="none" w:sz="0" w:space="0" w:color="auto"/>
        <w:right w:val="none" w:sz="0" w:space="0" w:color="auto"/>
      </w:divBdr>
    </w:div>
    <w:div w:id="851064858">
      <w:marLeft w:val="0"/>
      <w:marRight w:val="0"/>
      <w:marTop w:val="0"/>
      <w:marBottom w:val="0"/>
      <w:divBdr>
        <w:top w:val="none" w:sz="0" w:space="0" w:color="auto"/>
        <w:left w:val="none" w:sz="0" w:space="0" w:color="auto"/>
        <w:bottom w:val="none" w:sz="0" w:space="0" w:color="auto"/>
        <w:right w:val="none" w:sz="0" w:space="0" w:color="auto"/>
      </w:divBdr>
    </w:div>
    <w:div w:id="851064859">
      <w:marLeft w:val="0"/>
      <w:marRight w:val="0"/>
      <w:marTop w:val="0"/>
      <w:marBottom w:val="0"/>
      <w:divBdr>
        <w:top w:val="none" w:sz="0" w:space="0" w:color="auto"/>
        <w:left w:val="none" w:sz="0" w:space="0" w:color="auto"/>
        <w:bottom w:val="none" w:sz="0" w:space="0" w:color="auto"/>
        <w:right w:val="none" w:sz="0" w:space="0" w:color="auto"/>
      </w:divBdr>
    </w:div>
    <w:div w:id="851064860">
      <w:marLeft w:val="0"/>
      <w:marRight w:val="0"/>
      <w:marTop w:val="0"/>
      <w:marBottom w:val="0"/>
      <w:divBdr>
        <w:top w:val="none" w:sz="0" w:space="0" w:color="auto"/>
        <w:left w:val="none" w:sz="0" w:space="0" w:color="auto"/>
        <w:bottom w:val="none" w:sz="0" w:space="0" w:color="auto"/>
        <w:right w:val="none" w:sz="0" w:space="0" w:color="auto"/>
      </w:divBdr>
    </w:div>
    <w:div w:id="851064861">
      <w:marLeft w:val="0"/>
      <w:marRight w:val="0"/>
      <w:marTop w:val="0"/>
      <w:marBottom w:val="0"/>
      <w:divBdr>
        <w:top w:val="none" w:sz="0" w:space="0" w:color="auto"/>
        <w:left w:val="none" w:sz="0" w:space="0" w:color="auto"/>
        <w:bottom w:val="none" w:sz="0" w:space="0" w:color="auto"/>
        <w:right w:val="none" w:sz="0" w:space="0" w:color="auto"/>
      </w:divBdr>
    </w:div>
    <w:div w:id="851064862">
      <w:marLeft w:val="0"/>
      <w:marRight w:val="0"/>
      <w:marTop w:val="0"/>
      <w:marBottom w:val="0"/>
      <w:divBdr>
        <w:top w:val="none" w:sz="0" w:space="0" w:color="auto"/>
        <w:left w:val="none" w:sz="0" w:space="0" w:color="auto"/>
        <w:bottom w:val="none" w:sz="0" w:space="0" w:color="auto"/>
        <w:right w:val="none" w:sz="0" w:space="0" w:color="auto"/>
      </w:divBdr>
    </w:div>
    <w:div w:id="851064863">
      <w:marLeft w:val="0"/>
      <w:marRight w:val="0"/>
      <w:marTop w:val="0"/>
      <w:marBottom w:val="0"/>
      <w:divBdr>
        <w:top w:val="none" w:sz="0" w:space="0" w:color="auto"/>
        <w:left w:val="none" w:sz="0" w:space="0" w:color="auto"/>
        <w:bottom w:val="none" w:sz="0" w:space="0" w:color="auto"/>
        <w:right w:val="none" w:sz="0" w:space="0" w:color="auto"/>
      </w:divBdr>
    </w:div>
    <w:div w:id="851064864">
      <w:marLeft w:val="0"/>
      <w:marRight w:val="0"/>
      <w:marTop w:val="0"/>
      <w:marBottom w:val="0"/>
      <w:divBdr>
        <w:top w:val="none" w:sz="0" w:space="0" w:color="auto"/>
        <w:left w:val="none" w:sz="0" w:space="0" w:color="auto"/>
        <w:bottom w:val="none" w:sz="0" w:space="0" w:color="auto"/>
        <w:right w:val="none" w:sz="0" w:space="0" w:color="auto"/>
      </w:divBdr>
    </w:div>
    <w:div w:id="851064865">
      <w:marLeft w:val="0"/>
      <w:marRight w:val="0"/>
      <w:marTop w:val="0"/>
      <w:marBottom w:val="0"/>
      <w:divBdr>
        <w:top w:val="none" w:sz="0" w:space="0" w:color="auto"/>
        <w:left w:val="none" w:sz="0" w:space="0" w:color="auto"/>
        <w:bottom w:val="none" w:sz="0" w:space="0" w:color="auto"/>
        <w:right w:val="none" w:sz="0" w:space="0" w:color="auto"/>
      </w:divBdr>
    </w:div>
    <w:div w:id="851064866">
      <w:marLeft w:val="0"/>
      <w:marRight w:val="0"/>
      <w:marTop w:val="0"/>
      <w:marBottom w:val="0"/>
      <w:divBdr>
        <w:top w:val="none" w:sz="0" w:space="0" w:color="auto"/>
        <w:left w:val="none" w:sz="0" w:space="0" w:color="auto"/>
        <w:bottom w:val="none" w:sz="0" w:space="0" w:color="auto"/>
        <w:right w:val="none" w:sz="0" w:space="0" w:color="auto"/>
      </w:divBdr>
    </w:div>
    <w:div w:id="851064867">
      <w:marLeft w:val="0"/>
      <w:marRight w:val="0"/>
      <w:marTop w:val="0"/>
      <w:marBottom w:val="0"/>
      <w:divBdr>
        <w:top w:val="none" w:sz="0" w:space="0" w:color="auto"/>
        <w:left w:val="none" w:sz="0" w:space="0" w:color="auto"/>
        <w:bottom w:val="none" w:sz="0" w:space="0" w:color="auto"/>
        <w:right w:val="none" w:sz="0" w:space="0" w:color="auto"/>
      </w:divBdr>
    </w:div>
    <w:div w:id="851064868">
      <w:marLeft w:val="0"/>
      <w:marRight w:val="0"/>
      <w:marTop w:val="0"/>
      <w:marBottom w:val="0"/>
      <w:divBdr>
        <w:top w:val="none" w:sz="0" w:space="0" w:color="auto"/>
        <w:left w:val="none" w:sz="0" w:space="0" w:color="auto"/>
        <w:bottom w:val="none" w:sz="0" w:space="0" w:color="auto"/>
        <w:right w:val="none" w:sz="0" w:space="0" w:color="auto"/>
      </w:divBdr>
    </w:div>
    <w:div w:id="851064869">
      <w:marLeft w:val="0"/>
      <w:marRight w:val="0"/>
      <w:marTop w:val="0"/>
      <w:marBottom w:val="0"/>
      <w:divBdr>
        <w:top w:val="none" w:sz="0" w:space="0" w:color="auto"/>
        <w:left w:val="none" w:sz="0" w:space="0" w:color="auto"/>
        <w:bottom w:val="none" w:sz="0" w:space="0" w:color="auto"/>
        <w:right w:val="none" w:sz="0" w:space="0" w:color="auto"/>
      </w:divBdr>
    </w:div>
    <w:div w:id="851064870">
      <w:marLeft w:val="0"/>
      <w:marRight w:val="0"/>
      <w:marTop w:val="0"/>
      <w:marBottom w:val="0"/>
      <w:divBdr>
        <w:top w:val="none" w:sz="0" w:space="0" w:color="auto"/>
        <w:left w:val="none" w:sz="0" w:space="0" w:color="auto"/>
        <w:bottom w:val="none" w:sz="0" w:space="0" w:color="auto"/>
        <w:right w:val="none" w:sz="0" w:space="0" w:color="auto"/>
      </w:divBdr>
    </w:div>
    <w:div w:id="851064871">
      <w:marLeft w:val="0"/>
      <w:marRight w:val="0"/>
      <w:marTop w:val="0"/>
      <w:marBottom w:val="0"/>
      <w:divBdr>
        <w:top w:val="none" w:sz="0" w:space="0" w:color="auto"/>
        <w:left w:val="none" w:sz="0" w:space="0" w:color="auto"/>
        <w:bottom w:val="none" w:sz="0" w:space="0" w:color="auto"/>
        <w:right w:val="none" w:sz="0" w:space="0" w:color="auto"/>
      </w:divBdr>
    </w:div>
    <w:div w:id="851064872">
      <w:marLeft w:val="0"/>
      <w:marRight w:val="0"/>
      <w:marTop w:val="0"/>
      <w:marBottom w:val="0"/>
      <w:divBdr>
        <w:top w:val="none" w:sz="0" w:space="0" w:color="auto"/>
        <w:left w:val="none" w:sz="0" w:space="0" w:color="auto"/>
        <w:bottom w:val="none" w:sz="0" w:space="0" w:color="auto"/>
        <w:right w:val="none" w:sz="0" w:space="0" w:color="auto"/>
      </w:divBdr>
    </w:div>
    <w:div w:id="851064873">
      <w:marLeft w:val="0"/>
      <w:marRight w:val="0"/>
      <w:marTop w:val="0"/>
      <w:marBottom w:val="0"/>
      <w:divBdr>
        <w:top w:val="none" w:sz="0" w:space="0" w:color="auto"/>
        <w:left w:val="none" w:sz="0" w:space="0" w:color="auto"/>
        <w:bottom w:val="none" w:sz="0" w:space="0" w:color="auto"/>
        <w:right w:val="none" w:sz="0" w:space="0" w:color="auto"/>
      </w:divBdr>
    </w:div>
    <w:div w:id="851064874">
      <w:marLeft w:val="0"/>
      <w:marRight w:val="0"/>
      <w:marTop w:val="0"/>
      <w:marBottom w:val="0"/>
      <w:divBdr>
        <w:top w:val="none" w:sz="0" w:space="0" w:color="auto"/>
        <w:left w:val="none" w:sz="0" w:space="0" w:color="auto"/>
        <w:bottom w:val="none" w:sz="0" w:space="0" w:color="auto"/>
        <w:right w:val="none" w:sz="0" w:space="0" w:color="auto"/>
      </w:divBdr>
    </w:div>
    <w:div w:id="851064875">
      <w:marLeft w:val="0"/>
      <w:marRight w:val="0"/>
      <w:marTop w:val="0"/>
      <w:marBottom w:val="0"/>
      <w:divBdr>
        <w:top w:val="none" w:sz="0" w:space="0" w:color="auto"/>
        <w:left w:val="none" w:sz="0" w:space="0" w:color="auto"/>
        <w:bottom w:val="none" w:sz="0" w:space="0" w:color="auto"/>
        <w:right w:val="none" w:sz="0" w:space="0" w:color="auto"/>
      </w:divBdr>
    </w:div>
    <w:div w:id="851064876">
      <w:marLeft w:val="0"/>
      <w:marRight w:val="0"/>
      <w:marTop w:val="0"/>
      <w:marBottom w:val="0"/>
      <w:divBdr>
        <w:top w:val="none" w:sz="0" w:space="0" w:color="auto"/>
        <w:left w:val="none" w:sz="0" w:space="0" w:color="auto"/>
        <w:bottom w:val="none" w:sz="0" w:space="0" w:color="auto"/>
        <w:right w:val="none" w:sz="0" w:space="0" w:color="auto"/>
      </w:divBdr>
    </w:div>
    <w:div w:id="851064877">
      <w:marLeft w:val="0"/>
      <w:marRight w:val="0"/>
      <w:marTop w:val="0"/>
      <w:marBottom w:val="0"/>
      <w:divBdr>
        <w:top w:val="none" w:sz="0" w:space="0" w:color="auto"/>
        <w:left w:val="none" w:sz="0" w:space="0" w:color="auto"/>
        <w:bottom w:val="none" w:sz="0" w:space="0" w:color="auto"/>
        <w:right w:val="none" w:sz="0" w:space="0" w:color="auto"/>
      </w:divBdr>
    </w:div>
    <w:div w:id="851064878">
      <w:marLeft w:val="0"/>
      <w:marRight w:val="0"/>
      <w:marTop w:val="0"/>
      <w:marBottom w:val="0"/>
      <w:divBdr>
        <w:top w:val="none" w:sz="0" w:space="0" w:color="auto"/>
        <w:left w:val="none" w:sz="0" w:space="0" w:color="auto"/>
        <w:bottom w:val="none" w:sz="0" w:space="0" w:color="auto"/>
        <w:right w:val="none" w:sz="0" w:space="0" w:color="auto"/>
      </w:divBdr>
    </w:div>
    <w:div w:id="851064879">
      <w:marLeft w:val="0"/>
      <w:marRight w:val="0"/>
      <w:marTop w:val="0"/>
      <w:marBottom w:val="0"/>
      <w:divBdr>
        <w:top w:val="none" w:sz="0" w:space="0" w:color="auto"/>
        <w:left w:val="none" w:sz="0" w:space="0" w:color="auto"/>
        <w:bottom w:val="none" w:sz="0" w:space="0" w:color="auto"/>
        <w:right w:val="none" w:sz="0" w:space="0" w:color="auto"/>
      </w:divBdr>
    </w:div>
    <w:div w:id="851064880">
      <w:marLeft w:val="0"/>
      <w:marRight w:val="0"/>
      <w:marTop w:val="0"/>
      <w:marBottom w:val="0"/>
      <w:divBdr>
        <w:top w:val="none" w:sz="0" w:space="0" w:color="auto"/>
        <w:left w:val="none" w:sz="0" w:space="0" w:color="auto"/>
        <w:bottom w:val="none" w:sz="0" w:space="0" w:color="auto"/>
        <w:right w:val="none" w:sz="0" w:space="0" w:color="auto"/>
      </w:divBdr>
    </w:div>
    <w:div w:id="851064881">
      <w:marLeft w:val="0"/>
      <w:marRight w:val="0"/>
      <w:marTop w:val="0"/>
      <w:marBottom w:val="0"/>
      <w:divBdr>
        <w:top w:val="none" w:sz="0" w:space="0" w:color="auto"/>
        <w:left w:val="none" w:sz="0" w:space="0" w:color="auto"/>
        <w:bottom w:val="none" w:sz="0" w:space="0" w:color="auto"/>
        <w:right w:val="none" w:sz="0" w:space="0" w:color="auto"/>
      </w:divBdr>
    </w:div>
    <w:div w:id="851064882">
      <w:marLeft w:val="0"/>
      <w:marRight w:val="0"/>
      <w:marTop w:val="0"/>
      <w:marBottom w:val="0"/>
      <w:divBdr>
        <w:top w:val="none" w:sz="0" w:space="0" w:color="auto"/>
        <w:left w:val="none" w:sz="0" w:space="0" w:color="auto"/>
        <w:bottom w:val="none" w:sz="0" w:space="0" w:color="auto"/>
        <w:right w:val="none" w:sz="0" w:space="0" w:color="auto"/>
      </w:divBdr>
    </w:div>
    <w:div w:id="851064883">
      <w:marLeft w:val="0"/>
      <w:marRight w:val="0"/>
      <w:marTop w:val="0"/>
      <w:marBottom w:val="0"/>
      <w:divBdr>
        <w:top w:val="none" w:sz="0" w:space="0" w:color="auto"/>
        <w:left w:val="none" w:sz="0" w:space="0" w:color="auto"/>
        <w:bottom w:val="none" w:sz="0" w:space="0" w:color="auto"/>
        <w:right w:val="none" w:sz="0" w:space="0" w:color="auto"/>
      </w:divBdr>
    </w:div>
    <w:div w:id="851064884">
      <w:marLeft w:val="0"/>
      <w:marRight w:val="0"/>
      <w:marTop w:val="0"/>
      <w:marBottom w:val="0"/>
      <w:divBdr>
        <w:top w:val="none" w:sz="0" w:space="0" w:color="auto"/>
        <w:left w:val="none" w:sz="0" w:space="0" w:color="auto"/>
        <w:bottom w:val="none" w:sz="0" w:space="0" w:color="auto"/>
        <w:right w:val="none" w:sz="0" w:space="0" w:color="auto"/>
      </w:divBdr>
    </w:div>
    <w:div w:id="851064885">
      <w:marLeft w:val="0"/>
      <w:marRight w:val="0"/>
      <w:marTop w:val="0"/>
      <w:marBottom w:val="0"/>
      <w:divBdr>
        <w:top w:val="none" w:sz="0" w:space="0" w:color="auto"/>
        <w:left w:val="none" w:sz="0" w:space="0" w:color="auto"/>
        <w:bottom w:val="none" w:sz="0" w:space="0" w:color="auto"/>
        <w:right w:val="none" w:sz="0" w:space="0" w:color="auto"/>
      </w:divBdr>
    </w:div>
    <w:div w:id="851064886">
      <w:marLeft w:val="0"/>
      <w:marRight w:val="0"/>
      <w:marTop w:val="0"/>
      <w:marBottom w:val="0"/>
      <w:divBdr>
        <w:top w:val="none" w:sz="0" w:space="0" w:color="auto"/>
        <w:left w:val="none" w:sz="0" w:space="0" w:color="auto"/>
        <w:bottom w:val="none" w:sz="0" w:space="0" w:color="auto"/>
        <w:right w:val="none" w:sz="0" w:space="0" w:color="auto"/>
      </w:divBdr>
    </w:div>
    <w:div w:id="851064887">
      <w:marLeft w:val="0"/>
      <w:marRight w:val="0"/>
      <w:marTop w:val="0"/>
      <w:marBottom w:val="0"/>
      <w:divBdr>
        <w:top w:val="none" w:sz="0" w:space="0" w:color="auto"/>
        <w:left w:val="none" w:sz="0" w:space="0" w:color="auto"/>
        <w:bottom w:val="none" w:sz="0" w:space="0" w:color="auto"/>
        <w:right w:val="none" w:sz="0" w:space="0" w:color="auto"/>
      </w:divBdr>
    </w:div>
    <w:div w:id="851064888">
      <w:marLeft w:val="0"/>
      <w:marRight w:val="0"/>
      <w:marTop w:val="0"/>
      <w:marBottom w:val="0"/>
      <w:divBdr>
        <w:top w:val="none" w:sz="0" w:space="0" w:color="auto"/>
        <w:left w:val="none" w:sz="0" w:space="0" w:color="auto"/>
        <w:bottom w:val="none" w:sz="0" w:space="0" w:color="auto"/>
        <w:right w:val="none" w:sz="0" w:space="0" w:color="auto"/>
      </w:divBdr>
    </w:div>
    <w:div w:id="851064889">
      <w:marLeft w:val="0"/>
      <w:marRight w:val="0"/>
      <w:marTop w:val="0"/>
      <w:marBottom w:val="0"/>
      <w:divBdr>
        <w:top w:val="none" w:sz="0" w:space="0" w:color="auto"/>
        <w:left w:val="none" w:sz="0" w:space="0" w:color="auto"/>
        <w:bottom w:val="none" w:sz="0" w:space="0" w:color="auto"/>
        <w:right w:val="none" w:sz="0" w:space="0" w:color="auto"/>
      </w:divBdr>
    </w:div>
    <w:div w:id="851064890">
      <w:marLeft w:val="0"/>
      <w:marRight w:val="0"/>
      <w:marTop w:val="0"/>
      <w:marBottom w:val="0"/>
      <w:divBdr>
        <w:top w:val="none" w:sz="0" w:space="0" w:color="auto"/>
        <w:left w:val="none" w:sz="0" w:space="0" w:color="auto"/>
        <w:bottom w:val="none" w:sz="0" w:space="0" w:color="auto"/>
        <w:right w:val="none" w:sz="0" w:space="0" w:color="auto"/>
      </w:divBdr>
    </w:div>
    <w:div w:id="851064891">
      <w:marLeft w:val="0"/>
      <w:marRight w:val="0"/>
      <w:marTop w:val="0"/>
      <w:marBottom w:val="0"/>
      <w:divBdr>
        <w:top w:val="none" w:sz="0" w:space="0" w:color="auto"/>
        <w:left w:val="none" w:sz="0" w:space="0" w:color="auto"/>
        <w:bottom w:val="none" w:sz="0" w:space="0" w:color="auto"/>
        <w:right w:val="none" w:sz="0" w:space="0" w:color="auto"/>
      </w:divBdr>
    </w:div>
    <w:div w:id="851064892">
      <w:marLeft w:val="0"/>
      <w:marRight w:val="0"/>
      <w:marTop w:val="0"/>
      <w:marBottom w:val="0"/>
      <w:divBdr>
        <w:top w:val="none" w:sz="0" w:space="0" w:color="auto"/>
        <w:left w:val="none" w:sz="0" w:space="0" w:color="auto"/>
        <w:bottom w:val="none" w:sz="0" w:space="0" w:color="auto"/>
        <w:right w:val="none" w:sz="0" w:space="0" w:color="auto"/>
      </w:divBdr>
    </w:div>
    <w:div w:id="851064893">
      <w:marLeft w:val="0"/>
      <w:marRight w:val="0"/>
      <w:marTop w:val="0"/>
      <w:marBottom w:val="0"/>
      <w:divBdr>
        <w:top w:val="none" w:sz="0" w:space="0" w:color="auto"/>
        <w:left w:val="none" w:sz="0" w:space="0" w:color="auto"/>
        <w:bottom w:val="none" w:sz="0" w:space="0" w:color="auto"/>
        <w:right w:val="none" w:sz="0" w:space="0" w:color="auto"/>
      </w:divBdr>
    </w:div>
    <w:div w:id="851064894">
      <w:marLeft w:val="0"/>
      <w:marRight w:val="0"/>
      <w:marTop w:val="0"/>
      <w:marBottom w:val="0"/>
      <w:divBdr>
        <w:top w:val="none" w:sz="0" w:space="0" w:color="auto"/>
        <w:left w:val="none" w:sz="0" w:space="0" w:color="auto"/>
        <w:bottom w:val="none" w:sz="0" w:space="0" w:color="auto"/>
        <w:right w:val="none" w:sz="0" w:space="0" w:color="auto"/>
      </w:divBdr>
    </w:div>
    <w:div w:id="851064895">
      <w:marLeft w:val="0"/>
      <w:marRight w:val="0"/>
      <w:marTop w:val="0"/>
      <w:marBottom w:val="0"/>
      <w:divBdr>
        <w:top w:val="none" w:sz="0" w:space="0" w:color="auto"/>
        <w:left w:val="none" w:sz="0" w:space="0" w:color="auto"/>
        <w:bottom w:val="none" w:sz="0" w:space="0" w:color="auto"/>
        <w:right w:val="none" w:sz="0" w:space="0" w:color="auto"/>
      </w:divBdr>
    </w:div>
    <w:div w:id="851064896">
      <w:marLeft w:val="0"/>
      <w:marRight w:val="0"/>
      <w:marTop w:val="0"/>
      <w:marBottom w:val="0"/>
      <w:divBdr>
        <w:top w:val="none" w:sz="0" w:space="0" w:color="auto"/>
        <w:left w:val="none" w:sz="0" w:space="0" w:color="auto"/>
        <w:bottom w:val="none" w:sz="0" w:space="0" w:color="auto"/>
        <w:right w:val="none" w:sz="0" w:space="0" w:color="auto"/>
      </w:divBdr>
    </w:div>
    <w:div w:id="851064897">
      <w:marLeft w:val="0"/>
      <w:marRight w:val="0"/>
      <w:marTop w:val="0"/>
      <w:marBottom w:val="0"/>
      <w:divBdr>
        <w:top w:val="none" w:sz="0" w:space="0" w:color="auto"/>
        <w:left w:val="none" w:sz="0" w:space="0" w:color="auto"/>
        <w:bottom w:val="none" w:sz="0" w:space="0" w:color="auto"/>
        <w:right w:val="none" w:sz="0" w:space="0" w:color="auto"/>
      </w:divBdr>
    </w:div>
    <w:div w:id="851064898">
      <w:marLeft w:val="0"/>
      <w:marRight w:val="0"/>
      <w:marTop w:val="0"/>
      <w:marBottom w:val="0"/>
      <w:divBdr>
        <w:top w:val="none" w:sz="0" w:space="0" w:color="auto"/>
        <w:left w:val="none" w:sz="0" w:space="0" w:color="auto"/>
        <w:bottom w:val="none" w:sz="0" w:space="0" w:color="auto"/>
        <w:right w:val="none" w:sz="0" w:space="0" w:color="auto"/>
      </w:divBdr>
    </w:div>
    <w:div w:id="851064899">
      <w:marLeft w:val="0"/>
      <w:marRight w:val="0"/>
      <w:marTop w:val="0"/>
      <w:marBottom w:val="0"/>
      <w:divBdr>
        <w:top w:val="none" w:sz="0" w:space="0" w:color="auto"/>
        <w:left w:val="none" w:sz="0" w:space="0" w:color="auto"/>
        <w:bottom w:val="none" w:sz="0" w:space="0" w:color="auto"/>
        <w:right w:val="none" w:sz="0" w:space="0" w:color="auto"/>
      </w:divBdr>
    </w:div>
    <w:div w:id="851064900">
      <w:marLeft w:val="0"/>
      <w:marRight w:val="0"/>
      <w:marTop w:val="0"/>
      <w:marBottom w:val="0"/>
      <w:divBdr>
        <w:top w:val="none" w:sz="0" w:space="0" w:color="auto"/>
        <w:left w:val="none" w:sz="0" w:space="0" w:color="auto"/>
        <w:bottom w:val="none" w:sz="0" w:space="0" w:color="auto"/>
        <w:right w:val="none" w:sz="0" w:space="0" w:color="auto"/>
      </w:divBdr>
    </w:div>
    <w:div w:id="851064901">
      <w:marLeft w:val="0"/>
      <w:marRight w:val="0"/>
      <w:marTop w:val="0"/>
      <w:marBottom w:val="0"/>
      <w:divBdr>
        <w:top w:val="none" w:sz="0" w:space="0" w:color="auto"/>
        <w:left w:val="none" w:sz="0" w:space="0" w:color="auto"/>
        <w:bottom w:val="none" w:sz="0" w:space="0" w:color="auto"/>
        <w:right w:val="none" w:sz="0" w:space="0" w:color="auto"/>
      </w:divBdr>
    </w:div>
    <w:div w:id="851064902">
      <w:marLeft w:val="0"/>
      <w:marRight w:val="0"/>
      <w:marTop w:val="0"/>
      <w:marBottom w:val="0"/>
      <w:divBdr>
        <w:top w:val="none" w:sz="0" w:space="0" w:color="auto"/>
        <w:left w:val="none" w:sz="0" w:space="0" w:color="auto"/>
        <w:bottom w:val="none" w:sz="0" w:space="0" w:color="auto"/>
        <w:right w:val="none" w:sz="0" w:space="0" w:color="auto"/>
      </w:divBdr>
    </w:div>
    <w:div w:id="851064903">
      <w:marLeft w:val="0"/>
      <w:marRight w:val="0"/>
      <w:marTop w:val="0"/>
      <w:marBottom w:val="0"/>
      <w:divBdr>
        <w:top w:val="none" w:sz="0" w:space="0" w:color="auto"/>
        <w:left w:val="none" w:sz="0" w:space="0" w:color="auto"/>
        <w:bottom w:val="none" w:sz="0" w:space="0" w:color="auto"/>
        <w:right w:val="none" w:sz="0" w:space="0" w:color="auto"/>
      </w:divBdr>
    </w:div>
    <w:div w:id="851064904">
      <w:marLeft w:val="0"/>
      <w:marRight w:val="0"/>
      <w:marTop w:val="0"/>
      <w:marBottom w:val="0"/>
      <w:divBdr>
        <w:top w:val="none" w:sz="0" w:space="0" w:color="auto"/>
        <w:left w:val="none" w:sz="0" w:space="0" w:color="auto"/>
        <w:bottom w:val="none" w:sz="0" w:space="0" w:color="auto"/>
        <w:right w:val="none" w:sz="0" w:space="0" w:color="auto"/>
      </w:divBdr>
    </w:div>
    <w:div w:id="851064905">
      <w:marLeft w:val="0"/>
      <w:marRight w:val="0"/>
      <w:marTop w:val="0"/>
      <w:marBottom w:val="0"/>
      <w:divBdr>
        <w:top w:val="none" w:sz="0" w:space="0" w:color="auto"/>
        <w:left w:val="none" w:sz="0" w:space="0" w:color="auto"/>
        <w:bottom w:val="none" w:sz="0" w:space="0" w:color="auto"/>
        <w:right w:val="none" w:sz="0" w:space="0" w:color="auto"/>
      </w:divBdr>
    </w:div>
    <w:div w:id="851064906">
      <w:marLeft w:val="0"/>
      <w:marRight w:val="0"/>
      <w:marTop w:val="0"/>
      <w:marBottom w:val="0"/>
      <w:divBdr>
        <w:top w:val="none" w:sz="0" w:space="0" w:color="auto"/>
        <w:left w:val="none" w:sz="0" w:space="0" w:color="auto"/>
        <w:bottom w:val="none" w:sz="0" w:space="0" w:color="auto"/>
        <w:right w:val="none" w:sz="0" w:space="0" w:color="auto"/>
      </w:divBdr>
    </w:div>
    <w:div w:id="851064907">
      <w:marLeft w:val="0"/>
      <w:marRight w:val="0"/>
      <w:marTop w:val="0"/>
      <w:marBottom w:val="0"/>
      <w:divBdr>
        <w:top w:val="none" w:sz="0" w:space="0" w:color="auto"/>
        <w:left w:val="none" w:sz="0" w:space="0" w:color="auto"/>
        <w:bottom w:val="none" w:sz="0" w:space="0" w:color="auto"/>
        <w:right w:val="none" w:sz="0" w:space="0" w:color="auto"/>
      </w:divBdr>
    </w:div>
    <w:div w:id="851064908">
      <w:marLeft w:val="0"/>
      <w:marRight w:val="0"/>
      <w:marTop w:val="0"/>
      <w:marBottom w:val="0"/>
      <w:divBdr>
        <w:top w:val="none" w:sz="0" w:space="0" w:color="auto"/>
        <w:left w:val="none" w:sz="0" w:space="0" w:color="auto"/>
        <w:bottom w:val="none" w:sz="0" w:space="0" w:color="auto"/>
        <w:right w:val="none" w:sz="0" w:space="0" w:color="auto"/>
      </w:divBdr>
    </w:div>
    <w:div w:id="851064909">
      <w:marLeft w:val="0"/>
      <w:marRight w:val="0"/>
      <w:marTop w:val="0"/>
      <w:marBottom w:val="0"/>
      <w:divBdr>
        <w:top w:val="none" w:sz="0" w:space="0" w:color="auto"/>
        <w:left w:val="none" w:sz="0" w:space="0" w:color="auto"/>
        <w:bottom w:val="none" w:sz="0" w:space="0" w:color="auto"/>
        <w:right w:val="none" w:sz="0" w:space="0" w:color="auto"/>
      </w:divBdr>
    </w:div>
    <w:div w:id="851064910">
      <w:marLeft w:val="0"/>
      <w:marRight w:val="0"/>
      <w:marTop w:val="0"/>
      <w:marBottom w:val="0"/>
      <w:divBdr>
        <w:top w:val="none" w:sz="0" w:space="0" w:color="auto"/>
        <w:left w:val="none" w:sz="0" w:space="0" w:color="auto"/>
        <w:bottom w:val="none" w:sz="0" w:space="0" w:color="auto"/>
        <w:right w:val="none" w:sz="0" w:space="0" w:color="auto"/>
      </w:divBdr>
    </w:div>
    <w:div w:id="851064911">
      <w:marLeft w:val="0"/>
      <w:marRight w:val="0"/>
      <w:marTop w:val="0"/>
      <w:marBottom w:val="0"/>
      <w:divBdr>
        <w:top w:val="none" w:sz="0" w:space="0" w:color="auto"/>
        <w:left w:val="none" w:sz="0" w:space="0" w:color="auto"/>
        <w:bottom w:val="none" w:sz="0" w:space="0" w:color="auto"/>
        <w:right w:val="none" w:sz="0" w:space="0" w:color="auto"/>
      </w:divBdr>
    </w:div>
    <w:div w:id="851064912">
      <w:marLeft w:val="0"/>
      <w:marRight w:val="0"/>
      <w:marTop w:val="0"/>
      <w:marBottom w:val="0"/>
      <w:divBdr>
        <w:top w:val="none" w:sz="0" w:space="0" w:color="auto"/>
        <w:left w:val="none" w:sz="0" w:space="0" w:color="auto"/>
        <w:bottom w:val="none" w:sz="0" w:space="0" w:color="auto"/>
        <w:right w:val="none" w:sz="0" w:space="0" w:color="auto"/>
      </w:divBdr>
    </w:div>
    <w:div w:id="851064913">
      <w:marLeft w:val="0"/>
      <w:marRight w:val="0"/>
      <w:marTop w:val="0"/>
      <w:marBottom w:val="0"/>
      <w:divBdr>
        <w:top w:val="none" w:sz="0" w:space="0" w:color="auto"/>
        <w:left w:val="none" w:sz="0" w:space="0" w:color="auto"/>
        <w:bottom w:val="none" w:sz="0" w:space="0" w:color="auto"/>
        <w:right w:val="none" w:sz="0" w:space="0" w:color="auto"/>
      </w:divBdr>
    </w:div>
    <w:div w:id="851064914">
      <w:marLeft w:val="0"/>
      <w:marRight w:val="0"/>
      <w:marTop w:val="0"/>
      <w:marBottom w:val="0"/>
      <w:divBdr>
        <w:top w:val="none" w:sz="0" w:space="0" w:color="auto"/>
        <w:left w:val="none" w:sz="0" w:space="0" w:color="auto"/>
        <w:bottom w:val="none" w:sz="0" w:space="0" w:color="auto"/>
        <w:right w:val="none" w:sz="0" w:space="0" w:color="auto"/>
      </w:divBdr>
    </w:div>
    <w:div w:id="851064915">
      <w:marLeft w:val="0"/>
      <w:marRight w:val="0"/>
      <w:marTop w:val="0"/>
      <w:marBottom w:val="0"/>
      <w:divBdr>
        <w:top w:val="none" w:sz="0" w:space="0" w:color="auto"/>
        <w:left w:val="none" w:sz="0" w:space="0" w:color="auto"/>
        <w:bottom w:val="none" w:sz="0" w:space="0" w:color="auto"/>
        <w:right w:val="none" w:sz="0" w:space="0" w:color="auto"/>
      </w:divBdr>
    </w:div>
    <w:div w:id="851064916">
      <w:marLeft w:val="0"/>
      <w:marRight w:val="0"/>
      <w:marTop w:val="0"/>
      <w:marBottom w:val="0"/>
      <w:divBdr>
        <w:top w:val="none" w:sz="0" w:space="0" w:color="auto"/>
        <w:left w:val="none" w:sz="0" w:space="0" w:color="auto"/>
        <w:bottom w:val="none" w:sz="0" w:space="0" w:color="auto"/>
        <w:right w:val="none" w:sz="0" w:space="0" w:color="auto"/>
      </w:divBdr>
    </w:div>
    <w:div w:id="851064917">
      <w:marLeft w:val="0"/>
      <w:marRight w:val="0"/>
      <w:marTop w:val="0"/>
      <w:marBottom w:val="0"/>
      <w:divBdr>
        <w:top w:val="none" w:sz="0" w:space="0" w:color="auto"/>
        <w:left w:val="none" w:sz="0" w:space="0" w:color="auto"/>
        <w:bottom w:val="none" w:sz="0" w:space="0" w:color="auto"/>
        <w:right w:val="none" w:sz="0" w:space="0" w:color="auto"/>
      </w:divBdr>
    </w:div>
    <w:div w:id="851064918">
      <w:marLeft w:val="0"/>
      <w:marRight w:val="0"/>
      <w:marTop w:val="0"/>
      <w:marBottom w:val="0"/>
      <w:divBdr>
        <w:top w:val="none" w:sz="0" w:space="0" w:color="auto"/>
        <w:left w:val="none" w:sz="0" w:space="0" w:color="auto"/>
        <w:bottom w:val="none" w:sz="0" w:space="0" w:color="auto"/>
        <w:right w:val="none" w:sz="0" w:space="0" w:color="auto"/>
      </w:divBdr>
    </w:div>
    <w:div w:id="851064919">
      <w:marLeft w:val="0"/>
      <w:marRight w:val="0"/>
      <w:marTop w:val="0"/>
      <w:marBottom w:val="0"/>
      <w:divBdr>
        <w:top w:val="none" w:sz="0" w:space="0" w:color="auto"/>
        <w:left w:val="none" w:sz="0" w:space="0" w:color="auto"/>
        <w:bottom w:val="none" w:sz="0" w:space="0" w:color="auto"/>
        <w:right w:val="none" w:sz="0" w:space="0" w:color="auto"/>
      </w:divBdr>
    </w:div>
    <w:div w:id="851064920">
      <w:marLeft w:val="0"/>
      <w:marRight w:val="0"/>
      <w:marTop w:val="0"/>
      <w:marBottom w:val="0"/>
      <w:divBdr>
        <w:top w:val="none" w:sz="0" w:space="0" w:color="auto"/>
        <w:left w:val="none" w:sz="0" w:space="0" w:color="auto"/>
        <w:bottom w:val="none" w:sz="0" w:space="0" w:color="auto"/>
        <w:right w:val="none" w:sz="0" w:space="0" w:color="auto"/>
      </w:divBdr>
    </w:div>
    <w:div w:id="851064921">
      <w:marLeft w:val="0"/>
      <w:marRight w:val="0"/>
      <w:marTop w:val="0"/>
      <w:marBottom w:val="0"/>
      <w:divBdr>
        <w:top w:val="none" w:sz="0" w:space="0" w:color="auto"/>
        <w:left w:val="none" w:sz="0" w:space="0" w:color="auto"/>
        <w:bottom w:val="none" w:sz="0" w:space="0" w:color="auto"/>
        <w:right w:val="none" w:sz="0" w:space="0" w:color="auto"/>
      </w:divBdr>
    </w:div>
    <w:div w:id="851064922">
      <w:marLeft w:val="0"/>
      <w:marRight w:val="0"/>
      <w:marTop w:val="0"/>
      <w:marBottom w:val="0"/>
      <w:divBdr>
        <w:top w:val="none" w:sz="0" w:space="0" w:color="auto"/>
        <w:left w:val="none" w:sz="0" w:space="0" w:color="auto"/>
        <w:bottom w:val="none" w:sz="0" w:space="0" w:color="auto"/>
        <w:right w:val="none" w:sz="0" w:space="0" w:color="auto"/>
      </w:divBdr>
    </w:div>
    <w:div w:id="851064923">
      <w:marLeft w:val="0"/>
      <w:marRight w:val="0"/>
      <w:marTop w:val="0"/>
      <w:marBottom w:val="0"/>
      <w:divBdr>
        <w:top w:val="none" w:sz="0" w:space="0" w:color="auto"/>
        <w:left w:val="none" w:sz="0" w:space="0" w:color="auto"/>
        <w:bottom w:val="none" w:sz="0" w:space="0" w:color="auto"/>
        <w:right w:val="none" w:sz="0" w:space="0" w:color="auto"/>
      </w:divBdr>
    </w:div>
    <w:div w:id="851064924">
      <w:marLeft w:val="0"/>
      <w:marRight w:val="0"/>
      <w:marTop w:val="0"/>
      <w:marBottom w:val="0"/>
      <w:divBdr>
        <w:top w:val="none" w:sz="0" w:space="0" w:color="auto"/>
        <w:left w:val="none" w:sz="0" w:space="0" w:color="auto"/>
        <w:bottom w:val="none" w:sz="0" w:space="0" w:color="auto"/>
        <w:right w:val="none" w:sz="0" w:space="0" w:color="auto"/>
      </w:divBdr>
    </w:div>
    <w:div w:id="851064925">
      <w:marLeft w:val="0"/>
      <w:marRight w:val="0"/>
      <w:marTop w:val="0"/>
      <w:marBottom w:val="0"/>
      <w:divBdr>
        <w:top w:val="none" w:sz="0" w:space="0" w:color="auto"/>
        <w:left w:val="none" w:sz="0" w:space="0" w:color="auto"/>
        <w:bottom w:val="none" w:sz="0" w:space="0" w:color="auto"/>
        <w:right w:val="none" w:sz="0" w:space="0" w:color="auto"/>
      </w:divBdr>
    </w:div>
    <w:div w:id="851064926">
      <w:marLeft w:val="0"/>
      <w:marRight w:val="0"/>
      <w:marTop w:val="0"/>
      <w:marBottom w:val="0"/>
      <w:divBdr>
        <w:top w:val="none" w:sz="0" w:space="0" w:color="auto"/>
        <w:left w:val="none" w:sz="0" w:space="0" w:color="auto"/>
        <w:bottom w:val="none" w:sz="0" w:space="0" w:color="auto"/>
        <w:right w:val="none" w:sz="0" w:space="0" w:color="auto"/>
      </w:divBdr>
    </w:div>
    <w:div w:id="851064927">
      <w:marLeft w:val="0"/>
      <w:marRight w:val="0"/>
      <w:marTop w:val="0"/>
      <w:marBottom w:val="0"/>
      <w:divBdr>
        <w:top w:val="none" w:sz="0" w:space="0" w:color="auto"/>
        <w:left w:val="none" w:sz="0" w:space="0" w:color="auto"/>
        <w:bottom w:val="none" w:sz="0" w:space="0" w:color="auto"/>
        <w:right w:val="none" w:sz="0" w:space="0" w:color="auto"/>
      </w:divBdr>
    </w:div>
    <w:div w:id="851064928">
      <w:marLeft w:val="0"/>
      <w:marRight w:val="0"/>
      <w:marTop w:val="0"/>
      <w:marBottom w:val="0"/>
      <w:divBdr>
        <w:top w:val="none" w:sz="0" w:space="0" w:color="auto"/>
        <w:left w:val="none" w:sz="0" w:space="0" w:color="auto"/>
        <w:bottom w:val="none" w:sz="0" w:space="0" w:color="auto"/>
        <w:right w:val="none" w:sz="0" w:space="0" w:color="auto"/>
      </w:divBdr>
    </w:div>
    <w:div w:id="851064929">
      <w:marLeft w:val="0"/>
      <w:marRight w:val="0"/>
      <w:marTop w:val="0"/>
      <w:marBottom w:val="0"/>
      <w:divBdr>
        <w:top w:val="none" w:sz="0" w:space="0" w:color="auto"/>
        <w:left w:val="none" w:sz="0" w:space="0" w:color="auto"/>
        <w:bottom w:val="none" w:sz="0" w:space="0" w:color="auto"/>
        <w:right w:val="none" w:sz="0" w:space="0" w:color="auto"/>
      </w:divBdr>
    </w:div>
    <w:div w:id="851064930">
      <w:marLeft w:val="0"/>
      <w:marRight w:val="0"/>
      <w:marTop w:val="0"/>
      <w:marBottom w:val="0"/>
      <w:divBdr>
        <w:top w:val="none" w:sz="0" w:space="0" w:color="auto"/>
        <w:left w:val="none" w:sz="0" w:space="0" w:color="auto"/>
        <w:bottom w:val="none" w:sz="0" w:space="0" w:color="auto"/>
        <w:right w:val="none" w:sz="0" w:space="0" w:color="auto"/>
      </w:divBdr>
    </w:div>
    <w:div w:id="851064931">
      <w:marLeft w:val="0"/>
      <w:marRight w:val="0"/>
      <w:marTop w:val="0"/>
      <w:marBottom w:val="0"/>
      <w:divBdr>
        <w:top w:val="none" w:sz="0" w:space="0" w:color="auto"/>
        <w:left w:val="none" w:sz="0" w:space="0" w:color="auto"/>
        <w:bottom w:val="none" w:sz="0" w:space="0" w:color="auto"/>
        <w:right w:val="none" w:sz="0" w:space="0" w:color="auto"/>
      </w:divBdr>
    </w:div>
    <w:div w:id="851064932">
      <w:marLeft w:val="0"/>
      <w:marRight w:val="0"/>
      <w:marTop w:val="0"/>
      <w:marBottom w:val="0"/>
      <w:divBdr>
        <w:top w:val="none" w:sz="0" w:space="0" w:color="auto"/>
        <w:left w:val="none" w:sz="0" w:space="0" w:color="auto"/>
        <w:bottom w:val="none" w:sz="0" w:space="0" w:color="auto"/>
        <w:right w:val="none" w:sz="0" w:space="0" w:color="auto"/>
      </w:divBdr>
    </w:div>
    <w:div w:id="851064933">
      <w:marLeft w:val="0"/>
      <w:marRight w:val="0"/>
      <w:marTop w:val="0"/>
      <w:marBottom w:val="0"/>
      <w:divBdr>
        <w:top w:val="none" w:sz="0" w:space="0" w:color="auto"/>
        <w:left w:val="none" w:sz="0" w:space="0" w:color="auto"/>
        <w:bottom w:val="none" w:sz="0" w:space="0" w:color="auto"/>
        <w:right w:val="none" w:sz="0" w:space="0" w:color="auto"/>
      </w:divBdr>
    </w:div>
    <w:div w:id="851064934">
      <w:marLeft w:val="0"/>
      <w:marRight w:val="0"/>
      <w:marTop w:val="0"/>
      <w:marBottom w:val="0"/>
      <w:divBdr>
        <w:top w:val="none" w:sz="0" w:space="0" w:color="auto"/>
        <w:left w:val="none" w:sz="0" w:space="0" w:color="auto"/>
        <w:bottom w:val="none" w:sz="0" w:space="0" w:color="auto"/>
        <w:right w:val="none" w:sz="0" w:space="0" w:color="auto"/>
      </w:divBdr>
    </w:div>
    <w:div w:id="851064935">
      <w:marLeft w:val="0"/>
      <w:marRight w:val="0"/>
      <w:marTop w:val="0"/>
      <w:marBottom w:val="0"/>
      <w:divBdr>
        <w:top w:val="none" w:sz="0" w:space="0" w:color="auto"/>
        <w:left w:val="none" w:sz="0" w:space="0" w:color="auto"/>
        <w:bottom w:val="none" w:sz="0" w:space="0" w:color="auto"/>
        <w:right w:val="none" w:sz="0" w:space="0" w:color="auto"/>
      </w:divBdr>
    </w:div>
    <w:div w:id="851064936">
      <w:marLeft w:val="0"/>
      <w:marRight w:val="0"/>
      <w:marTop w:val="0"/>
      <w:marBottom w:val="0"/>
      <w:divBdr>
        <w:top w:val="none" w:sz="0" w:space="0" w:color="auto"/>
        <w:left w:val="none" w:sz="0" w:space="0" w:color="auto"/>
        <w:bottom w:val="none" w:sz="0" w:space="0" w:color="auto"/>
        <w:right w:val="none" w:sz="0" w:space="0" w:color="auto"/>
      </w:divBdr>
    </w:div>
    <w:div w:id="851064937">
      <w:marLeft w:val="0"/>
      <w:marRight w:val="0"/>
      <w:marTop w:val="0"/>
      <w:marBottom w:val="0"/>
      <w:divBdr>
        <w:top w:val="none" w:sz="0" w:space="0" w:color="auto"/>
        <w:left w:val="none" w:sz="0" w:space="0" w:color="auto"/>
        <w:bottom w:val="none" w:sz="0" w:space="0" w:color="auto"/>
        <w:right w:val="none" w:sz="0" w:space="0" w:color="auto"/>
      </w:divBdr>
    </w:div>
    <w:div w:id="851064938">
      <w:marLeft w:val="0"/>
      <w:marRight w:val="0"/>
      <w:marTop w:val="0"/>
      <w:marBottom w:val="0"/>
      <w:divBdr>
        <w:top w:val="none" w:sz="0" w:space="0" w:color="auto"/>
        <w:left w:val="none" w:sz="0" w:space="0" w:color="auto"/>
        <w:bottom w:val="none" w:sz="0" w:space="0" w:color="auto"/>
        <w:right w:val="none" w:sz="0" w:space="0" w:color="auto"/>
      </w:divBdr>
    </w:div>
    <w:div w:id="851064939">
      <w:marLeft w:val="0"/>
      <w:marRight w:val="0"/>
      <w:marTop w:val="0"/>
      <w:marBottom w:val="0"/>
      <w:divBdr>
        <w:top w:val="none" w:sz="0" w:space="0" w:color="auto"/>
        <w:left w:val="none" w:sz="0" w:space="0" w:color="auto"/>
        <w:bottom w:val="none" w:sz="0" w:space="0" w:color="auto"/>
        <w:right w:val="none" w:sz="0" w:space="0" w:color="auto"/>
      </w:divBdr>
    </w:div>
    <w:div w:id="851064940">
      <w:marLeft w:val="0"/>
      <w:marRight w:val="0"/>
      <w:marTop w:val="0"/>
      <w:marBottom w:val="0"/>
      <w:divBdr>
        <w:top w:val="none" w:sz="0" w:space="0" w:color="auto"/>
        <w:left w:val="none" w:sz="0" w:space="0" w:color="auto"/>
        <w:bottom w:val="none" w:sz="0" w:space="0" w:color="auto"/>
        <w:right w:val="none" w:sz="0" w:space="0" w:color="auto"/>
      </w:divBdr>
    </w:div>
    <w:div w:id="851064941">
      <w:marLeft w:val="0"/>
      <w:marRight w:val="0"/>
      <w:marTop w:val="0"/>
      <w:marBottom w:val="0"/>
      <w:divBdr>
        <w:top w:val="none" w:sz="0" w:space="0" w:color="auto"/>
        <w:left w:val="none" w:sz="0" w:space="0" w:color="auto"/>
        <w:bottom w:val="none" w:sz="0" w:space="0" w:color="auto"/>
        <w:right w:val="none" w:sz="0" w:space="0" w:color="auto"/>
      </w:divBdr>
    </w:div>
    <w:div w:id="851064942">
      <w:marLeft w:val="0"/>
      <w:marRight w:val="0"/>
      <w:marTop w:val="0"/>
      <w:marBottom w:val="0"/>
      <w:divBdr>
        <w:top w:val="none" w:sz="0" w:space="0" w:color="auto"/>
        <w:left w:val="none" w:sz="0" w:space="0" w:color="auto"/>
        <w:bottom w:val="none" w:sz="0" w:space="0" w:color="auto"/>
        <w:right w:val="none" w:sz="0" w:space="0" w:color="auto"/>
      </w:divBdr>
    </w:div>
    <w:div w:id="851064943">
      <w:marLeft w:val="0"/>
      <w:marRight w:val="0"/>
      <w:marTop w:val="0"/>
      <w:marBottom w:val="0"/>
      <w:divBdr>
        <w:top w:val="none" w:sz="0" w:space="0" w:color="auto"/>
        <w:left w:val="none" w:sz="0" w:space="0" w:color="auto"/>
        <w:bottom w:val="none" w:sz="0" w:space="0" w:color="auto"/>
        <w:right w:val="none" w:sz="0" w:space="0" w:color="auto"/>
      </w:divBdr>
    </w:div>
    <w:div w:id="851064944">
      <w:marLeft w:val="0"/>
      <w:marRight w:val="0"/>
      <w:marTop w:val="0"/>
      <w:marBottom w:val="0"/>
      <w:divBdr>
        <w:top w:val="none" w:sz="0" w:space="0" w:color="auto"/>
        <w:left w:val="none" w:sz="0" w:space="0" w:color="auto"/>
        <w:bottom w:val="none" w:sz="0" w:space="0" w:color="auto"/>
        <w:right w:val="none" w:sz="0" w:space="0" w:color="auto"/>
      </w:divBdr>
    </w:div>
    <w:div w:id="851064945">
      <w:marLeft w:val="0"/>
      <w:marRight w:val="0"/>
      <w:marTop w:val="0"/>
      <w:marBottom w:val="0"/>
      <w:divBdr>
        <w:top w:val="none" w:sz="0" w:space="0" w:color="auto"/>
        <w:left w:val="none" w:sz="0" w:space="0" w:color="auto"/>
        <w:bottom w:val="none" w:sz="0" w:space="0" w:color="auto"/>
        <w:right w:val="none" w:sz="0" w:space="0" w:color="auto"/>
      </w:divBdr>
    </w:div>
    <w:div w:id="851064946">
      <w:marLeft w:val="0"/>
      <w:marRight w:val="0"/>
      <w:marTop w:val="0"/>
      <w:marBottom w:val="0"/>
      <w:divBdr>
        <w:top w:val="none" w:sz="0" w:space="0" w:color="auto"/>
        <w:left w:val="none" w:sz="0" w:space="0" w:color="auto"/>
        <w:bottom w:val="none" w:sz="0" w:space="0" w:color="auto"/>
        <w:right w:val="none" w:sz="0" w:space="0" w:color="auto"/>
      </w:divBdr>
    </w:div>
    <w:div w:id="851064947">
      <w:marLeft w:val="0"/>
      <w:marRight w:val="0"/>
      <w:marTop w:val="0"/>
      <w:marBottom w:val="0"/>
      <w:divBdr>
        <w:top w:val="none" w:sz="0" w:space="0" w:color="auto"/>
        <w:left w:val="none" w:sz="0" w:space="0" w:color="auto"/>
        <w:bottom w:val="none" w:sz="0" w:space="0" w:color="auto"/>
        <w:right w:val="none" w:sz="0" w:space="0" w:color="auto"/>
      </w:divBdr>
    </w:div>
    <w:div w:id="851064948">
      <w:marLeft w:val="0"/>
      <w:marRight w:val="0"/>
      <w:marTop w:val="0"/>
      <w:marBottom w:val="0"/>
      <w:divBdr>
        <w:top w:val="none" w:sz="0" w:space="0" w:color="auto"/>
        <w:left w:val="none" w:sz="0" w:space="0" w:color="auto"/>
        <w:bottom w:val="none" w:sz="0" w:space="0" w:color="auto"/>
        <w:right w:val="none" w:sz="0" w:space="0" w:color="auto"/>
      </w:divBdr>
    </w:div>
    <w:div w:id="851064949">
      <w:marLeft w:val="0"/>
      <w:marRight w:val="0"/>
      <w:marTop w:val="0"/>
      <w:marBottom w:val="0"/>
      <w:divBdr>
        <w:top w:val="none" w:sz="0" w:space="0" w:color="auto"/>
        <w:left w:val="none" w:sz="0" w:space="0" w:color="auto"/>
        <w:bottom w:val="none" w:sz="0" w:space="0" w:color="auto"/>
        <w:right w:val="none" w:sz="0" w:space="0" w:color="auto"/>
      </w:divBdr>
    </w:div>
    <w:div w:id="851064950">
      <w:marLeft w:val="0"/>
      <w:marRight w:val="0"/>
      <w:marTop w:val="0"/>
      <w:marBottom w:val="0"/>
      <w:divBdr>
        <w:top w:val="none" w:sz="0" w:space="0" w:color="auto"/>
        <w:left w:val="none" w:sz="0" w:space="0" w:color="auto"/>
        <w:bottom w:val="none" w:sz="0" w:space="0" w:color="auto"/>
        <w:right w:val="none" w:sz="0" w:space="0" w:color="auto"/>
      </w:divBdr>
    </w:div>
    <w:div w:id="851064951">
      <w:marLeft w:val="0"/>
      <w:marRight w:val="0"/>
      <w:marTop w:val="0"/>
      <w:marBottom w:val="0"/>
      <w:divBdr>
        <w:top w:val="none" w:sz="0" w:space="0" w:color="auto"/>
        <w:left w:val="none" w:sz="0" w:space="0" w:color="auto"/>
        <w:bottom w:val="none" w:sz="0" w:space="0" w:color="auto"/>
        <w:right w:val="none" w:sz="0" w:space="0" w:color="auto"/>
      </w:divBdr>
    </w:div>
    <w:div w:id="851064952">
      <w:marLeft w:val="0"/>
      <w:marRight w:val="0"/>
      <w:marTop w:val="0"/>
      <w:marBottom w:val="0"/>
      <w:divBdr>
        <w:top w:val="none" w:sz="0" w:space="0" w:color="auto"/>
        <w:left w:val="none" w:sz="0" w:space="0" w:color="auto"/>
        <w:bottom w:val="none" w:sz="0" w:space="0" w:color="auto"/>
        <w:right w:val="none" w:sz="0" w:space="0" w:color="auto"/>
      </w:divBdr>
    </w:div>
    <w:div w:id="851064953">
      <w:marLeft w:val="0"/>
      <w:marRight w:val="0"/>
      <w:marTop w:val="0"/>
      <w:marBottom w:val="0"/>
      <w:divBdr>
        <w:top w:val="none" w:sz="0" w:space="0" w:color="auto"/>
        <w:left w:val="none" w:sz="0" w:space="0" w:color="auto"/>
        <w:bottom w:val="none" w:sz="0" w:space="0" w:color="auto"/>
        <w:right w:val="none" w:sz="0" w:space="0" w:color="auto"/>
      </w:divBdr>
    </w:div>
    <w:div w:id="851064954">
      <w:marLeft w:val="0"/>
      <w:marRight w:val="0"/>
      <w:marTop w:val="0"/>
      <w:marBottom w:val="0"/>
      <w:divBdr>
        <w:top w:val="none" w:sz="0" w:space="0" w:color="auto"/>
        <w:left w:val="none" w:sz="0" w:space="0" w:color="auto"/>
        <w:bottom w:val="none" w:sz="0" w:space="0" w:color="auto"/>
        <w:right w:val="none" w:sz="0" w:space="0" w:color="auto"/>
      </w:divBdr>
    </w:div>
    <w:div w:id="851064955">
      <w:marLeft w:val="0"/>
      <w:marRight w:val="0"/>
      <w:marTop w:val="0"/>
      <w:marBottom w:val="0"/>
      <w:divBdr>
        <w:top w:val="none" w:sz="0" w:space="0" w:color="auto"/>
        <w:left w:val="none" w:sz="0" w:space="0" w:color="auto"/>
        <w:bottom w:val="none" w:sz="0" w:space="0" w:color="auto"/>
        <w:right w:val="none" w:sz="0" w:space="0" w:color="auto"/>
      </w:divBdr>
    </w:div>
    <w:div w:id="851064956">
      <w:marLeft w:val="0"/>
      <w:marRight w:val="0"/>
      <w:marTop w:val="0"/>
      <w:marBottom w:val="0"/>
      <w:divBdr>
        <w:top w:val="none" w:sz="0" w:space="0" w:color="auto"/>
        <w:left w:val="none" w:sz="0" w:space="0" w:color="auto"/>
        <w:bottom w:val="none" w:sz="0" w:space="0" w:color="auto"/>
        <w:right w:val="none" w:sz="0" w:space="0" w:color="auto"/>
      </w:divBdr>
    </w:div>
    <w:div w:id="851064957">
      <w:marLeft w:val="0"/>
      <w:marRight w:val="0"/>
      <w:marTop w:val="0"/>
      <w:marBottom w:val="0"/>
      <w:divBdr>
        <w:top w:val="none" w:sz="0" w:space="0" w:color="auto"/>
        <w:left w:val="none" w:sz="0" w:space="0" w:color="auto"/>
        <w:bottom w:val="none" w:sz="0" w:space="0" w:color="auto"/>
        <w:right w:val="none" w:sz="0" w:space="0" w:color="auto"/>
      </w:divBdr>
    </w:div>
    <w:div w:id="851064958">
      <w:marLeft w:val="0"/>
      <w:marRight w:val="0"/>
      <w:marTop w:val="0"/>
      <w:marBottom w:val="0"/>
      <w:divBdr>
        <w:top w:val="none" w:sz="0" w:space="0" w:color="auto"/>
        <w:left w:val="none" w:sz="0" w:space="0" w:color="auto"/>
        <w:bottom w:val="none" w:sz="0" w:space="0" w:color="auto"/>
        <w:right w:val="none" w:sz="0" w:space="0" w:color="auto"/>
      </w:divBdr>
    </w:div>
    <w:div w:id="851064959">
      <w:marLeft w:val="0"/>
      <w:marRight w:val="0"/>
      <w:marTop w:val="0"/>
      <w:marBottom w:val="0"/>
      <w:divBdr>
        <w:top w:val="none" w:sz="0" w:space="0" w:color="auto"/>
        <w:left w:val="none" w:sz="0" w:space="0" w:color="auto"/>
        <w:bottom w:val="none" w:sz="0" w:space="0" w:color="auto"/>
        <w:right w:val="none" w:sz="0" w:space="0" w:color="auto"/>
      </w:divBdr>
    </w:div>
    <w:div w:id="851064960">
      <w:marLeft w:val="0"/>
      <w:marRight w:val="0"/>
      <w:marTop w:val="0"/>
      <w:marBottom w:val="0"/>
      <w:divBdr>
        <w:top w:val="none" w:sz="0" w:space="0" w:color="auto"/>
        <w:left w:val="none" w:sz="0" w:space="0" w:color="auto"/>
        <w:bottom w:val="none" w:sz="0" w:space="0" w:color="auto"/>
        <w:right w:val="none" w:sz="0" w:space="0" w:color="auto"/>
      </w:divBdr>
    </w:div>
    <w:div w:id="851064961">
      <w:marLeft w:val="0"/>
      <w:marRight w:val="0"/>
      <w:marTop w:val="0"/>
      <w:marBottom w:val="0"/>
      <w:divBdr>
        <w:top w:val="none" w:sz="0" w:space="0" w:color="auto"/>
        <w:left w:val="none" w:sz="0" w:space="0" w:color="auto"/>
        <w:bottom w:val="none" w:sz="0" w:space="0" w:color="auto"/>
        <w:right w:val="none" w:sz="0" w:space="0" w:color="auto"/>
      </w:divBdr>
    </w:div>
    <w:div w:id="851064962">
      <w:marLeft w:val="0"/>
      <w:marRight w:val="0"/>
      <w:marTop w:val="0"/>
      <w:marBottom w:val="0"/>
      <w:divBdr>
        <w:top w:val="none" w:sz="0" w:space="0" w:color="auto"/>
        <w:left w:val="none" w:sz="0" w:space="0" w:color="auto"/>
        <w:bottom w:val="none" w:sz="0" w:space="0" w:color="auto"/>
        <w:right w:val="none" w:sz="0" w:space="0" w:color="auto"/>
      </w:divBdr>
    </w:div>
    <w:div w:id="851064963">
      <w:marLeft w:val="0"/>
      <w:marRight w:val="0"/>
      <w:marTop w:val="0"/>
      <w:marBottom w:val="0"/>
      <w:divBdr>
        <w:top w:val="none" w:sz="0" w:space="0" w:color="auto"/>
        <w:left w:val="none" w:sz="0" w:space="0" w:color="auto"/>
        <w:bottom w:val="none" w:sz="0" w:space="0" w:color="auto"/>
        <w:right w:val="none" w:sz="0" w:space="0" w:color="auto"/>
      </w:divBdr>
    </w:div>
    <w:div w:id="851064964">
      <w:marLeft w:val="0"/>
      <w:marRight w:val="0"/>
      <w:marTop w:val="0"/>
      <w:marBottom w:val="0"/>
      <w:divBdr>
        <w:top w:val="none" w:sz="0" w:space="0" w:color="auto"/>
        <w:left w:val="none" w:sz="0" w:space="0" w:color="auto"/>
        <w:bottom w:val="none" w:sz="0" w:space="0" w:color="auto"/>
        <w:right w:val="none" w:sz="0" w:space="0" w:color="auto"/>
      </w:divBdr>
    </w:div>
    <w:div w:id="851064965">
      <w:marLeft w:val="0"/>
      <w:marRight w:val="0"/>
      <w:marTop w:val="0"/>
      <w:marBottom w:val="0"/>
      <w:divBdr>
        <w:top w:val="none" w:sz="0" w:space="0" w:color="auto"/>
        <w:left w:val="none" w:sz="0" w:space="0" w:color="auto"/>
        <w:bottom w:val="none" w:sz="0" w:space="0" w:color="auto"/>
        <w:right w:val="none" w:sz="0" w:space="0" w:color="auto"/>
      </w:divBdr>
    </w:div>
    <w:div w:id="851064966">
      <w:marLeft w:val="0"/>
      <w:marRight w:val="0"/>
      <w:marTop w:val="0"/>
      <w:marBottom w:val="0"/>
      <w:divBdr>
        <w:top w:val="none" w:sz="0" w:space="0" w:color="auto"/>
        <w:left w:val="none" w:sz="0" w:space="0" w:color="auto"/>
        <w:bottom w:val="none" w:sz="0" w:space="0" w:color="auto"/>
        <w:right w:val="none" w:sz="0" w:space="0" w:color="auto"/>
      </w:divBdr>
    </w:div>
    <w:div w:id="851064967">
      <w:marLeft w:val="0"/>
      <w:marRight w:val="0"/>
      <w:marTop w:val="0"/>
      <w:marBottom w:val="0"/>
      <w:divBdr>
        <w:top w:val="none" w:sz="0" w:space="0" w:color="auto"/>
        <w:left w:val="none" w:sz="0" w:space="0" w:color="auto"/>
        <w:bottom w:val="none" w:sz="0" w:space="0" w:color="auto"/>
        <w:right w:val="none" w:sz="0" w:space="0" w:color="auto"/>
      </w:divBdr>
    </w:div>
    <w:div w:id="851064968">
      <w:marLeft w:val="0"/>
      <w:marRight w:val="0"/>
      <w:marTop w:val="0"/>
      <w:marBottom w:val="0"/>
      <w:divBdr>
        <w:top w:val="none" w:sz="0" w:space="0" w:color="auto"/>
        <w:left w:val="none" w:sz="0" w:space="0" w:color="auto"/>
        <w:bottom w:val="none" w:sz="0" w:space="0" w:color="auto"/>
        <w:right w:val="none" w:sz="0" w:space="0" w:color="auto"/>
      </w:divBdr>
    </w:div>
    <w:div w:id="851064969">
      <w:marLeft w:val="0"/>
      <w:marRight w:val="0"/>
      <w:marTop w:val="0"/>
      <w:marBottom w:val="0"/>
      <w:divBdr>
        <w:top w:val="none" w:sz="0" w:space="0" w:color="auto"/>
        <w:left w:val="none" w:sz="0" w:space="0" w:color="auto"/>
        <w:bottom w:val="none" w:sz="0" w:space="0" w:color="auto"/>
        <w:right w:val="none" w:sz="0" w:space="0" w:color="auto"/>
      </w:divBdr>
    </w:div>
    <w:div w:id="851064970">
      <w:marLeft w:val="0"/>
      <w:marRight w:val="0"/>
      <w:marTop w:val="0"/>
      <w:marBottom w:val="0"/>
      <w:divBdr>
        <w:top w:val="none" w:sz="0" w:space="0" w:color="auto"/>
        <w:left w:val="none" w:sz="0" w:space="0" w:color="auto"/>
        <w:bottom w:val="none" w:sz="0" w:space="0" w:color="auto"/>
        <w:right w:val="none" w:sz="0" w:space="0" w:color="auto"/>
      </w:divBdr>
    </w:div>
    <w:div w:id="851064971">
      <w:marLeft w:val="0"/>
      <w:marRight w:val="0"/>
      <w:marTop w:val="0"/>
      <w:marBottom w:val="0"/>
      <w:divBdr>
        <w:top w:val="none" w:sz="0" w:space="0" w:color="auto"/>
        <w:left w:val="none" w:sz="0" w:space="0" w:color="auto"/>
        <w:bottom w:val="none" w:sz="0" w:space="0" w:color="auto"/>
        <w:right w:val="none" w:sz="0" w:space="0" w:color="auto"/>
      </w:divBdr>
    </w:div>
    <w:div w:id="851064972">
      <w:marLeft w:val="0"/>
      <w:marRight w:val="0"/>
      <w:marTop w:val="0"/>
      <w:marBottom w:val="0"/>
      <w:divBdr>
        <w:top w:val="none" w:sz="0" w:space="0" w:color="auto"/>
        <w:left w:val="none" w:sz="0" w:space="0" w:color="auto"/>
        <w:bottom w:val="none" w:sz="0" w:space="0" w:color="auto"/>
        <w:right w:val="none" w:sz="0" w:space="0" w:color="auto"/>
      </w:divBdr>
    </w:div>
    <w:div w:id="851064973">
      <w:marLeft w:val="0"/>
      <w:marRight w:val="0"/>
      <w:marTop w:val="0"/>
      <w:marBottom w:val="0"/>
      <w:divBdr>
        <w:top w:val="none" w:sz="0" w:space="0" w:color="auto"/>
        <w:left w:val="none" w:sz="0" w:space="0" w:color="auto"/>
        <w:bottom w:val="none" w:sz="0" w:space="0" w:color="auto"/>
        <w:right w:val="none" w:sz="0" w:space="0" w:color="auto"/>
      </w:divBdr>
    </w:div>
    <w:div w:id="851064974">
      <w:marLeft w:val="0"/>
      <w:marRight w:val="0"/>
      <w:marTop w:val="0"/>
      <w:marBottom w:val="0"/>
      <w:divBdr>
        <w:top w:val="none" w:sz="0" w:space="0" w:color="auto"/>
        <w:left w:val="none" w:sz="0" w:space="0" w:color="auto"/>
        <w:bottom w:val="none" w:sz="0" w:space="0" w:color="auto"/>
        <w:right w:val="none" w:sz="0" w:space="0" w:color="auto"/>
      </w:divBdr>
    </w:div>
    <w:div w:id="851064975">
      <w:marLeft w:val="0"/>
      <w:marRight w:val="0"/>
      <w:marTop w:val="0"/>
      <w:marBottom w:val="0"/>
      <w:divBdr>
        <w:top w:val="none" w:sz="0" w:space="0" w:color="auto"/>
        <w:left w:val="none" w:sz="0" w:space="0" w:color="auto"/>
        <w:bottom w:val="none" w:sz="0" w:space="0" w:color="auto"/>
        <w:right w:val="none" w:sz="0" w:space="0" w:color="auto"/>
      </w:divBdr>
    </w:div>
    <w:div w:id="851064976">
      <w:marLeft w:val="0"/>
      <w:marRight w:val="0"/>
      <w:marTop w:val="0"/>
      <w:marBottom w:val="0"/>
      <w:divBdr>
        <w:top w:val="none" w:sz="0" w:space="0" w:color="auto"/>
        <w:left w:val="none" w:sz="0" w:space="0" w:color="auto"/>
        <w:bottom w:val="none" w:sz="0" w:space="0" w:color="auto"/>
        <w:right w:val="none" w:sz="0" w:space="0" w:color="auto"/>
      </w:divBdr>
    </w:div>
    <w:div w:id="851064977">
      <w:marLeft w:val="0"/>
      <w:marRight w:val="0"/>
      <w:marTop w:val="0"/>
      <w:marBottom w:val="0"/>
      <w:divBdr>
        <w:top w:val="none" w:sz="0" w:space="0" w:color="auto"/>
        <w:left w:val="none" w:sz="0" w:space="0" w:color="auto"/>
        <w:bottom w:val="none" w:sz="0" w:space="0" w:color="auto"/>
        <w:right w:val="none" w:sz="0" w:space="0" w:color="auto"/>
      </w:divBdr>
    </w:div>
    <w:div w:id="851064978">
      <w:marLeft w:val="0"/>
      <w:marRight w:val="0"/>
      <w:marTop w:val="0"/>
      <w:marBottom w:val="0"/>
      <w:divBdr>
        <w:top w:val="none" w:sz="0" w:space="0" w:color="auto"/>
        <w:left w:val="none" w:sz="0" w:space="0" w:color="auto"/>
        <w:bottom w:val="none" w:sz="0" w:space="0" w:color="auto"/>
        <w:right w:val="none" w:sz="0" w:space="0" w:color="auto"/>
      </w:divBdr>
    </w:div>
    <w:div w:id="851064979">
      <w:marLeft w:val="0"/>
      <w:marRight w:val="0"/>
      <w:marTop w:val="0"/>
      <w:marBottom w:val="0"/>
      <w:divBdr>
        <w:top w:val="none" w:sz="0" w:space="0" w:color="auto"/>
        <w:left w:val="none" w:sz="0" w:space="0" w:color="auto"/>
        <w:bottom w:val="none" w:sz="0" w:space="0" w:color="auto"/>
        <w:right w:val="none" w:sz="0" w:space="0" w:color="auto"/>
      </w:divBdr>
    </w:div>
    <w:div w:id="851064980">
      <w:marLeft w:val="0"/>
      <w:marRight w:val="0"/>
      <w:marTop w:val="0"/>
      <w:marBottom w:val="0"/>
      <w:divBdr>
        <w:top w:val="none" w:sz="0" w:space="0" w:color="auto"/>
        <w:left w:val="none" w:sz="0" w:space="0" w:color="auto"/>
        <w:bottom w:val="none" w:sz="0" w:space="0" w:color="auto"/>
        <w:right w:val="none" w:sz="0" w:space="0" w:color="auto"/>
      </w:divBdr>
    </w:div>
    <w:div w:id="851064981">
      <w:marLeft w:val="0"/>
      <w:marRight w:val="0"/>
      <w:marTop w:val="0"/>
      <w:marBottom w:val="0"/>
      <w:divBdr>
        <w:top w:val="none" w:sz="0" w:space="0" w:color="auto"/>
        <w:left w:val="none" w:sz="0" w:space="0" w:color="auto"/>
        <w:bottom w:val="none" w:sz="0" w:space="0" w:color="auto"/>
        <w:right w:val="none" w:sz="0" w:space="0" w:color="auto"/>
      </w:divBdr>
    </w:div>
    <w:div w:id="851064982">
      <w:marLeft w:val="0"/>
      <w:marRight w:val="0"/>
      <w:marTop w:val="0"/>
      <w:marBottom w:val="0"/>
      <w:divBdr>
        <w:top w:val="none" w:sz="0" w:space="0" w:color="auto"/>
        <w:left w:val="none" w:sz="0" w:space="0" w:color="auto"/>
        <w:bottom w:val="none" w:sz="0" w:space="0" w:color="auto"/>
        <w:right w:val="none" w:sz="0" w:space="0" w:color="auto"/>
      </w:divBdr>
    </w:div>
    <w:div w:id="851064983">
      <w:marLeft w:val="0"/>
      <w:marRight w:val="0"/>
      <w:marTop w:val="0"/>
      <w:marBottom w:val="0"/>
      <w:divBdr>
        <w:top w:val="none" w:sz="0" w:space="0" w:color="auto"/>
        <w:left w:val="none" w:sz="0" w:space="0" w:color="auto"/>
        <w:bottom w:val="none" w:sz="0" w:space="0" w:color="auto"/>
        <w:right w:val="none" w:sz="0" w:space="0" w:color="auto"/>
      </w:divBdr>
    </w:div>
    <w:div w:id="851064984">
      <w:marLeft w:val="0"/>
      <w:marRight w:val="0"/>
      <w:marTop w:val="0"/>
      <w:marBottom w:val="0"/>
      <w:divBdr>
        <w:top w:val="none" w:sz="0" w:space="0" w:color="auto"/>
        <w:left w:val="none" w:sz="0" w:space="0" w:color="auto"/>
        <w:bottom w:val="none" w:sz="0" w:space="0" w:color="auto"/>
        <w:right w:val="none" w:sz="0" w:space="0" w:color="auto"/>
      </w:divBdr>
    </w:div>
    <w:div w:id="851064985">
      <w:marLeft w:val="0"/>
      <w:marRight w:val="0"/>
      <w:marTop w:val="0"/>
      <w:marBottom w:val="0"/>
      <w:divBdr>
        <w:top w:val="none" w:sz="0" w:space="0" w:color="auto"/>
        <w:left w:val="none" w:sz="0" w:space="0" w:color="auto"/>
        <w:bottom w:val="none" w:sz="0" w:space="0" w:color="auto"/>
        <w:right w:val="none" w:sz="0" w:space="0" w:color="auto"/>
      </w:divBdr>
    </w:div>
    <w:div w:id="851064986">
      <w:marLeft w:val="0"/>
      <w:marRight w:val="0"/>
      <w:marTop w:val="0"/>
      <w:marBottom w:val="0"/>
      <w:divBdr>
        <w:top w:val="none" w:sz="0" w:space="0" w:color="auto"/>
        <w:left w:val="none" w:sz="0" w:space="0" w:color="auto"/>
        <w:bottom w:val="none" w:sz="0" w:space="0" w:color="auto"/>
        <w:right w:val="none" w:sz="0" w:space="0" w:color="auto"/>
      </w:divBdr>
    </w:div>
    <w:div w:id="851064987">
      <w:marLeft w:val="0"/>
      <w:marRight w:val="0"/>
      <w:marTop w:val="0"/>
      <w:marBottom w:val="0"/>
      <w:divBdr>
        <w:top w:val="none" w:sz="0" w:space="0" w:color="auto"/>
        <w:left w:val="none" w:sz="0" w:space="0" w:color="auto"/>
        <w:bottom w:val="none" w:sz="0" w:space="0" w:color="auto"/>
        <w:right w:val="none" w:sz="0" w:space="0" w:color="auto"/>
      </w:divBdr>
    </w:div>
    <w:div w:id="851064988">
      <w:marLeft w:val="0"/>
      <w:marRight w:val="0"/>
      <w:marTop w:val="0"/>
      <w:marBottom w:val="0"/>
      <w:divBdr>
        <w:top w:val="none" w:sz="0" w:space="0" w:color="auto"/>
        <w:left w:val="none" w:sz="0" w:space="0" w:color="auto"/>
        <w:bottom w:val="none" w:sz="0" w:space="0" w:color="auto"/>
        <w:right w:val="none" w:sz="0" w:space="0" w:color="auto"/>
      </w:divBdr>
    </w:div>
    <w:div w:id="851064989">
      <w:marLeft w:val="0"/>
      <w:marRight w:val="0"/>
      <w:marTop w:val="0"/>
      <w:marBottom w:val="0"/>
      <w:divBdr>
        <w:top w:val="none" w:sz="0" w:space="0" w:color="auto"/>
        <w:left w:val="none" w:sz="0" w:space="0" w:color="auto"/>
        <w:bottom w:val="none" w:sz="0" w:space="0" w:color="auto"/>
        <w:right w:val="none" w:sz="0" w:space="0" w:color="auto"/>
      </w:divBdr>
    </w:div>
    <w:div w:id="851064990">
      <w:marLeft w:val="0"/>
      <w:marRight w:val="0"/>
      <w:marTop w:val="0"/>
      <w:marBottom w:val="0"/>
      <w:divBdr>
        <w:top w:val="none" w:sz="0" w:space="0" w:color="auto"/>
        <w:left w:val="none" w:sz="0" w:space="0" w:color="auto"/>
        <w:bottom w:val="none" w:sz="0" w:space="0" w:color="auto"/>
        <w:right w:val="none" w:sz="0" w:space="0" w:color="auto"/>
      </w:divBdr>
    </w:div>
    <w:div w:id="851064991">
      <w:marLeft w:val="0"/>
      <w:marRight w:val="0"/>
      <w:marTop w:val="0"/>
      <w:marBottom w:val="0"/>
      <w:divBdr>
        <w:top w:val="none" w:sz="0" w:space="0" w:color="auto"/>
        <w:left w:val="none" w:sz="0" w:space="0" w:color="auto"/>
        <w:bottom w:val="none" w:sz="0" w:space="0" w:color="auto"/>
        <w:right w:val="none" w:sz="0" w:space="0" w:color="auto"/>
      </w:divBdr>
    </w:div>
    <w:div w:id="851064992">
      <w:marLeft w:val="0"/>
      <w:marRight w:val="0"/>
      <w:marTop w:val="0"/>
      <w:marBottom w:val="0"/>
      <w:divBdr>
        <w:top w:val="none" w:sz="0" w:space="0" w:color="auto"/>
        <w:left w:val="none" w:sz="0" w:space="0" w:color="auto"/>
        <w:bottom w:val="none" w:sz="0" w:space="0" w:color="auto"/>
        <w:right w:val="none" w:sz="0" w:space="0" w:color="auto"/>
      </w:divBdr>
    </w:div>
    <w:div w:id="851064993">
      <w:marLeft w:val="0"/>
      <w:marRight w:val="0"/>
      <w:marTop w:val="0"/>
      <w:marBottom w:val="0"/>
      <w:divBdr>
        <w:top w:val="none" w:sz="0" w:space="0" w:color="auto"/>
        <w:left w:val="none" w:sz="0" w:space="0" w:color="auto"/>
        <w:bottom w:val="none" w:sz="0" w:space="0" w:color="auto"/>
        <w:right w:val="none" w:sz="0" w:space="0" w:color="auto"/>
      </w:divBdr>
    </w:div>
    <w:div w:id="851064994">
      <w:marLeft w:val="0"/>
      <w:marRight w:val="0"/>
      <w:marTop w:val="0"/>
      <w:marBottom w:val="0"/>
      <w:divBdr>
        <w:top w:val="none" w:sz="0" w:space="0" w:color="auto"/>
        <w:left w:val="none" w:sz="0" w:space="0" w:color="auto"/>
        <w:bottom w:val="none" w:sz="0" w:space="0" w:color="auto"/>
        <w:right w:val="none" w:sz="0" w:space="0" w:color="auto"/>
      </w:divBdr>
    </w:div>
    <w:div w:id="851064995">
      <w:marLeft w:val="0"/>
      <w:marRight w:val="0"/>
      <w:marTop w:val="0"/>
      <w:marBottom w:val="0"/>
      <w:divBdr>
        <w:top w:val="none" w:sz="0" w:space="0" w:color="auto"/>
        <w:left w:val="none" w:sz="0" w:space="0" w:color="auto"/>
        <w:bottom w:val="none" w:sz="0" w:space="0" w:color="auto"/>
        <w:right w:val="none" w:sz="0" w:space="0" w:color="auto"/>
      </w:divBdr>
    </w:div>
    <w:div w:id="851064996">
      <w:marLeft w:val="0"/>
      <w:marRight w:val="0"/>
      <w:marTop w:val="0"/>
      <w:marBottom w:val="0"/>
      <w:divBdr>
        <w:top w:val="none" w:sz="0" w:space="0" w:color="auto"/>
        <w:left w:val="none" w:sz="0" w:space="0" w:color="auto"/>
        <w:bottom w:val="none" w:sz="0" w:space="0" w:color="auto"/>
        <w:right w:val="none" w:sz="0" w:space="0" w:color="auto"/>
      </w:divBdr>
    </w:div>
    <w:div w:id="851064997">
      <w:marLeft w:val="0"/>
      <w:marRight w:val="0"/>
      <w:marTop w:val="0"/>
      <w:marBottom w:val="0"/>
      <w:divBdr>
        <w:top w:val="none" w:sz="0" w:space="0" w:color="auto"/>
        <w:left w:val="none" w:sz="0" w:space="0" w:color="auto"/>
        <w:bottom w:val="none" w:sz="0" w:space="0" w:color="auto"/>
        <w:right w:val="none" w:sz="0" w:space="0" w:color="auto"/>
      </w:divBdr>
    </w:div>
    <w:div w:id="851064998">
      <w:marLeft w:val="0"/>
      <w:marRight w:val="0"/>
      <w:marTop w:val="0"/>
      <w:marBottom w:val="0"/>
      <w:divBdr>
        <w:top w:val="none" w:sz="0" w:space="0" w:color="auto"/>
        <w:left w:val="none" w:sz="0" w:space="0" w:color="auto"/>
        <w:bottom w:val="none" w:sz="0" w:space="0" w:color="auto"/>
        <w:right w:val="none" w:sz="0" w:space="0" w:color="auto"/>
      </w:divBdr>
    </w:div>
    <w:div w:id="851064999">
      <w:marLeft w:val="0"/>
      <w:marRight w:val="0"/>
      <w:marTop w:val="0"/>
      <w:marBottom w:val="0"/>
      <w:divBdr>
        <w:top w:val="none" w:sz="0" w:space="0" w:color="auto"/>
        <w:left w:val="none" w:sz="0" w:space="0" w:color="auto"/>
        <w:bottom w:val="none" w:sz="0" w:space="0" w:color="auto"/>
        <w:right w:val="none" w:sz="0" w:space="0" w:color="auto"/>
      </w:divBdr>
    </w:div>
    <w:div w:id="851065000">
      <w:marLeft w:val="0"/>
      <w:marRight w:val="0"/>
      <w:marTop w:val="0"/>
      <w:marBottom w:val="0"/>
      <w:divBdr>
        <w:top w:val="none" w:sz="0" w:space="0" w:color="auto"/>
        <w:left w:val="none" w:sz="0" w:space="0" w:color="auto"/>
        <w:bottom w:val="none" w:sz="0" w:space="0" w:color="auto"/>
        <w:right w:val="none" w:sz="0" w:space="0" w:color="auto"/>
      </w:divBdr>
    </w:div>
    <w:div w:id="851065001">
      <w:marLeft w:val="0"/>
      <w:marRight w:val="0"/>
      <w:marTop w:val="0"/>
      <w:marBottom w:val="0"/>
      <w:divBdr>
        <w:top w:val="none" w:sz="0" w:space="0" w:color="auto"/>
        <w:left w:val="none" w:sz="0" w:space="0" w:color="auto"/>
        <w:bottom w:val="none" w:sz="0" w:space="0" w:color="auto"/>
        <w:right w:val="none" w:sz="0" w:space="0" w:color="auto"/>
      </w:divBdr>
    </w:div>
    <w:div w:id="851065002">
      <w:marLeft w:val="0"/>
      <w:marRight w:val="0"/>
      <w:marTop w:val="0"/>
      <w:marBottom w:val="0"/>
      <w:divBdr>
        <w:top w:val="none" w:sz="0" w:space="0" w:color="auto"/>
        <w:left w:val="none" w:sz="0" w:space="0" w:color="auto"/>
        <w:bottom w:val="none" w:sz="0" w:space="0" w:color="auto"/>
        <w:right w:val="none" w:sz="0" w:space="0" w:color="auto"/>
      </w:divBdr>
    </w:div>
    <w:div w:id="851065003">
      <w:marLeft w:val="0"/>
      <w:marRight w:val="0"/>
      <w:marTop w:val="0"/>
      <w:marBottom w:val="0"/>
      <w:divBdr>
        <w:top w:val="none" w:sz="0" w:space="0" w:color="auto"/>
        <w:left w:val="none" w:sz="0" w:space="0" w:color="auto"/>
        <w:bottom w:val="none" w:sz="0" w:space="0" w:color="auto"/>
        <w:right w:val="none" w:sz="0" w:space="0" w:color="auto"/>
      </w:divBdr>
    </w:div>
    <w:div w:id="851065004">
      <w:marLeft w:val="0"/>
      <w:marRight w:val="0"/>
      <w:marTop w:val="0"/>
      <w:marBottom w:val="0"/>
      <w:divBdr>
        <w:top w:val="none" w:sz="0" w:space="0" w:color="auto"/>
        <w:left w:val="none" w:sz="0" w:space="0" w:color="auto"/>
        <w:bottom w:val="none" w:sz="0" w:space="0" w:color="auto"/>
        <w:right w:val="none" w:sz="0" w:space="0" w:color="auto"/>
      </w:divBdr>
    </w:div>
    <w:div w:id="851065005">
      <w:marLeft w:val="0"/>
      <w:marRight w:val="0"/>
      <w:marTop w:val="0"/>
      <w:marBottom w:val="0"/>
      <w:divBdr>
        <w:top w:val="none" w:sz="0" w:space="0" w:color="auto"/>
        <w:left w:val="none" w:sz="0" w:space="0" w:color="auto"/>
        <w:bottom w:val="none" w:sz="0" w:space="0" w:color="auto"/>
        <w:right w:val="none" w:sz="0" w:space="0" w:color="auto"/>
      </w:divBdr>
    </w:div>
    <w:div w:id="851065006">
      <w:marLeft w:val="0"/>
      <w:marRight w:val="0"/>
      <w:marTop w:val="0"/>
      <w:marBottom w:val="0"/>
      <w:divBdr>
        <w:top w:val="none" w:sz="0" w:space="0" w:color="auto"/>
        <w:left w:val="none" w:sz="0" w:space="0" w:color="auto"/>
        <w:bottom w:val="none" w:sz="0" w:space="0" w:color="auto"/>
        <w:right w:val="none" w:sz="0" w:space="0" w:color="auto"/>
      </w:divBdr>
    </w:div>
    <w:div w:id="851065007">
      <w:marLeft w:val="0"/>
      <w:marRight w:val="0"/>
      <w:marTop w:val="0"/>
      <w:marBottom w:val="0"/>
      <w:divBdr>
        <w:top w:val="none" w:sz="0" w:space="0" w:color="auto"/>
        <w:left w:val="none" w:sz="0" w:space="0" w:color="auto"/>
        <w:bottom w:val="none" w:sz="0" w:space="0" w:color="auto"/>
        <w:right w:val="none" w:sz="0" w:space="0" w:color="auto"/>
      </w:divBdr>
    </w:div>
    <w:div w:id="851065008">
      <w:marLeft w:val="0"/>
      <w:marRight w:val="0"/>
      <w:marTop w:val="0"/>
      <w:marBottom w:val="0"/>
      <w:divBdr>
        <w:top w:val="none" w:sz="0" w:space="0" w:color="auto"/>
        <w:left w:val="none" w:sz="0" w:space="0" w:color="auto"/>
        <w:bottom w:val="none" w:sz="0" w:space="0" w:color="auto"/>
        <w:right w:val="none" w:sz="0" w:space="0" w:color="auto"/>
      </w:divBdr>
    </w:div>
    <w:div w:id="851065009">
      <w:marLeft w:val="0"/>
      <w:marRight w:val="0"/>
      <w:marTop w:val="0"/>
      <w:marBottom w:val="0"/>
      <w:divBdr>
        <w:top w:val="none" w:sz="0" w:space="0" w:color="auto"/>
        <w:left w:val="none" w:sz="0" w:space="0" w:color="auto"/>
        <w:bottom w:val="none" w:sz="0" w:space="0" w:color="auto"/>
        <w:right w:val="none" w:sz="0" w:space="0" w:color="auto"/>
      </w:divBdr>
    </w:div>
    <w:div w:id="851065010">
      <w:marLeft w:val="0"/>
      <w:marRight w:val="0"/>
      <w:marTop w:val="0"/>
      <w:marBottom w:val="0"/>
      <w:divBdr>
        <w:top w:val="none" w:sz="0" w:space="0" w:color="auto"/>
        <w:left w:val="none" w:sz="0" w:space="0" w:color="auto"/>
        <w:bottom w:val="none" w:sz="0" w:space="0" w:color="auto"/>
        <w:right w:val="none" w:sz="0" w:space="0" w:color="auto"/>
      </w:divBdr>
    </w:div>
    <w:div w:id="851065011">
      <w:marLeft w:val="0"/>
      <w:marRight w:val="0"/>
      <w:marTop w:val="0"/>
      <w:marBottom w:val="0"/>
      <w:divBdr>
        <w:top w:val="none" w:sz="0" w:space="0" w:color="auto"/>
        <w:left w:val="none" w:sz="0" w:space="0" w:color="auto"/>
        <w:bottom w:val="none" w:sz="0" w:space="0" w:color="auto"/>
        <w:right w:val="none" w:sz="0" w:space="0" w:color="auto"/>
      </w:divBdr>
    </w:div>
    <w:div w:id="851065012">
      <w:marLeft w:val="0"/>
      <w:marRight w:val="0"/>
      <w:marTop w:val="0"/>
      <w:marBottom w:val="0"/>
      <w:divBdr>
        <w:top w:val="none" w:sz="0" w:space="0" w:color="auto"/>
        <w:left w:val="none" w:sz="0" w:space="0" w:color="auto"/>
        <w:bottom w:val="none" w:sz="0" w:space="0" w:color="auto"/>
        <w:right w:val="none" w:sz="0" w:space="0" w:color="auto"/>
      </w:divBdr>
    </w:div>
    <w:div w:id="851065013">
      <w:marLeft w:val="0"/>
      <w:marRight w:val="0"/>
      <w:marTop w:val="0"/>
      <w:marBottom w:val="0"/>
      <w:divBdr>
        <w:top w:val="none" w:sz="0" w:space="0" w:color="auto"/>
        <w:left w:val="none" w:sz="0" w:space="0" w:color="auto"/>
        <w:bottom w:val="none" w:sz="0" w:space="0" w:color="auto"/>
        <w:right w:val="none" w:sz="0" w:space="0" w:color="auto"/>
      </w:divBdr>
    </w:div>
    <w:div w:id="851065014">
      <w:marLeft w:val="0"/>
      <w:marRight w:val="0"/>
      <w:marTop w:val="0"/>
      <w:marBottom w:val="0"/>
      <w:divBdr>
        <w:top w:val="none" w:sz="0" w:space="0" w:color="auto"/>
        <w:left w:val="none" w:sz="0" w:space="0" w:color="auto"/>
        <w:bottom w:val="none" w:sz="0" w:space="0" w:color="auto"/>
        <w:right w:val="none" w:sz="0" w:space="0" w:color="auto"/>
      </w:divBdr>
    </w:div>
    <w:div w:id="851065015">
      <w:marLeft w:val="0"/>
      <w:marRight w:val="0"/>
      <w:marTop w:val="0"/>
      <w:marBottom w:val="0"/>
      <w:divBdr>
        <w:top w:val="none" w:sz="0" w:space="0" w:color="auto"/>
        <w:left w:val="none" w:sz="0" w:space="0" w:color="auto"/>
        <w:bottom w:val="none" w:sz="0" w:space="0" w:color="auto"/>
        <w:right w:val="none" w:sz="0" w:space="0" w:color="auto"/>
      </w:divBdr>
    </w:div>
    <w:div w:id="851065016">
      <w:marLeft w:val="0"/>
      <w:marRight w:val="0"/>
      <w:marTop w:val="0"/>
      <w:marBottom w:val="0"/>
      <w:divBdr>
        <w:top w:val="none" w:sz="0" w:space="0" w:color="auto"/>
        <w:left w:val="none" w:sz="0" w:space="0" w:color="auto"/>
        <w:bottom w:val="none" w:sz="0" w:space="0" w:color="auto"/>
        <w:right w:val="none" w:sz="0" w:space="0" w:color="auto"/>
      </w:divBdr>
    </w:div>
    <w:div w:id="851065017">
      <w:marLeft w:val="0"/>
      <w:marRight w:val="0"/>
      <w:marTop w:val="0"/>
      <w:marBottom w:val="0"/>
      <w:divBdr>
        <w:top w:val="none" w:sz="0" w:space="0" w:color="auto"/>
        <w:left w:val="none" w:sz="0" w:space="0" w:color="auto"/>
        <w:bottom w:val="none" w:sz="0" w:space="0" w:color="auto"/>
        <w:right w:val="none" w:sz="0" w:space="0" w:color="auto"/>
      </w:divBdr>
    </w:div>
    <w:div w:id="851065018">
      <w:marLeft w:val="0"/>
      <w:marRight w:val="0"/>
      <w:marTop w:val="0"/>
      <w:marBottom w:val="0"/>
      <w:divBdr>
        <w:top w:val="none" w:sz="0" w:space="0" w:color="auto"/>
        <w:left w:val="none" w:sz="0" w:space="0" w:color="auto"/>
        <w:bottom w:val="none" w:sz="0" w:space="0" w:color="auto"/>
        <w:right w:val="none" w:sz="0" w:space="0" w:color="auto"/>
      </w:divBdr>
    </w:div>
    <w:div w:id="851065019">
      <w:marLeft w:val="0"/>
      <w:marRight w:val="0"/>
      <w:marTop w:val="0"/>
      <w:marBottom w:val="0"/>
      <w:divBdr>
        <w:top w:val="none" w:sz="0" w:space="0" w:color="auto"/>
        <w:left w:val="none" w:sz="0" w:space="0" w:color="auto"/>
        <w:bottom w:val="none" w:sz="0" w:space="0" w:color="auto"/>
        <w:right w:val="none" w:sz="0" w:space="0" w:color="auto"/>
      </w:divBdr>
    </w:div>
    <w:div w:id="851065020">
      <w:marLeft w:val="0"/>
      <w:marRight w:val="0"/>
      <w:marTop w:val="0"/>
      <w:marBottom w:val="0"/>
      <w:divBdr>
        <w:top w:val="none" w:sz="0" w:space="0" w:color="auto"/>
        <w:left w:val="none" w:sz="0" w:space="0" w:color="auto"/>
        <w:bottom w:val="none" w:sz="0" w:space="0" w:color="auto"/>
        <w:right w:val="none" w:sz="0" w:space="0" w:color="auto"/>
      </w:divBdr>
    </w:div>
    <w:div w:id="851065021">
      <w:marLeft w:val="0"/>
      <w:marRight w:val="0"/>
      <w:marTop w:val="0"/>
      <w:marBottom w:val="0"/>
      <w:divBdr>
        <w:top w:val="none" w:sz="0" w:space="0" w:color="auto"/>
        <w:left w:val="none" w:sz="0" w:space="0" w:color="auto"/>
        <w:bottom w:val="none" w:sz="0" w:space="0" w:color="auto"/>
        <w:right w:val="none" w:sz="0" w:space="0" w:color="auto"/>
      </w:divBdr>
    </w:div>
    <w:div w:id="851065022">
      <w:marLeft w:val="0"/>
      <w:marRight w:val="0"/>
      <w:marTop w:val="0"/>
      <w:marBottom w:val="0"/>
      <w:divBdr>
        <w:top w:val="none" w:sz="0" w:space="0" w:color="auto"/>
        <w:left w:val="none" w:sz="0" w:space="0" w:color="auto"/>
        <w:bottom w:val="none" w:sz="0" w:space="0" w:color="auto"/>
        <w:right w:val="none" w:sz="0" w:space="0" w:color="auto"/>
      </w:divBdr>
    </w:div>
    <w:div w:id="851065023">
      <w:marLeft w:val="0"/>
      <w:marRight w:val="0"/>
      <w:marTop w:val="0"/>
      <w:marBottom w:val="0"/>
      <w:divBdr>
        <w:top w:val="none" w:sz="0" w:space="0" w:color="auto"/>
        <w:left w:val="none" w:sz="0" w:space="0" w:color="auto"/>
        <w:bottom w:val="none" w:sz="0" w:space="0" w:color="auto"/>
        <w:right w:val="none" w:sz="0" w:space="0" w:color="auto"/>
      </w:divBdr>
    </w:div>
    <w:div w:id="851065024">
      <w:marLeft w:val="0"/>
      <w:marRight w:val="0"/>
      <w:marTop w:val="0"/>
      <w:marBottom w:val="0"/>
      <w:divBdr>
        <w:top w:val="none" w:sz="0" w:space="0" w:color="auto"/>
        <w:left w:val="none" w:sz="0" w:space="0" w:color="auto"/>
        <w:bottom w:val="none" w:sz="0" w:space="0" w:color="auto"/>
        <w:right w:val="none" w:sz="0" w:space="0" w:color="auto"/>
      </w:divBdr>
    </w:div>
    <w:div w:id="851065025">
      <w:marLeft w:val="0"/>
      <w:marRight w:val="0"/>
      <w:marTop w:val="0"/>
      <w:marBottom w:val="0"/>
      <w:divBdr>
        <w:top w:val="none" w:sz="0" w:space="0" w:color="auto"/>
        <w:left w:val="none" w:sz="0" w:space="0" w:color="auto"/>
        <w:bottom w:val="none" w:sz="0" w:space="0" w:color="auto"/>
        <w:right w:val="none" w:sz="0" w:space="0" w:color="auto"/>
      </w:divBdr>
    </w:div>
    <w:div w:id="851065026">
      <w:marLeft w:val="0"/>
      <w:marRight w:val="0"/>
      <w:marTop w:val="0"/>
      <w:marBottom w:val="0"/>
      <w:divBdr>
        <w:top w:val="none" w:sz="0" w:space="0" w:color="auto"/>
        <w:left w:val="none" w:sz="0" w:space="0" w:color="auto"/>
        <w:bottom w:val="none" w:sz="0" w:space="0" w:color="auto"/>
        <w:right w:val="none" w:sz="0" w:space="0" w:color="auto"/>
      </w:divBdr>
    </w:div>
    <w:div w:id="851065027">
      <w:marLeft w:val="0"/>
      <w:marRight w:val="0"/>
      <w:marTop w:val="0"/>
      <w:marBottom w:val="0"/>
      <w:divBdr>
        <w:top w:val="none" w:sz="0" w:space="0" w:color="auto"/>
        <w:left w:val="none" w:sz="0" w:space="0" w:color="auto"/>
        <w:bottom w:val="none" w:sz="0" w:space="0" w:color="auto"/>
        <w:right w:val="none" w:sz="0" w:space="0" w:color="auto"/>
      </w:divBdr>
    </w:div>
    <w:div w:id="851065028">
      <w:marLeft w:val="0"/>
      <w:marRight w:val="0"/>
      <w:marTop w:val="0"/>
      <w:marBottom w:val="0"/>
      <w:divBdr>
        <w:top w:val="none" w:sz="0" w:space="0" w:color="auto"/>
        <w:left w:val="none" w:sz="0" w:space="0" w:color="auto"/>
        <w:bottom w:val="none" w:sz="0" w:space="0" w:color="auto"/>
        <w:right w:val="none" w:sz="0" w:space="0" w:color="auto"/>
      </w:divBdr>
    </w:div>
    <w:div w:id="851065029">
      <w:marLeft w:val="0"/>
      <w:marRight w:val="0"/>
      <w:marTop w:val="0"/>
      <w:marBottom w:val="0"/>
      <w:divBdr>
        <w:top w:val="none" w:sz="0" w:space="0" w:color="auto"/>
        <w:left w:val="none" w:sz="0" w:space="0" w:color="auto"/>
        <w:bottom w:val="none" w:sz="0" w:space="0" w:color="auto"/>
        <w:right w:val="none" w:sz="0" w:space="0" w:color="auto"/>
      </w:divBdr>
    </w:div>
    <w:div w:id="851065030">
      <w:marLeft w:val="0"/>
      <w:marRight w:val="0"/>
      <w:marTop w:val="0"/>
      <w:marBottom w:val="0"/>
      <w:divBdr>
        <w:top w:val="none" w:sz="0" w:space="0" w:color="auto"/>
        <w:left w:val="none" w:sz="0" w:space="0" w:color="auto"/>
        <w:bottom w:val="none" w:sz="0" w:space="0" w:color="auto"/>
        <w:right w:val="none" w:sz="0" w:space="0" w:color="auto"/>
      </w:divBdr>
    </w:div>
    <w:div w:id="851065031">
      <w:marLeft w:val="0"/>
      <w:marRight w:val="0"/>
      <w:marTop w:val="0"/>
      <w:marBottom w:val="0"/>
      <w:divBdr>
        <w:top w:val="none" w:sz="0" w:space="0" w:color="auto"/>
        <w:left w:val="none" w:sz="0" w:space="0" w:color="auto"/>
        <w:bottom w:val="none" w:sz="0" w:space="0" w:color="auto"/>
        <w:right w:val="none" w:sz="0" w:space="0" w:color="auto"/>
      </w:divBdr>
    </w:div>
    <w:div w:id="851065032">
      <w:marLeft w:val="0"/>
      <w:marRight w:val="0"/>
      <w:marTop w:val="0"/>
      <w:marBottom w:val="0"/>
      <w:divBdr>
        <w:top w:val="none" w:sz="0" w:space="0" w:color="auto"/>
        <w:left w:val="none" w:sz="0" w:space="0" w:color="auto"/>
        <w:bottom w:val="none" w:sz="0" w:space="0" w:color="auto"/>
        <w:right w:val="none" w:sz="0" w:space="0" w:color="auto"/>
      </w:divBdr>
    </w:div>
    <w:div w:id="851065033">
      <w:marLeft w:val="0"/>
      <w:marRight w:val="0"/>
      <w:marTop w:val="0"/>
      <w:marBottom w:val="0"/>
      <w:divBdr>
        <w:top w:val="none" w:sz="0" w:space="0" w:color="auto"/>
        <w:left w:val="none" w:sz="0" w:space="0" w:color="auto"/>
        <w:bottom w:val="none" w:sz="0" w:space="0" w:color="auto"/>
        <w:right w:val="none" w:sz="0" w:space="0" w:color="auto"/>
      </w:divBdr>
    </w:div>
    <w:div w:id="851065034">
      <w:marLeft w:val="0"/>
      <w:marRight w:val="0"/>
      <w:marTop w:val="0"/>
      <w:marBottom w:val="0"/>
      <w:divBdr>
        <w:top w:val="none" w:sz="0" w:space="0" w:color="auto"/>
        <w:left w:val="none" w:sz="0" w:space="0" w:color="auto"/>
        <w:bottom w:val="none" w:sz="0" w:space="0" w:color="auto"/>
        <w:right w:val="none" w:sz="0" w:space="0" w:color="auto"/>
      </w:divBdr>
    </w:div>
    <w:div w:id="851065035">
      <w:marLeft w:val="0"/>
      <w:marRight w:val="0"/>
      <w:marTop w:val="0"/>
      <w:marBottom w:val="0"/>
      <w:divBdr>
        <w:top w:val="none" w:sz="0" w:space="0" w:color="auto"/>
        <w:left w:val="none" w:sz="0" w:space="0" w:color="auto"/>
        <w:bottom w:val="none" w:sz="0" w:space="0" w:color="auto"/>
        <w:right w:val="none" w:sz="0" w:space="0" w:color="auto"/>
      </w:divBdr>
    </w:div>
    <w:div w:id="851065036">
      <w:marLeft w:val="0"/>
      <w:marRight w:val="0"/>
      <w:marTop w:val="0"/>
      <w:marBottom w:val="0"/>
      <w:divBdr>
        <w:top w:val="none" w:sz="0" w:space="0" w:color="auto"/>
        <w:left w:val="none" w:sz="0" w:space="0" w:color="auto"/>
        <w:bottom w:val="none" w:sz="0" w:space="0" w:color="auto"/>
        <w:right w:val="none" w:sz="0" w:space="0" w:color="auto"/>
      </w:divBdr>
    </w:div>
    <w:div w:id="851065037">
      <w:marLeft w:val="0"/>
      <w:marRight w:val="0"/>
      <w:marTop w:val="0"/>
      <w:marBottom w:val="0"/>
      <w:divBdr>
        <w:top w:val="none" w:sz="0" w:space="0" w:color="auto"/>
        <w:left w:val="none" w:sz="0" w:space="0" w:color="auto"/>
        <w:bottom w:val="none" w:sz="0" w:space="0" w:color="auto"/>
        <w:right w:val="none" w:sz="0" w:space="0" w:color="auto"/>
      </w:divBdr>
    </w:div>
    <w:div w:id="851065038">
      <w:marLeft w:val="0"/>
      <w:marRight w:val="0"/>
      <w:marTop w:val="0"/>
      <w:marBottom w:val="0"/>
      <w:divBdr>
        <w:top w:val="none" w:sz="0" w:space="0" w:color="auto"/>
        <w:left w:val="none" w:sz="0" w:space="0" w:color="auto"/>
        <w:bottom w:val="none" w:sz="0" w:space="0" w:color="auto"/>
        <w:right w:val="none" w:sz="0" w:space="0" w:color="auto"/>
      </w:divBdr>
    </w:div>
    <w:div w:id="851065039">
      <w:marLeft w:val="0"/>
      <w:marRight w:val="0"/>
      <w:marTop w:val="0"/>
      <w:marBottom w:val="0"/>
      <w:divBdr>
        <w:top w:val="none" w:sz="0" w:space="0" w:color="auto"/>
        <w:left w:val="none" w:sz="0" w:space="0" w:color="auto"/>
        <w:bottom w:val="none" w:sz="0" w:space="0" w:color="auto"/>
        <w:right w:val="none" w:sz="0" w:space="0" w:color="auto"/>
      </w:divBdr>
    </w:div>
    <w:div w:id="851065040">
      <w:marLeft w:val="0"/>
      <w:marRight w:val="0"/>
      <w:marTop w:val="0"/>
      <w:marBottom w:val="0"/>
      <w:divBdr>
        <w:top w:val="none" w:sz="0" w:space="0" w:color="auto"/>
        <w:left w:val="none" w:sz="0" w:space="0" w:color="auto"/>
        <w:bottom w:val="none" w:sz="0" w:space="0" w:color="auto"/>
        <w:right w:val="none" w:sz="0" w:space="0" w:color="auto"/>
      </w:divBdr>
    </w:div>
    <w:div w:id="851065041">
      <w:marLeft w:val="0"/>
      <w:marRight w:val="0"/>
      <w:marTop w:val="0"/>
      <w:marBottom w:val="0"/>
      <w:divBdr>
        <w:top w:val="none" w:sz="0" w:space="0" w:color="auto"/>
        <w:left w:val="none" w:sz="0" w:space="0" w:color="auto"/>
        <w:bottom w:val="none" w:sz="0" w:space="0" w:color="auto"/>
        <w:right w:val="none" w:sz="0" w:space="0" w:color="auto"/>
      </w:divBdr>
    </w:div>
    <w:div w:id="851065042">
      <w:marLeft w:val="0"/>
      <w:marRight w:val="0"/>
      <w:marTop w:val="0"/>
      <w:marBottom w:val="0"/>
      <w:divBdr>
        <w:top w:val="none" w:sz="0" w:space="0" w:color="auto"/>
        <w:left w:val="none" w:sz="0" w:space="0" w:color="auto"/>
        <w:bottom w:val="none" w:sz="0" w:space="0" w:color="auto"/>
        <w:right w:val="none" w:sz="0" w:space="0" w:color="auto"/>
      </w:divBdr>
    </w:div>
    <w:div w:id="851065043">
      <w:marLeft w:val="0"/>
      <w:marRight w:val="0"/>
      <w:marTop w:val="0"/>
      <w:marBottom w:val="0"/>
      <w:divBdr>
        <w:top w:val="none" w:sz="0" w:space="0" w:color="auto"/>
        <w:left w:val="none" w:sz="0" w:space="0" w:color="auto"/>
        <w:bottom w:val="none" w:sz="0" w:space="0" w:color="auto"/>
        <w:right w:val="none" w:sz="0" w:space="0" w:color="auto"/>
      </w:divBdr>
    </w:div>
    <w:div w:id="851065044">
      <w:marLeft w:val="0"/>
      <w:marRight w:val="0"/>
      <w:marTop w:val="0"/>
      <w:marBottom w:val="0"/>
      <w:divBdr>
        <w:top w:val="none" w:sz="0" w:space="0" w:color="auto"/>
        <w:left w:val="none" w:sz="0" w:space="0" w:color="auto"/>
        <w:bottom w:val="none" w:sz="0" w:space="0" w:color="auto"/>
        <w:right w:val="none" w:sz="0" w:space="0" w:color="auto"/>
      </w:divBdr>
    </w:div>
    <w:div w:id="851065045">
      <w:marLeft w:val="0"/>
      <w:marRight w:val="0"/>
      <w:marTop w:val="0"/>
      <w:marBottom w:val="0"/>
      <w:divBdr>
        <w:top w:val="none" w:sz="0" w:space="0" w:color="auto"/>
        <w:left w:val="none" w:sz="0" w:space="0" w:color="auto"/>
        <w:bottom w:val="none" w:sz="0" w:space="0" w:color="auto"/>
        <w:right w:val="none" w:sz="0" w:space="0" w:color="auto"/>
      </w:divBdr>
    </w:div>
    <w:div w:id="851065046">
      <w:marLeft w:val="0"/>
      <w:marRight w:val="0"/>
      <w:marTop w:val="0"/>
      <w:marBottom w:val="0"/>
      <w:divBdr>
        <w:top w:val="none" w:sz="0" w:space="0" w:color="auto"/>
        <w:left w:val="none" w:sz="0" w:space="0" w:color="auto"/>
        <w:bottom w:val="none" w:sz="0" w:space="0" w:color="auto"/>
        <w:right w:val="none" w:sz="0" w:space="0" w:color="auto"/>
      </w:divBdr>
    </w:div>
    <w:div w:id="851065047">
      <w:marLeft w:val="0"/>
      <w:marRight w:val="0"/>
      <w:marTop w:val="0"/>
      <w:marBottom w:val="0"/>
      <w:divBdr>
        <w:top w:val="none" w:sz="0" w:space="0" w:color="auto"/>
        <w:left w:val="none" w:sz="0" w:space="0" w:color="auto"/>
        <w:bottom w:val="none" w:sz="0" w:space="0" w:color="auto"/>
        <w:right w:val="none" w:sz="0" w:space="0" w:color="auto"/>
      </w:divBdr>
    </w:div>
    <w:div w:id="851065048">
      <w:marLeft w:val="0"/>
      <w:marRight w:val="0"/>
      <w:marTop w:val="0"/>
      <w:marBottom w:val="0"/>
      <w:divBdr>
        <w:top w:val="none" w:sz="0" w:space="0" w:color="auto"/>
        <w:left w:val="none" w:sz="0" w:space="0" w:color="auto"/>
        <w:bottom w:val="none" w:sz="0" w:space="0" w:color="auto"/>
        <w:right w:val="none" w:sz="0" w:space="0" w:color="auto"/>
      </w:divBdr>
    </w:div>
    <w:div w:id="851065049">
      <w:marLeft w:val="0"/>
      <w:marRight w:val="0"/>
      <w:marTop w:val="0"/>
      <w:marBottom w:val="0"/>
      <w:divBdr>
        <w:top w:val="none" w:sz="0" w:space="0" w:color="auto"/>
        <w:left w:val="none" w:sz="0" w:space="0" w:color="auto"/>
        <w:bottom w:val="none" w:sz="0" w:space="0" w:color="auto"/>
        <w:right w:val="none" w:sz="0" w:space="0" w:color="auto"/>
      </w:divBdr>
    </w:div>
    <w:div w:id="851065050">
      <w:marLeft w:val="0"/>
      <w:marRight w:val="0"/>
      <w:marTop w:val="0"/>
      <w:marBottom w:val="0"/>
      <w:divBdr>
        <w:top w:val="none" w:sz="0" w:space="0" w:color="auto"/>
        <w:left w:val="none" w:sz="0" w:space="0" w:color="auto"/>
        <w:bottom w:val="none" w:sz="0" w:space="0" w:color="auto"/>
        <w:right w:val="none" w:sz="0" w:space="0" w:color="auto"/>
      </w:divBdr>
    </w:div>
    <w:div w:id="851065051">
      <w:marLeft w:val="0"/>
      <w:marRight w:val="0"/>
      <w:marTop w:val="0"/>
      <w:marBottom w:val="0"/>
      <w:divBdr>
        <w:top w:val="none" w:sz="0" w:space="0" w:color="auto"/>
        <w:left w:val="none" w:sz="0" w:space="0" w:color="auto"/>
        <w:bottom w:val="none" w:sz="0" w:space="0" w:color="auto"/>
        <w:right w:val="none" w:sz="0" w:space="0" w:color="auto"/>
      </w:divBdr>
    </w:div>
    <w:div w:id="851065052">
      <w:marLeft w:val="0"/>
      <w:marRight w:val="0"/>
      <w:marTop w:val="0"/>
      <w:marBottom w:val="0"/>
      <w:divBdr>
        <w:top w:val="none" w:sz="0" w:space="0" w:color="auto"/>
        <w:left w:val="none" w:sz="0" w:space="0" w:color="auto"/>
        <w:bottom w:val="none" w:sz="0" w:space="0" w:color="auto"/>
        <w:right w:val="none" w:sz="0" w:space="0" w:color="auto"/>
      </w:divBdr>
    </w:div>
    <w:div w:id="851065053">
      <w:marLeft w:val="0"/>
      <w:marRight w:val="0"/>
      <w:marTop w:val="0"/>
      <w:marBottom w:val="0"/>
      <w:divBdr>
        <w:top w:val="none" w:sz="0" w:space="0" w:color="auto"/>
        <w:left w:val="none" w:sz="0" w:space="0" w:color="auto"/>
        <w:bottom w:val="none" w:sz="0" w:space="0" w:color="auto"/>
        <w:right w:val="none" w:sz="0" w:space="0" w:color="auto"/>
      </w:divBdr>
    </w:div>
    <w:div w:id="851065054">
      <w:marLeft w:val="0"/>
      <w:marRight w:val="0"/>
      <w:marTop w:val="0"/>
      <w:marBottom w:val="0"/>
      <w:divBdr>
        <w:top w:val="none" w:sz="0" w:space="0" w:color="auto"/>
        <w:left w:val="none" w:sz="0" w:space="0" w:color="auto"/>
        <w:bottom w:val="none" w:sz="0" w:space="0" w:color="auto"/>
        <w:right w:val="none" w:sz="0" w:space="0" w:color="auto"/>
      </w:divBdr>
    </w:div>
    <w:div w:id="851065055">
      <w:marLeft w:val="0"/>
      <w:marRight w:val="0"/>
      <w:marTop w:val="0"/>
      <w:marBottom w:val="0"/>
      <w:divBdr>
        <w:top w:val="none" w:sz="0" w:space="0" w:color="auto"/>
        <w:left w:val="none" w:sz="0" w:space="0" w:color="auto"/>
        <w:bottom w:val="none" w:sz="0" w:space="0" w:color="auto"/>
        <w:right w:val="none" w:sz="0" w:space="0" w:color="auto"/>
      </w:divBdr>
    </w:div>
    <w:div w:id="851065056">
      <w:marLeft w:val="0"/>
      <w:marRight w:val="0"/>
      <w:marTop w:val="0"/>
      <w:marBottom w:val="0"/>
      <w:divBdr>
        <w:top w:val="none" w:sz="0" w:space="0" w:color="auto"/>
        <w:left w:val="none" w:sz="0" w:space="0" w:color="auto"/>
        <w:bottom w:val="none" w:sz="0" w:space="0" w:color="auto"/>
        <w:right w:val="none" w:sz="0" w:space="0" w:color="auto"/>
      </w:divBdr>
    </w:div>
    <w:div w:id="851065057">
      <w:marLeft w:val="0"/>
      <w:marRight w:val="0"/>
      <w:marTop w:val="0"/>
      <w:marBottom w:val="0"/>
      <w:divBdr>
        <w:top w:val="none" w:sz="0" w:space="0" w:color="auto"/>
        <w:left w:val="none" w:sz="0" w:space="0" w:color="auto"/>
        <w:bottom w:val="none" w:sz="0" w:space="0" w:color="auto"/>
        <w:right w:val="none" w:sz="0" w:space="0" w:color="auto"/>
      </w:divBdr>
    </w:div>
    <w:div w:id="851065058">
      <w:marLeft w:val="0"/>
      <w:marRight w:val="0"/>
      <w:marTop w:val="0"/>
      <w:marBottom w:val="0"/>
      <w:divBdr>
        <w:top w:val="none" w:sz="0" w:space="0" w:color="auto"/>
        <w:left w:val="none" w:sz="0" w:space="0" w:color="auto"/>
        <w:bottom w:val="none" w:sz="0" w:space="0" w:color="auto"/>
        <w:right w:val="none" w:sz="0" w:space="0" w:color="auto"/>
      </w:divBdr>
    </w:div>
    <w:div w:id="851065059">
      <w:marLeft w:val="0"/>
      <w:marRight w:val="0"/>
      <w:marTop w:val="0"/>
      <w:marBottom w:val="0"/>
      <w:divBdr>
        <w:top w:val="none" w:sz="0" w:space="0" w:color="auto"/>
        <w:left w:val="none" w:sz="0" w:space="0" w:color="auto"/>
        <w:bottom w:val="none" w:sz="0" w:space="0" w:color="auto"/>
        <w:right w:val="none" w:sz="0" w:space="0" w:color="auto"/>
      </w:divBdr>
    </w:div>
    <w:div w:id="851065060">
      <w:marLeft w:val="0"/>
      <w:marRight w:val="0"/>
      <w:marTop w:val="0"/>
      <w:marBottom w:val="0"/>
      <w:divBdr>
        <w:top w:val="none" w:sz="0" w:space="0" w:color="auto"/>
        <w:left w:val="none" w:sz="0" w:space="0" w:color="auto"/>
        <w:bottom w:val="none" w:sz="0" w:space="0" w:color="auto"/>
        <w:right w:val="none" w:sz="0" w:space="0" w:color="auto"/>
      </w:divBdr>
    </w:div>
    <w:div w:id="851065061">
      <w:marLeft w:val="0"/>
      <w:marRight w:val="0"/>
      <w:marTop w:val="0"/>
      <w:marBottom w:val="0"/>
      <w:divBdr>
        <w:top w:val="none" w:sz="0" w:space="0" w:color="auto"/>
        <w:left w:val="none" w:sz="0" w:space="0" w:color="auto"/>
        <w:bottom w:val="none" w:sz="0" w:space="0" w:color="auto"/>
        <w:right w:val="none" w:sz="0" w:space="0" w:color="auto"/>
      </w:divBdr>
    </w:div>
    <w:div w:id="851065062">
      <w:marLeft w:val="0"/>
      <w:marRight w:val="0"/>
      <w:marTop w:val="0"/>
      <w:marBottom w:val="0"/>
      <w:divBdr>
        <w:top w:val="none" w:sz="0" w:space="0" w:color="auto"/>
        <w:left w:val="none" w:sz="0" w:space="0" w:color="auto"/>
        <w:bottom w:val="none" w:sz="0" w:space="0" w:color="auto"/>
        <w:right w:val="none" w:sz="0" w:space="0" w:color="auto"/>
      </w:divBdr>
    </w:div>
    <w:div w:id="851065063">
      <w:marLeft w:val="0"/>
      <w:marRight w:val="0"/>
      <w:marTop w:val="0"/>
      <w:marBottom w:val="0"/>
      <w:divBdr>
        <w:top w:val="none" w:sz="0" w:space="0" w:color="auto"/>
        <w:left w:val="none" w:sz="0" w:space="0" w:color="auto"/>
        <w:bottom w:val="none" w:sz="0" w:space="0" w:color="auto"/>
        <w:right w:val="none" w:sz="0" w:space="0" w:color="auto"/>
      </w:divBdr>
    </w:div>
    <w:div w:id="851065064">
      <w:marLeft w:val="0"/>
      <w:marRight w:val="0"/>
      <w:marTop w:val="0"/>
      <w:marBottom w:val="0"/>
      <w:divBdr>
        <w:top w:val="none" w:sz="0" w:space="0" w:color="auto"/>
        <w:left w:val="none" w:sz="0" w:space="0" w:color="auto"/>
        <w:bottom w:val="none" w:sz="0" w:space="0" w:color="auto"/>
        <w:right w:val="none" w:sz="0" w:space="0" w:color="auto"/>
      </w:divBdr>
    </w:div>
    <w:div w:id="851065065">
      <w:marLeft w:val="0"/>
      <w:marRight w:val="0"/>
      <w:marTop w:val="0"/>
      <w:marBottom w:val="0"/>
      <w:divBdr>
        <w:top w:val="none" w:sz="0" w:space="0" w:color="auto"/>
        <w:left w:val="none" w:sz="0" w:space="0" w:color="auto"/>
        <w:bottom w:val="none" w:sz="0" w:space="0" w:color="auto"/>
        <w:right w:val="none" w:sz="0" w:space="0" w:color="auto"/>
      </w:divBdr>
    </w:div>
    <w:div w:id="851065066">
      <w:marLeft w:val="0"/>
      <w:marRight w:val="0"/>
      <w:marTop w:val="0"/>
      <w:marBottom w:val="0"/>
      <w:divBdr>
        <w:top w:val="none" w:sz="0" w:space="0" w:color="auto"/>
        <w:left w:val="none" w:sz="0" w:space="0" w:color="auto"/>
        <w:bottom w:val="none" w:sz="0" w:space="0" w:color="auto"/>
        <w:right w:val="none" w:sz="0" w:space="0" w:color="auto"/>
      </w:divBdr>
    </w:div>
    <w:div w:id="851065067">
      <w:marLeft w:val="0"/>
      <w:marRight w:val="0"/>
      <w:marTop w:val="0"/>
      <w:marBottom w:val="0"/>
      <w:divBdr>
        <w:top w:val="none" w:sz="0" w:space="0" w:color="auto"/>
        <w:left w:val="none" w:sz="0" w:space="0" w:color="auto"/>
        <w:bottom w:val="none" w:sz="0" w:space="0" w:color="auto"/>
        <w:right w:val="none" w:sz="0" w:space="0" w:color="auto"/>
      </w:divBdr>
    </w:div>
    <w:div w:id="851065068">
      <w:marLeft w:val="0"/>
      <w:marRight w:val="0"/>
      <w:marTop w:val="0"/>
      <w:marBottom w:val="0"/>
      <w:divBdr>
        <w:top w:val="none" w:sz="0" w:space="0" w:color="auto"/>
        <w:left w:val="none" w:sz="0" w:space="0" w:color="auto"/>
        <w:bottom w:val="none" w:sz="0" w:space="0" w:color="auto"/>
        <w:right w:val="none" w:sz="0" w:space="0" w:color="auto"/>
      </w:divBdr>
    </w:div>
    <w:div w:id="851065069">
      <w:marLeft w:val="0"/>
      <w:marRight w:val="0"/>
      <w:marTop w:val="0"/>
      <w:marBottom w:val="0"/>
      <w:divBdr>
        <w:top w:val="none" w:sz="0" w:space="0" w:color="auto"/>
        <w:left w:val="none" w:sz="0" w:space="0" w:color="auto"/>
        <w:bottom w:val="none" w:sz="0" w:space="0" w:color="auto"/>
        <w:right w:val="none" w:sz="0" w:space="0" w:color="auto"/>
      </w:divBdr>
    </w:div>
    <w:div w:id="851065070">
      <w:marLeft w:val="0"/>
      <w:marRight w:val="0"/>
      <w:marTop w:val="0"/>
      <w:marBottom w:val="0"/>
      <w:divBdr>
        <w:top w:val="none" w:sz="0" w:space="0" w:color="auto"/>
        <w:left w:val="none" w:sz="0" w:space="0" w:color="auto"/>
        <w:bottom w:val="none" w:sz="0" w:space="0" w:color="auto"/>
        <w:right w:val="none" w:sz="0" w:space="0" w:color="auto"/>
      </w:divBdr>
    </w:div>
    <w:div w:id="851065071">
      <w:marLeft w:val="0"/>
      <w:marRight w:val="0"/>
      <w:marTop w:val="0"/>
      <w:marBottom w:val="0"/>
      <w:divBdr>
        <w:top w:val="none" w:sz="0" w:space="0" w:color="auto"/>
        <w:left w:val="none" w:sz="0" w:space="0" w:color="auto"/>
        <w:bottom w:val="none" w:sz="0" w:space="0" w:color="auto"/>
        <w:right w:val="none" w:sz="0" w:space="0" w:color="auto"/>
      </w:divBdr>
    </w:div>
    <w:div w:id="851065072">
      <w:marLeft w:val="0"/>
      <w:marRight w:val="0"/>
      <w:marTop w:val="0"/>
      <w:marBottom w:val="0"/>
      <w:divBdr>
        <w:top w:val="none" w:sz="0" w:space="0" w:color="auto"/>
        <w:left w:val="none" w:sz="0" w:space="0" w:color="auto"/>
        <w:bottom w:val="none" w:sz="0" w:space="0" w:color="auto"/>
        <w:right w:val="none" w:sz="0" w:space="0" w:color="auto"/>
      </w:divBdr>
    </w:div>
    <w:div w:id="851065073">
      <w:marLeft w:val="0"/>
      <w:marRight w:val="0"/>
      <w:marTop w:val="0"/>
      <w:marBottom w:val="0"/>
      <w:divBdr>
        <w:top w:val="none" w:sz="0" w:space="0" w:color="auto"/>
        <w:left w:val="none" w:sz="0" w:space="0" w:color="auto"/>
        <w:bottom w:val="none" w:sz="0" w:space="0" w:color="auto"/>
        <w:right w:val="none" w:sz="0" w:space="0" w:color="auto"/>
      </w:divBdr>
    </w:div>
    <w:div w:id="851065074">
      <w:marLeft w:val="0"/>
      <w:marRight w:val="0"/>
      <w:marTop w:val="0"/>
      <w:marBottom w:val="0"/>
      <w:divBdr>
        <w:top w:val="none" w:sz="0" w:space="0" w:color="auto"/>
        <w:left w:val="none" w:sz="0" w:space="0" w:color="auto"/>
        <w:bottom w:val="none" w:sz="0" w:space="0" w:color="auto"/>
        <w:right w:val="none" w:sz="0" w:space="0" w:color="auto"/>
      </w:divBdr>
    </w:div>
    <w:div w:id="851065075">
      <w:marLeft w:val="0"/>
      <w:marRight w:val="0"/>
      <w:marTop w:val="0"/>
      <w:marBottom w:val="0"/>
      <w:divBdr>
        <w:top w:val="none" w:sz="0" w:space="0" w:color="auto"/>
        <w:left w:val="none" w:sz="0" w:space="0" w:color="auto"/>
        <w:bottom w:val="none" w:sz="0" w:space="0" w:color="auto"/>
        <w:right w:val="none" w:sz="0" w:space="0" w:color="auto"/>
      </w:divBdr>
    </w:div>
    <w:div w:id="851065076">
      <w:marLeft w:val="0"/>
      <w:marRight w:val="0"/>
      <w:marTop w:val="0"/>
      <w:marBottom w:val="0"/>
      <w:divBdr>
        <w:top w:val="none" w:sz="0" w:space="0" w:color="auto"/>
        <w:left w:val="none" w:sz="0" w:space="0" w:color="auto"/>
        <w:bottom w:val="none" w:sz="0" w:space="0" w:color="auto"/>
        <w:right w:val="none" w:sz="0" w:space="0" w:color="auto"/>
      </w:divBdr>
    </w:div>
    <w:div w:id="851065077">
      <w:marLeft w:val="0"/>
      <w:marRight w:val="0"/>
      <w:marTop w:val="0"/>
      <w:marBottom w:val="0"/>
      <w:divBdr>
        <w:top w:val="none" w:sz="0" w:space="0" w:color="auto"/>
        <w:left w:val="none" w:sz="0" w:space="0" w:color="auto"/>
        <w:bottom w:val="none" w:sz="0" w:space="0" w:color="auto"/>
        <w:right w:val="none" w:sz="0" w:space="0" w:color="auto"/>
      </w:divBdr>
    </w:div>
    <w:div w:id="851065078">
      <w:marLeft w:val="0"/>
      <w:marRight w:val="0"/>
      <w:marTop w:val="0"/>
      <w:marBottom w:val="0"/>
      <w:divBdr>
        <w:top w:val="none" w:sz="0" w:space="0" w:color="auto"/>
        <w:left w:val="none" w:sz="0" w:space="0" w:color="auto"/>
        <w:bottom w:val="none" w:sz="0" w:space="0" w:color="auto"/>
        <w:right w:val="none" w:sz="0" w:space="0" w:color="auto"/>
      </w:divBdr>
    </w:div>
    <w:div w:id="851065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13232</Words>
  <Characters>93921</Characters>
  <Application>Microsoft Office Word</Application>
  <DocSecurity>0</DocSecurity>
  <Lines>782</Lines>
  <Paragraphs>213</Paragraphs>
  <ScaleCrop>false</ScaleCrop>
  <HeadingPairs>
    <vt:vector size="2" baseType="variant">
      <vt:variant>
        <vt:lpstr>Title</vt:lpstr>
      </vt:variant>
      <vt:variant>
        <vt:i4>1</vt:i4>
      </vt:variant>
    </vt:vector>
  </HeadingPairs>
  <TitlesOfParts>
    <vt:vector size="1" baseType="lpstr">
      <vt:lpstr>Koray Öztürk</vt:lpstr>
    </vt:vector>
  </TitlesOfParts>
  <Company>Deloitte &amp; Touche</Company>
  <LinksUpToDate>false</LinksUpToDate>
  <CharactersWithSpaces>106940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Koray Öztürk</dc:title>
  <dc:subject>NOT Reporter v.1</dc:subject>
  <dc:creator>Koray Öztürk</dc:creator>
  <cp:lastModifiedBy>Gulfer Ozbicer</cp:lastModifiedBy>
  <cp:revision>3</cp:revision>
  <cp:lastPrinted>2015-05-04T08:05:00Z</cp:lastPrinted>
  <dcterms:created xsi:type="dcterms:W3CDTF">2015-04-30T14:57:00Z</dcterms:created>
  <dcterms:modified xsi:type="dcterms:W3CDTF">2015-05-04T08:11:00Z</dcterms:modified>
</cp:coreProperties>
</file>