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A0E" w:rsidRPr="00A27292" w:rsidRDefault="00842A0E" w:rsidP="00842A0E">
      <w:pPr>
        <w:ind w:right="-211"/>
        <w:rPr>
          <w:rFonts w:ascii="Arial" w:hAnsi="Arial" w:cs="Arial"/>
          <w:b/>
          <w:sz w:val="36"/>
          <w:lang w:val="tr-TR"/>
        </w:rPr>
      </w:pPr>
    </w:p>
    <w:p w:rsidR="00240307" w:rsidRDefault="00AE0484" w:rsidP="00842A0E">
      <w:pPr>
        <w:ind w:right="-211"/>
        <w:rPr>
          <w:rFonts w:ascii="Arial" w:hAnsi="Arial" w:cs="Arial"/>
          <w:b/>
          <w:sz w:val="44"/>
          <w:lang w:val="tr-TR"/>
        </w:rPr>
      </w:pPr>
      <w:r w:rsidRPr="008C62AF">
        <w:rPr>
          <w:rFonts w:ascii="Arial" w:hAnsi="Arial" w:cs="Arial"/>
          <w:b/>
          <w:sz w:val="44"/>
          <w:lang w:val="tr-TR"/>
        </w:rPr>
        <w:t xml:space="preserve">Ata Portföy Yönetimi </w:t>
      </w:r>
    </w:p>
    <w:p w:rsidR="00F64CA6" w:rsidRPr="008C62AF" w:rsidRDefault="00CA2F72" w:rsidP="00842A0E">
      <w:pPr>
        <w:ind w:right="-211"/>
        <w:rPr>
          <w:rFonts w:ascii="Arial" w:hAnsi="Arial" w:cs="Arial"/>
          <w:b/>
          <w:sz w:val="44"/>
          <w:lang w:val="tr-TR"/>
        </w:rPr>
      </w:pPr>
      <w:r w:rsidRPr="008C62AF">
        <w:rPr>
          <w:rFonts w:ascii="Arial" w:hAnsi="Arial" w:cs="Arial"/>
          <w:b/>
          <w:sz w:val="44"/>
          <w:lang w:val="tr-TR"/>
        </w:rPr>
        <w:t>A</w:t>
      </w:r>
      <w:r w:rsidR="00240307">
        <w:rPr>
          <w:rFonts w:ascii="Arial" w:hAnsi="Arial" w:cs="Arial"/>
          <w:b/>
          <w:sz w:val="44"/>
          <w:lang w:val="tr-TR"/>
        </w:rPr>
        <w:t xml:space="preserve">nonim </w:t>
      </w:r>
      <w:r w:rsidR="00F64CA6" w:rsidRPr="008C62AF">
        <w:rPr>
          <w:rFonts w:ascii="Arial" w:hAnsi="Arial" w:cs="Arial"/>
          <w:b/>
          <w:sz w:val="44"/>
          <w:lang w:val="tr-TR"/>
        </w:rPr>
        <w:t>Ş</w:t>
      </w:r>
      <w:r w:rsidR="00240307">
        <w:rPr>
          <w:rFonts w:ascii="Arial" w:hAnsi="Arial" w:cs="Arial"/>
          <w:b/>
          <w:sz w:val="44"/>
          <w:lang w:val="tr-TR"/>
        </w:rPr>
        <w:t>irketi</w:t>
      </w:r>
    </w:p>
    <w:p w:rsidR="00F64CA6" w:rsidRPr="008C62AF" w:rsidRDefault="00F64CA6" w:rsidP="00842A0E">
      <w:pPr>
        <w:ind w:left="284" w:right="238"/>
        <w:rPr>
          <w:rFonts w:ascii="Arial" w:hAnsi="Arial" w:cs="Arial"/>
          <w:b/>
          <w:lang w:val="tr-TR"/>
        </w:rPr>
      </w:pPr>
    </w:p>
    <w:p w:rsidR="00C0407E" w:rsidRPr="008C62AF" w:rsidRDefault="00C0407E" w:rsidP="00C0407E">
      <w:pPr>
        <w:jc w:val="both"/>
        <w:rPr>
          <w:rFonts w:ascii="Arial" w:hAnsi="Arial" w:cs="Arial"/>
          <w:b/>
          <w:sz w:val="28"/>
          <w:szCs w:val="24"/>
        </w:rPr>
      </w:pPr>
      <w:r w:rsidRPr="008C62AF">
        <w:rPr>
          <w:rFonts w:ascii="Arial" w:hAnsi="Arial" w:cs="Arial"/>
          <w:b/>
          <w:sz w:val="28"/>
          <w:szCs w:val="24"/>
        </w:rPr>
        <w:t xml:space="preserve">1 Ocak - </w:t>
      </w:r>
      <w:proofErr w:type="gramStart"/>
      <w:r w:rsidRPr="008C62AF">
        <w:rPr>
          <w:rFonts w:ascii="Arial" w:hAnsi="Arial" w:cs="Arial"/>
          <w:b/>
          <w:sz w:val="28"/>
          <w:szCs w:val="24"/>
        </w:rPr>
        <w:t xml:space="preserve">31 </w:t>
      </w:r>
      <w:r w:rsidR="00615271">
        <w:rPr>
          <w:rFonts w:ascii="Arial" w:hAnsi="Arial" w:cs="Arial"/>
          <w:b/>
          <w:sz w:val="28"/>
          <w:szCs w:val="24"/>
        </w:rPr>
        <w:t>Mart</w:t>
      </w:r>
      <w:r w:rsidRPr="008C62AF">
        <w:rPr>
          <w:rFonts w:ascii="Arial" w:hAnsi="Arial" w:cs="Arial"/>
          <w:b/>
          <w:sz w:val="28"/>
          <w:szCs w:val="24"/>
        </w:rPr>
        <w:t xml:space="preserve"> </w:t>
      </w:r>
      <w:r w:rsidR="009E6AD4">
        <w:rPr>
          <w:rFonts w:ascii="Arial" w:hAnsi="Arial" w:cs="Arial"/>
          <w:b/>
          <w:sz w:val="28"/>
          <w:szCs w:val="24"/>
        </w:rPr>
        <w:t>201</w:t>
      </w:r>
      <w:r w:rsidR="00615271">
        <w:rPr>
          <w:rFonts w:ascii="Arial" w:hAnsi="Arial" w:cs="Arial"/>
          <w:b/>
          <w:sz w:val="28"/>
          <w:szCs w:val="24"/>
        </w:rPr>
        <w:t>4</w:t>
      </w:r>
      <w:r w:rsidRPr="008C62AF">
        <w:rPr>
          <w:rFonts w:ascii="Arial" w:hAnsi="Arial" w:cs="Arial"/>
          <w:b/>
          <w:sz w:val="28"/>
          <w:szCs w:val="24"/>
        </w:rPr>
        <w:t xml:space="preserve"> hesap dönemine ait</w:t>
      </w:r>
      <w:proofErr w:type="gramEnd"/>
      <w:r w:rsidRPr="008C62AF">
        <w:rPr>
          <w:rFonts w:ascii="Arial" w:hAnsi="Arial" w:cs="Arial"/>
          <w:b/>
          <w:sz w:val="28"/>
          <w:szCs w:val="24"/>
        </w:rPr>
        <w:t xml:space="preserve"> </w:t>
      </w:r>
    </w:p>
    <w:p w:rsidR="00615271" w:rsidRDefault="00057DFA" w:rsidP="00A65CFF">
      <w:pPr>
        <w:pStyle w:val="Heading6"/>
        <w:ind w:left="0" w:firstLine="0"/>
        <w:rPr>
          <w:rFonts w:ascii="Arial" w:hAnsi="Arial" w:cs="Arial"/>
          <w:b/>
          <w:sz w:val="28"/>
          <w:szCs w:val="22"/>
          <w:lang w:val="tr-TR"/>
        </w:rPr>
      </w:pPr>
      <w:r w:rsidRPr="008C62AF">
        <w:rPr>
          <w:rFonts w:ascii="Arial" w:hAnsi="Arial" w:cs="Arial"/>
          <w:b/>
          <w:sz w:val="28"/>
          <w:szCs w:val="22"/>
          <w:lang w:val="tr-TR"/>
        </w:rPr>
        <w:t xml:space="preserve">finansal tablolar </w:t>
      </w:r>
    </w:p>
    <w:p w:rsidR="00615271" w:rsidRDefault="00615271" w:rsidP="00615271">
      <w:pPr>
        <w:rPr>
          <w:lang w:val="tr-TR"/>
        </w:rPr>
      </w:pPr>
    </w:p>
    <w:p w:rsidR="00842A0E" w:rsidRPr="00615271" w:rsidRDefault="00842A0E" w:rsidP="00615271">
      <w:pPr>
        <w:rPr>
          <w:lang w:val="tr-TR"/>
        </w:rPr>
        <w:sectPr w:rsidR="00842A0E" w:rsidRPr="00615271" w:rsidSect="00EC45B3">
          <w:pgSz w:w="11907" w:h="16834" w:code="9"/>
          <w:pgMar w:top="2155" w:right="1814" w:bottom="11964" w:left="2665" w:header="709" w:footer="992" w:gutter="0"/>
          <w:pgNumType w:start="2"/>
          <w:cols w:space="708"/>
          <w:docGrid w:linePitch="272"/>
        </w:sectPr>
      </w:pPr>
    </w:p>
    <w:p w:rsidR="00257513" w:rsidRPr="00D00722" w:rsidRDefault="00257513" w:rsidP="00257513">
      <w:pPr>
        <w:widowControl w:val="0"/>
        <w:rPr>
          <w:rFonts w:ascii="Arial" w:hAnsi="Arial" w:cs="Arial"/>
          <w:b/>
          <w:lang w:val="tr-TR"/>
        </w:rPr>
      </w:pPr>
      <w:r w:rsidRPr="00D00722">
        <w:rPr>
          <w:rFonts w:ascii="Arial" w:hAnsi="Arial" w:cs="Arial"/>
          <w:b/>
          <w:lang w:val="tr-TR"/>
        </w:rPr>
        <w:lastRenderedPageBreak/>
        <w:t>Ata Portföy Yönetimi A.Ş.</w:t>
      </w:r>
    </w:p>
    <w:p w:rsidR="00257513" w:rsidRPr="00D00722" w:rsidRDefault="00257513" w:rsidP="00257513">
      <w:pPr>
        <w:widowControl w:val="0"/>
        <w:rPr>
          <w:rFonts w:ascii="Arial" w:hAnsi="Arial" w:cs="Arial"/>
          <w:lang w:val="tr-TR"/>
        </w:rPr>
      </w:pPr>
    </w:p>
    <w:p w:rsidR="00257513" w:rsidRPr="00D00722" w:rsidRDefault="00257513" w:rsidP="00257513">
      <w:pPr>
        <w:ind w:right="-284"/>
        <w:rPr>
          <w:rFonts w:ascii="Arial" w:hAnsi="Arial" w:cs="Arial"/>
          <w:bCs/>
          <w:lang w:val="tr-TR"/>
        </w:rPr>
      </w:pPr>
      <w:r w:rsidRPr="00D00722">
        <w:rPr>
          <w:rFonts w:ascii="Arial" w:hAnsi="Arial" w:cs="Arial"/>
          <w:bCs/>
          <w:lang w:val="tr-TR"/>
        </w:rPr>
        <w:cr/>
      </w:r>
    </w:p>
    <w:p w:rsidR="00257513" w:rsidRPr="00D00722" w:rsidRDefault="00257513" w:rsidP="00257513">
      <w:pPr>
        <w:widowControl w:val="0"/>
        <w:rPr>
          <w:rFonts w:ascii="Arial" w:hAnsi="Arial" w:cs="Arial"/>
          <w:bCs/>
          <w:lang w:val="tr-TR"/>
        </w:rPr>
      </w:pPr>
    </w:p>
    <w:p w:rsidR="00257513" w:rsidRPr="00D00722" w:rsidRDefault="00257513" w:rsidP="00257513">
      <w:pPr>
        <w:widowControl w:val="0"/>
        <w:tabs>
          <w:tab w:val="right" w:pos="9071"/>
        </w:tabs>
        <w:spacing w:line="360" w:lineRule="auto"/>
        <w:rPr>
          <w:rFonts w:ascii="Arial" w:hAnsi="Arial" w:cs="Arial"/>
          <w:b/>
          <w:lang w:val="tr-TR"/>
        </w:rPr>
      </w:pPr>
      <w:r w:rsidRPr="00D00722">
        <w:rPr>
          <w:rFonts w:ascii="Arial" w:hAnsi="Arial" w:cs="Arial"/>
          <w:b/>
          <w:bCs/>
          <w:lang w:val="tr-TR"/>
        </w:rPr>
        <w:t>İçindekiler</w:t>
      </w:r>
      <w:r w:rsidRPr="00D00722">
        <w:rPr>
          <w:rFonts w:ascii="Arial" w:hAnsi="Arial" w:cs="Arial"/>
          <w:b/>
          <w:lang w:val="tr-TR"/>
        </w:rPr>
        <w:t xml:space="preserve"> </w:t>
      </w:r>
      <w:r w:rsidRPr="00D00722">
        <w:rPr>
          <w:rFonts w:ascii="Arial" w:hAnsi="Arial" w:cs="Arial"/>
          <w:b/>
          <w:lang w:val="tr-TR"/>
        </w:rPr>
        <w:tab/>
      </w:r>
      <w:r w:rsidRPr="00D00722">
        <w:rPr>
          <w:rFonts w:ascii="Arial" w:hAnsi="Arial" w:cs="Arial"/>
          <w:b/>
          <w:u w:val="single"/>
          <w:lang w:val="tr-TR"/>
        </w:rPr>
        <w:t>Sayfa</w:t>
      </w:r>
    </w:p>
    <w:p w:rsidR="00257513" w:rsidRPr="00D00722" w:rsidRDefault="004336B4" w:rsidP="00257513">
      <w:pPr>
        <w:pStyle w:val="ABLOCKPARA10"/>
        <w:tabs>
          <w:tab w:val="right" w:pos="9071"/>
        </w:tabs>
        <w:spacing w:line="360" w:lineRule="auto"/>
        <w:rPr>
          <w:rFonts w:ascii="Arial" w:hAnsi="Arial" w:cs="Arial"/>
          <w:lang w:val="tr-TR"/>
        </w:rPr>
      </w:pPr>
      <w:r w:rsidRPr="00D00722">
        <w:rPr>
          <w:rFonts w:ascii="Arial" w:hAnsi="Arial" w:cs="Arial"/>
          <w:bCs/>
          <w:lang w:val="tr-TR"/>
        </w:rPr>
        <w:t>Finansal durum tablosu (Bilanço)</w:t>
      </w:r>
      <w:r w:rsidR="00257513" w:rsidRPr="00D00722">
        <w:rPr>
          <w:rFonts w:ascii="Arial" w:hAnsi="Arial" w:cs="Arial"/>
          <w:lang w:val="tr-TR"/>
        </w:rPr>
        <w:tab/>
      </w:r>
      <w:r w:rsidR="00AF4AEE" w:rsidRPr="00D00722">
        <w:rPr>
          <w:rFonts w:ascii="Arial" w:hAnsi="Arial" w:cs="Arial"/>
          <w:lang w:val="tr-TR"/>
        </w:rPr>
        <w:t>3</w:t>
      </w:r>
    </w:p>
    <w:p w:rsidR="00257513" w:rsidRPr="00D00722" w:rsidRDefault="004336B4" w:rsidP="00257513">
      <w:pPr>
        <w:pStyle w:val="ABLOCKPARA10"/>
        <w:tabs>
          <w:tab w:val="right" w:pos="9071"/>
        </w:tabs>
        <w:spacing w:line="360" w:lineRule="auto"/>
        <w:rPr>
          <w:rFonts w:ascii="Arial" w:hAnsi="Arial" w:cs="Arial"/>
          <w:lang w:val="tr-TR"/>
        </w:rPr>
      </w:pPr>
      <w:r w:rsidRPr="00D00722">
        <w:rPr>
          <w:rFonts w:ascii="Arial" w:hAnsi="Arial" w:cs="Arial"/>
          <w:bCs/>
          <w:lang w:val="tr-TR"/>
        </w:rPr>
        <w:t>Kar veya zarar ve diğer kapsamlı gelir tablosu</w:t>
      </w:r>
      <w:r w:rsidR="00257513" w:rsidRPr="00D00722">
        <w:rPr>
          <w:rFonts w:ascii="Arial" w:hAnsi="Arial" w:cs="Arial"/>
          <w:lang w:val="tr-TR"/>
        </w:rPr>
        <w:tab/>
      </w:r>
      <w:r w:rsidR="00F271C8" w:rsidRPr="00D00722">
        <w:rPr>
          <w:rFonts w:ascii="Arial" w:hAnsi="Arial" w:cs="Arial"/>
          <w:lang w:val="tr-TR"/>
        </w:rPr>
        <w:t>4</w:t>
      </w:r>
    </w:p>
    <w:p w:rsidR="00257513" w:rsidRPr="00D00722" w:rsidRDefault="004336B4" w:rsidP="00257513">
      <w:pPr>
        <w:pStyle w:val="ABLOCKPARA10"/>
        <w:tabs>
          <w:tab w:val="right" w:pos="9071"/>
        </w:tabs>
        <w:spacing w:line="360" w:lineRule="auto"/>
        <w:rPr>
          <w:rFonts w:ascii="Arial" w:hAnsi="Arial" w:cs="Arial"/>
          <w:lang w:val="tr-TR"/>
        </w:rPr>
      </w:pPr>
      <w:r w:rsidRPr="00D00722">
        <w:rPr>
          <w:rFonts w:ascii="Arial" w:hAnsi="Arial" w:cs="Arial"/>
          <w:lang w:val="tr-TR"/>
        </w:rPr>
        <w:t xml:space="preserve">Özkaynaklar </w:t>
      </w:r>
      <w:r w:rsidR="00257513" w:rsidRPr="00D00722">
        <w:rPr>
          <w:rFonts w:ascii="Arial" w:hAnsi="Arial" w:cs="Arial"/>
          <w:lang w:val="tr-TR"/>
        </w:rPr>
        <w:t>değişim tablosu</w:t>
      </w:r>
      <w:r w:rsidR="00257513" w:rsidRPr="00D00722">
        <w:rPr>
          <w:rFonts w:ascii="Arial" w:hAnsi="Arial" w:cs="Arial"/>
          <w:lang w:val="tr-TR"/>
        </w:rPr>
        <w:tab/>
      </w:r>
      <w:r w:rsidR="00F271C8" w:rsidRPr="00D00722">
        <w:rPr>
          <w:rFonts w:ascii="Arial" w:hAnsi="Arial" w:cs="Arial"/>
          <w:lang w:val="tr-TR"/>
        </w:rPr>
        <w:t>5</w:t>
      </w:r>
    </w:p>
    <w:p w:rsidR="00257513" w:rsidRPr="00D00722" w:rsidRDefault="009B3641" w:rsidP="00257513">
      <w:pPr>
        <w:pStyle w:val="ABLOCKPARA10"/>
        <w:tabs>
          <w:tab w:val="right" w:pos="9071"/>
        </w:tabs>
        <w:spacing w:line="360" w:lineRule="auto"/>
        <w:rPr>
          <w:rFonts w:ascii="Arial" w:hAnsi="Arial" w:cs="Arial"/>
          <w:lang w:val="tr-TR"/>
        </w:rPr>
      </w:pPr>
      <w:r w:rsidRPr="00D00722">
        <w:rPr>
          <w:rFonts w:ascii="Arial" w:hAnsi="Arial" w:cs="Arial"/>
          <w:lang w:val="tr-TR"/>
        </w:rPr>
        <w:t>N</w:t>
      </w:r>
      <w:r w:rsidR="00257513" w:rsidRPr="00D00722">
        <w:rPr>
          <w:rFonts w:ascii="Arial" w:hAnsi="Arial" w:cs="Arial"/>
          <w:lang w:val="tr-TR"/>
        </w:rPr>
        <w:t>akit akı</w:t>
      </w:r>
      <w:r w:rsidR="004336B4" w:rsidRPr="00D00722">
        <w:rPr>
          <w:rFonts w:ascii="Arial" w:hAnsi="Arial" w:cs="Arial"/>
          <w:lang w:val="tr-TR"/>
        </w:rPr>
        <w:t>ş</w:t>
      </w:r>
      <w:r w:rsidR="00257513" w:rsidRPr="00D00722">
        <w:rPr>
          <w:rFonts w:ascii="Arial" w:hAnsi="Arial" w:cs="Arial"/>
          <w:lang w:val="tr-TR"/>
        </w:rPr>
        <w:t xml:space="preserve"> tablosu</w:t>
      </w:r>
      <w:r w:rsidR="00257513" w:rsidRPr="00D00722">
        <w:rPr>
          <w:rFonts w:ascii="Arial" w:hAnsi="Arial" w:cs="Arial"/>
          <w:lang w:val="tr-TR"/>
        </w:rPr>
        <w:tab/>
      </w:r>
      <w:r w:rsidR="00F271C8" w:rsidRPr="00D00722">
        <w:rPr>
          <w:rFonts w:ascii="Arial" w:hAnsi="Arial" w:cs="Arial"/>
          <w:lang w:val="tr-TR"/>
        </w:rPr>
        <w:t>6</w:t>
      </w:r>
    </w:p>
    <w:p w:rsidR="00257513" w:rsidRPr="00D00722" w:rsidRDefault="009B3641" w:rsidP="00257513">
      <w:pPr>
        <w:tabs>
          <w:tab w:val="right" w:pos="9071"/>
        </w:tabs>
        <w:spacing w:line="360" w:lineRule="auto"/>
        <w:rPr>
          <w:rFonts w:ascii="Arial" w:hAnsi="Arial" w:cs="Arial"/>
          <w:lang w:val="tr-TR"/>
        </w:rPr>
      </w:pPr>
      <w:r w:rsidRPr="00D00722">
        <w:rPr>
          <w:rFonts w:ascii="Arial" w:hAnsi="Arial" w:cs="Arial"/>
          <w:lang w:val="tr-TR"/>
        </w:rPr>
        <w:t>F</w:t>
      </w:r>
      <w:r w:rsidR="00257513" w:rsidRPr="00D00722">
        <w:rPr>
          <w:rFonts w:ascii="Arial" w:hAnsi="Arial" w:cs="Arial"/>
          <w:lang w:val="tr-TR"/>
        </w:rPr>
        <w:t xml:space="preserve">inansal tablolara </w:t>
      </w:r>
      <w:r w:rsidR="004336B4" w:rsidRPr="00D00722">
        <w:rPr>
          <w:rFonts w:ascii="Arial" w:hAnsi="Arial" w:cs="Arial"/>
          <w:lang w:val="tr-TR"/>
        </w:rPr>
        <w:t xml:space="preserve">ait açıklayıcı  </w:t>
      </w:r>
      <w:r w:rsidR="00257513" w:rsidRPr="00D00722">
        <w:rPr>
          <w:rFonts w:ascii="Arial" w:hAnsi="Arial" w:cs="Arial"/>
          <w:lang w:val="tr-TR"/>
        </w:rPr>
        <w:t>dipnotlar</w:t>
      </w:r>
      <w:r w:rsidR="00257513" w:rsidRPr="00D00722">
        <w:rPr>
          <w:rFonts w:ascii="Arial" w:hAnsi="Arial" w:cs="Arial"/>
          <w:lang w:val="tr-TR"/>
        </w:rPr>
        <w:tab/>
      </w:r>
      <w:r w:rsidR="00F271C8" w:rsidRPr="00D00722">
        <w:rPr>
          <w:rFonts w:ascii="Arial" w:hAnsi="Arial" w:cs="Arial"/>
          <w:lang w:val="tr-TR"/>
        </w:rPr>
        <w:t>7</w:t>
      </w:r>
      <w:r w:rsidR="00180D11" w:rsidRPr="00D00722">
        <w:rPr>
          <w:rFonts w:ascii="Arial" w:hAnsi="Arial" w:cs="Arial"/>
          <w:lang w:val="tr-TR"/>
        </w:rPr>
        <w:t xml:space="preserve"> – </w:t>
      </w:r>
      <w:r w:rsidR="00BD45DD" w:rsidRPr="00D00722">
        <w:rPr>
          <w:rFonts w:ascii="Arial" w:hAnsi="Arial" w:cs="Arial"/>
          <w:lang w:val="tr-TR"/>
        </w:rPr>
        <w:t>4</w:t>
      </w:r>
      <w:r w:rsidR="00B96218" w:rsidRPr="00D00722">
        <w:rPr>
          <w:rFonts w:ascii="Arial" w:hAnsi="Arial" w:cs="Arial"/>
          <w:lang w:val="tr-TR"/>
        </w:rPr>
        <w:t>1</w:t>
      </w:r>
    </w:p>
    <w:p w:rsidR="004B5888" w:rsidRPr="00D00722" w:rsidRDefault="004B5888" w:rsidP="008848C3">
      <w:pPr>
        <w:rPr>
          <w:rFonts w:ascii="Arial" w:hAnsi="Arial" w:cs="Arial"/>
          <w:b/>
          <w:lang w:val="tr-TR"/>
        </w:rPr>
        <w:sectPr w:rsidR="004B5888" w:rsidRPr="00D00722" w:rsidSect="00A53679">
          <w:pgSz w:w="11907" w:h="16834" w:code="9"/>
          <w:pgMar w:top="2835" w:right="1418" w:bottom="1418" w:left="1418" w:header="708" w:footer="992" w:gutter="0"/>
          <w:pgNumType w:start="2"/>
          <w:cols w:space="708"/>
          <w:docGrid w:linePitch="272"/>
        </w:sectPr>
      </w:pPr>
    </w:p>
    <w:p w:rsidR="00CD2CE1" w:rsidRPr="00D00722" w:rsidRDefault="00CD2CE1">
      <w:pPr>
        <w:rPr>
          <w:rFonts w:ascii="Arial" w:hAnsi="Arial" w:cs="Arial"/>
        </w:rPr>
      </w:pPr>
    </w:p>
    <w:tbl>
      <w:tblPr>
        <w:tblW w:w="9072" w:type="dxa"/>
        <w:tblInd w:w="108" w:type="dxa"/>
        <w:tblLayout w:type="fixed"/>
        <w:tblLook w:val="04A0"/>
      </w:tblPr>
      <w:tblGrid>
        <w:gridCol w:w="5103"/>
        <w:gridCol w:w="1134"/>
        <w:gridCol w:w="1418"/>
        <w:gridCol w:w="1417"/>
      </w:tblGrid>
      <w:tr w:rsidR="00615271" w:rsidRPr="00D00722" w:rsidTr="00615271">
        <w:trPr>
          <w:trHeight w:val="113"/>
        </w:trPr>
        <w:tc>
          <w:tcPr>
            <w:tcW w:w="5103" w:type="dxa"/>
            <w:tcBorders>
              <w:top w:val="single" w:sz="4" w:space="0" w:color="auto"/>
              <w:left w:val="nil"/>
              <w:bottom w:val="single" w:sz="4" w:space="0" w:color="auto"/>
              <w:right w:val="nil"/>
            </w:tcBorders>
            <w:shd w:val="clear" w:color="auto" w:fill="auto"/>
            <w:noWrap/>
            <w:vAlign w:val="bottom"/>
            <w:hideMark/>
          </w:tcPr>
          <w:p w:rsidR="00615271" w:rsidRPr="00D00722" w:rsidRDefault="00615271" w:rsidP="00A870BB">
            <w:pPr>
              <w:ind w:hanging="108"/>
              <w:rPr>
                <w:rFonts w:ascii="Arial" w:hAnsi="Arial" w:cs="Arial"/>
                <w:color w:val="000000"/>
                <w:sz w:val="16"/>
                <w:szCs w:val="16"/>
              </w:rPr>
            </w:pPr>
            <w:r w:rsidRPr="00D00722">
              <w:rPr>
                <w:rFonts w:ascii="Arial" w:hAnsi="Arial" w:cs="Arial"/>
                <w:color w:val="000000"/>
                <w:sz w:val="16"/>
                <w:szCs w:val="16"/>
              </w:rPr>
              <w:t> </w:t>
            </w:r>
          </w:p>
        </w:tc>
        <w:tc>
          <w:tcPr>
            <w:tcW w:w="1134" w:type="dxa"/>
            <w:tcBorders>
              <w:top w:val="single" w:sz="4" w:space="0" w:color="auto"/>
              <w:left w:val="nil"/>
              <w:bottom w:val="single" w:sz="4" w:space="0" w:color="auto"/>
              <w:right w:val="nil"/>
            </w:tcBorders>
            <w:shd w:val="clear" w:color="auto" w:fill="auto"/>
            <w:noWrap/>
            <w:vAlign w:val="bottom"/>
            <w:hideMark/>
          </w:tcPr>
          <w:p w:rsidR="00615271" w:rsidRPr="00D00722" w:rsidRDefault="00615271" w:rsidP="00A27292">
            <w:pPr>
              <w:jc w:val="right"/>
              <w:rPr>
                <w:rFonts w:ascii="Arial" w:hAnsi="Arial" w:cs="Arial"/>
                <w:color w:val="000000"/>
                <w:sz w:val="16"/>
                <w:szCs w:val="16"/>
              </w:rPr>
            </w:pPr>
          </w:p>
        </w:tc>
        <w:tc>
          <w:tcPr>
            <w:tcW w:w="1418" w:type="dxa"/>
            <w:tcBorders>
              <w:top w:val="single" w:sz="4" w:space="0" w:color="auto"/>
              <w:left w:val="nil"/>
              <w:bottom w:val="single" w:sz="4" w:space="0" w:color="auto"/>
              <w:right w:val="nil"/>
            </w:tcBorders>
            <w:shd w:val="clear" w:color="auto" w:fill="auto"/>
            <w:vAlign w:val="bottom"/>
            <w:hideMark/>
          </w:tcPr>
          <w:p w:rsidR="00615271" w:rsidRPr="00D00722" w:rsidRDefault="00615271" w:rsidP="00A27292">
            <w:pPr>
              <w:jc w:val="right"/>
              <w:rPr>
                <w:rFonts w:ascii="Arial" w:hAnsi="Arial" w:cs="Arial"/>
                <w:b/>
                <w:bCs/>
                <w:sz w:val="16"/>
                <w:szCs w:val="16"/>
              </w:rPr>
            </w:pPr>
            <w:r w:rsidRPr="00D00722">
              <w:rPr>
                <w:rFonts w:ascii="Arial" w:hAnsi="Arial" w:cs="Arial"/>
                <w:b/>
                <w:bCs/>
                <w:sz w:val="16"/>
                <w:szCs w:val="16"/>
              </w:rPr>
              <w:t>Bağımsız</w:t>
            </w:r>
          </w:p>
          <w:p w:rsidR="00615271" w:rsidRPr="00D00722" w:rsidRDefault="00615271" w:rsidP="00A27292">
            <w:pPr>
              <w:jc w:val="right"/>
              <w:rPr>
                <w:rFonts w:ascii="Arial" w:hAnsi="Arial" w:cs="Arial"/>
                <w:b/>
                <w:bCs/>
                <w:sz w:val="16"/>
                <w:szCs w:val="16"/>
              </w:rPr>
            </w:pPr>
            <w:r w:rsidRPr="00D00722">
              <w:rPr>
                <w:rFonts w:ascii="Arial" w:hAnsi="Arial" w:cs="Arial"/>
                <w:b/>
                <w:bCs/>
                <w:sz w:val="16"/>
                <w:szCs w:val="16"/>
              </w:rPr>
              <w:t>denetimden</w:t>
            </w:r>
          </w:p>
          <w:p w:rsidR="00615271" w:rsidRPr="00D00722" w:rsidRDefault="00615271" w:rsidP="00615271">
            <w:pPr>
              <w:jc w:val="right"/>
              <w:rPr>
                <w:rFonts w:ascii="Arial" w:hAnsi="Arial" w:cs="Arial"/>
                <w:b/>
                <w:bCs/>
                <w:sz w:val="16"/>
                <w:szCs w:val="16"/>
              </w:rPr>
            </w:pPr>
            <w:r w:rsidRPr="00D00722">
              <w:rPr>
                <w:rFonts w:ascii="Arial" w:hAnsi="Arial" w:cs="Arial"/>
                <w:b/>
                <w:bCs/>
                <w:sz w:val="16"/>
                <w:szCs w:val="16"/>
              </w:rPr>
              <w:t>geçmemiş</w:t>
            </w:r>
          </w:p>
        </w:tc>
        <w:tc>
          <w:tcPr>
            <w:tcW w:w="1417" w:type="dxa"/>
            <w:tcBorders>
              <w:top w:val="single" w:sz="4" w:space="0" w:color="auto"/>
              <w:left w:val="nil"/>
              <w:bottom w:val="single" w:sz="4" w:space="0" w:color="auto"/>
              <w:right w:val="nil"/>
            </w:tcBorders>
            <w:vAlign w:val="bottom"/>
          </w:tcPr>
          <w:p w:rsidR="00615271" w:rsidRPr="00D00722" w:rsidRDefault="00615271" w:rsidP="00615271">
            <w:pPr>
              <w:jc w:val="right"/>
              <w:rPr>
                <w:rFonts w:ascii="Arial" w:hAnsi="Arial" w:cs="Arial"/>
                <w:bCs/>
                <w:sz w:val="16"/>
                <w:szCs w:val="16"/>
              </w:rPr>
            </w:pPr>
            <w:r w:rsidRPr="00D00722">
              <w:rPr>
                <w:rFonts w:ascii="Arial" w:hAnsi="Arial" w:cs="Arial"/>
                <w:bCs/>
                <w:sz w:val="16"/>
                <w:szCs w:val="16"/>
              </w:rPr>
              <w:t>Bağımsız</w:t>
            </w:r>
          </w:p>
          <w:p w:rsidR="00615271" w:rsidRPr="00D00722" w:rsidRDefault="00615271" w:rsidP="00615271">
            <w:pPr>
              <w:jc w:val="right"/>
              <w:rPr>
                <w:rFonts w:ascii="Arial" w:hAnsi="Arial" w:cs="Arial"/>
                <w:bCs/>
                <w:sz w:val="16"/>
                <w:szCs w:val="16"/>
              </w:rPr>
            </w:pPr>
            <w:r w:rsidRPr="00D00722">
              <w:rPr>
                <w:rFonts w:ascii="Arial" w:hAnsi="Arial" w:cs="Arial"/>
                <w:bCs/>
                <w:sz w:val="16"/>
                <w:szCs w:val="16"/>
              </w:rPr>
              <w:t>denetimden</w:t>
            </w:r>
          </w:p>
          <w:p w:rsidR="00615271" w:rsidRPr="00D00722" w:rsidRDefault="00615271" w:rsidP="00615271">
            <w:pPr>
              <w:jc w:val="right"/>
              <w:rPr>
                <w:rFonts w:ascii="Arial" w:hAnsi="Arial" w:cs="Arial"/>
                <w:bCs/>
                <w:sz w:val="16"/>
                <w:szCs w:val="16"/>
              </w:rPr>
            </w:pPr>
            <w:r w:rsidRPr="00D00722">
              <w:rPr>
                <w:rFonts w:ascii="Arial" w:hAnsi="Arial" w:cs="Arial"/>
                <w:bCs/>
                <w:sz w:val="16"/>
                <w:szCs w:val="16"/>
              </w:rPr>
              <w:t>geçmiş</w:t>
            </w:r>
          </w:p>
        </w:tc>
      </w:tr>
      <w:tr w:rsidR="00615271" w:rsidRPr="00D00722" w:rsidTr="00615271">
        <w:trPr>
          <w:trHeight w:val="113"/>
        </w:trPr>
        <w:tc>
          <w:tcPr>
            <w:tcW w:w="5103" w:type="dxa"/>
            <w:tcBorders>
              <w:top w:val="nil"/>
              <w:left w:val="nil"/>
              <w:bottom w:val="single" w:sz="4" w:space="0" w:color="auto"/>
              <w:right w:val="nil"/>
            </w:tcBorders>
            <w:shd w:val="clear" w:color="auto" w:fill="auto"/>
            <w:noWrap/>
            <w:vAlign w:val="bottom"/>
            <w:hideMark/>
          </w:tcPr>
          <w:p w:rsidR="00615271" w:rsidRPr="00D00722" w:rsidRDefault="00615271" w:rsidP="00A870BB">
            <w:pPr>
              <w:ind w:hanging="108"/>
              <w:rPr>
                <w:rFonts w:ascii="Arial" w:hAnsi="Arial" w:cs="Arial"/>
                <w:b/>
                <w:bCs/>
                <w:color w:val="000000"/>
                <w:sz w:val="16"/>
                <w:szCs w:val="16"/>
              </w:rPr>
            </w:pPr>
            <w:r w:rsidRPr="00D00722">
              <w:rPr>
                <w:rFonts w:ascii="Arial" w:hAnsi="Arial" w:cs="Arial"/>
                <w:b/>
                <w:bCs/>
                <w:color w:val="000000"/>
                <w:sz w:val="16"/>
                <w:szCs w:val="16"/>
              </w:rPr>
              <w:t>Varlıklar</w:t>
            </w:r>
          </w:p>
        </w:tc>
        <w:tc>
          <w:tcPr>
            <w:tcW w:w="1134" w:type="dxa"/>
            <w:tcBorders>
              <w:top w:val="nil"/>
              <w:left w:val="nil"/>
              <w:bottom w:val="single" w:sz="4" w:space="0" w:color="auto"/>
              <w:right w:val="nil"/>
            </w:tcBorders>
            <w:shd w:val="clear" w:color="auto" w:fill="auto"/>
            <w:vAlign w:val="bottom"/>
            <w:hideMark/>
          </w:tcPr>
          <w:p w:rsidR="00615271" w:rsidRPr="00D00722" w:rsidRDefault="00615271" w:rsidP="00A27292">
            <w:pPr>
              <w:jc w:val="right"/>
              <w:rPr>
                <w:rFonts w:ascii="Arial" w:hAnsi="Arial" w:cs="Arial"/>
                <w:b/>
                <w:bCs/>
                <w:sz w:val="16"/>
                <w:szCs w:val="16"/>
              </w:rPr>
            </w:pPr>
            <w:r w:rsidRPr="00D00722">
              <w:rPr>
                <w:rFonts w:ascii="Arial" w:hAnsi="Arial" w:cs="Arial"/>
                <w:b/>
                <w:bCs/>
                <w:sz w:val="16"/>
                <w:szCs w:val="16"/>
              </w:rPr>
              <w:t>Dipnot referansları</w:t>
            </w:r>
          </w:p>
        </w:tc>
        <w:tc>
          <w:tcPr>
            <w:tcW w:w="1418" w:type="dxa"/>
            <w:tcBorders>
              <w:top w:val="nil"/>
              <w:left w:val="nil"/>
              <w:bottom w:val="single" w:sz="4" w:space="0" w:color="auto"/>
              <w:right w:val="nil"/>
            </w:tcBorders>
            <w:shd w:val="clear" w:color="auto" w:fill="auto"/>
            <w:vAlign w:val="bottom"/>
            <w:hideMark/>
          </w:tcPr>
          <w:p w:rsidR="00615271" w:rsidRPr="00D00722" w:rsidRDefault="000842B4" w:rsidP="00615271">
            <w:pPr>
              <w:jc w:val="right"/>
              <w:rPr>
                <w:rFonts w:ascii="Arial" w:hAnsi="Arial" w:cs="Arial"/>
                <w:b/>
                <w:bCs/>
                <w:color w:val="000000"/>
                <w:sz w:val="16"/>
                <w:szCs w:val="16"/>
              </w:rPr>
            </w:pPr>
            <w:r w:rsidRPr="00D00722">
              <w:rPr>
                <w:rFonts w:ascii="Arial" w:hAnsi="Arial" w:cs="Arial"/>
                <w:b/>
                <w:bCs/>
                <w:color w:val="000000"/>
                <w:sz w:val="16"/>
                <w:szCs w:val="16"/>
              </w:rPr>
              <w:t>31 Mart 2014</w:t>
            </w:r>
          </w:p>
        </w:tc>
        <w:tc>
          <w:tcPr>
            <w:tcW w:w="1417" w:type="dxa"/>
            <w:tcBorders>
              <w:top w:val="nil"/>
              <w:left w:val="nil"/>
              <w:bottom w:val="single" w:sz="4" w:space="0" w:color="auto"/>
              <w:right w:val="nil"/>
            </w:tcBorders>
            <w:vAlign w:val="bottom"/>
          </w:tcPr>
          <w:p w:rsidR="00615271" w:rsidRPr="00D00722" w:rsidRDefault="00615271" w:rsidP="00615271">
            <w:pPr>
              <w:jc w:val="right"/>
              <w:rPr>
                <w:rFonts w:ascii="Arial" w:hAnsi="Arial" w:cs="Arial"/>
                <w:bCs/>
                <w:color w:val="000000"/>
                <w:sz w:val="16"/>
                <w:szCs w:val="16"/>
              </w:rPr>
            </w:pPr>
            <w:r w:rsidRPr="00D00722">
              <w:rPr>
                <w:rFonts w:ascii="Arial" w:hAnsi="Arial" w:cs="Arial"/>
                <w:bCs/>
                <w:color w:val="000000"/>
                <w:sz w:val="16"/>
                <w:szCs w:val="16"/>
              </w:rPr>
              <w:t>31 Aralık 2013</w:t>
            </w:r>
          </w:p>
        </w:tc>
      </w:tr>
      <w:tr w:rsidR="00615271" w:rsidRPr="00D00722" w:rsidTr="00615271">
        <w:trPr>
          <w:trHeight w:val="113"/>
        </w:trPr>
        <w:tc>
          <w:tcPr>
            <w:tcW w:w="5103" w:type="dxa"/>
            <w:tcBorders>
              <w:top w:val="nil"/>
              <w:left w:val="nil"/>
              <w:bottom w:val="nil"/>
              <w:right w:val="nil"/>
            </w:tcBorders>
            <w:shd w:val="clear" w:color="auto" w:fill="auto"/>
            <w:noWrap/>
            <w:vAlign w:val="bottom"/>
            <w:hideMark/>
          </w:tcPr>
          <w:p w:rsidR="00615271" w:rsidRPr="00D00722" w:rsidRDefault="00615271" w:rsidP="00A870BB">
            <w:pPr>
              <w:ind w:hanging="108"/>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hideMark/>
          </w:tcPr>
          <w:p w:rsidR="00615271" w:rsidRPr="00D00722" w:rsidRDefault="00615271" w:rsidP="00A27292">
            <w:pPr>
              <w:jc w:val="right"/>
              <w:rPr>
                <w:rFonts w:ascii="Arial" w:hAnsi="Arial" w:cs="Arial"/>
                <w:color w:val="000000"/>
                <w:sz w:val="16"/>
                <w:szCs w:val="16"/>
              </w:rPr>
            </w:pPr>
          </w:p>
        </w:tc>
        <w:tc>
          <w:tcPr>
            <w:tcW w:w="1418" w:type="dxa"/>
            <w:tcBorders>
              <w:top w:val="nil"/>
              <w:left w:val="nil"/>
              <w:bottom w:val="nil"/>
              <w:right w:val="nil"/>
            </w:tcBorders>
            <w:shd w:val="clear" w:color="auto" w:fill="auto"/>
            <w:noWrap/>
            <w:vAlign w:val="bottom"/>
            <w:hideMark/>
          </w:tcPr>
          <w:p w:rsidR="00615271" w:rsidRPr="00D00722" w:rsidRDefault="00615271" w:rsidP="00A27292">
            <w:pPr>
              <w:jc w:val="right"/>
              <w:rPr>
                <w:rFonts w:ascii="Arial" w:hAnsi="Arial" w:cs="Arial"/>
                <w:b/>
                <w:bCs/>
                <w:color w:val="000000"/>
                <w:sz w:val="16"/>
                <w:szCs w:val="16"/>
              </w:rPr>
            </w:pPr>
          </w:p>
        </w:tc>
        <w:tc>
          <w:tcPr>
            <w:tcW w:w="1417" w:type="dxa"/>
            <w:tcBorders>
              <w:top w:val="nil"/>
              <w:left w:val="nil"/>
              <w:bottom w:val="nil"/>
              <w:right w:val="nil"/>
            </w:tcBorders>
            <w:vAlign w:val="bottom"/>
          </w:tcPr>
          <w:p w:rsidR="00615271" w:rsidRPr="00D00722" w:rsidRDefault="00615271" w:rsidP="00615271">
            <w:pPr>
              <w:jc w:val="right"/>
              <w:rPr>
                <w:rFonts w:ascii="Arial" w:hAnsi="Arial" w:cs="Arial"/>
                <w:bCs/>
                <w:color w:val="000000"/>
                <w:sz w:val="16"/>
                <w:szCs w:val="16"/>
              </w:rPr>
            </w:pPr>
          </w:p>
        </w:tc>
      </w:tr>
      <w:tr w:rsidR="00615271" w:rsidRPr="00D00722" w:rsidTr="00615271">
        <w:trPr>
          <w:trHeight w:val="113"/>
        </w:trPr>
        <w:tc>
          <w:tcPr>
            <w:tcW w:w="5103" w:type="dxa"/>
            <w:tcBorders>
              <w:top w:val="nil"/>
              <w:left w:val="nil"/>
              <w:bottom w:val="nil"/>
              <w:right w:val="nil"/>
            </w:tcBorders>
            <w:shd w:val="clear" w:color="auto" w:fill="auto"/>
            <w:vAlign w:val="bottom"/>
            <w:hideMark/>
          </w:tcPr>
          <w:p w:rsidR="00615271" w:rsidRPr="00D00722" w:rsidRDefault="00615271" w:rsidP="00A870BB">
            <w:pPr>
              <w:ind w:hanging="108"/>
              <w:rPr>
                <w:rFonts w:ascii="Arial" w:hAnsi="Arial" w:cs="Arial"/>
                <w:b/>
                <w:bCs/>
                <w:color w:val="000000"/>
                <w:sz w:val="16"/>
                <w:szCs w:val="16"/>
              </w:rPr>
            </w:pPr>
          </w:p>
        </w:tc>
        <w:tc>
          <w:tcPr>
            <w:tcW w:w="1134" w:type="dxa"/>
            <w:tcBorders>
              <w:top w:val="nil"/>
              <w:left w:val="nil"/>
              <w:bottom w:val="nil"/>
              <w:right w:val="nil"/>
            </w:tcBorders>
            <w:shd w:val="clear" w:color="auto" w:fill="auto"/>
            <w:vAlign w:val="bottom"/>
            <w:hideMark/>
          </w:tcPr>
          <w:p w:rsidR="00615271" w:rsidRPr="00D00722" w:rsidRDefault="00615271" w:rsidP="00A27292">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hideMark/>
          </w:tcPr>
          <w:p w:rsidR="00615271" w:rsidRPr="00D00722" w:rsidRDefault="00615271" w:rsidP="00A27292">
            <w:pPr>
              <w:jc w:val="right"/>
              <w:rPr>
                <w:rFonts w:ascii="Arial" w:hAnsi="Arial" w:cs="Arial"/>
                <w:b/>
                <w:bCs/>
                <w:color w:val="000000"/>
                <w:sz w:val="16"/>
                <w:szCs w:val="16"/>
              </w:rPr>
            </w:pPr>
          </w:p>
        </w:tc>
        <w:tc>
          <w:tcPr>
            <w:tcW w:w="1417" w:type="dxa"/>
            <w:tcBorders>
              <w:top w:val="nil"/>
              <w:left w:val="nil"/>
              <w:bottom w:val="nil"/>
              <w:right w:val="nil"/>
            </w:tcBorders>
            <w:vAlign w:val="bottom"/>
          </w:tcPr>
          <w:p w:rsidR="00615271" w:rsidRPr="00D00722" w:rsidRDefault="00615271" w:rsidP="00615271">
            <w:pPr>
              <w:jc w:val="right"/>
              <w:rPr>
                <w:rFonts w:ascii="Arial" w:hAnsi="Arial" w:cs="Arial"/>
                <w:bCs/>
                <w:color w:val="000000"/>
                <w:sz w:val="16"/>
                <w:szCs w:val="16"/>
              </w:rPr>
            </w:pPr>
          </w:p>
        </w:tc>
      </w:tr>
      <w:tr w:rsidR="00615271" w:rsidRPr="00D00722" w:rsidTr="00615271">
        <w:trPr>
          <w:trHeight w:val="113"/>
        </w:trPr>
        <w:tc>
          <w:tcPr>
            <w:tcW w:w="5103" w:type="dxa"/>
            <w:tcBorders>
              <w:top w:val="single" w:sz="4" w:space="0" w:color="auto"/>
              <w:left w:val="nil"/>
              <w:bottom w:val="single" w:sz="4" w:space="0" w:color="auto"/>
              <w:right w:val="nil"/>
            </w:tcBorders>
            <w:shd w:val="clear" w:color="auto" w:fill="auto"/>
            <w:vAlign w:val="bottom"/>
            <w:hideMark/>
          </w:tcPr>
          <w:p w:rsidR="00615271" w:rsidRPr="00D00722" w:rsidRDefault="00615271" w:rsidP="00A870BB">
            <w:pPr>
              <w:ind w:hanging="108"/>
              <w:rPr>
                <w:rFonts w:ascii="Arial" w:hAnsi="Arial" w:cs="Arial"/>
                <w:b/>
                <w:bCs/>
                <w:color w:val="000000"/>
                <w:sz w:val="16"/>
                <w:szCs w:val="16"/>
              </w:rPr>
            </w:pPr>
            <w:r w:rsidRPr="00D00722">
              <w:rPr>
                <w:rFonts w:ascii="Arial" w:hAnsi="Arial" w:cs="Arial"/>
                <w:b/>
                <w:bCs/>
                <w:color w:val="000000"/>
                <w:sz w:val="16"/>
                <w:szCs w:val="16"/>
              </w:rPr>
              <w:t>Dönen varlıklar</w:t>
            </w:r>
          </w:p>
        </w:tc>
        <w:tc>
          <w:tcPr>
            <w:tcW w:w="1134" w:type="dxa"/>
            <w:tcBorders>
              <w:top w:val="single" w:sz="4" w:space="0" w:color="auto"/>
              <w:left w:val="nil"/>
              <w:bottom w:val="single" w:sz="4" w:space="0" w:color="auto"/>
              <w:right w:val="nil"/>
            </w:tcBorders>
            <w:shd w:val="clear" w:color="auto" w:fill="auto"/>
            <w:vAlign w:val="bottom"/>
            <w:hideMark/>
          </w:tcPr>
          <w:p w:rsidR="00615271" w:rsidRPr="00D00722" w:rsidRDefault="00615271" w:rsidP="00A27292">
            <w:pPr>
              <w:jc w:val="right"/>
              <w:rPr>
                <w:rFonts w:ascii="Arial" w:hAnsi="Arial" w:cs="Arial"/>
                <w:color w:val="000000"/>
                <w:sz w:val="16"/>
                <w:szCs w:val="16"/>
              </w:rPr>
            </w:pPr>
          </w:p>
        </w:tc>
        <w:tc>
          <w:tcPr>
            <w:tcW w:w="1418" w:type="dxa"/>
            <w:tcBorders>
              <w:top w:val="single" w:sz="4" w:space="0" w:color="auto"/>
              <w:left w:val="nil"/>
              <w:bottom w:val="single" w:sz="4" w:space="0" w:color="auto"/>
              <w:right w:val="nil"/>
            </w:tcBorders>
            <w:shd w:val="clear" w:color="auto" w:fill="auto"/>
            <w:vAlign w:val="bottom"/>
          </w:tcPr>
          <w:p w:rsidR="00615271" w:rsidRPr="00D00722" w:rsidRDefault="00217906" w:rsidP="00A27292">
            <w:pPr>
              <w:jc w:val="right"/>
              <w:rPr>
                <w:rFonts w:ascii="Arial" w:hAnsi="Arial" w:cs="Arial"/>
                <w:b/>
                <w:bCs/>
                <w:color w:val="000000"/>
                <w:sz w:val="16"/>
                <w:szCs w:val="16"/>
              </w:rPr>
            </w:pPr>
            <w:r w:rsidRPr="00D00722">
              <w:rPr>
                <w:rFonts w:ascii="Arial" w:hAnsi="Arial" w:cs="Arial"/>
                <w:b/>
                <w:bCs/>
                <w:color w:val="000000"/>
                <w:sz w:val="16"/>
                <w:szCs w:val="16"/>
              </w:rPr>
              <w:t>1.155.396</w:t>
            </w:r>
          </w:p>
        </w:tc>
        <w:tc>
          <w:tcPr>
            <w:tcW w:w="1417" w:type="dxa"/>
            <w:tcBorders>
              <w:top w:val="single" w:sz="4" w:space="0" w:color="auto"/>
              <w:left w:val="nil"/>
              <w:bottom w:val="single" w:sz="4" w:space="0" w:color="auto"/>
              <w:right w:val="nil"/>
            </w:tcBorders>
            <w:vAlign w:val="bottom"/>
          </w:tcPr>
          <w:p w:rsidR="00615271" w:rsidRPr="00D00722" w:rsidRDefault="00615271" w:rsidP="00615271">
            <w:pPr>
              <w:jc w:val="right"/>
              <w:rPr>
                <w:rFonts w:ascii="Arial" w:hAnsi="Arial" w:cs="Arial"/>
                <w:bCs/>
                <w:color w:val="000000"/>
                <w:sz w:val="16"/>
                <w:szCs w:val="16"/>
              </w:rPr>
            </w:pPr>
            <w:r w:rsidRPr="00D00722">
              <w:rPr>
                <w:rFonts w:ascii="Arial" w:hAnsi="Arial" w:cs="Arial"/>
                <w:bCs/>
                <w:color w:val="000000"/>
                <w:sz w:val="16"/>
                <w:szCs w:val="16"/>
              </w:rPr>
              <w:t>1.093.380</w:t>
            </w:r>
          </w:p>
        </w:tc>
      </w:tr>
      <w:tr w:rsidR="00615271" w:rsidRPr="00D00722" w:rsidTr="00615271">
        <w:trPr>
          <w:trHeight w:val="113"/>
        </w:trPr>
        <w:tc>
          <w:tcPr>
            <w:tcW w:w="5103" w:type="dxa"/>
            <w:tcBorders>
              <w:top w:val="nil"/>
              <w:left w:val="nil"/>
              <w:bottom w:val="nil"/>
              <w:right w:val="nil"/>
            </w:tcBorders>
            <w:shd w:val="clear" w:color="auto" w:fill="auto"/>
            <w:vAlign w:val="bottom"/>
            <w:hideMark/>
          </w:tcPr>
          <w:p w:rsidR="00615271" w:rsidRPr="00D00722" w:rsidRDefault="00615271" w:rsidP="00A870BB">
            <w:pPr>
              <w:ind w:hanging="108"/>
              <w:rPr>
                <w:rFonts w:ascii="Arial" w:hAnsi="Arial" w:cs="Arial"/>
                <w:b/>
                <w:bCs/>
                <w:color w:val="000000"/>
                <w:sz w:val="16"/>
                <w:szCs w:val="16"/>
              </w:rPr>
            </w:pPr>
          </w:p>
        </w:tc>
        <w:tc>
          <w:tcPr>
            <w:tcW w:w="1134" w:type="dxa"/>
            <w:tcBorders>
              <w:top w:val="nil"/>
              <w:left w:val="nil"/>
              <w:bottom w:val="nil"/>
              <w:right w:val="nil"/>
            </w:tcBorders>
            <w:shd w:val="clear" w:color="auto" w:fill="auto"/>
            <w:vAlign w:val="bottom"/>
            <w:hideMark/>
          </w:tcPr>
          <w:p w:rsidR="00615271" w:rsidRPr="00D00722" w:rsidRDefault="00615271" w:rsidP="00A27292">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tcPr>
          <w:p w:rsidR="00615271" w:rsidRPr="00D00722" w:rsidRDefault="00615271" w:rsidP="00A27292">
            <w:pPr>
              <w:jc w:val="right"/>
              <w:rPr>
                <w:rFonts w:ascii="Arial" w:hAnsi="Arial" w:cs="Arial"/>
                <w:b/>
                <w:bCs/>
                <w:color w:val="000000"/>
                <w:sz w:val="16"/>
                <w:szCs w:val="16"/>
              </w:rPr>
            </w:pPr>
          </w:p>
        </w:tc>
        <w:tc>
          <w:tcPr>
            <w:tcW w:w="1417" w:type="dxa"/>
            <w:tcBorders>
              <w:top w:val="nil"/>
              <w:left w:val="nil"/>
              <w:bottom w:val="nil"/>
              <w:right w:val="nil"/>
            </w:tcBorders>
            <w:vAlign w:val="bottom"/>
          </w:tcPr>
          <w:p w:rsidR="00615271" w:rsidRPr="00D00722" w:rsidRDefault="00615271" w:rsidP="00615271">
            <w:pPr>
              <w:jc w:val="right"/>
              <w:rPr>
                <w:rFonts w:ascii="Arial" w:hAnsi="Arial" w:cs="Arial"/>
                <w:bCs/>
                <w:color w:val="000000"/>
                <w:sz w:val="16"/>
                <w:szCs w:val="16"/>
              </w:rPr>
            </w:pPr>
          </w:p>
        </w:tc>
      </w:tr>
      <w:tr w:rsidR="00615271" w:rsidRPr="00D00722" w:rsidTr="00615271">
        <w:trPr>
          <w:trHeight w:val="113"/>
        </w:trPr>
        <w:tc>
          <w:tcPr>
            <w:tcW w:w="5103" w:type="dxa"/>
            <w:tcBorders>
              <w:top w:val="nil"/>
              <w:left w:val="nil"/>
              <w:bottom w:val="nil"/>
              <w:right w:val="nil"/>
            </w:tcBorders>
            <w:shd w:val="clear" w:color="auto" w:fill="auto"/>
            <w:vAlign w:val="bottom"/>
            <w:hideMark/>
          </w:tcPr>
          <w:p w:rsidR="00615271" w:rsidRPr="00D00722" w:rsidRDefault="00615271" w:rsidP="00A870BB">
            <w:pPr>
              <w:ind w:hanging="108"/>
              <w:rPr>
                <w:rFonts w:ascii="Arial" w:hAnsi="Arial" w:cs="Arial"/>
                <w:color w:val="000000"/>
                <w:sz w:val="16"/>
                <w:szCs w:val="16"/>
              </w:rPr>
            </w:pPr>
            <w:r w:rsidRPr="00D00722">
              <w:rPr>
                <w:rFonts w:ascii="Arial" w:hAnsi="Arial" w:cs="Arial"/>
                <w:color w:val="000000"/>
                <w:sz w:val="16"/>
                <w:szCs w:val="16"/>
              </w:rPr>
              <w:t>Nakit ve nakit benzerleri</w:t>
            </w:r>
          </w:p>
        </w:tc>
        <w:tc>
          <w:tcPr>
            <w:tcW w:w="1134" w:type="dxa"/>
            <w:tcBorders>
              <w:top w:val="nil"/>
              <w:left w:val="nil"/>
              <w:bottom w:val="nil"/>
              <w:right w:val="nil"/>
            </w:tcBorders>
            <w:shd w:val="clear" w:color="auto" w:fill="auto"/>
            <w:hideMark/>
          </w:tcPr>
          <w:p w:rsidR="00615271" w:rsidRPr="00D00722" w:rsidRDefault="00615271" w:rsidP="00A27292">
            <w:pPr>
              <w:jc w:val="right"/>
              <w:rPr>
                <w:rFonts w:ascii="Arial" w:hAnsi="Arial" w:cs="Arial"/>
                <w:color w:val="000000"/>
                <w:sz w:val="16"/>
                <w:szCs w:val="16"/>
              </w:rPr>
            </w:pPr>
            <w:r w:rsidRPr="00D00722">
              <w:rPr>
                <w:rFonts w:ascii="Arial" w:hAnsi="Arial" w:cs="Arial"/>
                <w:color w:val="000000"/>
                <w:sz w:val="16"/>
                <w:szCs w:val="16"/>
              </w:rPr>
              <w:t>4</w:t>
            </w:r>
          </w:p>
        </w:tc>
        <w:tc>
          <w:tcPr>
            <w:tcW w:w="1418" w:type="dxa"/>
            <w:tcBorders>
              <w:top w:val="nil"/>
              <w:left w:val="nil"/>
              <w:bottom w:val="nil"/>
              <w:right w:val="nil"/>
            </w:tcBorders>
            <w:shd w:val="clear" w:color="auto" w:fill="auto"/>
            <w:vAlign w:val="bottom"/>
          </w:tcPr>
          <w:p w:rsidR="00615271" w:rsidRPr="00D00722" w:rsidRDefault="000842B4" w:rsidP="00A27292">
            <w:pPr>
              <w:jc w:val="right"/>
              <w:rPr>
                <w:rFonts w:ascii="Arial" w:hAnsi="Arial" w:cs="Arial"/>
                <w:b/>
                <w:bCs/>
                <w:color w:val="000000"/>
                <w:sz w:val="16"/>
                <w:szCs w:val="16"/>
              </w:rPr>
            </w:pPr>
            <w:r w:rsidRPr="00D00722">
              <w:rPr>
                <w:rFonts w:ascii="Arial" w:hAnsi="Arial" w:cs="Arial"/>
                <w:b/>
                <w:bCs/>
                <w:color w:val="000000"/>
                <w:sz w:val="16"/>
                <w:szCs w:val="16"/>
              </w:rPr>
              <w:t>991.777</w:t>
            </w:r>
          </w:p>
        </w:tc>
        <w:tc>
          <w:tcPr>
            <w:tcW w:w="1417" w:type="dxa"/>
            <w:tcBorders>
              <w:top w:val="nil"/>
              <w:left w:val="nil"/>
              <w:bottom w:val="nil"/>
              <w:right w:val="nil"/>
            </w:tcBorders>
            <w:vAlign w:val="bottom"/>
          </w:tcPr>
          <w:p w:rsidR="00615271" w:rsidRPr="00D00722" w:rsidRDefault="00615271" w:rsidP="00615271">
            <w:pPr>
              <w:jc w:val="right"/>
              <w:rPr>
                <w:rFonts w:ascii="Arial" w:hAnsi="Arial" w:cs="Arial"/>
                <w:bCs/>
                <w:color w:val="000000"/>
                <w:sz w:val="16"/>
                <w:szCs w:val="16"/>
              </w:rPr>
            </w:pPr>
            <w:r w:rsidRPr="00D00722">
              <w:rPr>
                <w:rFonts w:ascii="Arial" w:hAnsi="Arial" w:cs="Arial"/>
                <w:bCs/>
                <w:color w:val="000000"/>
                <w:sz w:val="16"/>
                <w:szCs w:val="16"/>
              </w:rPr>
              <w:t>964.940</w:t>
            </w:r>
          </w:p>
        </w:tc>
      </w:tr>
      <w:tr w:rsidR="00615271" w:rsidRPr="00D00722" w:rsidTr="00615271">
        <w:trPr>
          <w:trHeight w:val="113"/>
        </w:trPr>
        <w:tc>
          <w:tcPr>
            <w:tcW w:w="5103" w:type="dxa"/>
            <w:tcBorders>
              <w:top w:val="nil"/>
              <w:left w:val="nil"/>
              <w:bottom w:val="nil"/>
              <w:right w:val="nil"/>
            </w:tcBorders>
            <w:shd w:val="clear" w:color="auto" w:fill="auto"/>
            <w:vAlign w:val="bottom"/>
            <w:hideMark/>
          </w:tcPr>
          <w:p w:rsidR="00615271" w:rsidRPr="00D00722" w:rsidRDefault="00615271" w:rsidP="00A870BB">
            <w:pPr>
              <w:ind w:hanging="108"/>
              <w:rPr>
                <w:rFonts w:ascii="Arial" w:hAnsi="Arial" w:cs="Arial"/>
                <w:color w:val="000000"/>
                <w:sz w:val="16"/>
                <w:szCs w:val="16"/>
              </w:rPr>
            </w:pPr>
            <w:r w:rsidRPr="00D00722">
              <w:rPr>
                <w:rFonts w:ascii="Arial" w:hAnsi="Arial" w:cs="Arial"/>
                <w:color w:val="000000"/>
                <w:sz w:val="16"/>
                <w:szCs w:val="16"/>
              </w:rPr>
              <w:t>Finansal yatırımlar</w:t>
            </w:r>
          </w:p>
        </w:tc>
        <w:tc>
          <w:tcPr>
            <w:tcW w:w="1134" w:type="dxa"/>
            <w:tcBorders>
              <w:top w:val="nil"/>
              <w:left w:val="nil"/>
              <w:bottom w:val="nil"/>
              <w:right w:val="nil"/>
            </w:tcBorders>
            <w:shd w:val="clear" w:color="auto" w:fill="auto"/>
            <w:hideMark/>
          </w:tcPr>
          <w:p w:rsidR="00615271" w:rsidRPr="00D00722" w:rsidRDefault="00615271" w:rsidP="00A27292">
            <w:pPr>
              <w:jc w:val="right"/>
              <w:rPr>
                <w:rFonts w:ascii="Arial" w:hAnsi="Arial" w:cs="Arial"/>
                <w:color w:val="000000"/>
                <w:sz w:val="16"/>
                <w:szCs w:val="16"/>
              </w:rPr>
            </w:pPr>
            <w:r w:rsidRPr="00D00722">
              <w:rPr>
                <w:rFonts w:ascii="Arial" w:hAnsi="Arial" w:cs="Arial"/>
                <w:color w:val="000000"/>
                <w:sz w:val="16"/>
                <w:szCs w:val="16"/>
              </w:rPr>
              <w:t>5</w:t>
            </w:r>
          </w:p>
        </w:tc>
        <w:tc>
          <w:tcPr>
            <w:tcW w:w="1418" w:type="dxa"/>
            <w:tcBorders>
              <w:top w:val="nil"/>
              <w:left w:val="nil"/>
              <w:bottom w:val="nil"/>
              <w:right w:val="nil"/>
            </w:tcBorders>
            <w:shd w:val="clear" w:color="auto" w:fill="auto"/>
            <w:vAlign w:val="bottom"/>
          </w:tcPr>
          <w:p w:rsidR="00615271" w:rsidRPr="00D00722" w:rsidRDefault="000842B4" w:rsidP="00A27292">
            <w:pPr>
              <w:jc w:val="right"/>
              <w:rPr>
                <w:rFonts w:ascii="Arial" w:hAnsi="Arial" w:cs="Arial"/>
                <w:b/>
                <w:bCs/>
                <w:color w:val="000000"/>
                <w:sz w:val="16"/>
                <w:szCs w:val="16"/>
              </w:rPr>
            </w:pPr>
            <w:r w:rsidRPr="00D00722">
              <w:rPr>
                <w:rFonts w:ascii="Arial" w:hAnsi="Arial" w:cs="Arial"/>
                <w:b/>
                <w:bCs/>
                <w:color w:val="000000"/>
                <w:sz w:val="16"/>
                <w:szCs w:val="16"/>
              </w:rPr>
              <w:t>98.454</w:t>
            </w:r>
          </w:p>
        </w:tc>
        <w:tc>
          <w:tcPr>
            <w:tcW w:w="1417" w:type="dxa"/>
            <w:tcBorders>
              <w:top w:val="nil"/>
              <w:left w:val="nil"/>
              <w:bottom w:val="nil"/>
              <w:right w:val="nil"/>
            </w:tcBorders>
            <w:vAlign w:val="bottom"/>
          </w:tcPr>
          <w:p w:rsidR="00615271" w:rsidRPr="00D00722" w:rsidRDefault="00615271" w:rsidP="00615271">
            <w:pPr>
              <w:jc w:val="right"/>
              <w:rPr>
                <w:rFonts w:ascii="Arial" w:hAnsi="Arial" w:cs="Arial"/>
                <w:bCs/>
                <w:color w:val="000000"/>
                <w:sz w:val="16"/>
                <w:szCs w:val="16"/>
              </w:rPr>
            </w:pPr>
            <w:r w:rsidRPr="00D00722">
              <w:rPr>
                <w:rFonts w:ascii="Arial" w:hAnsi="Arial" w:cs="Arial"/>
                <w:bCs/>
                <w:color w:val="000000"/>
                <w:sz w:val="16"/>
                <w:szCs w:val="16"/>
              </w:rPr>
              <w:t>103.038</w:t>
            </w:r>
          </w:p>
        </w:tc>
      </w:tr>
      <w:tr w:rsidR="00615271" w:rsidRPr="00D00722" w:rsidTr="00615271">
        <w:trPr>
          <w:trHeight w:val="113"/>
        </w:trPr>
        <w:tc>
          <w:tcPr>
            <w:tcW w:w="5103" w:type="dxa"/>
            <w:tcBorders>
              <w:top w:val="nil"/>
              <w:left w:val="nil"/>
              <w:bottom w:val="nil"/>
              <w:right w:val="nil"/>
            </w:tcBorders>
            <w:shd w:val="clear" w:color="auto" w:fill="auto"/>
            <w:vAlign w:val="bottom"/>
            <w:hideMark/>
          </w:tcPr>
          <w:p w:rsidR="00615271" w:rsidRPr="00D00722" w:rsidRDefault="00615271" w:rsidP="00A870BB">
            <w:pPr>
              <w:ind w:hanging="108"/>
              <w:rPr>
                <w:rFonts w:ascii="Arial" w:hAnsi="Arial" w:cs="Arial"/>
                <w:color w:val="000000"/>
                <w:sz w:val="16"/>
                <w:szCs w:val="16"/>
              </w:rPr>
            </w:pPr>
            <w:r w:rsidRPr="00D00722">
              <w:rPr>
                <w:rFonts w:ascii="Arial" w:hAnsi="Arial" w:cs="Arial"/>
                <w:color w:val="000000"/>
                <w:sz w:val="16"/>
                <w:szCs w:val="16"/>
              </w:rPr>
              <w:t>Ticari alacaklar</w:t>
            </w:r>
          </w:p>
        </w:tc>
        <w:tc>
          <w:tcPr>
            <w:tcW w:w="1134" w:type="dxa"/>
            <w:tcBorders>
              <w:top w:val="nil"/>
              <w:left w:val="nil"/>
              <w:bottom w:val="nil"/>
              <w:right w:val="nil"/>
            </w:tcBorders>
            <w:shd w:val="clear" w:color="auto" w:fill="auto"/>
            <w:hideMark/>
          </w:tcPr>
          <w:p w:rsidR="00615271" w:rsidRPr="00D00722" w:rsidRDefault="00615271" w:rsidP="00A27292">
            <w:pPr>
              <w:jc w:val="right"/>
              <w:rPr>
                <w:rFonts w:ascii="Arial" w:hAnsi="Arial" w:cs="Arial"/>
                <w:color w:val="000000"/>
                <w:sz w:val="16"/>
                <w:szCs w:val="16"/>
              </w:rPr>
            </w:pPr>
            <w:r w:rsidRPr="00D00722">
              <w:rPr>
                <w:rFonts w:ascii="Arial" w:hAnsi="Arial" w:cs="Arial"/>
                <w:color w:val="000000"/>
                <w:sz w:val="16"/>
                <w:szCs w:val="16"/>
              </w:rPr>
              <w:t>6</w:t>
            </w:r>
          </w:p>
        </w:tc>
        <w:tc>
          <w:tcPr>
            <w:tcW w:w="1418" w:type="dxa"/>
            <w:tcBorders>
              <w:top w:val="nil"/>
              <w:left w:val="nil"/>
              <w:bottom w:val="nil"/>
              <w:right w:val="nil"/>
            </w:tcBorders>
            <w:shd w:val="clear" w:color="auto" w:fill="auto"/>
            <w:vAlign w:val="bottom"/>
          </w:tcPr>
          <w:p w:rsidR="00615271" w:rsidRPr="00D00722" w:rsidRDefault="000842B4" w:rsidP="00A27292">
            <w:pPr>
              <w:jc w:val="right"/>
              <w:rPr>
                <w:rFonts w:ascii="Arial" w:hAnsi="Arial" w:cs="Arial"/>
                <w:b/>
                <w:bCs/>
                <w:color w:val="000000"/>
                <w:sz w:val="16"/>
                <w:szCs w:val="16"/>
              </w:rPr>
            </w:pPr>
            <w:r w:rsidRPr="00D00722">
              <w:rPr>
                <w:rFonts w:ascii="Arial" w:hAnsi="Arial" w:cs="Arial"/>
                <w:b/>
                <w:bCs/>
                <w:color w:val="000000"/>
                <w:sz w:val="16"/>
                <w:szCs w:val="16"/>
              </w:rPr>
              <w:t>4.908</w:t>
            </w:r>
          </w:p>
        </w:tc>
        <w:tc>
          <w:tcPr>
            <w:tcW w:w="1417" w:type="dxa"/>
            <w:tcBorders>
              <w:top w:val="nil"/>
              <w:left w:val="nil"/>
              <w:bottom w:val="nil"/>
              <w:right w:val="nil"/>
            </w:tcBorders>
            <w:vAlign w:val="bottom"/>
          </w:tcPr>
          <w:p w:rsidR="00615271" w:rsidRPr="00D00722" w:rsidRDefault="00615271" w:rsidP="00615271">
            <w:pPr>
              <w:jc w:val="right"/>
              <w:rPr>
                <w:rFonts w:ascii="Arial" w:hAnsi="Arial" w:cs="Arial"/>
                <w:bCs/>
                <w:color w:val="000000"/>
                <w:sz w:val="16"/>
                <w:szCs w:val="16"/>
              </w:rPr>
            </w:pPr>
            <w:r w:rsidRPr="00D00722">
              <w:rPr>
                <w:rFonts w:ascii="Arial" w:hAnsi="Arial" w:cs="Arial"/>
                <w:bCs/>
                <w:color w:val="000000"/>
                <w:sz w:val="16"/>
                <w:szCs w:val="16"/>
              </w:rPr>
              <w:t>1.408</w:t>
            </w:r>
          </w:p>
        </w:tc>
      </w:tr>
      <w:tr w:rsidR="00615271" w:rsidRPr="00D00722" w:rsidTr="00615271">
        <w:trPr>
          <w:trHeight w:val="113"/>
        </w:trPr>
        <w:tc>
          <w:tcPr>
            <w:tcW w:w="5103" w:type="dxa"/>
            <w:tcBorders>
              <w:top w:val="nil"/>
              <w:left w:val="nil"/>
              <w:bottom w:val="nil"/>
              <w:right w:val="nil"/>
            </w:tcBorders>
            <w:shd w:val="clear" w:color="auto" w:fill="auto"/>
            <w:vAlign w:val="bottom"/>
            <w:hideMark/>
          </w:tcPr>
          <w:p w:rsidR="00615271" w:rsidRPr="00D00722" w:rsidRDefault="00615271" w:rsidP="00A870BB">
            <w:pPr>
              <w:ind w:hanging="108"/>
              <w:rPr>
                <w:rFonts w:ascii="Arial" w:hAnsi="Arial" w:cs="Arial"/>
                <w:color w:val="000000"/>
                <w:sz w:val="16"/>
                <w:szCs w:val="16"/>
              </w:rPr>
            </w:pPr>
            <w:r w:rsidRPr="00D00722">
              <w:rPr>
                <w:rFonts w:ascii="Arial" w:hAnsi="Arial" w:cs="Arial"/>
                <w:color w:val="000000"/>
                <w:sz w:val="16"/>
                <w:szCs w:val="16"/>
              </w:rPr>
              <w:t xml:space="preserve">   -Ilişkili taraflardan ticari alacaklar</w:t>
            </w:r>
          </w:p>
        </w:tc>
        <w:tc>
          <w:tcPr>
            <w:tcW w:w="1134" w:type="dxa"/>
            <w:tcBorders>
              <w:top w:val="nil"/>
              <w:left w:val="nil"/>
              <w:bottom w:val="nil"/>
              <w:right w:val="nil"/>
            </w:tcBorders>
            <w:shd w:val="clear" w:color="auto" w:fill="auto"/>
            <w:hideMark/>
          </w:tcPr>
          <w:p w:rsidR="00615271" w:rsidRPr="00D00722" w:rsidRDefault="00615271" w:rsidP="00A27292">
            <w:pPr>
              <w:jc w:val="right"/>
              <w:rPr>
                <w:rFonts w:ascii="Arial" w:hAnsi="Arial" w:cs="Arial"/>
                <w:color w:val="000000"/>
                <w:sz w:val="16"/>
                <w:szCs w:val="16"/>
              </w:rPr>
            </w:pPr>
            <w:r w:rsidRPr="00D00722">
              <w:rPr>
                <w:rFonts w:ascii="Arial" w:hAnsi="Arial" w:cs="Arial"/>
                <w:color w:val="000000"/>
                <w:sz w:val="16"/>
                <w:szCs w:val="16"/>
              </w:rPr>
              <w:t>6, 23</w:t>
            </w:r>
          </w:p>
        </w:tc>
        <w:tc>
          <w:tcPr>
            <w:tcW w:w="1418" w:type="dxa"/>
            <w:tcBorders>
              <w:top w:val="nil"/>
              <w:left w:val="nil"/>
              <w:bottom w:val="nil"/>
              <w:right w:val="nil"/>
            </w:tcBorders>
            <w:shd w:val="clear" w:color="auto" w:fill="auto"/>
            <w:vAlign w:val="bottom"/>
          </w:tcPr>
          <w:p w:rsidR="00615271" w:rsidRPr="00D00722" w:rsidRDefault="000842B4" w:rsidP="00A27292">
            <w:pPr>
              <w:jc w:val="right"/>
              <w:rPr>
                <w:rFonts w:ascii="Arial" w:hAnsi="Arial" w:cs="Arial"/>
                <w:b/>
                <w:bCs/>
                <w:color w:val="000000"/>
                <w:sz w:val="16"/>
                <w:szCs w:val="16"/>
              </w:rPr>
            </w:pPr>
            <w:r w:rsidRPr="00D00722">
              <w:rPr>
                <w:rFonts w:ascii="Arial" w:hAnsi="Arial" w:cs="Arial"/>
                <w:b/>
                <w:bCs/>
                <w:color w:val="000000"/>
                <w:sz w:val="16"/>
                <w:szCs w:val="16"/>
              </w:rPr>
              <w:t>1.242</w:t>
            </w:r>
          </w:p>
        </w:tc>
        <w:tc>
          <w:tcPr>
            <w:tcW w:w="1417" w:type="dxa"/>
            <w:tcBorders>
              <w:top w:val="nil"/>
              <w:left w:val="nil"/>
              <w:bottom w:val="nil"/>
              <w:right w:val="nil"/>
            </w:tcBorders>
            <w:vAlign w:val="bottom"/>
          </w:tcPr>
          <w:p w:rsidR="00615271" w:rsidRPr="00D00722" w:rsidRDefault="00615271" w:rsidP="00615271">
            <w:pPr>
              <w:jc w:val="right"/>
              <w:rPr>
                <w:rFonts w:ascii="Arial" w:hAnsi="Arial" w:cs="Arial"/>
                <w:bCs/>
                <w:color w:val="000000"/>
                <w:sz w:val="16"/>
                <w:szCs w:val="16"/>
              </w:rPr>
            </w:pPr>
            <w:r w:rsidRPr="00D00722">
              <w:rPr>
                <w:rFonts w:ascii="Arial" w:hAnsi="Arial" w:cs="Arial"/>
                <w:bCs/>
                <w:color w:val="000000"/>
                <w:sz w:val="16"/>
                <w:szCs w:val="16"/>
              </w:rPr>
              <w:t>-</w:t>
            </w:r>
          </w:p>
        </w:tc>
      </w:tr>
      <w:tr w:rsidR="00615271" w:rsidRPr="00D00722" w:rsidTr="00615271">
        <w:trPr>
          <w:trHeight w:val="113"/>
        </w:trPr>
        <w:tc>
          <w:tcPr>
            <w:tcW w:w="5103" w:type="dxa"/>
            <w:tcBorders>
              <w:top w:val="nil"/>
              <w:left w:val="nil"/>
              <w:bottom w:val="nil"/>
              <w:right w:val="nil"/>
            </w:tcBorders>
            <w:shd w:val="clear" w:color="auto" w:fill="auto"/>
            <w:vAlign w:val="bottom"/>
            <w:hideMark/>
          </w:tcPr>
          <w:p w:rsidR="00615271" w:rsidRPr="00D00722" w:rsidRDefault="00615271" w:rsidP="00A870BB">
            <w:pPr>
              <w:ind w:hanging="108"/>
              <w:rPr>
                <w:rFonts w:ascii="Arial" w:hAnsi="Arial" w:cs="Arial"/>
                <w:color w:val="000000"/>
                <w:sz w:val="16"/>
                <w:szCs w:val="16"/>
              </w:rPr>
            </w:pPr>
            <w:r w:rsidRPr="00D00722">
              <w:rPr>
                <w:rFonts w:ascii="Arial" w:hAnsi="Arial" w:cs="Arial"/>
                <w:color w:val="000000"/>
                <w:sz w:val="16"/>
                <w:szCs w:val="16"/>
              </w:rPr>
              <w:t xml:space="preserve">   -İlişkili olmayan taraflardan ticari alacaklar</w:t>
            </w:r>
          </w:p>
        </w:tc>
        <w:tc>
          <w:tcPr>
            <w:tcW w:w="1134" w:type="dxa"/>
            <w:tcBorders>
              <w:top w:val="nil"/>
              <w:left w:val="nil"/>
              <w:bottom w:val="nil"/>
              <w:right w:val="nil"/>
            </w:tcBorders>
            <w:shd w:val="clear" w:color="auto" w:fill="auto"/>
            <w:hideMark/>
          </w:tcPr>
          <w:p w:rsidR="00615271" w:rsidRPr="00D00722" w:rsidRDefault="00615271" w:rsidP="00A27292">
            <w:pPr>
              <w:jc w:val="right"/>
              <w:rPr>
                <w:rFonts w:ascii="Arial" w:hAnsi="Arial" w:cs="Arial"/>
                <w:color w:val="000000"/>
                <w:sz w:val="16"/>
                <w:szCs w:val="16"/>
              </w:rPr>
            </w:pPr>
            <w:r w:rsidRPr="00D00722">
              <w:rPr>
                <w:rFonts w:ascii="Arial" w:hAnsi="Arial" w:cs="Arial"/>
                <w:color w:val="000000"/>
                <w:sz w:val="16"/>
                <w:szCs w:val="16"/>
              </w:rPr>
              <w:t>6</w:t>
            </w:r>
          </w:p>
        </w:tc>
        <w:tc>
          <w:tcPr>
            <w:tcW w:w="1418" w:type="dxa"/>
            <w:tcBorders>
              <w:top w:val="nil"/>
              <w:left w:val="nil"/>
              <w:bottom w:val="nil"/>
              <w:right w:val="nil"/>
            </w:tcBorders>
            <w:shd w:val="clear" w:color="auto" w:fill="auto"/>
            <w:vAlign w:val="bottom"/>
          </w:tcPr>
          <w:p w:rsidR="00615271" w:rsidRPr="00D00722" w:rsidRDefault="000842B4" w:rsidP="00A27292">
            <w:pPr>
              <w:jc w:val="right"/>
              <w:rPr>
                <w:rFonts w:ascii="Arial" w:hAnsi="Arial" w:cs="Arial"/>
                <w:b/>
                <w:bCs/>
                <w:color w:val="000000"/>
                <w:sz w:val="16"/>
                <w:szCs w:val="16"/>
              </w:rPr>
            </w:pPr>
            <w:r w:rsidRPr="00D00722">
              <w:rPr>
                <w:rFonts w:ascii="Arial" w:hAnsi="Arial" w:cs="Arial"/>
                <w:b/>
                <w:bCs/>
                <w:color w:val="000000"/>
                <w:sz w:val="16"/>
                <w:szCs w:val="16"/>
              </w:rPr>
              <w:t>3.666</w:t>
            </w:r>
          </w:p>
        </w:tc>
        <w:tc>
          <w:tcPr>
            <w:tcW w:w="1417" w:type="dxa"/>
            <w:tcBorders>
              <w:top w:val="nil"/>
              <w:left w:val="nil"/>
              <w:bottom w:val="nil"/>
              <w:right w:val="nil"/>
            </w:tcBorders>
            <w:vAlign w:val="bottom"/>
          </w:tcPr>
          <w:p w:rsidR="00615271" w:rsidRPr="00D00722" w:rsidRDefault="00615271" w:rsidP="00615271">
            <w:pPr>
              <w:jc w:val="right"/>
              <w:rPr>
                <w:rFonts w:ascii="Arial" w:hAnsi="Arial" w:cs="Arial"/>
                <w:bCs/>
                <w:color w:val="000000"/>
                <w:sz w:val="16"/>
                <w:szCs w:val="16"/>
              </w:rPr>
            </w:pPr>
            <w:r w:rsidRPr="00D00722">
              <w:rPr>
                <w:rFonts w:ascii="Arial" w:hAnsi="Arial" w:cs="Arial"/>
                <w:bCs/>
                <w:color w:val="000000"/>
                <w:sz w:val="16"/>
                <w:szCs w:val="16"/>
              </w:rPr>
              <w:t>1.408</w:t>
            </w:r>
          </w:p>
        </w:tc>
      </w:tr>
      <w:tr w:rsidR="00615271" w:rsidRPr="00D00722" w:rsidTr="00615271">
        <w:trPr>
          <w:trHeight w:val="113"/>
        </w:trPr>
        <w:tc>
          <w:tcPr>
            <w:tcW w:w="5103" w:type="dxa"/>
            <w:tcBorders>
              <w:top w:val="nil"/>
              <w:left w:val="nil"/>
              <w:bottom w:val="nil"/>
              <w:right w:val="nil"/>
            </w:tcBorders>
            <w:shd w:val="clear" w:color="auto" w:fill="auto"/>
            <w:vAlign w:val="bottom"/>
            <w:hideMark/>
          </w:tcPr>
          <w:p w:rsidR="00615271" w:rsidRPr="00D00722" w:rsidRDefault="00615271" w:rsidP="00A870BB">
            <w:pPr>
              <w:ind w:hanging="108"/>
              <w:rPr>
                <w:rFonts w:ascii="Arial" w:hAnsi="Arial" w:cs="Arial"/>
                <w:color w:val="000000"/>
                <w:sz w:val="16"/>
                <w:szCs w:val="16"/>
              </w:rPr>
            </w:pPr>
            <w:r w:rsidRPr="00D00722">
              <w:rPr>
                <w:rFonts w:ascii="Arial" w:hAnsi="Arial" w:cs="Arial"/>
                <w:color w:val="000000"/>
                <w:sz w:val="16"/>
                <w:szCs w:val="16"/>
              </w:rPr>
              <w:t>Peşin ödenmiş giderler</w:t>
            </w:r>
          </w:p>
        </w:tc>
        <w:tc>
          <w:tcPr>
            <w:tcW w:w="1134" w:type="dxa"/>
            <w:tcBorders>
              <w:top w:val="nil"/>
              <w:left w:val="nil"/>
              <w:bottom w:val="nil"/>
              <w:right w:val="nil"/>
            </w:tcBorders>
            <w:shd w:val="clear" w:color="auto" w:fill="auto"/>
            <w:hideMark/>
          </w:tcPr>
          <w:p w:rsidR="00615271" w:rsidRPr="00D00722" w:rsidRDefault="00615271" w:rsidP="00A27292">
            <w:pPr>
              <w:jc w:val="right"/>
              <w:rPr>
                <w:rFonts w:ascii="Arial" w:hAnsi="Arial" w:cs="Arial"/>
                <w:color w:val="000000"/>
                <w:sz w:val="16"/>
                <w:szCs w:val="16"/>
              </w:rPr>
            </w:pPr>
            <w:r w:rsidRPr="00D00722">
              <w:rPr>
                <w:rFonts w:ascii="Arial" w:hAnsi="Arial" w:cs="Arial"/>
                <w:color w:val="000000"/>
                <w:sz w:val="16"/>
                <w:szCs w:val="16"/>
              </w:rPr>
              <w:t>7</w:t>
            </w:r>
          </w:p>
        </w:tc>
        <w:tc>
          <w:tcPr>
            <w:tcW w:w="1418" w:type="dxa"/>
            <w:tcBorders>
              <w:top w:val="nil"/>
              <w:left w:val="nil"/>
              <w:bottom w:val="nil"/>
              <w:right w:val="nil"/>
            </w:tcBorders>
            <w:shd w:val="clear" w:color="auto" w:fill="auto"/>
            <w:vAlign w:val="bottom"/>
          </w:tcPr>
          <w:p w:rsidR="00615271" w:rsidRPr="00D00722" w:rsidRDefault="000842B4" w:rsidP="00A27292">
            <w:pPr>
              <w:jc w:val="right"/>
              <w:rPr>
                <w:rFonts w:ascii="Arial" w:hAnsi="Arial" w:cs="Arial"/>
                <w:b/>
                <w:bCs/>
                <w:color w:val="000000"/>
                <w:sz w:val="16"/>
                <w:szCs w:val="16"/>
              </w:rPr>
            </w:pPr>
            <w:r w:rsidRPr="00D00722">
              <w:rPr>
                <w:rFonts w:ascii="Arial" w:hAnsi="Arial" w:cs="Arial"/>
                <w:b/>
                <w:bCs/>
                <w:color w:val="000000"/>
                <w:sz w:val="16"/>
                <w:szCs w:val="16"/>
              </w:rPr>
              <w:t>48.037</w:t>
            </w:r>
          </w:p>
        </w:tc>
        <w:tc>
          <w:tcPr>
            <w:tcW w:w="1417" w:type="dxa"/>
            <w:tcBorders>
              <w:top w:val="nil"/>
              <w:left w:val="nil"/>
              <w:bottom w:val="nil"/>
              <w:right w:val="nil"/>
            </w:tcBorders>
            <w:vAlign w:val="bottom"/>
          </w:tcPr>
          <w:p w:rsidR="00615271" w:rsidRPr="00D00722" w:rsidRDefault="00615271" w:rsidP="00615271">
            <w:pPr>
              <w:jc w:val="right"/>
              <w:rPr>
                <w:rFonts w:ascii="Arial" w:hAnsi="Arial" w:cs="Arial"/>
                <w:bCs/>
                <w:color w:val="000000"/>
                <w:sz w:val="16"/>
                <w:szCs w:val="16"/>
              </w:rPr>
            </w:pPr>
            <w:r w:rsidRPr="00D00722">
              <w:rPr>
                <w:rFonts w:ascii="Arial" w:hAnsi="Arial" w:cs="Arial"/>
                <w:bCs/>
                <w:color w:val="000000"/>
                <w:sz w:val="16"/>
                <w:szCs w:val="16"/>
              </w:rPr>
              <w:t>14.146</w:t>
            </w:r>
          </w:p>
        </w:tc>
      </w:tr>
      <w:tr w:rsidR="00615271" w:rsidRPr="00D00722" w:rsidTr="00615271">
        <w:trPr>
          <w:trHeight w:val="113"/>
        </w:trPr>
        <w:tc>
          <w:tcPr>
            <w:tcW w:w="5103" w:type="dxa"/>
            <w:tcBorders>
              <w:top w:val="nil"/>
              <w:left w:val="nil"/>
              <w:bottom w:val="nil"/>
              <w:right w:val="nil"/>
            </w:tcBorders>
            <w:shd w:val="clear" w:color="auto" w:fill="auto"/>
            <w:vAlign w:val="bottom"/>
          </w:tcPr>
          <w:p w:rsidR="00615271" w:rsidRPr="00D00722" w:rsidRDefault="00615271" w:rsidP="00A870BB">
            <w:pPr>
              <w:ind w:hanging="108"/>
              <w:rPr>
                <w:rFonts w:ascii="Arial" w:hAnsi="Arial" w:cs="Arial"/>
                <w:color w:val="000000"/>
                <w:sz w:val="16"/>
                <w:szCs w:val="16"/>
              </w:rPr>
            </w:pPr>
            <w:r w:rsidRPr="00D00722">
              <w:rPr>
                <w:rFonts w:ascii="Arial" w:hAnsi="Arial" w:cs="Arial"/>
                <w:color w:val="000000"/>
                <w:sz w:val="16"/>
                <w:szCs w:val="16"/>
              </w:rPr>
              <w:t>Caridönem vergisiyle ilgili varlıklar</w:t>
            </w:r>
          </w:p>
        </w:tc>
        <w:tc>
          <w:tcPr>
            <w:tcW w:w="1134" w:type="dxa"/>
            <w:tcBorders>
              <w:top w:val="nil"/>
              <w:left w:val="nil"/>
              <w:bottom w:val="nil"/>
              <w:right w:val="nil"/>
            </w:tcBorders>
            <w:shd w:val="clear" w:color="auto" w:fill="auto"/>
          </w:tcPr>
          <w:p w:rsidR="00615271" w:rsidRPr="00D00722" w:rsidRDefault="00615271" w:rsidP="00A27292">
            <w:pPr>
              <w:jc w:val="right"/>
              <w:rPr>
                <w:rFonts w:ascii="Arial" w:hAnsi="Arial" w:cs="Arial"/>
                <w:color w:val="000000"/>
                <w:sz w:val="16"/>
                <w:szCs w:val="16"/>
              </w:rPr>
            </w:pPr>
            <w:r w:rsidRPr="00D00722">
              <w:rPr>
                <w:rFonts w:ascii="Arial" w:hAnsi="Arial" w:cs="Arial"/>
                <w:color w:val="000000"/>
                <w:sz w:val="16"/>
                <w:szCs w:val="16"/>
              </w:rPr>
              <w:t>8</w:t>
            </w:r>
          </w:p>
        </w:tc>
        <w:tc>
          <w:tcPr>
            <w:tcW w:w="1418" w:type="dxa"/>
            <w:tcBorders>
              <w:top w:val="nil"/>
              <w:left w:val="nil"/>
              <w:bottom w:val="nil"/>
              <w:right w:val="nil"/>
            </w:tcBorders>
            <w:shd w:val="clear" w:color="auto" w:fill="auto"/>
            <w:vAlign w:val="bottom"/>
          </w:tcPr>
          <w:p w:rsidR="00615271" w:rsidRPr="00D00722" w:rsidRDefault="000842B4" w:rsidP="00A27292">
            <w:pPr>
              <w:jc w:val="right"/>
              <w:rPr>
                <w:rFonts w:ascii="Arial" w:hAnsi="Arial" w:cs="Arial"/>
                <w:b/>
                <w:bCs/>
                <w:color w:val="000000"/>
                <w:sz w:val="16"/>
                <w:szCs w:val="16"/>
              </w:rPr>
            </w:pPr>
            <w:r w:rsidRPr="00D00722">
              <w:rPr>
                <w:rFonts w:ascii="Arial" w:hAnsi="Arial" w:cs="Arial"/>
                <w:b/>
                <w:bCs/>
                <w:color w:val="000000"/>
                <w:sz w:val="16"/>
                <w:szCs w:val="16"/>
              </w:rPr>
              <w:t>12.220</w:t>
            </w:r>
          </w:p>
        </w:tc>
        <w:tc>
          <w:tcPr>
            <w:tcW w:w="1417" w:type="dxa"/>
            <w:tcBorders>
              <w:top w:val="nil"/>
              <w:left w:val="nil"/>
              <w:bottom w:val="nil"/>
              <w:right w:val="nil"/>
            </w:tcBorders>
            <w:vAlign w:val="bottom"/>
          </w:tcPr>
          <w:p w:rsidR="00615271" w:rsidRPr="00D00722" w:rsidRDefault="00615271" w:rsidP="00615271">
            <w:pPr>
              <w:jc w:val="right"/>
              <w:rPr>
                <w:rFonts w:ascii="Arial" w:hAnsi="Arial" w:cs="Arial"/>
                <w:bCs/>
                <w:color w:val="000000"/>
                <w:sz w:val="16"/>
                <w:szCs w:val="16"/>
              </w:rPr>
            </w:pPr>
            <w:r w:rsidRPr="00D00722">
              <w:rPr>
                <w:rFonts w:ascii="Arial" w:hAnsi="Arial" w:cs="Arial"/>
                <w:bCs/>
                <w:color w:val="000000"/>
                <w:sz w:val="16"/>
                <w:szCs w:val="16"/>
              </w:rPr>
              <w:t>9.848</w:t>
            </w:r>
          </w:p>
        </w:tc>
      </w:tr>
      <w:tr w:rsidR="00615271" w:rsidRPr="00D00722" w:rsidTr="00615271">
        <w:trPr>
          <w:trHeight w:val="113"/>
        </w:trPr>
        <w:tc>
          <w:tcPr>
            <w:tcW w:w="5103" w:type="dxa"/>
            <w:tcBorders>
              <w:top w:val="nil"/>
              <w:left w:val="nil"/>
              <w:bottom w:val="nil"/>
              <w:right w:val="nil"/>
            </w:tcBorders>
            <w:shd w:val="clear" w:color="auto" w:fill="auto"/>
            <w:vAlign w:val="bottom"/>
            <w:hideMark/>
          </w:tcPr>
          <w:p w:rsidR="00615271" w:rsidRPr="00D00722" w:rsidRDefault="00615271" w:rsidP="00A870BB">
            <w:pPr>
              <w:ind w:hanging="108"/>
              <w:jc w:val="right"/>
              <w:rPr>
                <w:rFonts w:ascii="Arial" w:hAnsi="Arial" w:cs="Arial"/>
                <w:color w:val="000000"/>
                <w:sz w:val="16"/>
                <w:szCs w:val="16"/>
              </w:rPr>
            </w:pPr>
          </w:p>
        </w:tc>
        <w:tc>
          <w:tcPr>
            <w:tcW w:w="1134" w:type="dxa"/>
            <w:tcBorders>
              <w:top w:val="nil"/>
              <w:left w:val="nil"/>
              <w:bottom w:val="nil"/>
              <w:right w:val="nil"/>
            </w:tcBorders>
            <w:shd w:val="clear" w:color="auto" w:fill="auto"/>
            <w:vAlign w:val="bottom"/>
            <w:hideMark/>
          </w:tcPr>
          <w:p w:rsidR="00615271" w:rsidRPr="00D00722" w:rsidRDefault="00615271" w:rsidP="00A27292">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hideMark/>
          </w:tcPr>
          <w:p w:rsidR="00615271" w:rsidRPr="00D00722" w:rsidRDefault="00615271" w:rsidP="00A27292">
            <w:pPr>
              <w:jc w:val="right"/>
              <w:rPr>
                <w:rFonts w:ascii="Arial" w:hAnsi="Arial" w:cs="Arial"/>
                <w:b/>
                <w:bCs/>
                <w:color w:val="000000"/>
                <w:sz w:val="16"/>
                <w:szCs w:val="16"/>
              </w:rPr>
            </w:pPr>
          </w:p>
        </w:tc>
        <w:tc>
          <w:tcPr>
            <w:tcW w:w="1417" w:type="dxa"/>
            <w:tcBorders>
              <w:top w:val="nil"/>
              <w:left w:val="nil"/>
              <w:bottom w:val="nil"/>
              <w:right w:val="nil"/>
            </w:tcBorders>
            <w:vAlign w:val="bottom"/>
          </w:tcPr>
          <w:p w:rsidR="00615271" w:rsidRPr="00D00722" w:rsidRDefault="00615271" w:rsidP="00615271">
            <w:pPr>
              <w:jc w:val="right"/>
              <w:rPr>
                <w:rFonts w:ascii="Arial" w:hAnsi="Arial" w:cs="Arial"/>
                <w:bCs/>
                <w:color w:val="000000"/>
                <w:sz w:val="16"/>
                <w:szCs w:val="16"/>
              </w:rPr>
            </w:pPr>
          </w:p>
        </w:tc>
      </w:tr>
      <w:tr w:rsidR="00615271" w:rsidRPr="00D00722" w:rsidTr="00615271">
        <w:trPr>
          <w:trHeight w:val="113"/>
        </w:trPr>
        <w:tc>
          <w:tcPr>
            <w:tcW w:w="5103" w:type="dxa"/>
            <w:tcBorders>
              <w:top w:val="single" w:sz="4" w:space="0" w:color="auto"/>
              <w:left w:val="nil"/>
              <w:bottom w:val="single" w:sz="4" w:space="0" w:color="auto"/>
              <w:right w:val="nil"/>
            </w:tcBorders>
            <w:shd w:val="clear" w:color="auto" w:fill="auto"/>
            <w:vAlign w:val="bottom"/>
            <w:hideMark/>
          </w:tcPr>
          <w:p w:rsidR="00615271" w:rsidRPr="00D00722" w:rsidRDefault="00615271" w:rsidP="00A870BB">
            <w:pPr>
              <w:ind w:hanging="108"/>
              <w:rPr>
                <w:rFonts w:ascii="Arial" w:hAnsi="Arial" w:cs="Arial"/>
                <w:b/>
                <w:bCs/>
                <w:color w:val="000000"/>
                <w:sz w:val="16"/>
                <w:szCs w:val="16"/>
              </w:rPr>
            </w:pPr>
            <w:r w:rsidRPr="00D00722">
              <w:rPr>
                <w:rFonts w:ascii="Arial" w:hAnsi="Arial" w:cs="Arial"/>
                <w:b/>
                <w:bCs/>
                <w:color w:val="000000"/>
                <w:sz w:val="16"/>
                <w:szCs w:val="16"/>
              </w:rPr>
              <w:t>Duran varlıklar</w:t>
            </w:r>
          </w:p>
        </w:tc>
        <w:tc>
          <w:tcPr>
            <w:tcW w:w="1134" w:type="dxa"/>
            <w:tcBorders>
              <w:top w:val="single" w:sz="4" w:space="0" w:color="auto"/>
              <w:left w:val="nil"/>
              <w:bottom w:val="single" w:sz="4" w:space="0" w:color="auto"/>
              <w:right w:val="nil"/>
            </w:tcBorders>
            <w:shd w:val="clear" w:color="auto" w:fill="auto"/>
            <w:vAlign w:val="bottom"/>
            <w:hideMark/>
          </w:tcPr>
          <w:p w:rsidR="00615271" w:rsidRPr="00D00722" w:rsidRDefault="00615271" w:rsidP="00A27292">
            <w:pPr>
              <w:jc w:val="right"/>
              <w:rPr>
                <w:rFonts w:ascii="Arial" w:hAnsi="Arial" w:cs="Arial"/>
                <w:color w:val="000000"/>
                <w:sz w:val="16"/>
                <w:szCs w:val="16"/>
              </w:rPr>
            </w:pPr>
          </w:p>
        </w:tc>
        <w:tc>
          <w:tcPr>
            <w:tcW w:w="1418" w:type="dxa"/>
            <w:tcBorders>
              <w:top w:val="single" w:sz="4" w:space="0" w:color="auto"/>
              <w:left w:val="nil"/>
              <w:bottom w:val="single" w:sz="4" w:space="0" w:color="auto"/>
              <w:right w:val="nil"/>
            </w:tcBorders>
            <w:shd w:val="clear" w:color="auto" w:fill="auto"/>
            <w:vAlign w:val="bottom"/>
          </w:tcPr>
          <w:p w:rsidR="00615271" w:rsidRPr="00D00722" w:rsidRDefault="000842B4" w:rsidP="00217906">
            <w:pPr>
              <w:jc w:val="right"/>
              <w:rPr>
                <w:rFonts w:ascii="Arial" w:hAnsi="Arial" w:cs="Arial"/>
                <w:b/>
                <w:bCs/>
                <w:color w:val="000000"/>
                <w:sz w:val="16"/>
                <w:szCs w:val="16"/>
              </w:rPr>
            </w:pPr>
            <w:r w:rsidRPr="00D00722">
              <w:rPr>
                <w:rFonts w:ascii="Arial" w:hAnsi="Arial" w:cs="Arial"/>
                <w:b/>
                <w:bCs/>
                <w:color w:val="000000"/>
                <w:sz w:val="16"/>
                <w:szCs w:val="16"/>
              </w:rPr>
              <w:t>408.68</w:t>
            </w:r>
            <w:r w:rsidR="00217906" w:rsidRPr="00D00722">
              <w:rPr>
                <w:rFonts w:ascii="Arial" w:hAnsi="Arial" w:cs="Arial"/>
                <w:b/>
                <w:bCs/>
                <w:color w:val="000000"/>
                <w:sz w:val="16"/>
                <w:szCs w:val="16"/>
              </w:rPr>
              <w:t>2</w:t>
            </w:r>
          </w:p>
        </w:tc>
        <w:tc>
          <w:tcPr>
            <w:tcW w:w="1417" w:type="dxa"/>
            <w:tcBorders>
              <w:top w:val="single" w:sz="4" w:space="0" w:color="auto"/>
              <w:left w:val="nil"/>
              <w:bottom w:val="single" w:sz="4" w:space="0" w:color="auto"/>
              <w:right w:val="nil"/>
            </w:tcBorders>
            <w:vAlign w:val="bottom"/>
          </w:tcPr>
          <w:p w:rsidR="00615271" w:rsidRPr="00D00722" w:rsidRDefault="00615271" w:rsidP="00615271">
            <w:pPr>
              <w:jc w:val="right"/>
              <w:rPr>
                <w:rFonts w:ascii="Arial" w:hAnsi="Arial" w:cs="Arial"/>
                <w:bCs/>
                <w:color w:val="000000"/>
                <w:sz w:val="16"/>
                <w:szCs w:val="16"/>
              </w:rPr>
            </w:pPr>
            <w:r w:rsidRPr="00D00722">
              <w:rPr>
                <w:rFonts w:ascii="Arial" w:hAnsi="Arial" w:cs="Arial"/>
                <w:bCs/>
                <w:color w:val="000000"/>
                <w:sz w:val="16"/>
                <w:szCs w:val="16"/>
              </w:rPr>
              <w:t>356.109</w:t>
            </w:r>
          </w:p>
        </w:tc>
      </w:tr>
      <w:tr w:rsidR="00615271" w:rsidRPr="00D00722" w:rsidTr="00615271">
        <w:trPr>
          <w:trHeight w:val="113"/>
        </w:trPr>
        <w:tc>
          <w:tcPr>
            <w:tcW w:w="5103" w:type="dxa"/>
            <w:tcBorders>
              <w:top w:val="nil"/>
              <w:left w:val="nil"/>
              <w:bottom w:val="nil"/>
              <w:right w:val="nil"/>
            </w:tcBorders>
            <w:shd w:val="clear" w:color="auto" w:fill="auto"/>
            <w:vAlign w:val="bottom"/>
            <w:hideMark/>
          </w:tcPr>
          <w:p w:rsidR="00615271" w:rsidRPr="00D00722" w:rsidRDefault="00615271" w:rsidP="00A870BB">
            <w:pPr>
              <w:ind w:hanging="108"/>
              <w:rPr>
                <w:rFonts w:ascii="Arial" w:hAnsi="Arial" w:cs="Arial"/>
                <w:b/>
                <w:bCs/>
                <w:color w:val="000000"/>
                <w:sz w:val="16"/>
                <w:szCs w:val="16"/>
              </w:rPr>
            </w:pPr>
          </w:p>
        </w:tc>
        <w:tc>
          <w:tcPr>
            <w:tcW w:w="1134" w:type="dxa"/>
            <w:tcBorders>
              <w:top w:val="nil"/>
              <w:left w:val="nil"/>
              <w:bottom w:val="nil"/>
              <w:right w:val="nil"/>
            </w:tcBorders>
            <w:shd w:val="clear" w:color="auto" w:fill="auto"/>
            <w:vAlign w:val="bottom"/>
            <w:hideMark/>
          </w:tcPr>
          <w:p w:rsidR="00615271" w:rsidRPr="00D00722" w:rsidRDefault="00615271" w:rsidP="00A27292">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tcPr>
          <w:p w:rsidR="00615271" w:rsidRPr="00D00722" w:rsidRDefault="00615271" w:rsidP="00A27292">
            <w:pPr>
              <w:jc w:val="right"/>
              <w:rPr>
                <w:rFonts w:ascii="Arial" w:hAnsi="Arial" w:cs="Arial"/>
                <w:b/>
                <w:bCs/>
                <w:color w:val="000000"/>
                <w:sz w:val="16"/>
                <w:szCs w:val="16"/>
              </w:rPr>
            </w:pPr>
          </w:p>
        </w:tc>
        <w:tc>
          <w:tcPr>
            <w:tcW w:w="1417" w:type="dxa"/>
            <w:tcBorders>
              <w:top w:val="nil"/>
              <w:left w:val="nil"/>
              <w:bottom w:val="nil"/>
              <w:right w:val="nil"/>
            </w:tcBorders>
            <w:vAlign w:val="bottom"/>
          </w:tcPr>
          <w:p w:rsidR="00615271" w:rsidRPr="00D00722" w:rsidRDefault="00615271" w:rsidP="00615271">
            <w:pPr>
              <w:jc w:val="right"/>
              <w:rPr>
                <w:rFonts w:ascii="Arial" w:hAnsi="Arial" w:cs="Arial"/>
                <w:bCs/>
                <w:color w:val="000000"/>
                <w:sz w:val="16"/>
                <w:szCs w:val="16"/>
              </w:rPr>
            </w:pPr>
          </w:p>
        </w:tc>
      </w:tr>
      <w:tr w:rsidR="00615271" w:rsidRPr="00D00722" w:rsidTr="00615271">
        <w:trPr>
          <w:trHeight w:val="113"/>
        </w:trPr>
        <w:tc>
          <w:tcPr>
            <w:tcW w:w="5103" w:type="dxa"/>
            <w:tcBorders>
              <w:top w:val="nil"/>
              <w:left w:val="nil"/>
              <w:bottom w:val="nil"/>
              <w:right w:val="nil"/>
            </w:tcBorders>
            <w:shd w:val="clear" w:color="auto" w:fill="auto"/>
            <w:hideMark/>
          </w:tcPr>
          <w:p w:rsidR="00615271" w:rsidRPr="00D00722" w:rsidRDefault="00615271" w:rsidP="00A870BB">
            <w:pPr>
              <w:ind w:hanging="108"/>
              <w:rPr>
                <w:rFonts w:ascii="Arial" w:hAnsi="Arial" w:cs="Arial"/>
                <w:color w:val="000000"/>
                <w:sz w:val="16"/>
                <w:szCs w:val="16"/>
              </w:rPr>
            </w:pPr>
            <w:r w:rsidRPr="00D00722">
              <w:rPr>
                <w:rFonts w:ascii="Arial" w:hAnsi="Arial" w:cs="Arial"/>
                <w:color w:val="000000"/>
                <w:sz w:val="16"/>
                <w:szCs w:val="16"/>
              </w:rPr>
              <w:t xml:space="preserve">Maddi duran varlıklar </w:t>
            </w:r>
          </w:p>
        </w:tc>
        <w:tc>
          <w:tcPr>
            <w:tcW w:w="1134" w:type="dxa"/>
            <w:tcBorders>
              <w:top w:val="nil"/>
              <w:left w:val="nil"/>
              <w:bottom w:val="nil"/>
              <w:right w:val="nil"/>
            </w:tcBorders>
            <w:shd w:val="clear" w:color="auto" w:fill="auto"/>
            <w:vAlign w:val="bottom"/>
            <w:hideMark/>
          </w:tcPr>
          <w:p w:rsidR="00615271" w:rsidRPr="00D00722" w:rsidRDefault="00615271" w:rsidP="00A27292">
            <w:pPr>
              <w:jc w:val="right"/>
              <w:rPr>
                <w:rFonts w:ascii="Arial" w:hAnsi="Arial" w:cs="Arial"/>
                <w:color w:val="000000"/>
                <w:sz w:val="16"/>
                <w:szCs w:val="16"/>
              </w:rPr>
            </w:pPr>
            <w:r w:rsidRPr="00D00722">
              <w:rPr>
                <w:rFonts w:ascii="Arial" w:hAnsi="Arial" w:cs="Arial"/>
                <w:color w:val="000000"/>
                <w:sz w:val="16"/>
                <w:szCs w:val="16"/>
              </w:rPr>
              <w:t>10</w:t>
            </w:r>
          </w:p>
        </w:tc>
        <w:tc>
          <w:tcPr>
            <w:tcW w:w="1418" w:type="dxa"/>
            <w:tcBorders>
              <w:top w:val="nil"/>
              <w:left w:val="nil"/>
              <w:bottom w:val="nil"/>
              <w:right w:val="nil"/>
            </w:tcBorders>
            <w:shd w:val="clear" w:color="auto" w:fill="auto"/>
            <w:vAlign w:val="bottom"/>
          </w:tcPr>
          <w:p w:rsidR="00615271" w:rsidRPr="00D00722" w:rsidRDefault="000842B4" w:rsidP="00A27292">
            <w:pPr>
              <w:jc w:val="right"/>
              <w:rPr>
                <w:rFonts w:ascii="Arial" w:hAnsi="Arial" w:cs="Arial"/>
                <w:b/>
                <w:bCs/>
                <w:color w:val="000000"/>
                <w:sz w:val="16"/>
                <w:szCs w:val="16"/>
              </w:rPr>
            </w:pPr>
            <w:r w:rsidRPr="00D00722">
              <w:rPr>
                <w:rFonts w:ascii="Arial" w:hAnsi="Arial" w:cs="Arial"/>
                <w:b/>
                <w:bCs/>
                <w:color w:val="000000"/>
                <w:sz w:val="16"/>
                <w:szCs w:val="16"/>
              </w:rPr>
              <w:t>29.678</w:t>
            </w:r>
          </w:p>
        </w:tc>
        <w:tc>
          <w:tcPr>
            <w:tcW w:w="1417" w:type="dxa"/>
            <w:tcBorders>
              <w:top w:val="nil"/>
              <w:left w:val="nil"/>
              <w:bottom w:val="nil"/>
              <w:right w:val="nil"/>
            </w:tcBorders>
            <w:vAlign w:val="bottom"/>
          </w:tcPr>
          <w:p w:rsidR="00615271" w:rsidRPr="00D00722" w:rsidRDefault="00615271" w:rsidP="00615271">
            <w:pPr>
              <w:jc w:val="right"/>
              <w:rPr>
                <w:rFonts w:ascii="Arial" w:hAnsi="Arial" w:cs="Arial"/>
                <w:bCs/>
                <w:color w:val="000000"/>
                <w:sz w:val="16"/>
                <w:szCs w:val="16"/>
              </w:rPr>
            </w:pPr>
            <w:r w:rsidRPr="00D00722">
              <w:rPr>
                <w:rFonts w:ascii="Arial" w:hAnsi="Arial" w:cs="Arial"/>
                <w:bCs/>
                <w:color w:val="000000"/>
                <w:sz w:val="16"/>
                <w:szCs w:val="16"/>
              </w:rPr>
              <w:t>33.168</w:t>
            </w:r>
          </w:p>
        </w:tc>
      </w:tr>
      <w:tr w:rsidR="00615271" w:rsidRPr="00D00722" w:rsidTr="00615271">
        <w:trPr>
          <w:trHeight w:val="113"/>
        </w:trPr>
        <w:tc>
          <w:tcPr>
            <w:tcW w:w="5103" w:type="dxa"/>
            <w:tcBorders>
              <w:top w:val="nil"/>
              <w:left w:val="nil"/>
              <w:bottom w:val="nil"/>
              <w:right w:val="nil"/>
            </w:tcBorders>
            <w:shd w:val="clear" w:color="auto" w:fill="auto"/>
            <w:hideMark/>
          </w:tcPr>
          <w:p w:rsidR="00615271" w:rsidRPr="00D00722" w:rsidRDefault="00615271" w:rsidP="00A870BB">
            <w:pPr>
              <w:ind w:hanging="108"/>
              <w:rPr>
                <w:rFonts w:ascii="Arial" w:hAnsi="Arial" w:cs="Arial"/>
                <w:color w:val="000000"/>
                <w:sz w:val="16"/>
                <w:szCs w:val="16"/>
              </w:rPr>
            </w:pPr>
            <w:r w:rsidRPr="00D00722">
              <w:rPr>
                <w:rFonts w:ascii="Arial" w:hAnsi="Arial" w:cs="Arial"/>
                <w:color w:val="000000"/>
                <w:sz w:val="16"/>
                <w:szCs w:val="16"/>
              </w:rPr>
              <w:t>Maddi olmayan duran varlıklar</w:t>
            </w:r>
          </w:p>
        </w:tc>
        <w:tc>
          <w:tcPr>
            <w:tcW w:w="1134" w:type="dxa"/>
            <w:tcBorders>
              <w:top w:val="nil"/>
              <w:left w:val="nil"/>
              <w:bottom w:val="nil"/>
              <w:right w:val="nil"/>
            </w:tcBorders>
            <w:shd w:val="clear" w:color="auto" w:fill="auto"/>
            <w:hideMark/>
          </w:tcPr>
          <w:p w:rsidR="00615271" w:rsidRPr="00D00722" w:rsidRDefault="00615271" w:rsidP="00A27292">
            <w:pPr>
              <w:jc w:val="right"/>
              <w:rPr>
                <w:rFonts w:ascii="Arial" w:hAnsi="Arial" w:cs="Arial"/>
                <w:color w:val="000000"/>
                <w:sz w:val="16"/>
                <w:szCs w:val="16"/>
              </w:rPr>
            </w:pPr>
            <w:r w:rsidRPr="00D00722">
              <w:rPr>
                <w:rFonts w:ascii="Arial" w:hAnsi="Arial" w:cs="Arial"/>
                <w:color w:val="000000"/>
                <w:sz w:val="16"/>
                <w:szCs w:val="16"/>
              </w:rPr>
              <w:t>11</w:t>
            </w:r>
          </w:p>
        </w:tc>
        <w:tc>
          <w:tcPr>
            <w:tcW w:w="1418" w:type="dxa"/>
            <w:tcBorders>
              <w:top w:val="nil"/>
              <w:left w:val="nil"/>
              <w:bottom w:val="nil"/>
              <w:right w:val="nil"/>
            </w:tcBorders>
            <w:shd w:val="clear" w:color="auto" w:fill="auto"/>
            <w:vAlign w:val="bottom"/>
          </w:tcPr>
          <w:p w:rsidR="00615271" w:rsidRPr="00D00722" w:rsidRDefault="000842B4" w:rsidP="00A27292">
            <w:pPr>
              <w:jc w:val="right"/>
              <w:rPr>
                <w:rFonts w:ascii="Arial" w:hAnsi="Arial" w:cs="Arial"/>
                <w:b/>
                <w:bCs/>
                <w:color w:val="000000"/>
                <w:sz w:val="16"/>
                <w:szCs w:val="16"/>
              </w:rPr>
            </w:pPr>
            <w:r w:rsidRPr="00D00722">
              <w:rPr>
                <w:rFonts w:ascii="Arial" w:hAnsi="Arial" w:cs="Arial"/>
                <w:b/>
                <w:bCs/>
                <w:color w:val="000000"/>
                <w:sz w:val="16"/>
                <w:szCs w:val="16"/>
              </w:rPr>
              <w:t>19.750</w:t>
            </w:r>
          </w:p>
        </w:tc>
        <w:tc>
          <w:tcPr>
            <w:tcW w:w="1417" w:type="dxa"/>
            <w:tcBorders>
              <w:top w:val="nil"/>
              <w:left w:val="nil"/>
              <w:bottom w:val="nil"/>
              <w:right w:val="nil"/>
            </w:tcBorders>
            <w:vAlign w:val="bottom"/>
          </w:tcPr>
          <w:p w:rsidR="00615271" w:rsidRPr="00D00722" w:rsidRDefault="00615271" w:rsidP="00615271">
            <w:pPr>
              <w:jc w:val="right"/>
              <w:rPr>
                <w:rFonts w:ascii="Arial" w:hAnsi="Arial" w:cs="Arial"/>
                <w:bCs/>
                <w:color w:val="000000"/>
                <w:sz w:val="16"/>
                <w:szCs w:val="16"/>
              </w:rPr>
            </w:pPr>
            <w:r w:rsidRPr="00D00722">
              <w:rPr>
                <w:rFonts w:ascii="Arial" w:hAnsi="Arial" w:cs="Arial"/>
                <w:bCs/>
                <w:color w:val="000000"/>
                <w:sz w:val="16"/>
                <w:szCs w:val="16"/>
              </w:rPr>
              <w:t>21.489</w:t>
            </w:r>
          </w:p>
        </w:tc>
      </w:tr>
      <w:tr w:rsidR="00615271" w:rsidRPr="00D00722" w:rsidTr="00615271">
        <w:trPr>
          <w:trHeight w:val="113"/>
        </w:trPr>
        <w:tc>
          <w:tcPr>
            <w:tcW w:w="5103" w:type="dxa"/>
            <w:tcBorders>
              <w:top w:val="nil"/>
              <w:left w:val="nil"/>
              <w:bottom w:val="nil"/>
              <w:right w:val="nil"/>
            </w:tcBorders>
            <w:shd w:val="clear" w:color="auto" w:fill="auto"/>
            <w:hideMark/>
          </w:tcPr>
          <w:p w:rsidR="00615271" w:rsidRPr="00D00722" w:rsidRDefault="00615271" w:rsidP="00A870BB">
            <w:pPr>
              <w:ind w:hanging="108"/>
              <w:rPr>
                <w:rFonts w:ascii="Arial" w:hAnsi="Arial" w:cs="Arial"/>
                <w:color w:val="000000"/>
                <w:sz w:val="16"/>
                <w:szCs w:val="16"/>
              </w:rPr>
            </w:pPr>
            <w:r w:rsidRPr="00D00722">
              <w:rPr>
                <w:rFonts w:ascii="Arial" w:hAnsi="Arial" w:cs="Arial"/>
                <w:color w:val="000000"/>
                <w:sz w:val="16"/>
                <w:szCs w:val="16"/>
              </w:rPr>
              <w:t>Diğer alacaklar</w:t>
            </w:r>
          </w:p>
        </w:tc>
        <w:tc>
          <w:tcPr>
            <w:tcW w:w="1134" w:type="dxa"/>
            <w:tcBorders>
              <w:top w:val="nil"/>
              <w:left w:val="nil"/>
              <w:bottom w:val="nil"/>
              <w:right w:val="nil"/>
            </w:tcBorders>
            <w:shd w:val="clear" w:color="auto" w:fill="auto"/>
            <w:vAlign w:val="bottom"/>
            <w:hideMark/>
          </w:tcPr>
          <w:p w:rsidR="00615271" w:rsidRPr="00D00722" w:rsidRDefault="00615271" w:rsidP="00A27292">
            <w:pPr>
              <w:jc w:val="right"/>
              <w:rPr>
                <w:rFonts w:ascii="Arial" w:hAnsi="Arial" w:cs="Arial"/>
                <w:color w:val="000000"/>
                <w:sz w:val="16"/>
                <w:szCs w:val="16"/>
              </w:rPr>
            </w:pPr>
            <w:r w:rsidRPr="00D00722">
              <w:rPr>
                <w:rFonts w:ascii="Arial" w:hAnsi="Arial" w:cs="Arial"/>
                <w:color w:val="000000"/>
                <w:sz w:val="16"/>
                <w:szCs w:val="16"/>
              </w:rPr>
              <w:t>9</w:t>
            </w:r>
          </w:p>
        </w:tc>
        <w:tc>
          <w:tcPr>
            <w:tcW w:w="1418" w:type="dxa"/>
            <w:tcBorders>
              <w:top w:val="nil"/>
              <w:left w:val="nil"/>
              <w:bottom w:val="nil"/>
              <w:right w:val="nil"/>
            </w:tcBorders>
            <w:shd w:val="clear" w:color="auto" w:fill="auto"/>
            <w:vAlign w:val="bottom"/>
          </w:tcPr>
          <w:p w:rsidR="00615271" w:rsidRPr="00D00722" w:rsidRDefault="008375F3" w:rsidP="008375F3">
            <w:pPr>
              <w:jc w:val="right"/>
              <w:rPr>
                <w:rFonts w:ascii="Arial" w:hAnsi="Arial" w:cs="Arial"/>
                <w:b/>
                <w:bCs/>
                <w:color w:val="000000"/>
                <w:sz w:val="16"/>
                <w:szCs w:val="16"/>
              </w:rPr>
            </w:pPr>
            <w:r>
              <w:rPr>
                <w:rFonts w:ascii="Arial" w:hAnsi="Arial" w:cs="Arial"/>
                <w:b/>
                <w:bCs/>
                <w:color w:val="000000"/>
                <w:sz w:val="16"/>
                <w:szCs w:val="16"/>
              </w:rPr>
              <w:t>1</w:t>
            </w:r>
            <w:r w:rsidR="000842B4" w:rsidRPr="00D00722">
              <w:rPr>
                <w:rFonts w:ascii="Arial" w:hAnsi="Arial" w:cs="Arial"/>
                <w:b/>
                <w:bCs/>
                <w:color w:val="000000"/>
                <w:sz w:val="16"/>
                <w:szCs w:val="16"/>
              </w:rPr>
              <w:t>.</w:t>
            </w:r>
            <w:r>
              <w:rPr>
                <w:rFonts w:ascii="Arial" w:hAnsi="Arial" w:cs="Arial"/>
                <w:b/>
                <w:bCs/>
                <w:color w:val="000000"/>
                <w:sz w:val="16"/>
                <w:szCs w:val="16"/>
              </w:rPr>
              <w:t>000</w:t>
            </w:r>
          </w:p>
        </w:tc>
        <w:tc>
          <w:tcPr>
            <w:tcW w:w="1417" w:type="dxa"/>
            <w:tcBorders>
              <w:top w:val="nil"/>
              <w:left w:val="nil"/>
              <w:bottom w:val="nil"/>
              <w:right w:val="nil"/>
            </w:tcBorders>
            <w:vAlign w:val="bottom"/>
          </w:tcPr>
          <w:p w:rsidR="00615271" w:rsidRPr="00D00722" w:rsidRDefault="00615271" w:rsidP="00615271">
            <w:pPr>
              <w:jc w:val="right"/>
              <w:rPr>
                <w:rFonts w:ascii="Arial" w:hAnsi="Arial" w:cs="Arial"/>
                <w:bCs/>
                <w:color w:val="000000"/>
                <w:sz w:val="16"/>
                <w:szCs w:val="16"/>
              </w:rPr>
            </w:pPr>
            <w:r w:rsidRPr="00D00722">
              <w:rPr>
                <w:rFonts w:ascii="Arial" w:hAnsi="Arial" w:cs="Arial"/>
                <w:bCs/>
                <w:color w:val="000000"/>
                <w:sz w:val="16"/>
                <w:szCs w:val="16"/>
              </w:rPr>
              <w:t>1.000</w:t>
            </w:r>
          </w:p>
        </w:tc>
      </w:tr>
      <w:tr w:rsidR="00615271" w:rsidRPr="00D00722" w:rsidTr="00615271">
        <w:trPr>
          <w:trHeight w:val="113"/>
        </w:trPr>
        <w:tc>
          <w:tcPr>
            <w:tcW w:w="5103" w:type="dxa"/>
            <w:tcBorders>
              <w:top w:val="nil"/>
              <w:left w:val="nil"/>
              <w:bottom w:val="nil"/>
              <w:right w:val="nil"/>
            </w:tcBorders>
            <w:shd w:val="clear" w:color="auto" w:fill="auto"/>
            <w:hideMark/>
          </w:tcPr>
          <w:p w:rsidR="00615271" w:rsidRPr="00D00722" w:rsidRDefault="00615271" w:rsidP="00A870BB">
            <w:pPr>
              <w:ind w:hanging="108"/>
              <w:rPr>
                <w:rFonts w:ascii="Arial" w:hAnsi="Arial" w:cs="Arial"/>
                <w:color w:val="000000"/>
                <w:sz w:val="16"/>
                <w:szCs w:val="16"/>
              </w:rPr>
            </w:pPr>
            <w:r w:rsidRPr="00D00722">
              <w:rPr>
                <w:rFonts w:ascii="Arial" w:hAnsi="Arial" w:cs="Arial"/>
                <w:color w:val="000000"/>
                <w:sz w:val="16"/>
                <w:szCs w:val="16"/>
              </w:rPr>
              <w:t>Ertelenmiş vergi varlığı</w:t>
            </w:r>
          </w:p>
        </w:tc>
        <w:tc>
          <w:tcPr>
            <w:tcW w:w="1134" w:type="dxa"/>
            <w:tcBorders>
              <w:top w:val="nil"/>
              <w:left w:val="nil"/>
              <w:bottom w:val="nil"/>
              <w:right w:val="nil"/>
            </w:tcBorders>
            <w:shd w:val="clear" w:color="auto" w:fill="auto"/>
            <w:vAlign w:val="bottom"/>
            <w:hideMark/>
          </w:tcPr>
          <w:p w:rsidR="00615271" w:rsidRPr="00D00722" w:rsidRDefault="00615271" w:rsidP="00A27292">
            <w:pPr>
              <w:jc w:val="right"/>
              <w:rPr>
                <w:rFonts w:ascii="Arial" w:hAnsi="Arial" w:cs="Arial"/>
                <w:color w:val="000000"/>
                <w:sz w:val="16"/>
                <w:szCs w:val="16"/>
              </w:rPr>
            </w:pPr>
            <w:r w:rsidRPr="00D00722">
              <w:rPr>
                <w:rFonts w:ascii="Arial" w:hAnsi="Arial" w:cs="Arial"/>
                <w:color w:val="000000"/>
                <w:sz w:val="16"/>
                <w:szCs w:val="16"/>
              </w:rPr>
              <w:t>21</w:t>
            </w:r>
          </w:p>
        </w:tc>
        <w:tc>
          <w:tcPr>
            <w:tcW w:w="1418" w:type="dxa"/>
            <w:tcBorders>
              <w:top w:val="nil"/>
              <w:left w:val="nil"/>
              <w:bottom w:val="nil"/>
              <w:right w:val="nil"/>
            </w:tcBorders>
            <w:shd w:val="clear" w:color="auto" w:fill="auto"/>
            <w:vAlign w:val="bottom"/>
          </w:tcPr>
          <w:p w:rsidR="00615271" w:rsidRPr="00D00722" w:rsidRDefault="008375F3" w:rsidP="008375F3">
            <w:pPr>
              <w:jc w:val="right"/>
              <w:rPr>
                <w:rFonts w:ascii="Arial" w:hAnsi="Arial" w:cs="Arial"/>
                <w:b/>
                <w:bCs/>
                <w:color w:val="000000"/>
                <w:sz w:val="16"/>
                <w:szCs w:val="16"/>
              </w:rPr>
            </w:pPr>
            <w:r>
              <w:rPr>
                <w:rFonts w:ascii="Arial" w:hAnsi="Arial" w:cs="Arial"/>
                <w:b/>
                <w:bCs/>
                <w:color w:val="000000"/>
                <w:sz w:val="16"/>
                <w:szCs w:val="16"/>
              </w:rPr>
              <w:t>358</w:t>
            </w:r>
            <w:r w:rsidR="000842B4" w:rsidRPr="00D00722">
              <w:rPr>
                <w:rFonts w:ascii="Arial" w:hAnsi="Arial" w:cs="Arial"/>
                <w:b/>
                <w:bCs/>
                <w:color w:val="000000"/>
                <w:sz w:val="16"/>
                <w:szCs w:val="16"/>
              </w:rPr>
              <w:t>.</w:t>
            </w:r>
            <w:r>
              <w:rPr>
                <w:rFonts w:ascii="Arial" w:hAnsi="Arial" w:cs="Arial"/>
                <w:b/>
                <w:bCs/>
                <w:color w:val="000000"/>
                <w:sz w:val="16"/>
                <w:szCs w:val="16"/>
              </w:rPr>
              <w:t>254</w:t>
            </w:r>
          </w:p>
        </w:tc>
        <w:tc>
          <w:tcPr>
            <w:tcW w:w="1417" w:type="dxa"/>
            <w:tcBorders>
              <w:top w:val="nil"/>
              <w:left w:val="nil"/>
              <w:bottom w:val="nil"/>
              <w:right w:val="nil"/>
            </w:tcBorders>
            <w:vAlign w:val="bottom"/>
          </w:tcPr>
          <w:p w:rsidR="00615271" w:rsidRPr="00D00722" w:rsidRDefault="00615271" w:rsidP="00615271">
            <w:pPr>
              <w:jc w:val="right"/>
              <w:rPr>
                <w:rFonts w:ascii="Arial" w:hAnsi="Arial" w:cs="Arial"/>
                <w:bCs/>
                <w:color w:val="000000"/>
                <w:sz w:val="16"/>
                <w:szCs w:val="16"/>
              </w:rPr>
            </w:pPr>
            <w:r w:rsidRPr="00D00722">
              <w:rPr>
                <w:rFonts w:ascii="Arial" w:hAnsi="Arial" w:cs="Arial"/>
                <w:bCs/>
                <w:color w:val="000000"/>
                <w:sz w:val="16"/>
                <w:szCs w:val="16"/>
              </w:rPr>
              <w:t>300.452</w:t>
            </w:r>
          </w:p>
        </w:tc>
      </w:tr>
      <w:tr w:rsidR="00615271" w:rsidRPr="00D00722" w:rsidTr="00615271">
        <w:trPr>
          <w:trHeight w:val="113"/>
        </w:trPr>
        <w:tc>
          <w:tcPr>
            <w:tcW w:w="5103" w:type="dxa"/>
            <w:tcBorders>
              <w:top w:val="nil"/>
              <w:left w:val="nil"/>
              <w:bottom w:val="nil"/>
              <w:right w:val="nil"/>
            </w:tcBorders>
            <w:shd w:val="clear" w:color="auto" w:fill="auto"/>
            <w:vAlign w:val="bottom"/>
            <w:hideMark/>
          </w:tcPr>
          <w:p w:rsidR="00615271" w:rsidRPr="00D00722" w:rsidRDefault="00615271" w:rsidP="00A870BB">
            <w:pPr>
              <w:ind w:hanging="108"/>
              <w:rPr>
                <w:rFonts w:ascii="Arial" w:hAnsi="Arial" w:cs="Arial"/>
                <w:color w:val="000000"/>
                <w:sz w:val="16"/>
                <w:szCs w:val="16"/>
              </w:rPr>
            </w:pPr>
          </w:p>
        </w:tc>
        <w:tc>
          <w:tcPr>
            <w:tcW w:w="1134" w:type="dxa"/>
            <w:tcBorders>
              <w:top w:val="nil"/>
              <w:left w:val="nil"/>
              <w:bottom w:val="nil"/>
              <w:right w:val="nil"/>
            </w:tcBorders>
            <w:shd w:val="clear" w:color="auto" w:fill="auto"/>
            <w:vAlign w:val="bottom"/>
            <w:hideMark/>
          </w:tcPr>
          <w:p w:rsidR="00615271" w:rsidRPr="00D00722" w:rsidRDefault="00615271" w:rsidP="00A27292">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tcPr>
          <w:p w:rsidR="00615271" w:rsidRPr="00D00722" w:rsidRDefault="00615271" w:rsidP="00A27292">
            <w:pPr>
              <w:jc w:val="right"/>
              <w:rPr>
                <w:rFonts w:ascii="Arial" w:hAnsi="Arial" w:cs="Arial"/>
                <w:b/>
                <w:bCs/>
                <w:color w:val="000000"/>
                <w:sz w:val="16"/>
                <w:szCs w:val="16"/>
              </w:rPr>
            </w:pPr>
          </w:p>
        </w:tc>
        <w:tc>
          <w:tcPr>
            <w:tcW w:w="1417" w:type="dxa"/>
            <w:tcBorders>
              <w:top w:val="nil"/>
              <w:left w:val="nil"/>
              <w:bottom w:val="nil"/>
              <w:right w:val="nil"/>
            </w:tcBorders>
            <w:vAlign w:val="bottom"/>
          </w:tcPr>
          <w:p w:rsidR="00615271" w:rsidRPr="00D00722" w:rsidRDefault="00615271" w:rsidP="00615271">
            <w:pPr>
              <w:jc w:val="right"/>
              <w:rPr>
                <w:rFonts w:ascii="Arial" w:hAnsi="Arial" w:cs="Arial"/>
                <w:bCs/>
                <w:color w:val="000000"/>
                <w:sz w:val="16"/>
                <w:szCs w:val="16"/>
              </w:rPr>
            </w:pPr>
          </w:p>
        </w:tc>
      </w:tr>
      <w:tr w:rsidR="00615271" w:rsidRPr="00D00722" w:rsidTr="00615271">
        <w:trPr>
          <w:trHeight w:val="113"/>
        </w:trPr>
        <w:tc>
          <w:tcPr>
            <w:tcW w:w="5103" w:type="dxa"/>
            <w:tcBorders>
              <w:top w:val="single" w:sz="4" w:space="0" w:color="auto"/>
              <w:left w:val="nil"/>
              <w:bottom w:val="double" w:sz="6" w:space="0" w:color="auto"/>
              <w:right w:val="nil"/>
            </w:tcBorders>
            <w:shd w:val="clear" w:color="auto" w:fill="auto"/>
            <w:vAlign w:val="bottom"/>
            <w:hideMark/>
          </w:tcPr>
          <w:p w:rsidR="00615271" w:rsidRPr="00D00722" w:rsidRDefault="00615271" w:rsidP="00A870BB">
            <w:pPr>
              <w:ind w:hanging="108"/>
              <w:rPr>
                <w:rFonts w:ascii="Arial" w:hAnsi="Arial" w:cs="Arial"/>
                <w:b/>
                <w:bCs/>
                <w:color w:val="000000"/>
                <w:sz w:val="16"/>
                <w:szCs w:val="16"/>
              </w:rPr>
            </w:pPr>
            <w:r w:rsidRPr="00D00722">
              <w:rPr>
                <w:rFonts w:ascii="Arial" w:hAnsi="Arial" w:cs="Arial"/>
                <w:b/>
                <w:bCs/>
                <w:color w:val="000000"/>
                <w:sz w:val="16"/>
                <w:szCs w:val="16"/>
              </w:rPr>
              <w:t>Toplam varlıklar</w:t>
            </w:r>
          </w:p>
        </w:tc>
        <w:tc>
          <w:tcPr>
            <w:tcW w:w="1134" w:type="dxa"/>
            <w:tcBorders>
              <w:top w:val="single" w:sz="4" w:space="0" w:color="auto"/>
              <w:left w:val="nil"/>
              <w:bottom w:val="double" w:sz="6" w:space="0" w:color="auto"/>
              <w:right w:val="nil"/>
            </w:tcBorders>
            <w:shd w:val="clear" w:color="auto" w:fill="auto"/>
            <w:vAlign w:val="bottom"/>
            <w:hideMark/>
          </w:tcPr>
          <w:p w:rsidR="00615271" w:rsidRPr="00D00722" w:rsidRDefault="00615271" w:rsidP="00A27292">
            <w:pPr>
              <w:jc w:val="right"/>
              <w:rPr>
                <w:rFonts w:ascii="Arial" w:hAnsi="Arial" w:cs="Arial"/>
                <w:color w:val="000000"/>
                <w:sz w:val="16"/>
                <w:szCs w:val="16"/>
              </w:rPr>
            </w:pPr>
          </w:p>
        </w:tc>
        <w:tc>
          <w:tcPr>
            <w:tcW w:w="1418" w:type="dxa"/>
            <w:tcBorders>
              <w:top w:val="single" w:sz="4" w:space="0" w:color="auto"/>
              <w:left w:val="nil"/>
              <w:bottom w:val="double" w:sz="6" w:space="0" w:color="auto"/>
              <w:right w:val="nil"/>
            </w:tcBorders>
            <w:shd w:val="clear" w:color="auto" w:fill="auto"/>
            <w:vAlign w:val="bottom"/>
          </w:tcPr>
          <w:p w:rsidR="00615271" w:rsidRPr="00D00722" w:rsidRDefault="000842B4" w:rsidP="00A27292">
            <w:pPr>
              <w:jc w:val="right"/>
              <w:rPr>
                <w:rFonts w:ascii="Arial" w:hAnsi="Arial" w:cs="Arial"/>
                <w:b/>
                <w:bCs/>
                <w:color w:val="000000"/>
                <w:sz w:val="16"/>
                <w:szCs w:val="16"/>
              </w:rPr>
            </w:pPr>
            <w:r w:rsidRPr="00D00722">
              <w:rPr>
                <w:rFonts w:ascii="Arial" w:hAnsi="Arial" w:cs="Arial"/>
                <w:b/>
                <w:bCs/>
                <w:color w:val="000000"/>
                <w:sz w:val="16"/>
                <w:szCs w:val="16"/>
              </w:rPr>
              <w:t>1.564.078</w:t>
            </w:r>
          </w:p>
        </w:tc>
        <w:tc>
          <w:tcPr>
            <w:tcW w:w="1417" w:type="dxa"/>
            <w:tcBorders>
              <w:top w:val="single" w:sz="4" w:space="0" w:color="auto"/>
              <w:left w:val="nil"/>
              <w:bottom w:val="double" w:sz="6" w:space="0" w:color="auto"/>
              <w:right w:val="nil"/>
            </w:tcBorders>
            <w:vAlign w:val="bottom"/>
          </w:tcPr>
          <w:p w:rsidR="00615271" w:rsidRPr="00D00722" w:rsidRDefault="00615271" w:rsidP="00615271">
            <w:pPr>
              <w:jc w:val="right"/>
              <w:rPr>
                <w:rFonts w:ascii="Arial" w:hAnsi="Arial" w:cs="Arial"/>
                <w:bCs/>
                <w:color w:val="000000"/>
                <w:sz w:val="16"/>
                <w:szCs w:val="16"/>
              </w:rPr>
            </w:pPr>
            <w:r w:rsidRPr="00D00722">
              <w:rPr>
                <w:rFonts w:ascii="Arial" w:hAnsi="Arial" w:cs="Arial"/>
                <w:bCs/>
                <w:color w:val="000000"/>
                <w:sz w:val="16"/>
                <w:szCs w:val="16"/>
              </w:rPr>
              <w:t>1.449.489</w:t>
            </w:r>
          </w:p>
        </w:tc>
      </w:tr>
    </w:tbl>
    <w:p w:rsidR="00CD2CE1" w:rsidRPr="00D00722" w:rsidRDefault="00CD2CE1">
      <w:pPr>
        <w:rPr>
          <w:rFonts w:ascii="Arial" w:hAnsi="Arial" w:cs="Arial"/>
        </w:rPr>
      </w:pPr>
    </w:p>
    <w:tbl>
      <w:tblPr>
        <w:tblpPr w:leftFromText="180" w:rightFromText="180" w:vertAnchor="text" w:tblpY="1"/>
        <w:tblOverlap w:val="never"/>
        <w:tblW w:w="9072" w:type="dxa"/>
        <w:tblInd w:w="108" w:type="dxa"/>
        <w:tblLayout w:type="fixed"/>
        <w:tblLook w:val="04A0"/>
      </w:tblPr>
      <w:tblGrid>
        <w:gridCol w:w="5103"/>
        <w:gridCol w:w="1134"/>
        <w:gridCol w:w="1418"/>
        <w:gridCol w:w="1417"/>
      </w:tblGrid>
      <w:tr w:rsidR="00615271" w:rsidRPr="00D00722" w:rsidTr="00B11444">
        <w:trPr>
          <w:trHeight w:val="113"/>
        </w:trPr>
        <w:tc>
          <w:tcPr>
            <w:tcW w:w="5103" w:type="dxa"/>
            <w:tcBorders>
              <w:top w:val="single" w:sz="4" w:space="0" w:color="auto"/>
              <w:left w:val="nil"/>
              <w:bottom w:val="single" w:sz="4" w:space="0" w:color="auto"/>
              <w:right w:val="nil"/>
            </w:tcBorders>
            <w:shd w:val="clear" w:color="auto" w:fill="auto"/>
            <w:noWrap/>
            <w:vAlign w:val="bottom"/>
            <w:hideMark/>
          </w:tcPr>
          <w:p w:rsidR="00615271" w:rsidRPr="00D00722" w:rsidRDefault="00615271" w:rsidP="00615271">
            <w:pPr>
              <w:ind w:left="318" w:hanging="426"/>
              <w:rPr>
                <w:rFonts w:ascii="Arial" w:hAnsi="Arial" w:cs="Arial"/>
                <w:color w:val="000000"/>
                <w:sz w:val="16"/>
                <w:szCs w:val="16"/>
              </w:rPr>
            </w:pPr>
            <w:r w:rsidRPr="00D00722">
              <w:rPr>
                <w:rFonts w:ascii="Arial" w:hAnsi="Arial" w:cs="Arial"/>
                <w:color w:val="000000"/>
                <w:sz w:val="16"/>
                <w:szCs w:val="16"/>
              </w:rPr>
              <w:t> </w:t>
            </w:r>
          </w:p>
        </w:tc>
        <w:tc>
          <w:tcPr>
            <w:tcW w:w="1134" w:type="dxa"/>
            <w:tcBorders>
              <w:top w:val="single" w:sz="4" w:space="0" w:color="auto"/>
              <w:left w:val="nil"/>
              <w:bottom w:val="single" w:sz="4" w:space="0" w:color="auto"/>
              <w:right w:val="nil"/>
            </w:tcBorders>
            <w:shd w:val="clear" w:color="auto" w:fill="auto"/>
            <w:noWrap/>
            <w:vAlign w:val="bottom"/>
            <w:hideMark/>
          </w:tcPr>
          <w:p w:rsidR="00615271" w:rsidRPr="00D00722" w:rsidRDefault="00615271" w:rsidP="00615271">
            <w:pPr>
              <w:jc w:val="right"/>
              <w:rPr>
                <w:rFonts w:ascii="Arial" w:hAnsi="Arial" w:cs="Arial"/>
                <w:color w:val="000000"/>
                <w:sz w:val="16"/>
                <w:szCs w:val="16"/>
              </w:rPr>
            </w:pPr>
          </w:p>
        </w:tc>
        <w:tc>
          <w:tcPr>
            <w:tcW w:w="1418" w:type="dxa"/>
            <w:tcBorders>
              <w:top w:val="single" w:sz="4" w:space="0" w:color="auto"/>
              <w:left w:val="nil"/>
              <w:bottom w:val="single" w:sz="4" w:space="0" w:color="auto"/>
              <w:right w:val="nil"/>
            </w:tcBorders>
            <w:shd w:val="clear" w:color="auto" w:fill="auto"/>
            <w:vAlign w:val="bottom"/>
            <w:hideMark/>
          </w:tcPr>
          <w:p w:rsidR="00615271" w:rsidRPr="00D00722" w:rsidRDefault="00615271" w:rsidP="00615271">
            <w:pPr>
              <w:jc w:val="right"/>
              <w:rPr>
                <w:rFonts w:ascii="Arial" w:hAnsi="Arial" w:cs="Arial"/>
                <w:b/>
                <w:bCs/>
                <w:sz w:val="16"/>
                <w:szCs w:val="16"/>
              </w:rPr>
            </w:pPr>
            <w:r w:rsidRPr="00D00722">
              <w:rPr>
                <w:rFonts w:ascii="Arial" w:hAnsi="Arial" w:cs="Arial"/>
                <w:b/>
                <w:bCs/>
                <w:sz w:val="16"/>
                <w:szCs w:val="16"/>
              </w:rPr>
              <w:t>Bağımsız</w:t>
            </w:r>
          </w:p>
          <w:p w:rsidR="00615271" w:rsidRPr="00D00722" w:rsidRDefault="00615271" w:rsidP="00615271">
            <w:pPr>
              <w:jc w:val="right"/>
              <w:rPr>
                <w:rFonts w:ascii="Arial" w:hAnsi="Arial" w:cs="Arial"/>
                <w:b/>
                <w:bCs/>
                <w:sz w:val="16"/>
                <w:szCs w:val="16"/>
              </w:rPr>
            </w:pPr>
            <w:r w:rsidRPr="00D00722">
              <w:rPr>
                <w:rFonts w:ascii="Arial" w:hAnsi="Arial" w:cs="Arial"/>
                <w:b/>
                <w:bCs/>
                <w:sz w:val="16"/>
                <w:szCs w:val="16"/>
              </w:rPr>
              <w:t>denetimden</w:t>
            </w:r>
          </w:p>
          <w:p w:rsidR="00615271" w:rsidRPr="00D00722" w:rsidRDefault="00615271" w:rsidP="00615271">
            <w:pPr>
              <w:jc w:val="right"/>
              <w:rPr>
                <w:rFonts w:ascii="Arial" w:hAnsi="Arial" w:cs="Arial"/>
                <w:b/>
                <w:bCs/>
                <w:sz w:val="16"/>
                <w:szCs w:val="16"/>
              </w:rPr>
            </w:pPr>
            <w:r w:rsidRPr="00D00722">
              <w:rPr>
                <w:rFonts w:ascii="Arial" w:hAnsi="Arial" w:cs="Arial"/>
                <w:b/>
                <w:bCs/>
                <w:sz w:val="16"/>
                <w:szCs w:val="16"/>
              </w:rPr>
              <w:t>geçmemiş</w:t>
            </w:r>
          </w:p>
        </w:tc>
        <w:tc>
          <w:tcPr>
            <w:tcW w:w="1417" w:type="dxa"/>
            <w:tcBorders>
              <w:top w:val="single" w:sz="4" w:space="0" w:color="auto"/>
              <w:left w:val="nil"/>
              <w:bottom w:val="single" w:sz="4" w:space="0" w:color="auto"/>
              <w:right w:val="nil"/>
            </w:tcBorders>
            <w:shd w:val="clear" w:color="auto" w:fill="auto"/>
            <w:vAlign w:val="bottom"/>
            <w:hideMark/>
          </w:tcPr>
          <w:p w:rsidR="00615271" w:rsidRPr="00D00722" w:rsidRDefault="00615271" w:rsidP="00615271">
            <w:pPr>
              <w:jc w:val="right"/>
              <w:rPr>
                <w:rFonts w:ascii="Arial" w:hAnsi="Arial" w:cs="Arial"/>
                <w:bCs/>
                <w:sz w:val="16"/>
                <w:szCs w:val="16"/>
              </w:rPr>
            </w:pPr>
            <w:r w:rsidRPr="00D00722">
              <w:rPr>
                <w:rFonts w:ascii="Arial" w:hAnsi="Arial" w:cs="Arial"/>
                <w:bCs/>
                <w:sz w:val="16"/>
                <w:szCs w:val="16"/>
              </w:rPr>
              <w:t>Bağımsız</w:t>
            </w:r>
          </w:p>
          <w:p w:rsidR="00615271" w:rsidRPr="00D00722" w:rsidRDefault="00615271" w:rsidP="00615271">
            <w:pPr>
              <w:jc w:val="right"/>
              <w:rPr>
                <w:rFonts w:ascii="Arial" w:hAnsi="Arial" w:cs="Arial"/>
                <w:bCs/>
                <w:sz w:val="16"/>
                <w:szCs w:val="16"/>
              </w:rPr>
            </w:pPr>
            <w:r w:rsidRPr="00D00722">
              <w:rPr>
                <w:rFonts w:ascii="Arial" w:hAnsi="Arial" w:cs="Arial"/>
                <w:bCs/>
                <w:sz w:val="16"/>
                <w:szCs w:val="16"/>
              </w:rPr>
              <w:t>denetimden</w:t>
            </w:r>
          </w:p>
          <w:p w:rsidR="00615271" w:rsidRPr="00D00722" w:rsidRDefault="00615271" w:rsidP="00615271">
            <w:pPr>
              <w:jc w:val="right"/>
              <w:rPr>
                <w:rFonts w:ascii="Arial" w:hAnsi="Arial" w:cs="Arial"/>
                <w:bCs/>
                <w:sz w:val="16"/>
                <w:szCs w:val="16"/>
              </w:rPr>
            </w:pPr>
            <w:r w:rsidRPr="00D00722">
              <w:rPr>
                <w:rFonts w:ascii="Arial" w:hAnsi="Arial" w:cs="Arial"/>
                <w:bCs/>
                <w:sz w:val="16"/>
                <w:szCs w:val="16"/>
              </w:rPr>
              <w:t>geçmiş</w:t>
            </w:r>
          </w:p>
        </w:tc>
      </w:tr>
      <w:tr w:rsidR="00615271" w:rsidRPr="00D00722" w:rsidTr="00B11444">
        <w:trPr>
          <w:trHeight w:val="113"/>
        </w:trPr>
        <w:tc>
          <w:tcPr>
            <w:tcW w:w="5103" w:type="dxa"/>
            <w:tcBorders>
              <w:top w:val="nil"/>
              <w:left w:val="nil"/>
              <w:bottom w:val="single" w:sz="4" w:space="0" w:color="auto"/>
              <w:right w:val="nil"/>
            </w:tcBorders>
            <w:shd w:val="clear" w:color="auto" w:fill="auto"/>
            <w:noWrap/>
            <w:vAlign w:val="bottom"/>
            <w:hideMark/>
          </w:tcPr>
          <w:p w:rsidR="00615271" w:rsidRPr="00D00722" w:rsidRDefault="00615271" w:rsidP="00615271">
            <w:pPr>
              <w:ind w:left="318" w:hanging="426"/>
              <w:rPr>
                <w:rFonts w:ascii="Arial" w:hAnsi="Arial" w:cs="Arial"/>
                <w:b/>
                <w:bCs/>
                <w:color w:val="000000"/>
                <w:sz w:val="16"/>
                <w:szCs w:val="16"/>
              </w:rPr>
            </w:pPr>
            <w:r w:rsidRPr="00D00722">
              <w:rPr>
                <w:rFonts w:ascii="Arial" w:hAnsi="Arial" w:cs="Arial"/>
                <w:b/>
                <w:bCs/>
                <w:color w:val="000000"/>
                <w:sz w:val="16"/>
                <w:szCs w:val="16"/>
              </w:rPr>
              <w:t>Kaynaklar</w:t>
            </w:r>
          </w:p>
        </w:tc>
        <w:tc>
          <w:tcPr>
            <w:tcW w:w="1134" w:type="dxa"/>
            <w:tcBorders>
              <w:top w:val="nil"/>
              <w:left w:val="nil"/>
              <w:bottom w:val="single" w:sz="4" w:space="0" w:color="auto"/>
              <w:right w:val="nil"/>
            </w:tcBorders>
            <w:shd w:val="clear" w:color="auto" w:fill="auto"/>
            <w:vAlign w:val="bottom"/>
            <w:hideMark/>
          </w:tcPr>
          <w:p w:rsidR="00615271" w:rsidRPr="00D00722" w:rsidRDefault="00615271" w:rsidP="00615271">
            <w:pPr>
              <w:jc w:val="right"/>
              <w:rPr>
                <w:rFonts w:ascii="Arial" w:hAnsi="Arial" w:cs="Arial"/>
                <w:b/>
                <w:bCs/>
                <w:sz w:val="16"/>
                <w:szCs w:val="16"/>
              </w:rPr>
            </w:pPr>
            <w:r w:rsidRPr="00D00722">
              <w:rPr>
                <w:rFonts w:ascii="Arial" w:hAnsi="Arial" w:cs="Arial"/>
                <w:b/>
                <w:bCs/>
                <w:sz w:val="16"/>
                <w:szCs w:val="16"/>
              </w:rPr>
              <w:t>Dipnot referansları</w:t>
            </w:r>
          </w:p>
        </w:tc>
        <w:tc>
          <w:tcPr>
            <w:tcW w:w="1418" w:type="dxa"/>
            <w:tcBorders>
              <w:top w:val="nil"/>
              <w:left w:val="nil"/>
              <w:bottom w:val="single" w:sz="4" w:space="0" w:color="auto"/>
              <w:right w:val="nil"/>
            </w:tcBorders>
            <w:shd w:val="clear" w:color="auto" w:fill="auto"/>
            <w:vAlign w:val="bottom"/>
            <w:hideMark/>
          </w:tcPr>
          <w:p w:rsidR="00615271" w:rsidRPr="00D00722" w:rsidRDefault="00615271" w:rsidP="00615271">
            <w:pPr>
              <w:jc w:val="right"/>
              <w:rPr>
                <w:rFonts w:ascii="Arial" w:hAnsi="Arial" w:cs="Arial"/>
                <w:b/>
                <w:bCs/>
                <w:color w:val="000000"/>
                <w:sz w:val="16"/>
                <w:szCs w:val="16"/>
              </w:rPr>
            </w:pPr>
            <w:r w:rsidRPr="00D00722">
              <w:rPr>
                <w:rFonts w:ascii="Arial" w:hAnsi="Arial" w:cs="Arial"/>
                <w:b/>
                <w:bCs/>
                <w:color w:val="000000"/>
                <w:sz w:val="16"/>
                <w:szCs w:val="16"/>
              </w:rPr>
              <w:t>31 Mart 2014</w:t>
            </w:r>
          </w:p>
        </w:tc>
        <w:tc>
          <w:tcPr>
            <w:tcW w:w="1417" w:type="dxa"/>
            <w:tcBorders>
              <w:top w:val="nil"/>
              <w:left w:val="nil"/>
              <w:bottom w:val="single" w:sz="4" w:space="0" w:color="auto"/>
              <w:right w:val="nil"/>
            </w:tcBorders>
            <w:shd w:val="clear" w:color="auto" w:fill="auto"/>
            <w:vAlign w:val="bottom"/>
            <w:hideMark/>
          </w:tcPr>
          <w:p w:rsidR="00615271" w:rsidRPr="00D00722" w:rsidRDefault="00615271" w:rsidP="00615271">
            <w:pPr>
              <w:jc w:val="right"/>
              <w:rPr>
                <w:rFonts w:ascii="Arial" w:hAnsi="Arial" w:cs="Arial"/>
                <w:bCs/>
                <w:color w:val="000000"/>
                <w:sz w:val="16"/>
                <w:szCs w:val="16"/>
              </w:rPr>
            </w:pPr>
            <w:r w:rsidRPr="00D00722">
              <w:rPr>
                <w:rFonts w:ascii="Arial" w:hAnsi="Arial" w:cs="Arial"/>
                <w:bCs/>
                <w:color w:val="000000"/>
                <w:sz w:val="16"/>
                <w:szCs w:val="16"/>
              </w:rPr>
              <w:t>31 Aralık 2013</w:t>
            </w:r>
          </w:p>
        </w:tc>
      </w:tr>
      <w:tr w:rsidR="00615271" w:rsidRPr="00D00722" w:rsidTr="00B11444">
        <w:trPr>
          <w:trHeight w:val="113"/>
        </w:trPr>
        <w:tc>
          <w:tcPr>
            <w:tcW w:w="5103" w:type="dxa"/>
            <w:tcBorders>
              <w:top w:val="nil"/>
              <w:left w:val="nil"/>
              <w:bottom w:val="single" w:sz="4" w:space="0" w:color="auto"/>
              <w:right w:val="nil"/>
            </w:tcBorders>
            <w:shd w:val="clear" w:color="auto" w:fill="auto"/>
            <w:vAlign w:val="bottom"/>
            <w:hideMark/>
          </w:tcPr>
          <w:p w:rsidR="00615271" w:rsidRPr="00D00722" w:rsidRDefault="00615271" w:rsidP="00615271">
            <w:pPr>
              <w:ind w:left="318" w:hanging="426"/>
              <w:rPr>
                <w:rFonts w:ascii="Arial" w:hAnsi="Arial" w:cs="Arial"/>
                <w:b/>
                <w:bCs/>
                <w:color w:val="000000"/>
                <w:sz w:val="16"/>
                <w:szCs w:val="16"/>
              </w:rPr>
            </w:pPr>
            <w:r w:rsidRPr="00D00722">
              <w:rPr>
                <w:rFonts w:ascii="Arial" w:hAnsi="Arial" w:cs="Arial"/>
                <w:b/>
                <w:bCs/>
                <w:color w:val="000000"/>
                <w:sz w:val="16"/>
                <w:szCs w:val="16"/>
              </w:rPr>
              <w:t> </w:t>
            </w:r>
          </w:p>
        </w:tc>
        <w:tc>
          <w:tcPr>
            <w:tcW w:w="1134" w:type="dxa"/>
            <w:tcBorders>
              <w:top w:val="nil"/>
              <w:left w:val="nil"/>
              <w:bottom w:val="single" w:sz="4" w:space="0" w:color="auto"/>
              <w:right w:val="nil"/>
            </w:tcBorders>
            <w:shd w:val="clear" w:color="auto" w:fill="auto"/>
            <w:vAlign w:val="bottom"/>
            <w:hideMark/>
          </w:tcPr>
          <w:p w:rsidR="00615271" w:rsidRPr="00D00722" w:rsidRDefault="00615271" w:rsidP="00615271">
            <w:pPr>
              <w:jc w:val="right"/>
              <w:rPr>
                <w:rFonts w:ascii="Arial" w:hAnsi="Arial" w:cs="Arial"/>
                <w:b/>
                <w:bCs/>
                <w:color w:val="000000"/>
                <w:sz w:val="16"/>
                <w:szCs w:val="16"/>
              </w:rPr>
            </w:pPr>
          </w:p>
        </w:tc>
        <w:tc>
          <w:tcPr>
            <w:tcW w:w="1418" w:type="dxa"/>
            <w:tcBorders>
              <w:top w:val="nil"/>
              <w:left w:val="nil"/>
              <w:bottom w:val="single" w:sz="4" w:space="0" w:color="auto"/>
              <w:right w:val="nil"/>
            </w:tcBorders>
            <w:shd w:val="clear" w:color="auto" w:fill="auto"/>
            <w:vAlign w:val="bottom"/>
            <w:hideMark/>
          </w:tcPr>
          <w:p w:rsidR="00615271" w:rsidRPr="00D00722" w:rsidRDefault="00615271" w:rsidP="00615271">
            <w:pPr>
              <w:jc w:val="right"/>
              <w:rPr>
                <w:rFonts w:ascii="Arial" w:hAnsi="Arial" w:cs="Arial"/>
                <w:b/>
                <w:bCs/>
                <w:color w:val="000000"/>
                <w:sz w:val="16"/>
                <w:szCs w:val="16"/>
              </w:rPr>
            </w:pPr>
          </w:p>
        </w:tc>
        <w:tc>
          <w:tcPr>
            <w:tcW w:w="1417" w:type="dxa"/>
            <w:tcBorders>
              <w:top w:val="nil"/>
              <w:left w:val="nil"/>
              <w:bottom w:val="single" w:sz="4" w:space="0" w:color="auto"/>
              <w:right w:val="nil"/>
            </w:tcBorders>
            <w:shd w:val="clear" w:color="auto" w:fill="auto"/>
            <w:vAlign w:val="bottom"/>
            <w:hideMark/>
          </w:tcPr>
          <w:p w:rsidR="00615271" w:rsidRPr="00D00722" w:rsidRDefault="00615271" w:rsidP="00615271">
            <w:pPr>
              <w:jc w:val="right"/>
              <w:rPr>
                <w:rFonts w:ascii="Arial" w:hAnsi="Arial" w:cs="Arial"/>
                <w:bCs/>
                <w:color w:val="000000"/>
                <w:sz w:val="16"/>
                <w:szCs w:val="16"/>
              </w:rPr>
            </w:pPr>
          </w:p>
        </w:tc>
      </w:tr>
      <w:tr w:rsidR="00615271" w:rsidRPr="00D00722" w:rsidTr="00B11444">
        <w:trPr>
          <w:trHeight w:val="113"/>
        </w:trPr>
        <w:tc>
          <w:tcPr>
            <w:tcW w:w="5103" w:type="dxa"/>
            <w:tcBorders>
              <w:top w:val="nil"/>
              <w:left w:val="nil"/>
              <w:bottom w:val="nil"/>
              <w:right w:val="nil"/>
            </w:tcBorders>
            <w:shd w:val="clear" w:color="auto" w:fill="auto"/>
            <w:vAlign w:val="bottom"/>
            <w:hideMark/>
          </w:tcPr>
          <w:p w:rsidR="00615271" w:rsidRPr="00D00722" w:rsidRDefault="00615271" w:rsidP="00615271">
            <w:pPr>
              <w:ind w:left="318" w:hanging="426"/>
              <w:rPr>
                <w:rFonts w:ascii="Arial" w:hAnsi="Arial" w:cs="Arial"/>
                <w:b/>
                <w:bCs/>
                <w:color w:val="000000"/>
                <w:sz w:val="16"/>
                <w:szCs w:val="16"/>
              </w:rPr>
            </w:pPr>
          </w:p>
        </w:tc>
        <w:tc>
          <w:tcPr>
            <w:tcW w:w="1134" w:type="dxa"/>
            <w:tcBorders>
              <w:top w:val="nil"/>
              <w:left w:val="nil"/>
              <w:bottom w:val="nil"/>
              <w:right w:val="nil"/>
            </w:tcBorders>
            <w:shd w:val="clear" w:color="auto" w:fill="auto"/>
            <w:vAlign w:val="bottom"/>
            <w:hideMark/>
          </w:tcPr>
          <w:p w:rsidR="00615271" w:rsidRPr="00D00722" w:rsidRDefault="00615271" w:rsidP="00615271">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hideMark/>
          </w:tcPr>
          <w:p w:rsidR="00615271" w:rsidRPr="00D00722" w:rsidRDefault="00615271" w:rsidP="00615271">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615271" w:rsidRPr="00D00722" w:rsidRDefault="00615271" w:rsidP="00615271">
            <w:pPr>
              <w:jc w:val="right"/>
              <w:rPr>
                <w:rFonts w:ascii="Arial" w:hAnsi="Arial" w:cs="Arial"/>
                <w:bCs/>
                <w:color w:val="000000"/>
                <w:sz w:val="16"/>
                <w:szCs w:val="16"/>
              </w:rPr>
            </w:pPr>
          </w:p>
        </w:tc>
      </w:tr>
      <w:tr w:rsidR="00615271" w:rsidRPr="00D00722" w:rsidTr="009E6AD4">
        <w:trPr>
          <w:trHeight w:val="113"/>
        </w:trPr>
        <w:tc>
          <w:tcPr>
            <w:tcW w:w="5103" w:type="dxa"/>
            <w:tcBorders>
              <w:top w:val="single" w:sz="4" w:space="0" w:color="auto"/>
              <w:left w:val="nil"/>
              <w:bottom w:val="single" w:sz="4" w:space="0" w:color="auto"/>
              <w:right w:val="nil"/>
            </w:tcBorders>
            <w:shd w:val="clear" w:color="auto" w:fill="auto"/>
            <w:vAlign w:val="bottom"/>
            <w:hideMark/>
          </w:tcPr>
          <w:p w:rsidR="00615271" w:rsidRPr="00D00722" w:rsidRDefault="00615271" w:rsidP="00615271">
            <w:pPr>
              <w:ind w:left="318" w:hanging="426"/>
              <w:rPr>
                <w:rFonts w:ascii="Arial" w:hAnsi="Arial" w:cs="Arial"/>
                <w:b/>
                <w:bCs/>
                <w:color w:val="000000"/>
                <w:sz w:val="16"/>
                <w:szCs w:val="16"/>
              </w:rPr>
            </w:pPr>
            <w:r w:rsidRPr="00D00722">
              <w:rPr>
                <w:rFonts w:ascii="Arial" w:hAnsi="Arial" w:cs="Arial"/>
                <w:b/>
                <w:bCs/>
                <w:color w:val="000000"/>
                <w:sz w:val="16"/>
                <w:szCs w:val="16"/>
              </w:rPr>
              <w:t>Kısa vadeli yükümlülükler</w:t>
            </w:r>
          </w:p>
        </w:tc>
        <w:tc>
          <w:tcPr>
            <w:tcW w:w="1134" w:type="dxa"/>
            <w:tcBorders>
              <w:top w:val="single" w:sz="4" w:space="0" w:color="auto"/>
              <w:left w:val="nil"/>
              <w:bottom w:val="single" w:sz="4" w:space="0" w:color="auto"/>
              <w:right w:val="nil"/>
            </w:tcBorders>
            <w:shd w:val="clear" w:color="auto" w:fill="auto"/>
            <w:vAlign w:val="bottom"/>
            <w:hideMark/>
          </w:tcPr>
          <w:p w:rsidR="00615271" w:rsidRPr="00D00722" w:rsidRDefault="00615271" w:rsidP="00615271">
            <w:pPr>
              <w:jc w:val="right"/>
              <w:rPr>
                <w:rFonts w:ascii="Arial" w:hAnsi="Arial" w:cs="Arial"/>
                <w:color w:val="000000"/>
                <w:sz w:val="16"/>
                <w:szCs w:val="16"/>
              </w:rPr>
            </w:pPr>
          </w:p>
        </w:tc>
        <w:tc>
          <w:tcPr>
            <w:tcW w:w="1418" w:type="dxa"/>
            <w:tcBorders>
              <w:top w:val="single" w:sz="4" w:space="0" w:color="auto"/>
              <w:left w:val="nil"/>
              <w:bottom w:val="single" w:sz="4" w:space="0" w:color="auto"/>
              <w:right w:val="nil"/>
            </w:tcBorders>
            <w:shd w:val="clear" w:color="auto" w:fill="auto"/>
            <w:vAlign w:val="bottom"/>
          </w:tcPr>
          <w:p w:rsidR="00615271" w:rsidRPr="00D00722" w:rsidRDefault="000842B4" w:rsidP="00615271">
            <w:pPr>
              <w:jc w:val="right"/>
              <w:rPr>
                <w:rFonts w:ascii="Arial" w:hAnsi="Arial" w:cs="Arial"/>
                <w:b/>
                <w:bCs/>
                <w:color w:val="000000"/>
                <w:sz w:val="16"/>
                <w:szCs w:val="16"/>
              </w:rPr>
            </w:pPr>
            <w:r w:rsidRPr="00D00722">
              <w:rPr>
                <w:rFonts w:ascii="Arial" w:hAnsi="Arial" w:cs="Arial"/>
                <w:b/>
                <w:bCs/>
                <w:color w:val="000000"/>
                <w:sz w:val="16"/>
                <w:szCs w:val="16"/>
              </w:rPr>
              <w:t>75.628</w:t>
            </w:r>
          </w:p>
        </w:tc>
        <w:tc>
          <w:tcPr>
            <w:tcW w:w="1417" w:type="dxa"/>
            <w:tcBorders>
              <w:top w:val="single" w:sz="4" w:space="0" w:color="auto"/>
              <w:left w:val="nil"/>
              <w:bottom w:val="single" w:sz="4" w:space="0" w:color="auto"/>
              <w:right w:val="nil"/>
            </w:tcBorders>
            <w:shd w:val="clear" w:color="auto" w:fill="auto"/>
            <w:vAlign w:val="bottom"/>
            <w:hideMark/>
          </w:tcPr>
          <w:p w:rsidR="00615271" w:rsidRPr="00D00722" w:rsidRDefault="00615271" w:rsidP="00615271">
            <w:pPr>
              <w:jc w:val="right"/>
              <w:rPr>
                <w:rFonts w:ascii="Arial" w:hAnsi="Arial" w:cs="Arial"/>
                <w:bCs/>
                <w:color w:val="000000"/>
                <w:sz w:val="16"/>
                <w:szCs w:val="16"/>
              </w:rPr>
            </w:pPr>
            <w:r w:rsidRPr="00D00722">
              <w:rPr>
                <w:rFonts w:ascii="Arial" w:hAnsi="Arial" w:cs="Arial"/>
                <w:bCs/>
                <w:color w:val="000000"/>
                <w:sz w:val="16"/>
                <w:szCs w:val="16"/>
              </w:rPr>
              <w:t>111.372</w:t>
            </w:r>
          </w:p>
        </w:tc>
      </w:tr>
      <w:tr w:rsidR="00615271" w:rsidRPr="00D00722" w:rsidTr="009E6AD4">
        <w:trPr>
          <w:trHeight w:val="113"/>
        </w:trPr>
        <w:tc>
          <w:tcPr>
            <w:tcW w:w="5103" w:type="dxa"/>
            <w:tcBorders>
              <w:top w:val="nil"/>
              <w:left w:val="nil"/>
              <w:bottom w:val="nil"/>
              <w:right w:val="nil"/>
            </w:tcBorders>
            <w:shd w:val="clear" w:color="auto" w:fill="auto"/>
            <w:vAlign w:val="bottom"/>
            <w:hideMark/>
          </w:tcPr>
          <w:p w:rsidR="00615271" w:rsidRPr="00D00722" w:rsidRDefault="00615271" w:rsidP="00615271">
            <w:pPr>
              <w:ind w:left="318" w:hanging="426"/>
              <w:rPr>
                <w:rFonts w:ascii="Arial" w:hAnsi="Arial" w:cs="Arial"/>
                <w:b/>
                <w:bCs/>
                <w:color w:val="000000"/>
                <w:sz w:val="16"/>
                <w:szCs w:val="16"/>
              </w:rPr>
            </w:pPr>
          </w:p>
        </w:tc>
        <w:tc>
          <w:tcPr>
            <w:tcW w:w="1134" w:type="dxa"/>
            <w:tcBorders>
              <w:top w:val="nil"/>
              <w:left w:val="nil"/>
              <w:bottom w:val="nil"/>
              <w:right w:val="nil"/>
            </w:tcBorders>
            <w:shd w:val="clear" w:color="auto" w:fill="auto"/>
            <w:vAlign w:val="bottom"/>
            <w:hideMark/>
          </w:tcPr>
          <w:p w:rsidR="00615271" w:rsidRPr="00D00722" w:rsidRDefault="00615271" w:rsidP="00615271">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tcPr>
          <w:p w:rsidR="00615271" w:rsidRPr="00D00722" w:rsidRDefault="00615271" w:rsidP="00615271">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615271" w:rsidRPr="00D00722" w:rsidRDefault="00615271" w:rsidP="00615271">
            <w:pPr>
              <w:jc w:val="right"/>
              <w:rPr>
                <w:rFonts w:ascii="Arial" w:hAnsi="Arial" w:cs="Arial"/>
                <w:bCs/>
                <w:color w:val="000000"/>
                <w:sz w:val="16"/>
                <w:szCs w:val="16"/>
              </w:rPr>
            </w:pPr>
          </w:p>
        </w:tc>
      </w:tr>
      <w:tr w:rsidR="00615271" w:rsidRPr="00D00722" w:rsidTr="009E6AD4">
        <w:trPr>
          <w:trHeight w:val="113"/>
        </w:trPr>
        <w:tc>
          <w:tcPr>
            <w:tcW w:w="5103" w:type="dxa"/>
            <w:tcBorders>
              <w:top w:val="nil"/>
              <w:left w:val="nil"/>
              <w:bottom w:val="nil"/>
              <w:right w:val="nil"/>
            </w:tcBorders>
            <w:shd w:val="clear" w:color="auto" w:fill="auto"/>
            <w:vAlign w:val="bottom"/>
            <w:hideMark/>
          </w:tcPr>
          <w:p w:rsidR="00615271" w:rsidRPr="00D00722" w:rsidRDefault="00615271" w:rsidP="00615271">
            <w:pPr>
              <w:ind w:left="318" w:hanging="426"/>
              <w:rPr>
                <w:rFonts w:ascii="Arial" w:hAnsi="Arial" w:cs="Arial"/>
                <w:color w:val="000000"/>
                <w:sz w:val="16"/>
                <w:szCs w:val="16"/>
              </w:rPr>
            </w:pPr>
            <w:r w:rsidRPr="00D00722">
              <w:rPr>
                <w:rFonts w:ascii="Arial" w:hAnsi="Arial" w:cs="Arial"/>
                <w:color w:val="000000"/>
                <w:sz w:val="16"/>
                <w:szCs w:val="16"/>
              </w:rPr>
              <w:t>Ticari borçlar</w:t>
            </w:r>
          </w:p>
        </w:tc>
        <w:tc>
          <w:tcPr>
            <w:tcW w:w="1134" w:type="dxa"/>
            <w:tcBorders>
              <w:top w:val="nil"/>
              <w:left w:val="nil"/>
              <w:bottom w:val="nil"/>
              <w:right w:val="nil"/>
            </w:tcBorders>
            <w:shd w:val="clear" w:color="auto" w:fill="auto"/>
            <w:hideMark/>
          </w:tcPr>
          <w:p w:rsidR="00615271" w:rsidRPr="00D00722" w:rsidRDefault="00615271" w:rsidP="00615271">
            <w:pPr>
              <w:jc w:val="right"/>
              <w:rPr>
                <w:rFonts w:ascii="Arial" w:hAnsi="Arial" w:cs="Arial"/>
                <w:color w:val="000000"/>
                <w:sz w:val="16"/>
                <w:szCs w:val="16"/>
              </w:rPr>
            </w:pPr>
            <w:r w:rsidRPr="00D00722">
              <w:rPr>
                <w:rFonts w:ascii="Arial" w:hAnsi="Arial" w:cs="Arial"/>
                <w:color w:val="000000"/>
                <w:sz w:val="16"/>
                <w:szCs w:val="16"/>
              </w:rPr>
              <w:t>6</w:t>
            </w:r>
          </w:p>
        </w:tc>
        <w:tc>
          <w:tcPr>
            <w:tcW w:w="1418" w:type="dxa"/>
            <w:tcBorders>
              <w:top w:val="nil"/>
              <w:left w:val="nil"/>
              <w:bottom w:val="nil"/>
              <w:right w:val="nil"/>
            </w:tcBorders>
            <w:shd w:val="clear" w:color="auto" w:fill="auto"/>
            <w:vAlign w:val="bottom"/>
          </w:tcPr>
          <w:p w:rsidR="00615271" w:rsidRPr="00D00722" w:rsidRDefault="000842B4" w:rsidP="00615271">
            <w:pPr>
              <w:jc w:val="right"/>
              <w:rPr>
                <w:rFonts w:ascii="Arial" w:hAnsi="Arial" w:cs="Arial"/>
                <w:b/>
                <w:bCs/>
                <w:color w:val="000000"/>
                <w:sz w:val="16"/>
                <w:szCs w:val="16"/>
              </w:rPr>
            </w:pPr>
            <w:r w:rsidRPr="00D00722">
              <w:rPr>
                <w:rFonts w:ascii="Arial" w:hAnsi="Arial" w:cs="Arial"/>
                <w:b/>
                <w:bCs/>
                <w:color w:val="000000"/>
                <w:sz w:val="16"/>
                <w:szCs w:val="16"/>
              </w:rPr>
              <w:t>20.426</w:t>
            </w:r>
          </w:p>
        </w:tc>
        <w:tc>
          <w:tcPr>
            <w:tcW w:w="1417" w:type="dxa"/>
            <w:tcBorders>
              <w:top w:val="nil"/>
              <w:left w:val="nil"/>
              <w:bottom w:val="nil"/>
              <w:right w:val="nil"/>
            </w:tcBorders>
            <w:shd w:val="clear" w:color="auto" w:fill="auto"/>
            <w:vAlign w:val="bottom"/>
            <w:hideMark/>
          </w:tcPr>
          <w:p w:rsidR="00615271" w:rsidRPr="00D00722" w:rsidRDefault="00615271" w:rsidP="00615271">
            <w:pPr>
              <w:jc w:val="right"/>
              <w:rPr>
                <w:rFonts w:ascii="Arial" w:hAnsi="Arial" w:cs="Arial"/>
                <w:bCs/>
                <w:color w:val="000000"/>
                <w:sz w:val="16"/>
                <w:szCs w:val="16"/>
              </w:rPr>
            </w:pPr>
            <w:r w:rsidRPr="00D00722">
              <w:rPr>
                <w:rFonts w:ascii="Arial" w:hAnsi="Arial" w:cs="Arial"/>
                <w:bCs/>
                <w:color w:val="000000"/>
                <w:sz w:val="16"/>
                <w:szCs w:val="16"/>
              </w:rPr>
              <w:t>50.373</w:t>
            </w:r>
          </w:p>
        </w:tc>
      </w:tr>
      <w:tr w:rsidR="00615271" w:rsidRPr="00D00722" w:rsidTr="009E6AD4">
        <w:trPr>
          <w:trHeight w:val="113"/>
        </w:trPr>
        <w:tc>
          <w:tcPr>
            <w:tcW w:w="5103" w:type="dxa"/>
            <w:tcBorders>
              <w:top w:val="nil"/>
              <w:left w:val="nil"/>
              <w:bottom w:val="nil"/>
              <w:right w:val="nil"/>
            </w:tcBorders>
            <w:shd w:val="clear" w:color="auto" w:fill="auto"/>
            <w:hideMark/>
          </w:tcPr>
          <w:p w:rsidR="00615271" w:rsidRPr="00D00722" w:rsidRDefault="00615271" w:rsidP="00615271">
            <w:pPr>
              <w:ind w:left="34"/>
              <w:rPr>
                <w:rFonts w:ascii="Arial" w:hAnsi="Arial" w:cs="Arial"/>
                <w:color w:val="000000"/>
                <w:sz w:val="16"/>
                <w:szCs w:val="16"/>
              </w:rPr>
            </w:pPr>
            <w:r w:rsidRPr="00D00722">
              <w:rPr>
                <w:rFonts w:ascii="Arial" w:hAnsi="Arial" w:cs="Arial"/>
                <w:color w:val="000000"/>
                <w:sz w:val="16"/>
                <w:szCs w:val="16"/>
              </w:rPr>
              <w:t>-İlişkili taraflara borçlar</w:t>
            </w:r>
          </w:p>
        </w:tc>
        <w:tc>
          <w:tcPr>
            <w:tcW w:w="1134" w:type="dxa"/>
            <w:tcBorders>
              <w:top w:val="nil"/>
              <w:left w:val="nil"/>
              <w:bottom w:val="nil"/>
              <w:right w:val="nil"/>
            </w:tcBorders>
            <w:shd w:val="clear" w:color="auto" w:fill="auto"/>
            <w:hideMark/>
          </w:tcPr>
          <w:p w:rsidR="00615271" w:rsidRPr="00D00722" w:rsidRDefault="00615271" w:rsidP="00615271">
            <w:pPr>
              <w:jc w:val="right"/>
              <w:rPr>
                <w:rFonts w:ascii="Arial" w:hAnsi="Arial" w:cs="Arial"/>
                <w:color w:val="000000"/>
                <w:sz w:val="16"/>
                <w:szCs w:val="16"/>
              </w:rPr>
            </w:pPr>
            <w:r w:rsidRPr="00D00722">
              <w:rPr>
                <w:rFonts w:ascii="Arial" w:hAnsi="Arial" w:cs="Arial"/>
                <w:color w:val="000000"/>
                <w:sz w:val="16"/>
                <w:szCs w:val="16"/>
              </w:rPr>
              <w:t>6, 23</w:t>
            </w:r>
          </w:p>
        </w:tc>
        <w:tc>
          <w:tcPr>
            <w:tcW w:w="1418" w:type="dxa"/>
            <w:tcBorders>
              <w:top w:val="nil"/>
              <w:left w:val="nil"/>
              <w:bottom w:val="nil"/>
              <w:right w:val="nil"/>
            </w:tcBorders>
            <w:shd w:val="clear" w:color="auto" w:fill="auto"/>
            <w:vAlign w:val="bottom"/>
          </w:tcPr>
          <w:p w:rsidR="00615271" w:rsidRPr="00D00722" w:rsidRDefault="000842B4" w:rsidP="00615271">
            <w:pPr>
              <w:jc w:val="right"/>
              <w:rPr>
                <w:rFonts w:ascii="Arial" w:hAnsi="Arial" w:cs="Arial"/>
                <w:b/>
                <w:bCs/>
                <w:color w:val="000000"/>
                <w:sz w:val="16"/>
                <w:szCs w:val="16"/>
              </w:rPr>
            </w:pPr>
            <w:r w:rsidRPr="00D00722">
              <w:rPr>
                <w:rFonts w:ascii="Arial" w:hAnsi="Arial" w:cs="Arial"/>
                <w:b/>
                <w:bCs/>
                <w:color w:val="000000"/>
                <w:sz w:val="16"/>
                <w:szCs w:val="16"/>
              </w:rPr>
              <w:t>12.209</w:t>
            </w:r>
          </w:p>
        </w:tc>
        <w:tc>
          <w:tcPr>
            <w:tcW w:w="1417" w:type="dxa"/>
            <w:tcBorders>
              <w:top w:val="nil"/>
              <w:left w:val="nil"/>
              <w:bottom w:val="nil"/>
              <w:right w:val="nil"/>
            </w:tcBorders>
            <w:shd w:val="clear" w:color="auto" w:fill="auto"/>
            <w:noWrap/>
            <w:vAlign w:val="bottom"/>
            <w:hideMark/>
          </w:tcPr>
          <w:p w:rsidR="00615271" w:rsidRPr="00D00722" w:rsidRDefault="00615271" w:rsidP="00615271">
            <w:pPr>
              <w:jc w:val="right"/>
              <w:rPr>
                <w:rFonts w:ascii="Arial" w:hAnsi="Arial" w:cs="Arial"/>
                <w:bCs/>
                <w:color w:val="000000"/>
                <w:sz w:val="16"/>
                <w:szCs w:val="16"/>
              </w:rPr>
            </w:pPr>
            <w:r w:rsidRPr="00D00722">
              <w:rPr>
                <w:rFonts w:ascii="Arial" w:hAnsi="Arial" w:cs="Arial"/>
                <w:bCs/>
                <w:color w:val="000000"/>
                <w:sz w:val="16"/>
                <w:szCs w:val="16"/>
              </w:rPr>
              <w:t>14.707</w:t>
            </w:r>
          </w:p>
        </w:tc>
      </w:tr>
      <w:tr w:rsidR="00615271" w:rsidRPr="00D00722" w:rsidTr="009E6AD4">
        <w:trPr>
          <w:trHeight w:val="113"/>
        </w:trPr>
        <w:tc>
          <w:tcPr>
            <w:tcW w:w="5103" w:type="dxa"/>
            <w:tcBorders>
              <w:top w:val="nil"/>
              <w:left w:val="nil"/>
              <w:bottom w:val="nil"/>
              <w:right w:val="nil"/>
            </w:tcBorders>
            <w:shd w:val="clear" w:color="auto" w:fill="auto"/>
            <w:vAlign w:val="bottom"/>
            <w:hideMark/>
          </w:tcPr>
          <w:p w:rsidR="00615271" w:rsidRPr="00D00722" w:rsidRDefault="00615271" w:rsidP="00615271">
            <w:pPr>
              <w:ind w:left="34"/>
              <w:rPr>
                <w:rFonts w:ascii="Arial" w:hAnsi="Arial" w:cs="Arial"/>
                <w:color w:val="000000"/>
                <w:sz w:val="16"/>
                <w:szCs w:val="16"/>
              </w:rPr>
            </w:pPr>
            <w:r w:rsidRPr="00D00722">
              <w:rPr>
                <w:rFonts w:ascii="Arial" w:hAnsi="Arial" w:cs="Arial"/>
                <w:color w:val="000000"/>
                <w:sz w:val="16"/>
                <w:szCs w:val="16"/>
              </w:rPr>
              <w:t>-İlişkili olmayan taraflara ticari borçlar</w:t>
            </w:r>
          </w:p>
        </w:tc>
        <w:tc>
          <w:tcPr>
            <w:tcW w:w="1134" w:type="dxa"/>
            <w:tcBorders>
              <w:top w:val="nil"/>
              <w:left w:val="nil"/>
              <w:bottom w:val="nil"/>
              <w:right w:val="nil"/>
            </w:tcBorders>
            <w:shd w:val="clear" w:color="auto" w:fill="auto"/>
            <w:vAlign w:val="bottom"/>
            <w:hideMark/>
          </w:tcPr>
          <w:p w:rsidR="00615271" w:rsidRPr="00D00722" w:rsidRDefault="00615271" w:rsidP="00615271">
            <w:pPr>
              <w:jc w:val="right"/>
              <w:rPr>
                <w:rFonts w:ascii="Arial" w:hAnsi="Arial" w:cs="Arial"/>
                <w:color w:val="000000"/>
                <w:sz w:val="16"/>
                <w:szCs w:val="16"/>
              </w:rPr>
            </w:pPr>
            <w:r w:rsidRPr="00D00722">
              <w:rPr>
                <w:rFonts w:ascii="Arial" w:hAnsi="Arial" w:cs="Arial"/>
                <w:color w:val="000000"/>
                <w:sz w:val="16"/>
                <w:szCs w:val="16"/>
              </w:rPr>
              <w:t>6</w:t>
            </w:r>
          </w:p>
        </w:tc>
        <w:tc>
          <w:tcPr>
            <w:tcW w:w="1418" w:type="dxa"/>
            <w:tcBorders>
              <w:top w:val="nil"/>
              <w:left w:val="nil"/>
              <w:bottom w:val="nil"/>
              <w:right w:val="nil"/>
            </w:tcBorders>
            <w:shd w:val="clear" w:color="auto" w:fill="auto"/>
            <w:vAlign w:val="bottom"/>
          </w:tcPr>
          <w:p w:rsidR="00615271" w:rsidRPr="00D00722" w:rsidRDefault="000842B4" w:rsidP="00615271">
            <w:pPr>
              <w:jc w:val="right"/>
              <w:rPr>
                <w:rFonts w:ascii="Arial" w:hAnsi="Arial" w:cs="Arial"/>
                <w:b/>
                <w:bCs/>
                <w:color w:val="000000"/>
                <w:sz w:val="16"/>
                <w:szCs w:val="16"/>
              </w:rPr>
            </w:pPr>
            <w:r w:rsidRPr="00D00722">
              <w:rPr>
                <w:rFonts w:ascii="Arial" w:hAnsi="Arial" w:cs="Arial"/>
                <w:b/>
                <w:bCs/>
                <w:color w:val="000000"/>
                <w:sz w:val="16"/>
                <w:szCs w:val="16"/>
              </w:rPr>
              <w:t>8.218</w:t>
            </w:r>
          </w:p>
        </w:tc>
        <w:tc>
          <w:tcPr>
            <w:tcW w:w="1417" w:type="dxa"/>
            <w:tcBorders>
              <w:top w:val="nil"/>
              <w:left w:val="nil"/>
              <w:bottom w:val="nil"/>
              <w:right w:val="nil"/>
            </w:tcBorders>
            <w:shd w:val="clear" w:color="auto" w:fill="auto"/>
            <w:vAlign w:val="bottom"/>
            <w:hideMark/>
          </w:tcPr>
          <w:p w:rsidR="00615271" w:rsidRPr="00D00722" w:rsidRDefault="00615271" w:rsidP="00615271">
            <w:pPr>
              <w:jc w:val="right"/>
              <w:rPr>
                <w:rFonts w:ascii="Arial" w:hAnsi="Arial" w:cs="Arial"/>
                <w:bCs/>
                <w:color w:val="000000"/>
                <w:sz w:val="16"/>
                <w:szCs w:val="16"/>
              </w:rPr>
            </w:pPr>
            <w:r w:rsidRPr="00D00722">
              <w:rPr>
                <w:rFonts w:ascii="Arial" w:hAnsi="Arial" w:cs="Arial"/>
                <w:bCs/>
                <w:color w:val="000000"/>
                <w:sz w:val="16"/>
                <w:szCs w:val="16"/>
              </w:rPr>
              <w:t>35.666</w:t>
            </w:r>
          </w:p>
        </w:tc>
      </w:tr>
      <w:tr w:rsidR="00615271" w:rsidRPr="00D00722" w:rsidTr="009E6AD4">
        <w:trPr>
          <w:trHeight w:val="113"/>
        </w:trPr>
        <w:tc>
          <w:tcPr>
            <w:tcW w:w="5103" w:type="dxa"/>
            <w:tcBorders>
              <w:top w:val="nil"/>
              <w:left w:val="nil"/>
              <w:bottom w:val="nil"/>
              <w:right w:val="nil"/>
            </w:tcBorders>
            <w:shd w:val="clear" w:color="auto" w:fill="auto"/>
            <w:vAlign w:val="bottom"/>
            <w:hideMark/>
          </w:tcPr>
          <w:p w:rsidR="00615271" w:rsidRPr="00D00722" w:rsidRDefault="00615271" w:rsidP="00615271">
            <w:pPr>
              <w:ind w:left="318" w:hanging="426"/>
              <w:rPr>
                <w:rFonts w:ascii="Arial" w:hAnsi="Arial" w:cs="Arial"/>
                <w:color w:val="000000"/>
                <w:sz w:val="16"/>
                <w:szCs w:val="16"/>
              </w:rPr>
            </w:pPr>
            <w:r w:rsidRPr="00D00722">
              <w:rPr>
                <w:rFonts w:ascii="Arial" w:hAnsi="Arial" w:cs="Arial"/>
                <w:color w:val="000000"/>
                <w:sz w:val="16"/>
                <w:szCs w:val="16"/>
              </w:rPr>
              <w:t>Diğer borçlar</w:t>
            </w:r>
          </w:p>
        </w:tc>
        <w:tc>
          <w:tcPr>
            <w:tcW w:w="1134" w:type="dxa"/>
            <w:tcBorders>
              <w:top w:val="nil"/>
              <w:left w:val="nil"/>
              <w:bottom w:val="nil"/>
              <w:right w:val="nil"/>
            </w:tcBorders>
            <w:shd w:val="clear" w:color="auto" w:fill="auto"/>
            <w:vAlign w:val="bottom"/>
            <w:hideMark/>
          </w:tcPr>
          <w:p w:rsidR="00615271" w:rsidRPr="00D00722" w:rsidRDefault="00615271" w:rsidP="00615271">
            <w:pPr>
              <w:jc w:val="right"/>
              <w:rPr>
                <w:rFonts w:ascii="Arial" w:hAnsi="Arial" w:cs="Arial"/>
                <w:color w:val="000000"/>
                <w:sz w:val="16"/>
                <w:szCs w:val="16"/>
              </w:rPr>
            </w:pPr>
            <w:r w:rsidRPr="00D00722">
              <w:rPr>
                <w:rFonts w:ascii="Arial" w:hAnsi="Arial" w:cs="Arial"/>
                <w:color w:val="000000"/>
                <w:sz w:val="16"/>
                <w:szCs w:val="16"/>
              </w:rPr>
              <w:t>9</w:t>
            </w:r>
          </w:p>
        </w:tc>
        <w:tc>
          <w:tcPr>
            <w:tcW w:w="1418" w:type="dxa"/>
            <w:tcBorders>
              <w:top w:val="nil"/>
              <w:left w:val="nil"/>
              <w:bottom w:val="nil"/>
              <w:right w:val="nil"/>
            </w:tcBorders>
            <w:shd w:val="clear" w:color="auto" w:fill="auto"/>
            <w:vAlign w:val="bottom"/>
          </w:tcPr>
          <w:p w:rsidR="00615271" w:rsidRPr="00D00722" w:rsidRDefault="000842B4" w:rsidP="00615271">
            <w:pPr>
              <w:jc w:val="right"/>
              <w:rPr>
                <w:rFonts w:ascii="Arial" w:hAnsi="Arial" w:cs="Arial"/>
                <w:b/>
                <w:bCs/>
                <w:color w:val="000000"/>
                <w:sz w:val="16"/>
                <w:szCs w:val="16"/>
              </w:rPr>
            </w:pPr>
            <w:r w:rsidRPr="00D00722">
              <w:rPr>
                <w:rFonts w:ascii="Arial" w:hAnsi="Arial" w:cs="Arial"/>
                <w:b/>
                <w:bCs/>
                <w:color w:val="000000"/>
                <w:sz w:val="16"/>
                <w:szCs w:val="16"/>
              </w:rPr>
              <w:t>6.404</w:t>
            </w:r>
          </w:p>
        </w:tc>
        <w:tc>
          <w:tcPr>
            <w:tcW w:w="1417" w:type="dxa"/>
            <w:tcBorders>
              <w:top w:val="nil"/>
              <w:left w:val="nil"/>
              <w:bottom w:val="nil"/>
              <w:right w:val="nil"/>
            </w:tcBorders>
            <w:shd w:val="clear" w:color="auto" w:fill="auto"/>
            <w:vAlign w:val="bottom"/>
            <w:hideMark/>
          </w:tcPr>
          <w:p w:rsidR="00615271" w:rsidRPr="00D00722" w:rsidRDefault="00615271" w:rsidP="00615271">
            <w:pPr>
              <w:jc w:val="right"/>
              <w:rPr>
                <w:rFonts w:ascii="Arial" w:hAnsi="Arial" w:cs="Arial"/>
                <w:bCs/>
                <w:color w:val="000000"/>
                <w:sz w:val="16"/>
                <w:szCs w:val="16"/>
              </w:rPr>
            </w:pPr>
            <w:r w:rsidRPr="00D00722">
              <w:rPr>
                <w:rFonts w:ascii="Arial" w:hAnsi="Arial" w:cs="Arial"/>
                <w:bCs/>
                <w:color w:val="000000"/>
                <w:sz w:val="16"/>
                <w:szCs w:val="16"/>
              </w:rPr>
              <w:t>9.343</w:t>
            </w:r>
          </w:p>
        </w:tc>
      </w:tr>
      <w:tr w:rsidR="00615271" w:rsidRPr="00D00722" w:rsidTr="009E6AD4">
        <w:trPr>
          <w:trHeight w:val="113"/>
        </w:trPr>
        <w:tc>
          <w:tcPr>
            <w:tcW w:w="5103" w:type="dxa"/>
            <w:tcBorders>
              <w:top w:val="nil"/>
              <w:left w:val="nil"/>
              <w:bottom w:val="nil"/>
              <w:right w:val="nil"/>
            </w:tcBorders>
            <w:shd w:val="clear" w:color="auto" w:fill="auto"/>
            <w:vAlign w:val="bottom"/>
            <w:hideMark/>
          </w:tcPr>
          <w:p w:rsidR="00615271" w:rsidRPr="00D00722" w:rsidRDefault="00615271" w:rsidP="00615271">
            <w:pPr>
              <w:ind w:left="318" w:hanging="426"/>
              <w:rPr>
                <w:rFonts w:ascii="Arial" w:hAnsi="Arial" w:cs="Arial"/>
                <w:color w:val="000000"/>
                <w:sz w:val="16"/>
                <w:szCs w:val="16"/>
              </w:rPr>
            </w:pPr>
            <w:r w:rsidRPr="00D00722">
              <w:rPr>
                <w:rFonts w:ascii="Arial" w:hAnsi="Arial" w:cs="Arial"/>
                <w:color w:val="000000"/>
                <w:sz w:val="16"/>
                <w:szCs w:val="16"/>
              </w:rPr>
              <w:t>Çalışanlara sağlanan faydalar kapsamında borçlar</w:t>
            </w:r>
          </w:p>
        </w:tc>
        <w:tc>
          <w:tcPr>
            <w:tcW w:w="1134" w:type="dxa"/>
            <w:tcBorders>
              <w:top w:val="nil"/>
              <w:left w:val="nil"/>
              <w:bottom w:val="nil"/>
              <w:right w:val="nil"/>
            </w:tcBorders>
            <w:shd w:val="clear" w:color="auto" w:fill="auto"/>
            <w:vAlign w:val="bottom"/>
            <w:hideMark/>
          </w:tcPr>
          <w:p w:rsidR="00615271" w:rsidRPr="00D00722" w:rsidRDefault="00615271" w:rsidP="00615271">
            <w:pPr>
              <w:jc w:val="right"/>
              <w:rPr>
                <w:rFonts w:ascii="Arial" w:hAnsi="Arial" w:cs="Arial"/>
                <w:color w:val="000000"/>
                <w:sz w:val="16"/>
                <w:szCs w:val="16"/>
              </w:rPr>
            </w:pPr>
            <w:r w:rsidRPr="00D00722">
              <w:rPr>
                <w:rFonts w:ascii="Arial" w:hAnsi="Arial" w:cs="Arial"/>
                <w:color w:val="000000"/>
                <w:sz w:val="16"/>
                <w:szCs w:val="16"/>
              </w:rPr>
              <w:t>12</w:t>
            </w:r>
          </w:p>
        </w:tc>
        <w:tc>
          <w:tcPr>
            <w:tcW w:w="1418" w:type="dxa"/>
            <w:tcBorders>
              <w:top w:val="nil"/>
              <w:left w:val="nil"/>
              <w:bottom w:val="nil"/>
              <w:right w:val="nil"/>
            </w:tcBorders>
            <w:shd w:val="clear" w:color="auto" w:fill="auto"/>
            <w:vAlign w:val="bottom"/>
          </w:tcPr>
          <w:p w:rsidR="00615271" w:rsidRPr="00D00722" w:rsidRDefault="000842B4" w:rsidP="00615271">
            <w:pPr>
              <w:jc w:val="right"/>
              <w:rPr>
                <w:rFonts w:ascii="Arial" w:hAnsi="Arial" w:cs="Arial"/>
                <w:b/>
                <w:bCs/>
                <w:color w:val="000000"/>
                <w:sz w:val="16"/>
                <w:szCs w:val="16"/>
              </w:rPr>
            </w:pPr>
            <w:r w:rsidRPr="00D00722">
              <w:rPr>
                <w:rFonts w:ascii="Arial" w:hAnsi="Arial" w:cs="Arial"/>
                <w:b/>
                <w:bCs/>
                <w:color w:val="000000"/>
                <w:sz w:val="16"/>
                <w:szCs w:val="16"/>
              </w:rPr>
              <w:t>48.798</w:t>
            </w:r>
          </w:p>
        </w:tc>
        <w:tc>
          <w:tcPr>
            <w:tcW w:w="1417" w:type="dxa"/>
            <w:tcBorders>
              <w:top w:val="nil"/>
              <w:left w:val="nil"/>
              <w:bottom w:val="nil"/>
              <w:right w:val="nil"/>
            </w:tcBorders>
            <w:shd w:val="clear" w:color="auto" w:fill="auto"/>
            <w:vAlign w:val="bottom"/>
            <w:hideMark/>
          </w:tcPr>
          <w:p w:rsidR="00615271" w:rsidRPr="00D00722" w:rsidRDefault="00615271" w:rsidP="00615271">
            <w:pPr>
              <w:jc w:val="right"/>
              <w:rPr>
                <w:rFonts w:ascii="Arial" w:hAnsi="Arial" w:cs="Arial"/>
                <w:bCs/>
                <w:color w:val="000000"/>
                <w:sz w:val="16"/>
                <w:szCs w:val="16"/>
              </w:rPr>
            </w:pPr>
            <w:r w:rsidRPr="00D00722">
              <w:rPr>
                <w:rFonts w:ascii="Arial" w:hAnsi="Arial" w:cs="Arial"/>
                <w:bCs/>
                <w:color w:val="000000"/>
                <w:sz w:val="16"/>
                <w:szCs w:val="16"/>
              </w:rPr>
              <w:t>51.656</w:t>
            </w:r>
          </w:p>
        </w:tc>
      </w:tr>
      <w:tr w:rsidR="00615271" w:rsidRPr="00D00722" w:rsidTr="009E6AD4">
        <w:trPr>
          <w:trHeight w:val="113"/>
        </w:trPr>
        <w:tc>
          <w:tcPr>
            <w:tcW w:w="5103" w:type="dxa"/>
            <w:tcBorders>
              <w:top w:val="nil"/>
              <w:left w:val="nil"/>
              <w:bottom w:val="nil"/>
              <w:right w:val="nil"/>
            </w:tcBorders>
            <w:shd w:val="clear" w:color="auto" w:fill="auto"/>
          </w:tcPr>
          <w:p w:rsidR="00615271" w:rsidRPr="00D00722" w:rsidRDefault="00615271" w:rsidP="00615271">
            <w:pPr>
              <w:ind w:left="318" w:hanging="426"/>
              <w:rPr>
                <w:rFonts w:ascii="Arial" w:hAnsi="Arial" w:cs="Arial"/>
                <w:color w:val="000000"/>
                <w:sz w:val="16"/>
                <w:szCs w:val="16"/>
              </w:rPr>
            </w:pPr>
          </w:p>
        </w:tc>
        <w:tc>
          <w:tcPr>
            <w:tcW w:w="1134" w:type="dxa"/>
            <w:tcBorders>
              <w:top w:val="nil"/>
              <w:left w:val="nil"/>
              <w:bottom w:val="nil"/>
              <w:right w:val="nil"/>
            </w:tcBorders>
            <w:shd w:val="clear" w:color="auto" w:fill="auto"/>
            <w:vAlign w:val="bottom"/>
          </w:tcPr>
          <w:p w:rsidR="00615271" w:rsidRPr="00D00722" w:rsidRDefault="00615271" w:rsidP="00615271">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tcPr>
          <w:p w:rsidR="00615271" w:rsidRPr="00D00722" w:rsidRDefault="00615271" w:rsidP="00615271">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tcPr>
          <w:p w:rsidR="00615271" w:rsidRPr="00D00722" w:rsidRDefault="00615271" w:rsidP="00615271">
            <w:pPr>
              <w:jc w:val="right"/>
              <w:rPr>
                <w:rFonts w:ascii="Arial" w:hAnsi="Arial" w:cs="Arial"/>
                <w:bCs/>
                <w:color w:val="000000"/>
                <w:sz w:val="16"/>
                <w:szCs w:val="16"/>
              </w:rPr>
            </w:pPr>
          </w:p>
        </w:tc>
      </w:tr>
      <w:tr w:rsidR="00615271" w:rsidRPr="00D00722" w:rsidTr="009E6AD4">
        <w:trPr>
          <w:trHeight w:val="113"/>
        </w:trPr>
        <w:tc>
          <w:tcPr>
            <w:tcW w:w="5103" w:type="dxa"/>
            <w:tcBorders>
              <w:top w:val="single" w:sz="4" w:space="0" w:color="auto"/>
              <w:left w:val="nil"/>
              <w:bottom w:val="single" w:sz="4" w:space="0" w:color="auto"/>
              <w:right w:val="nil"/>
            </w:tcBorders>
            <w:shd w:val="clear" w:color="auto" w:fill="auto"/>
            <w:vAlign w:val="bottom"/>
            <w:hideMark/>
          </w:tcPr>
          <w:p w:rsidR="00615271" w:rsidRPr="00D00722" w:rsidRDefault="00615271" w:rsidP="00615271">
            <w:pPr>
              <w:ind w:left="318" w:hanging="426"/>
              <w:rPr>
                <w:rFonts w:ascii="Arial" w:hAnsi="Arial" w:cs="Arial"/>
                <w:b/>
                <w:bCs/>
                <w:color w:val="000000"/>
                <w:sz w:val="16"/>
                <w:szCs w:val="16"/>
              </w:rPr>
            </w:pPr>
            <w:r w:rsidRPr="00D00722">
              <w:rPr>
                <w:rFonts w:ascii="Arial" w:hAnsi="Arial" w:cs="Arial"/>
                <w:b/>
                <w:bCs/>
                <w:color w:val="000000"/>
                <w:sz w:val="16"/>
                <w:szCs w:val="16"/>
              </w:rPr>
              <w:t>Uzun vadeli yükümlülükler</w:t>
            </w:r>
          </w:p>
        </w:tc>
        <w:tc>
          <w:tcPr>
            <w:tcW w:w="1134" w:type="dxa"/>
            <w:tcBorders>
              <w:top w:val="single" w:sz="4" w:space="0" w:color="auto"/>
              <w:left w:val="nil"/>
              <w:bottom w:val="single" w:sz="4" w:space="0" w:color="auto"/>
              <w:right w:val="nil"/>
            </w:tcBorders>
            <w:shd w:val="clear" w:color="auto" w:fill="auto"/>
            <w:vAlign w:val="bottom"/>
            <w:hideMark/>
          </w:tcPr>
          <w:p w:rsidR="00615271" w:rsidRPr="00D00722" w:rsidRDefault="00615271" w:rsidP="00615271">
            <w:pPr>
              <w:jc w:val="right"/>
              <w:rPr>
                <w:rFonts w:ascii="Arial" w:hAnsi="Arial" w:cs="Arial"/>
                <w:color w:val="000000"/>
                <w:sz w:val="16"/>
                <w:szCs w:val="16"/>
              </w:rPr>
            </w:pPr>
          </w:p>
        </w:tc>
        <w:tc>
          <w:tcPr>
            <w:tcW w:w="1418" w:type="dxa"/>
            <w:tcBorders>
              <w:top w:val="single" w:sz="4" w:space="0" w:color="auto"/>
              <w:left w:val="nil"/>
              <w:bottom w:val="single" w:sz="4" w:space="0" w:color="auto"/>
              <w:right w:val="nil"/>
            </w:tcBorders>
            <w:shd w:val="clear" w:color="auto" w:fill="auto"/>
            <w:vAlign w:val="bottom"/>
          </w:tcPr>
          <w:p w:rsidR="00615271" w:rsidRPr="00D00722" w:rsidRDefault="000842B4" w:rsidP="00615271">
            <w:pPr>
              <w:jc w:val="right"/>
              <w:rPr>
                <w:rFonts w:ascii="Arial" w:hAnsi="Arial" w:cs="Arial"/>
                <w:b/>
                <w:bCs/>
                <w:color w:val="000000"/>
                <w:sz w:val="16"/>
                <w:szCs w:val="16"/>
              </w:rPr>
            </w:pPr>
            <w:r w:rsidRPr="00D00722">
              <w:rPr>
                <w:rFonts w:ascii="Arial" w:hAnsi="Arial" w:cs="Arial"/>
                <w:b/>
                <w:bCs/>
                <w:color w:val="000000"/>
                <w:sz w:val="16"/>
                <w:szCs w:val="16"/>
              </w:rPr>
              <w:t>147.151</w:t>
            </w:r>
          </w:p>
        </w:tc>
        <w:tc>
          <w:tcPr>
            <w:tcW w:w="1417" w:type="dxa"/>
            <w:tcBorders>
              <w:top w:val="single" w:sz="4" w:space="0" w:color="auto"/>
              <w:left w:val="nil"/>
              <w:bottom w:val="single" w:sz="4" w:space="0" w:color="auto"/>
              <w:right w:val="nil"/>
            </w:tcBorders>
            <w:shd w:val="clear" w:color="auto" w:fill="auto"/>
            <w:vAlign w:val="bottom"/>
            <w:hideMark/>
          </w:tcPr>
          <w:p w:rsidR="00615271" w:rsidRPr="00D00722" w:rsidRDefault="00615271" w:rsidP="00615271">
            <w:pPr>
              <w:jc w:val="right"/>
              <w:rPr>
                <w:rFonts w:ascii="Arial" w:hAnsi="Arial" w:cs="Arial"/>
                <w:bCs/>
                <w:color w:val="000000"/>
                <w:sz w:val="16"/>
                <w:szCs w:val="16"/>
              </w:rPr>
            </w:pPr>
            <w:r w:rsidRPr="00D00722">
              <w:rPr>
                <w:rFonts w:ascii="Arial" w:hAnsi="Arial" w:cs="Arial"/>
                <w:bCs/>
                <w:color w:val="000000"/>
                <w:sz w:val="16"/>
                <w:szCs w:val="16"/>
              </w:rPr>
              <w:t>131.067</w:t>
            </w:r>
          </w:p>
        </w:tc>
      </w:tr>
      <w:tr w:rsidR="00615271" w:rsidRPr="00D00722" w:rsidTr="009E6AD4">
        <w:trPr>
          <w:trHeight w:val="113"/>
        </w:trPr>
        <w:tc>
          <w:tcPr>
            <w:tcW w:w="5103" w:type="dxa"/>
            <w:tcBorders>
              <w:top w:val="nil"/>
              <w:left w:val="nil"/>
              <w:bottom w:val="nil"/>
              <w:right w:val="nil"/>
            </w:tcBorders>
            <w:shd w:val="clear" w:color="auto" w:fill="auto"/>
            <w:vAlign w:val="bottom"/>
            <w:hideMark/>
          </w:tcPr>
          <w:p w:rsidR="00615271" w:rsidRPr="00D00722" w:rsidRDefault="00615271" w:rsidP="00615271">
            <w:pPr>
              <w:ind w:left="318" w:hanging="426"/>
              <w:rPr>
                <w:rFonts w:ascii="Arial" w:hAnsi="Arial" w:cs="Arial"/>
                <w:b/>
                <w:bCs/>
                <w:color w:val="000000"/>
                <w:sz w:val="16"/>
                <w:szCs w:val="16"/>
              </w:rPr>
            </w:pPr>
          </w:p>
        </w:tc>
        <w:tc>
          <w:tcPr>
            <w:tcW w:w="1134" w:type="dxa"/>
            <w:tcBorders>
              <w:top w:val="nil"/>
              <w:left w:val="nil"/>
              <w:bottom w:val="nil"/>
              <w:right w:val="nil"/>
            </w:tcBorders>
            <w:shd w:val="clear" w:color="auto" w:fill="auto"/>
            <w:vAlign w:val="bottom"/>
            <w:hideMark/>
          </w:tcPr>
          <w:p w:rsidR="00615271" w:rsidRPr="00D00722" w:rsidRDefault="00615271" w:rsidP="00615271">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tcPr>
          <w:p w:rsidR="00615271" w:rsidRPr="00D00722" w:rsidRDefault="00615271" w:rsidP="00615271">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615271" w:rsidRPr="00D00722" w:rsidRDefault="00615271" w:rsidP="00615271">
            <w:pPr>
              <w:jc w:val="right"/>
              <w:rPr>
                <w:rFonts w:ascii="Arial" w:hAnsi="Arial" w:cs="Arial"/>
                <w:bCs/>
                <w:color w:val="000000"/>
                <w:sz w:val="16"/>
                <w:szCs w:val="16"/>
              </w:rPr>
            </w:pPr>
          </w:p>
        </w:tc>
      </w:tr>
      <w:tr w:rsidR="00615271" w:rsidRPr="00D00722" w:rsidTr="009E6AD4">
        <w:trPr>
          <w:trHeight w:val="113"/>
        </w:trPr>
        <w:tc>
          <w:tcPr>
            <w:tcW w:w="5103" w:type="dxa"/>
            <w:tcBorders>
              <w:top w:val="nil"/>
              <w:left w:val="nil"/>
              <w:bottom w:val="nil"/>
              <w:right w:val="nil"/>
            </w:tcBorders>
            <w:shd w:val="clear" w:color="auto" w:fill="auto"/>
            <w:hideMark/>
          </w:tcPr>
          <w:p w:rsidR="00615271" w:rsidRPr="00D00722" w:rsidRDefault="00615271" w:rsidP="00615271">
            <w:pPr>
              <w:ind w:left="318" w:hanging="426"/>
              <w:rPr>
                <w:rFonts w:ascii="Arial" w:hAnsi="Arial" w:cs="Arial"/>
                <w:color w:val="000000"/>
                <w:sz w:val="16"/>
                <w:szCs w:val="16"/>
              </w:rPr>
            </w:pPr>
            <w:r w:rsidRPr="00D00722">
              <w:rPr>
                <w:rFonts w:ascii="Arial" w:hAnsi="Arial" w:cs="Arial"/>
                <w:color w:val="000000"/>
                <w:sz w:val="16"/>
                <w:szCs w:val="16"/>
              </w:rPr>
              <w:t>Uzun vadeli karşılıklar</w:t>
            </w:r>
          </w:p>
        </w:tc>
        <w:tc>
          <w:tcPr>
            <w:tcW w:w="1134" w:type="dxa"/>
            <w:tcBorders>
              <w:top w:val="nil"/>
              <w:left w:val="nil"/>
              <w:bottom w:val="nil"/>
              <w:right w:val="nil"/>
            </w:tcBorders>
            <w:shd w:val="clear" w:color="auto" w:fill="auto"/>
            <w:vAlign w:val="bottom"/>
            <w:hideMark/>
          </w:tcPr>
          <w:p w:rsidR="00615271" w:rsidRPr="00D00722" w:rsidRDefault="00615271" w:rsidP="00615271">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tcPr>
          <w:p w:rsidR="00615271" w:rsidRPr="00D00722" w:rsidRDefault="00615271" w:rsidP="00615271">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615271" w:rsidRPr="00D00722" w:rsidRDefault="00615271" w:rsidP="00615271">
            <w:pPr>
              <w:jc w:val="right"/>
              <w:rPr>
                <w:rFonts w:ascii="Arial" w:hAnsi="Arial" w:cs="Arial"/>
                <w:bCs/>
                <w:color w:val="000000"/>
                <w:sz w:val="16"/>
                <w:szCs w:val="16"/>
              </w:rPr>
            </w:pPr>
          </w:p>
        </w:tc>
      </w:tr>
      <w:tr w:rsidR="00615271" w:rsidRPr="00D00722" w:rsidTr="003F5B30">
        <w:trPr>
          <w:trHeight w:val="113"/>
        </w:trPr>
        <w:tc>
          <w:tcPr>
            <w:tcW w:w="5103" w:type="dxa"/>
            <w:tcBorders>
              <w:top w:val="nil"/>
              <w:left w:val="nil"/>
              <w:bottom w:val="nil"/>
              <w:right w:val="nil"/>
            </w:tcBorders>
            <w:shd w:val="clear" w:color="auto" w:fill="auto"/>
            <w:vAlign w:val="bottom"/>
          </w:tcPr>
          <w:p w:rsidR="00615271" w:rsidRPr="00D00722" w:rsidRDefault="00615271" w:rsidP="00615271">
            <w:pPr>
              <w:ind w:left="34"/>
              <w:rPr>
                <w:rFonts w:ascii="Arial" w:hAnsi="Arial" w:cs="Arial"/>
                <w:color w:val="000000"/>
                <w:sz w:val="16"/>
                <w:szCs w:val="16"/>
              </w:rPr>
            </w:pPr>
            <w:r w:rsidRPr="00D00722">
              <w:rPr>
                <w:rFonts w:ascii="Arial" w:hAnsi="Arial" w:cs="Arial"/>
                <w:color w:val="000000"/>
                <w:sz w:val="16"/>
                <w:szCs w:val="16"/>
              </w:rPr>
              <w:t>-Çalışanlara sağlanan faydalara ilişkin uzun vadeli karşılıklar</w:t>
            </w:r>
          </w:p>
        </w:tc>
        <w:tc>
          <w:tcPr>
            <w:tcW w:w="1134" w:type="dxa"/>
            <w:tcBorders>
              <w:top w:val="nil"/>
              <w:left w:val="nil"/>
              <w:bottom w:val="nil"/>
              <w:right w:val="nil"/>
            </w:tcBorders>
            <w:shd w:val="clear" w:color="auto" w:fill="auto"/>
            <w:vAlign w:val="bottom"/>
          </w:tcPr>
          <w:p w:rsidR="00615271" w:rsidRPr="00D00722" w:rsidRDefault="00615271" w:rsidP="00615271">
            <w:pPr>
              <w:jc w:val="right"/>
              <w:rPr>
                <w:rFonts w:ascii="Arial" w:hAnsi="Arial" w:cs="Arial"/>
                <w:color w:val="000000"/>
                <w:sz w:val="16"/>
                <w:szCs w:val="16"/>
              </w:rPr>
            </w:pPr>
            <w:r w:rsidRPr="00D00722">
              <w:rPr>
                <w:rFonts w:ascii="Arial" w:hAnsi="Arial" w:cs="Arial"/>
                <w:color w:val="000000"/>
                <w:sz w:val="16"/>
                <w:szCs w:val="16"/>
              </w:rPr>
              <w:t>13</w:t>
            </w:r>
          </w:p>
        </w:tc>
        <w:tc>
          <w:tcPr>
            <w:tcW w:w="1418" w:type="dxa"/>
            <w:tcBorders>
              <w:top w:val="nil"/>
              <w:left w:val="nil"/>
              <w:bottom w:val="nil"/>
              <w:right w:val="nil"/>
            </w:tcBorders>
            <w:shd w:val="clear" w:color="auto" w:fill="auto"/>
            <w:vAlign w:val="bottom"/>
          </w:tcPr>
          <w:p w:rsidR="00615271" w:rsidRPr="00D00722" w:rsidRDefault="000842B4" w:rsidP="00615271">
            <w:pPr>
              <w:jc w:val="right"/>
              <w:rPr>
                <w:rFonts w:ascii="Arial" w:hAnsi="Arial" w:cs="Arial"/>
                <w:b/>
                <w:bCs/>
                <w:color w:val="000000"/>
                <w:sz w:val="16"/>
                <w:szCs w:val="16"/>
              </w:rPr>
            </w:pPr>
            <w:r w:rsidRPr="00D00722">
              <w:rPr>
                <w:rFonts w:ascii="Arial" w:hAnsi="Arial" w:cs="Arial"/>
                <w:b/>
                <w:bCs/>
                <w:color w:val="000000"/>
                <w:sz w:val="16"/>
                <w:szCs w:val="16"/>
              </w:rPr>
              <w:t>147.151</w:t>
            </w:r>
          </w:p>
        </w:tc>
        <w:tc>
          <w:tcPr>
            <w:tcW w:w="1417" w:type="dxa"/>
            <w:tcBorders>
              <w:top w:val="nil"/>
              <w:left w:val="nil"/>
              <w:bottom w:val="nil"/>
              <w:right w:val="nil"/>
            </w:tcBorders>
            <w:shd w:val="clear" w:color="auto" w:fill="auto"/>
            <w:vAlign w:val="bottom"/>
          </w:tcPr>
          <w:p w:rsidR="00615271" w:rsidRPr="00D00722" w:rsidRDefault="00615271" w:rsidP="00615271">
            <w:pPr>
              <w:jc w:val="right"/>
              <w:rPr>
                <w:rFonts w:ascii="Arial" w:hAnsi="Arial" w:cs="Arial"/>
                <w:bCs/>
                <w:color w:val="000000"/>
                <w:sz w:val="16"/>
                <w:szCs w:val="16"/>
              </w:rPr>
            </w:pPr>
            <w:r w:rsidRPr="00D00722">
              <w:rPr>
                <w:rFonts w:ascii="Arial" w:hAnsi="Arial" w:cs="Arial"/>
                <w:bCs/>
                <w:color w:val="000000"/>
                <w:sz w:val="16"/>
                <w:szCs w:val="16"/>
              </w:rPr>
              <w:t>131.067</w:t>
            </w:r>
          </w:p>
        </w:tc>
      </w:tr>
      <w:tr w:rsidR="00615271" w:rsidRPr="00D00722" w:rsidTr="009E6AD4">
        <w:trPr>
          <w:trHeight w:val="113"/>
        </w:trPr>
        <w:tc>
          <w:tcPr>
            <w:tcW w:w="5103" w:type="dxa"/>
            <w:tcBorders>
              <w:top w:val="nil"/>
              <w:left w:val="nil"/>
              <w:bottom w:val="nil"/>
              <w:right w:val="nil"/>
            </w:tcBorders>
            <w:shd w:val="clear" w:color="auto" w:fill="auto"/>
            <w:vAlign w:val="bottom"/>
            <w:hideMark/>
          </w:tcPr>
          <w:p w:rsidR="00615271" w:rsidRPr="00D00722" w:rsidRDefault="00615271" w:rsidP="00615271">
            <w:pPr>
              <w:ind w:left="318" w:hanging="426"/>
              <w:rPr>
                <w:rFonts w:ascii="Arial" w:hAnsi="Arial" w:cs="Arial"/>
                <w:color w:val="000000"/>
                <w:sz w:val="16"/>
                <w:szCs w:val="16"/>
              </w:rPr>
            </w:pPr>
          </w:p>
        </w:tc>
        <w:tc>
          <w:tcPr>
            <w:tcW w:w="1134" w:type="dxa"/>
            <w:tcBorders>
              <w:top w:val="nil"/>
              <w:left w:val="nil"/>
              <w:bottom w:val="nil"/>
              <w:right w:val="nil"/>
            </w:tcBorders>
            <w:shd w:val="clear" w:color="auto" w:fill="auto"/>
            <w:vAlign w:val="bottom"/>
            <w:hideMark/>
          </w:tcPr>
          <w:p w:rsidR="00615271" w:rsidRPr="00D00722" w:rsidRDefault="00615271" w:rsidP="00615271">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tcPr>
          <w:p w:rsidR="00615271" w:rsidRPr="00D00722" w:rsidRDefault="00615271" w:rsidP="00615271">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615271" w:rsidRPr="00D00722" w:rsidRDefault="00615271" w:rsidP="00615271">
            <w:pPr>
              <w:jc w:val="right"/>
              <w:rPr>
                <w:rFonts w:ascii="Arial" w:hAnsi="Arial" w:cs="Arial"/>
                <w:bCs/>
                <w:color w:val="000000"/>
                <w:sz w:val="16"/>
                <w:szCs w:val="16"/>
              </w:rPr>
            </w:pPr>
          </w:p>
        </w:tc>
      </w:tr>
      <w:tr w:rsidR="00615271" w:rsidRPr="00D00722" w:rsidTr="009E6AD4">
        <w:trPr>
          <w:trHeight w:val="113"/>
        </w:trPr>
        <w:tc>
          <w:tcPr>
            <w:tcW w:w="5103" w:type="dxa"/>
            <w:tcBorders>
              <w:top w:val="single" w:sz="4" w:space="0" w:color="auto"/>
              <w:left w:val="nil"/>
              <w:bottom w:val="single" w:sz="4" w:space="0" w:color="auto"/>
              <w:right w:val="nil"/>
            </w:tcBorders>
            <w:shd w:val="clear" w:color="auto" w:fill="auto"/>
            <w:vAlign w:val="bottom"/>
            <w:hideMark/>
          </w:tcPr>
          <w:p w:rsidR="00615271" w:rsidRPr="00D00722" w:rsidRDefault="00615271" w:rsidP="00615271">
            <w:pPr>
              <w:ind w:left="318" w:hanging="426"/>
              <w:rPr>
                <w:rFonts w:ascii="Arial" w:hAnsi="Arial" w:cs="Arial"/>
                <w:b/>
                <w:bCs/>
                <w:color w:val="000000"/>
                <w:sz w:val="16"/>
                <w:szCs w:val="16"/>
              </w:rPr>
            </w:pPr>
            <w:r w:rsidRPr="00D00722">
              <w:rPr>
                <w:rFonts w:ascii="Arial" w:hAnsi="Arial" w:cs="Arial"/>
                <w:b/>
                <w:bCs/>
                <w:color w:val="000000"/>
                <w:sz w:val="16"/>
                <w:szCs w:val="16"/>
              </w:rPr>
              <w:t>Özsermaye</w:t>
            </w:r>
          </w:p>
        </w:tc>
        <w:tc>
          <w:tcPr>
            <w:tcW w:w="1134" w:type="dxa"/>
            <w:tcBorders>
              <w:top w:val="single" w:sz="4" w:space="0" w:color="auto"/>
              <w:left w:val="nil"/>
              <w:bottom w:val="single" w:sz="4" w:space="0" w:color="auto"/>
              <w:right w:val="nil"/>
            </w:tcBorders>
            <w:shd w:val="clear" w:color="auto" w:fill="auto"/>
            <w:vAlign w:val="bottom"/>
            <w:hideMark/>
          </w:tcPr>
          <w:p w:rsidR="00615271" w:rsidRPr="00D00722" w:rsidRDefault="00615271" w:rsidP="00615271">
            <w:pPr>
              <w:jc w:val="right"/>
              <w:rPr>
                <w:rFonts w:ascii="Arial" w:hAnsi="Arial" w:cs="Arial"/>
                <w:color w:val="000000"/>
                <w:sz w:val="16"/>
                <w:szCs w:val="16"/>
              </w:rPr>
            </w:pPr>
          </w:p>
        </w:tc>
        <w:tc>
          <w:tcPr>
            <w:tcW w:w="1418" w:type="dxa"/>
            <w:tcBorders>
              <w:top w:val="single" w:sz="4" w:space="0" w:color="auto"/>
              <w:left w:val="nil"/>
              <w:bottom w:val="single" w:sz="4" w:space="0" w:color="auto"/>
              <w:right w:val="nil"/>
            </w:tcBorders>
            <w:shd w:val="clear" w:color="auto" w:fill="auto"/>
            <w:vAlign w:val="bottom"/>
          </w:tcPr>
          <w:p w:rsidR="00615271" w:rsidRPr="00D00722" w:rsidRDefault="000842B4" w:rsidP="00615271">
            <w:pPr>
              <w:jc w:val="right"/>
              <w:rPr>
                <w:rFonts w:ascii="Arial" w:hAnsi="Arial" w:cs="Arial"/>
                <w:b/>
                <w:bCs/>
                <w:color w:val="000000"/>
                <w:sz w:val="16"/>
                <w:szCs w:val="16"/>
              </w:rPr>
            </w:pPr>
            <w:r w:rsidRPr="00D00722">
              <w:rPr>
                <w:rFonts w:ascii="Arial" w:hAnsi="Arial" w:cs="Arial"/>
                <w:b/>
                <w:bCs/>
                <w:color w:val="000000"/>
                <w:sz w:val="16"/>
                <w:szCs w:val="16"/>
              </w:rPr>
              <w:t>1.341.299</w:t>
            </w:r>
          </w:p>
        </w:tc>
        <w:tc>
          <w:tcPr>
            <w:tcW w:w="1417" w:type="dxa"/>
            <w:tcBorders>
              <w:top w:val="single" w:sz="4" w:space="0" w:color="auto"/>
              <w:left w:val="nil"/>
              <w:bottom w:val="single" w:sz="4" w:space="0" w:color="auto"/>
              <w:right w:val="nil"/>
            </w:tcBorders>
            <w:shd w:val="clear" w:color="auto" w:fill="auto"/>
            <w:vAlign w:val="bottom"/>
            <w:hideMark/>
          </w:tcPr>
          <w:p w:rsidR="00615271" w:rsidRPr="00D00722" w:rsidRDefault="00615271" w:rsidP="00615271">
            <w:pPr>
              <w:jc w:val="right"/>
              <w:rPr>
                <w:rFonts w:ascii="Arial" w:hAnsi="Arial" w:cs="Arial"/>
                <w:bCs/>
                <w:color w:val="000000"/>
                <w:sz w:val="16"/>
                <w:szCs w:val="16"/>
              </w:rPr>
            </w:pPr>
            <w:r w:rsidRPr="00D00722">
              <w:rPr>
                <w:rFonts w:ascii="Arial" w:hAnsi="Arial" w:cs="Arial"/>
                <w:bCs/>
                <w:color w:val="000000"/>
                <w:sz w:val="16"/>
                <w:szCs w:val="16"/>
              </w:rPr>
              <w:t>1.207.050</w:t>
            </w:r>
          </w:p>
        </w:tc>
      </w:tr>
      <w:tr w:rsidR="00615271" w:rsidRPr="00D00722" w:rsidTr="009E6AD4">
        <w:trPr>
          <w:trHeight w:val="113"/>
        </w:trPr>
        <w:tc>
          <w:tcPr>
            <w:tcW w:w="5103" w:type="dxa"/>
            <w:tcBorders>
              <w:top w:val="nil"/>
              <w:left w:val="nil"/>
              <w:bottom w:val="nil"/>
              <w:right w:val="nil"/>
            </w:tcBorders>
            <w:shd w:val="clear" w:color="auto" w:fill="auto"/>
            <w:vAlign w:val="bottom"/>
            <w:hideMark/>
          </w:tcPr>
          <w:p w:rsidR="00615271" w:rsidRPr="00D00722" w:rsidRDefault="00615271" w:rsidP="00615271">
            <w:pPr>
              <w:ind w:left="318" w:hanging="426"/>
              <w:rPr>
                <w:rFonts w:ascii="Arial" w:hAnsi="Arial" w:cs="Arial"/>
                <w:color w:val="000000"/>
                <w:sz w:val="16"/>
                <w:szCs w:val="16"/>
              </w:rPr>
            </w:pPr>
          </w:p>
        </w:tc>
        <w:tc>
          <w:tcPr>
            <w:tcW w:w="1134" w:type="dxa"/>
            <w:tcBorders>
              <w:top w:val="nil"/>
              <w:left w:val="nil"/>
              <w:bottom w:val="nil"/>
              <w:right w:val="nil"/>
            </w:tcBorders>
            <w:shd w:val="clear" w:color="auto" w:fill="auto"/>
            <w:vAlign w:val="bottom"/>
            <w:hideMark/>
          </w:tcPr>
          <w:p w:rsidR="00615271" w:rsidRPr="00D00722" w:rsidRDefault="00615271" w:rsidP="00615271">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tcPr>
          <w:p w:rsidR="00615271" w:rsidRPr="00D00722" w:rsidRDefault="00615271" w:rsidP="00615271">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615271" w:rsidRPr="00D00722" w:rsidRDefault="00615271" w:rsidP="00615271">
            <w:pPr>
              <w:jc w:val="right"/>
              <w:rPr>
                <w:rFonts w:ascii="Arial" w:hAnsi="Arial" w:cs="Arial"/>
                <w:bCs/>
                <w:color w:val="000000"/>
                <w:sz w:val="16"/>
                <w:szCs w:val="16"/>
              </w:rPr>
            </w:pPr>
          </w:p>
        </w:tc>
      </w:tr>
      <w:tr w:rsidR="00615271" w:rsidRPr="00D00722" w:rsidTr="009E6AD4">
        <w:trPr>
          <w:trHeight w:val="113"/>
        </w:trPr>
        <w:tc>
          <w:tcPr>
            <w:tcW w:w="5103" w:type="dxa"/>
            <w:tcBorders>
              <w:top w:val="nil"/>
              <w:left w:val="nil"/>
              <w:bottom w:val="nil"/>
              <w:right w:val="nil"/>
            </w:tcBorders>
            <w:shd w:val="clear" w:color="auto" w:fill="auto"/>
            <w:vAlign w:val="bottom"/>
            <w:hideMark/>
          </w:tcPr>
          <w:p w:rsidR="00615271" w:rsidRPr="00D00722" w:rsidRDefault="00615271" w:rsidP="00615271">
            <w:pPr>
              <w:ind w:left="318" w:hanging="426"/>
              <w:rPr>
                <w:rFonts w:ascii="Arial" w:hAnsi="Arial" w:cs="Arial"/>
                <w:color w:val="000000"/>
                <w:sz w:val="16"/>
                <w:szCs w:val="16"/>
              </w:rPr>
            </w:pPr>
            <w:r w:rsidRPr="00D00722">
              <w:rPr>
                <w:rFonts w:ascii="Arial" w:hAnsi="Arial" w:cs="Arial"/>
                <w:color w:val="000000"/>
                <w:sz w:val="16"/>
                <w:szCs w:val="16"/>
              </w:rPr>
              <w:t>Ödenmiş sermaye</w:t>
            </w:r>
          </w:p>
        </w:tc>
        <w:tc>
          <w:tcPr>
            <w:tcW w:w="1134" w:type="dxa"/>
            <w:tcBorders>
              <w:top w:val="nil"/>
              <w:left w:val="nil"/>
              <w:bottom w:val="nil"/>
              <w:right w:val="nil"/>
            </w:tcBorders>
            <w:shd w:val="clear" w:color="auto" w:fill="auto"/>
            <w:hideMark/>
          </w:tcPr>
          <w:p w:rsidR="00615271" w:rsidRPr="00D00722" w:rsidRDefault="00615271" w:rsidP="00615271">
            <w:pPr>
              <w:jc w:val="right"/>
              <w:rPr>
                <w:rFonts w:ascii="Arial" w:hAnsi="Arial" w:cs="Arial"/>
                <w:color w:val="000000"/>
                <w:sz w:val="16"/>
                <w:szCs w:val="16"/>
              </w:rPr>
            </w:pPr>
            <w:r w:rsidRPr="00D00722">
              <w:rPr>
                <w:rFonts w:ascii="Arial" w:hAnsi="Arial" w:cs="Arial"/>
                <w:color w:val="000000"/>
                <w:sz w:val="16"/>
                <w:szCs w:val="16"/>
              </w:rPr>
              <w:t>15</w:t>
            </w:r>
          </w:p>
        </w:tc>
        <w:tc>
          <w:tcPr>
            <w:tcW w:w="1418" w:type="dxa"/>
            <w:tcBorders>
              <w:top w:val="nil"/>
              <w:left w:val="nil"/>
              <w:bottom w:val="nil"/>
              <w:right w:val="nil"/>
            </w:tcBorders>
            <w:shd w:val="clear" w:color="auto" w:fill="auto"/>
          </w:tcPr>
          <w:p w:rsidR="00615271" w:rsidRPr="00D00722" w:rsidRDefault="000842B4" w:rsidP="00615271">
            <w:pPr>
              <w:jc w:val="right"/>
              <w:rPr>
                <w:rFonts w:ascii="Arial" w:hAnsi="Arial" w:cs="Arial"/>
                <w:b/>
                <w:bCs/>
                <w:color w:val="000000"/>
                <w:sz w:val="16"/>
                <w:szCs w:val="16"/>
              </w:rPr>
            </w:pPr>
            <w:r w:rsidRPr="00D00722">
              <w:rPr>
                <w:rFonts w:ascii="Arial" w:hAnsi="Arial" w:cs="Arial"/>
                <w:b/>
                <w:bCs/>
                <w:color w:val="000000"/>
                <w:sz w:val="16"/>
                <w:szCs w:val="16"/>
              </w:rPr>
              <w:t>3.000.000</w:t>
            </w:r>
          </w:p>
        </w:tc>
        <w:tc>
          <w:tcPr>
            <w:tcW w:w="1417" w:type="dxa"/>
            <w:tcBorders>
              <w:top w:val="nil"/>
              <w:left w:val="nil"/>
              <w:bottom w:val="nil"/>
              <w:right w:val="nil"/>
            </w:tcBorders>
            <w:shd w:val="clear" w:color="auto" w:fill="auto"/>
            <w:hideMark/>
          </w:tcPr>
          <w:p w:rsidR="00615271" w:rsidRPr="00D00722" w:rsidRDefault="00615271" w:rsidP="00615271">
            <w:pPr>
              <w:jc w:val="right"/>
              <w:rPr>
                <w:rFonts w:ascii="Arial" w:hAnsi="Arial" w:cs="Arial"/>
                <w:bCs/>
                <w:color w:val="000000"/>
                <w:sz w:val="16"/>
                <w:szCs w:val="16"/>
              </w:rPr>
            </w:pPr>
            <w:r w:rsidRPr="00D00722">
              <w:rPr>
                <w:rFonts w:ascii="Arial" w:hAnsi="Arial" w:cs="Arial"/>
                <w:bCs/>
                <w:color w:val="000000"/>
                <w:sz w:val="16"/>
                <w:szCs w:val="16"/>
              </w:rPr>
              <w:t>1.700.000</w:t>
            </w:r>
          </w:p>
        </w:tc>
      </w:tr>
      <w:tr w:rsidR="00615271" w:rsidRPr="00D00722" w:rsidTr="009E6AD4">
        <w:trPr>
          <w:trHeight w:val="113"/>
        </w:trPr>
        <w:tc>
          <w:tcPr>
            <w:tcW w:w="5103" w:type="dxa"/>
            <w:tcBorders>
              <w:top w:val="nil"/>
              <w:left w:val="nil"/>
              <w:bottom w:val="nil"/>
              <w:right w:val="nil"/>
            </w:tcBorders>
            <w:shd w:val="clear" w:color="auto" w:fill="auto"/>
            <w:vAlign w:val="bottom"/>
            <w:hideMark/>
          </w:tcPr>
          <w:p w:rsidR="00615271" w:rsidRPr="00D00722" w:rsidRDefault="00615271" w:rsidP="000842B4">
            <w:pPr>
              <w:ind w:left="318" w:hanging="426"/>
              <w:rPr>
                <w:rFonts w:ascii="Arial" w:hAnsi="Arial" w:cs="Arial"/>
                <w:color w:val="000000"/>
                <w:sz w:val="16"/>
                <w:szCs w:val="16"/>
              </w:rPr>
            </w:pPr>
            <w:r w:rsidRPr="00D00722">
              <w:rPr>
                <w:rFonts w:ascii="Arial" w:hAnsi="Arial" w:cs="Arial"/>
                <w:color w:val="000000"/>
                <w:sz w:val="16"/>
                <w:szCs w:val="16"/>
              </w:rPr>
              <w:t xml:space="preserve">Sermaye </w:t>
            </w:r>
            <w:r w:rsidR="000842B4" w:rsidRPr="00D00722">
              <w:rPr>
                <w:rFonts w:ascii="Arial" w:hAnsi="Arial" w:cs="Arial"/>
                <w:color w:val="000000"/>
                <w:sz w:val="16"/>
                <w:szCs w:val="16"/>
              </w:rPr>
              <w:t>taahhütleri</w:t>
            </w:r>
          </w:p>
        </w:tc>
        <w:tc>
          <w:tcPr>
            <w:tcW w:w="1134" w:type="dxa"/>
            <w:tcBorders>
              <w:top w:val="nil"/>
              <w:left w:val="nil"/>
              <w:bottom w:val="nil"/>
              <w:right w:val="nil"/>
            </w:tcBorders>
            <w:shd w:val="clear" w:color="auto" w:fill="auto"/>
            <w:hideMark/>
          </w:tcPr>
          <w:p w:rsidR="00615271" w:rsidRPr="00D00722" w:rsidRDefault="00615271" w:rsidP="00615271">
            <w:pPr>
              <w:jc w:val="right"/>
              <w:rPr>
                <w:rFonts w:ascii="Arial" w:hAnsi="Arial" w:cs="Arial"/>
                <w:color w:val="000000"/>
                <w:sz w:val="16"/>
                <w:szCs w:val="16"/>
              </w:rPr>
            </w:pPr>
            <w:r w:rsidRPr="00D00722">
              <w:rPr>
                <w:rFonts w:ascii="Arial" w:hAnsi="Arial" w:cs="Arial"/>
                <w:color w:val="000000"/>
                <w:sz w:val="16"/>
                <w:szCs w:val="16"/>
              </w:rPr>
              <w:t>15</w:t>
            </w:r>
          </w:p>
        </w:tc>
        <w:tc>
          <w:tcPr>
            <w:tcW w:w="1418" w:type="dxa"/>
            <w:tcBorders>
              <w:top w:val="nil"/>
              <w:left w:val="nil"/>
              <w:bottom w:val="nil"/>
              <w:right w:val="nil"/>
            </w:tcBorders>
            <w:shd w:val="clear" w:color="auto" w:fill="auto"/>
          </w:tcPr>
          <w:p w:rsidR="00615271" w:rsidRPr="00D00722" w:rsidRDefault="000842B4" w:rsidP="00615271">
            <w:pPr>
              <w:jc w:val="right"/>
              <w:rPr>
                <w:rFonts w:ascii="Arial" w:hAnsi="Arial" w:cs="Arial"/>
                <w:b/>
                <w:bCs/>
                <w:color w:val="000000"/>
                <w:sz w:val="16"/>
                <w:szCs w:val="16"/>
              </w:rPr>
            </w:pPr>
            <w:r w:rsidRPr="00D00722">
              <w:rPr>
                <w:rFonts w:ascii="Arial" w:hAnsi="Arial" w:cs="Arial"/>
                <w:b/>
                <w:bCs/>
                <w:color w:val="000000"/>
                <w:sz w:val="16"/>
                <w:szCs w:val="16"/>
              </w:rPr>
              <w:t>(643.500)</w:t>
            </w:r>
          </w:p>
        </w:tc>
        <w:tc>
          <w:tcPr>
            <w:tcW w:w="1417" w:type="dxa"/>
            <w:tcBorders>
              <w:top w:val="nil"/>
              <w:left w:val="nil"/>
              <w:bottom w:val="nil"/>
              <w:right w:val="nil"/>
            </w:tcBorders>
            <w:shd w:val="clear" w:color="auto" w:fill="auto"/>
            <w:hideMark/>
          </w:tcPr>
          <w:p w:rsidR="00615271" w:rsidRPr="00D00722" w:rsidRDefault="00615271" w:rsidP="00615271">
            <w:pPr>
              <w:jc w:val="right"/>
              <w:rPr>
                <w:rFonts w:ascii="Arial" w:hAnsi="Arial" w:cs="Arial"/>
                <w:bCs/>
                <w:color w:val="000000"/>
                <w:sz w:val="16"/>
                <w:szCs w:val="16"/>
              </w:rPr>
            </w:pPr>
            <w:r w:rsidRPr="00D00722">
              <w:rPr>
                <w:rFonts w:ascii="Arial" w:hAnsi="Arial" w:cs="Arial"/>
                <w:bCs/>
                <w:color w:val="000000"/>
                <w:sz w:val="16"/>
                <w:szCs w:val="16"/>
              </w:rPr>
              <w:t>133.130</w:t>
            </w:r>
          </w:p>
        </w:tc>
      </w:tr>
      <w:tr w:rsidR="000842B4" w:rsidRPr="00D00722" w:rsidTr="00ED6F5D">
        <w:trPr>
          <w:trHeight w:val="113"/>
        </w:trPr>
        <w:tc>
          <w:tcPr>
            <w:tcW w:w="5103" w:type="dxa"/>
            <w:tcBorders>
              <w:top w:val="nil"/>
              <w:left w:val="nil"/>
              <w:bottom w:val="nil"/>
              <w:right w:val="nil"/>
            </w:tcBorders>
            <w:shd w:val="clear" w:color="auto" w:fill="auto"/>
            <w:vAlign w:val="bottom"/>
            <w:hideMark/>
          </w:tcPr>
          <w:p w:rsidR="000842B4" w:rsidRPr="00D00722" w:rsidRDefault="000842B4" w:rsidP="000842B4">
            <w:pPr>
              <w:ind w:left="318" w:hanging="426"/>
              <w:rPr>
                <w:rFonts w:ascii="Arial" w:hAnsi="Arial" w:cs="Arial"/>
                <w:color w:val="000000"/>
                <w:sz w:val="16"/>
                <w:szCs w:val="16"/>
              </w:rPr>
            </w:pPr>
            <w:r w:rsidRPr="00D00722">
              <w:rPr>
                <w:rFonts w:ascii="Arial" w:hAnsi="Arial" w:cs="Arial"/>
                <w:color w:val="000000"/>
                <w:sz w:val="16"/>
                <w:szCs w:val="16"/>
              </w:rPr>
              <w:t>Sermaye düzeltmesi farkları</w:t>
            </w:r>
          </w:p>
        </w:tc>
        <w:tc>
          <w:tcPr>
            <w:tcW w:w="1134" w:type="dxa"/>
            <w:tcBorders>
              <w:top w:val="nil"/>
              <w:left w:val="nil"/>
              <w:bottom w:val="nil"/>
              <w:right w:val="nil"/>
            </w:tcBorders>
            <w:shd w:val="clear" w:color="auto" w:fill="auto"/>
            <w:hideMark/>
          </w:tcPr>
          <w:p w:rsidR="000842B4" w:rsidRPr="00D00722" w:rsidRDefault="000842B4" w:rsidP="000842B4">
            <w:pPr>
              <w:jc w:val="right"/>
              <w:rPr>
                <w:rFonts w:ascii="Arial" w:hAnsi="Arial" w:cs="Arial"/>
                <w:color w:val="000000"/>
                <w:sz w:val="16"/>
                <w:szCs w:val="16"/>
              </w:rPr>
            </w:pPr>
            <w:r w:rsidRPr="00D00722">
              <w:rPr>
                <w:rFonts w:ascii="Arial" w:hAnsi="Arial" w:cs="Arial"/>
                <w:color w:val="000000"/>
                <w:sz w:val="16"/>
                <w:szCs w:val="16"/>
              </w:rPr>
              <w:t>15</w:t>
            </w:r>
          </w:p>
        </w:tc>
        <w:tc>
          <w:tcPr>
            <w:tcW w:w="1418" w:type="dxa"/>
            <w:tcBorders>
              <w:top w:val="nil"/>
              <w:left w:val="nil"/>
              <w:bottom w:val="nil"/>
              <w:right w:val="nil"/>
            </w:tcBorders>
            <w:shd w:val="clear" w:color="auto" w:fill="auto"/>
          </w:tcPr>
          <w:p w:rsidR="000842B4" w:rsidRPr="00D00722" w:rsidRDefault="000842B4" w:rsidP="000842B4">
            <w:pPr>
              <w:jc w:val="right"/>
              <w:rPr>
                <w:rFonts w:ascii="Arial" w:hAnsi="Arial" w:cs="Arial"/>
                <w:b/>
                <w:bCs/>
                <w:color w:val="000000"/>
                <w:sz w:val="16"/>
                <w:szCs w:val="16"/>
              </w:rPr>
            </w:pPr>
            <w:r w:rsidRPr="00D00722">
              <w:rPr>
                <w:rFonts w:ascii="Arial" w:hAnsi="Arial" w:cs="Arial"/>
                <w:b/>
                <w:bCs/>
                <w:color w:val="000000"/>
                <w:sz w:val="16"/>
                <w:szCs w:val="16"/>
              </w:rPr>
              <w:t>133.130</w:t>
            </w:r>
          </w:p>
        </w:tc>
        <w:tc>
          <w:tcPr>
            <w:tcW w:w="1417" w:type="dxa"/>
            <w:tcBorders>
              <w:top w:val="nil"/>
              <w:left w:val="nil"/>
              <w:bottom w:val="nil"/>
              <w:right w:val="nil"/>
            </w:tcBorders>
            <w:shd w:val="clear" w:color="auto" w:fill="auto"/>
            <w:hideMark/>
          </w:tcPr>
          <w:p w:rsidR="000842B4" w:rsidRPr="00D00722" w:rsidRDefault="000842B4" w:rsidP="000842B4">
            <w:pPr>
              <w:jc w:val="right"/>
              <w:rPr>
                <w:rFonts w:ascii="Arial" w:hAnsi="Arial" w:cs="Arial"/>
                <w:bCs/>
                <w:color w:val="000000"/>
                <w:sz w:val="16"/>
                <w:szCs w:val="16"/>
              </w:rPr>
            </w:pPr>
            <w:r w:rsidRPr="00D00722">
              <w:rPr>
                <w:rFonts w:ascii="Arial" w:hAnsi="Arial" w:cs="Arial"/>
                <w:bCs/>
                <w:color w:val="000000"/>
                <w:sz w:val="16"/>
                <w:szCs w:val="16"/>
              </w:rPr>
              <w:t>133.130</w:t>
            </w:r>
          </w:p>
        </w:tc>
      </w:tr>
      <w:tr w:rsidR="00615271" w:rsidRPr="00D00722" w:rsidTr="009E6AD4">
        <w:trPr>
          <w:trHeight w:val="113"/>
        </w:trPr>
        <w:tc>
          <w:tcPr>
            <w:tcW w:w="5103" w:type="dxa"/>
            <w:tcBorders>
              <w:top w:val="nil"/>
              <w:left w:val="nil"/>
              <w:bottom w:val="nil"/>
              <w:right w:val="nil"/>
            </w:tcBorders>
            <w:shd w:val="clear" w:color="auto" w:fill="auto"/>
            <w:vAlign w:val="bottom"/>
            <w:hideMark/>
          </w:tcPr>
          <w:p w:rsidR="00615271" w:rsidRPr="00D00722" w:rsidRDefault="00615271" w:rsidP="00615271">
            <w:pPr>
              <w:ind w:left="318" w:hanging="426"/>
              <w:rPr>
                <w:rFonts w:ascii="Arial" w:hAnsi="Arial" w:cs="Arial"/>
                <w:color w:val="000000"/>
                <w:sz w:val="16"/>
                <w:szCs w:val="16"/>
              </w:rPr>
            </w:pPr>
            <w:r w:rsidRPr="00D00722">
              <w:rPr>
                <w:rFonts w:ascii="Arial" w:hAnsi="Arial" w:cs="Arial"/>
                <w:color w:val="000000"/>
                <w:sz w:val="16"/>
                <w:szCs w:val="16"/>
              </w:rPr>
              <w:t>Kardan ayrılan kısıtlanmış yedekler</w:t>
            </w:r>
          </w:p>
        </w:tc>
        <w:tc>
          <w:tcPr>
            <w:tcW w:w="1134" w:type="dxa"/>
            <w:tcBorders>
              <w:top w:val="nil"/>
              <w:left w:val="nil"/>
              <w:bottom w:val="nil"/>
              <w:right w:val="nil"/>
            </w:tcBorders>
            <w:shd w:val="clear" w:color="auto" w:fill="auto"/>
            <w:hideMark/>
          </w:tcPr>
          <w:p w:rsidR="00615271" w:rsidRPr="00D00722" w:rsidRDefault="00615271" w:rsidP="00615271">
            <w:pPr>
              <w:jc w:val="right"/>
              <w:rPr>
                <w:rFonts w:ascii="Arial" w:hAnsi="Arial" w:cs="Arial"/>
                <w:color w:val="000000"/>
                <w:sz w:val="16"/>
                <w:szCs w:val="16"/>
              </w:rPr>
            </w:pPr>
            <w:r w:rsidRPr="00D00722">
              <w:rPr>
                <w:rFonts w:ascii="Arial" w:hAnsi="Arial" w:cs="Arial"/>
                <w:color w:val="000000"/>
                <w:sz w:val="16"/>
                <w:szCs w:val="16"/>
              </w:rPr>
              <w:t>15</w:t>
            </w:r>
          </w:p>
        </w:tc>
        <w:tc>
          <w:tcPr>
            <w:tcW w:w="1418" w:type="dxa"/>
            <w:tcBorders>
              <w:top w:val="nil"/>
              <w:left w:val="nil"/>
              <w:bottom w:val="nil"/>
              <w:right w:val="nil"/>
            </w:tcBorders>
            <w:shd w:val="clear" w:color="auto" w:fill="auto"/>
          </w:tcPr>
          <w:p w:rsidR="00615271" w:rsidRPr="00D00722" w:rsidRDefault="000842B4" w:rsidP="00615271">
            <w:pPr>
              <w:jc w:val="right"/>
              <w:rPr>
                <w:rFonts w:ascii="Arial" w:hAnsi="Arial" w:cs="Arial"/>
                <w:b/>
                <w:bCs/>
                <w:color w:val="000000"/>
                <w:sz w:val="16"/>
                <w:szCs w:val="16"/>
              </w:rPr>
            </w:pPr>
            <w:r w:rsidRPr="00D00722">
              <w:rPr>
                <w:rFonts w:ascii="Arial" w:hAnsi="Arial" w:cs="Arial"/>
                <w:b/>
                <w:bCs/>
                <w:color w:val="000000"/>
                <w:sz w:val="16"/>
                <w:szCs w:val="16"/>
              </w:rPr>
              <w:t>44.772</w:t>
            </w:r>
          </w:p>
        </w:tc>
        <w:tc>
          <w:tcPr>
            <w:tcW w:w="1417" w:type="dxa"/>
            <w:tcBorders>
              <w:top w:val="nil"/>
              <w:left w:val="nil"/>
              <w:bottom w:val="nil"/>
              <w:right w:val="nil"/>
            </w:tcBorders>
            <w:shd w:val="clear" w:color="auto" w:fill="auto"/>
            <w:hideMark/>
          </w:tcPr>
          <w:p w:rsidR="00615271" w:rsidRPr="00D00722" w:rsidRDefault="00615271" w:rsidP="00615271">
            <w:pPr>
              <w:jc w:val="right"/>
              <w:rPr>
                <w:rFonts w:ascii="Arial" w:hAnsi="Arial" w:cs="Arial"/>
                <w:bCs/>
                <w:color w:val="000000"/>
                <w:sz w:val="16"/>
                <w:szCs w:val="16"/>
              </w:rPr>
            </w:pPr>
            <w:r w:rsidRPr="00D00722">
              <w:rPr>
                <w:rFonts w:ascii="Arial" w:hAnsi="Arial" w:cs="Arial"/>
                <w:bCs/>
                <w:color w:val="000000"/>
                <w:sz w:val="16"/>
                <w:szCs w:val="16"/>
              </w:rPr>
              <w:t>44.772</w:t>
            </w:r>
          </w:p>
        </w:tc>
      </w:tr>
      <w:tr w:rsidR="00615271" w:rsidRPr="00D00722" w:rsidTr="009E6AD4">
        <w:trPr>
          <w:trHeight w:val="113"/>
        </w:trPr>
        <w:tc>
          <w:tcPr>
            <w:tcW w:w="5103" w:type="dxa"/>
            <w:tcBorders>
              <w:top w:val="nil"/>
              <w:left w:val="nil"/>
              <w:bottom w:val="nil"/>
              <w:right w:val="nil"/>
            </w:tcBorders>
            <w:shd w:val="clear" w:color="auto" w:fill="auto"/>
            <w:vAlign w:val="bottom"/>
            <w:hideMark/>
          </w:tcPr>
          <w:p w:rsidR="00615271" w:rsidRPr="00D00722" w:rsidRDefault="00615271" w:rsidP="00615271">
            <w:pPr>
              <w:ind w:left="318" w:hanging="426"/>
              <w:rPr>
                <w:rFonts w:ascii="Arial" w:hAnsi="Arial" w:cs="Arial"/>
                <w:color w:val="000000"/>
                <w:sz w:val="16"/>
                <w:szCs w:val="16"/>
              </w:rPr>
            </w:pPr>
            <w:r w:rsidRPr="00D00722">
              <w:rPr>
                <w:rFonts w:ascii="Arial" w:hAnsi="Arial" w:cs="Arial"/>
                <w:color w:val="000000"/>
                <w:sz w:val="16"/>
                <w:szCs w:val="16"/>
              </w:rPr>
              <w:t>Geçmiş yıllar kar/(zararları)</w:t>
            </w:r>
          </w:p>
        </w:tc>
        <w:tc>
          <w:tcPr>
            <w:tcW w:w="1134" w:type="dxa"/>
            <w:tcBorders>
              <w:top w:val="nil"/>
              <w:left w:val="nil"/>
              <w:bottom w:val="nil"/>
              <w:right w:val="nil"/>
            </w:tcBorders>
            <w:shd w:val="clear" w:color="auto" w:fill="auto"/>
            <w:hideMark/>
          </w:tcPr>
          <w:p w:rsidR="00615271" w:rsidRPr="00D00722" w:rsidRDefault="00615271" w:rsidP="00615271">
            <w:pPr>
              <w:jc w:val="right"/>
              <w:rPr>
                <w:rFonts w:ascii="Arial" w:hAnsi="Arial" w:cs="Arial"/>
                <w:color w:val="000000"/>
                <w:sz w:val="16"/>
                <w:szCs w:val="16"/>
              </w:rPr>
            </w:pPr>
            <w:r w:rsidRPr="00D00722">
              <w:rPr>
                <w:rFonts w:ascii="Arial" w:hAnsi="Arial" w:cs="Arial"/>
                <w:color w:val="000000"/>
                <w:sz w:val="16"/>
                <w:szCs w:val="16"/>
              </w:rPr>
              <w:t>15</w:t>
            </w:r>
          </w:p>
        </w:tc>
        <w:tc>
          <w:tcPr>
            <w:tcW w:w="1418" w:type="dxa"/>
            <w:tcBorders>
              <w:top w:val="nil"/>
              <w:left w:val="nil"/>
              <w:bottom w:val="nil"/>
              <w:right w:val="nil"/>
            </w:tcBorders>
            <w:shd w:val="clear" w:color="auto" w:fill="auto"/>
          </w:tcPr>
          <w:p w:rsidR="00615271" w:rsidRPr="00D00722" w:rsidRDefault="000842B4" w:rsidP="00C653B1">
            <w:pPr>
              <w:jc w:val="right"/>
              <w:rPr>
                <w:rFonts w:ascii="Arial" w:hAnsi="Arial" w:cs="Arial"/>
                <w:b/>
                <w:bCs/>
                <w:color w:val="000000"/>
                <w:sz w:val="16"/>
                <w:szCs w:val="16"/>
              </w:rPr>
            </w:pPr>
            <w:r w:rsidRPr="00D00722">
              <w:rPr>
                <w:rFonts w:ascii="Arial" w:hAnsi="Arial" w:cs="Arial"/>
                <w:b/>
                <w:bCs/>
                <w:color w:val="000000"/>
                <w:sz w:val="16"/>
                <w:szCs w:val="16"/>
              </w:rPr>
              <w:t>(961.07</w:t>
            </w:r>
            <w:r w:rsidR="00C653B1" w:rsidRPr="00D00722">
              <w:rPr>
                <w:rFonts w:ascii="Arial" w:hAnsi="Arial" w:cs="Arial"/>
                <w:b/>
                <w:bCs/>
                <w:color w:val="000000"/>
                <w:sz w:val="16"/>
                <w:szCs w:val="16"/>
              </w:rPr>
              <w:t>7</w:t>
            </w:r>
            <w:r w:rsidRPr="00D00722">
              <w:rPr>
                <w:rFonts w:ascii="Arial" w:hAnsi="Arial" w:cs="Arial"/>
                <w:b/>
                <w:bCs/>
                <w:color w:val="000000"/>
                <w:sz w:val="16"/>
                <w:szCs w:val="16"/>
              </w:rPr>
              <w:t>)</w:t>
            </w:r>
          </w:p>
        </w:tc>
        <w:tc>
          <w:tcPr>
            <w:tcW w:w="1417" w:type="dxa"/>
            <w:tcBorders>
              <w:top w:val="nil"/>
              <w:left w:val="nil"/>
              <w:bottom w:val="nil"/>
              <w:right w:val="nil"/>
            </w:tcBorders>
            <w:shd w:val="clear" w:color="auto" w:fill="auto"/>
            <w:hideMark/>
          </w:tcPr>
          <w:p w:rsidR="00615271" w:rsidRPr="00D00722" w:rsidRDefault="00615271" w:rsidP="00615271">
            <w:pPr>
              <w:jc w:val="right"/>
              <w:rPr>
                <w:rFonts w:ascii="Arial" w:hAnsi="Arial" w:cs="Arial"/>
                <w:bCs/>
                <w:color w:val="000000"/>
                <w:sz w:val="16"/>
                <w:szCs w:val="16"/>
              </w:rPr>
            </w:pPr>
            <w:r w:rsidRPr="00D00722">
              <w:rPr>
                <w:rFonts w:ascii="Arial" w:hAnsi="Arial" w:cs="Arial"/>
                <w:bCs/>
                <w:color w:val="000000"/>
                <w:sz w:val="16"/>
                <w:szCs w:val="16"/>
              </w:rPr>
              <w:t>(316.912)</w:t>
            </w:r>
          </w:p>
        </w:tc>
      </w:tr>
      <w:tr w:rsidR="00615271" w:rsidRPr="00D00722" w:rsidTr="009E6AD4">
        <w:trPr>
          <w:trHeight w:val="113"/>
        </w:trPr>
        <w:tc>
          <w:tcPr>
            <w:tcW w:w="5103" w:type="dxa"/>
            <w:tcBorders>
              <w:top w:val="nil"/>
              <w:left w:val="nil"/>
              <w:bottom w:val="nil"/>
              <w:right w:val="nil"/>
            </w:tcBorders>
            <w:shd w:val="clear" w:color="auto" w:fill="auto"/>
            <w:vAlign w:val="bottom"/>
            <w:hideMark/>
          </w:tcPr>
          <w:p w:rsidR="00615271" w:rsidRPr="00D00722" w:rsidRDefault="00615271" w:rsidP="00615271">
            <w:pPr>
              <w:ind w:left="318" w:hanging="426"/>
              <w:rPr>
                <w:rFonts w:ascii="Arial" w:hAnsi="Arial" w:cs="Arial"/>
                <w:color w:val="000000"/>
                <w:sz w:val="16"/>
                <w:szCs w:val="16"/>
              </w:rPr>
            </w:pPr>
            <w:r w:rsidRPr="00D00722">
              <w:rPr>
                <w:rFonts w:ascii="Arial" w:hAnsi="Arial" w:cs="Arial"/>
                <w:color w:val="000000"/>
                <w:sz w:val="16"/>
                <w:szCs w:val="16"/>
              </w:rPr>
              <w:t>Net dönem karı /(zararı)</w:t>
            </w:r>
          </w:p>
        </w:tc>
        <w:tc>
          <w:tcPr>
            <w:tcW w:w="1134" w:type="dxa"/>
            <w:tcBorders>
              <w:top w:val="nil"/>
              <w:left w:val="nil"/>
              <w:bottom w:val="nil"/>
              <w:right w:val="nil"/>
            </w:tcBorders>
            <w:shd w:val="clear" w:color="auto" w:fill="auto"/>
            <w:hideMark/>
          </w:tcPr>
          <w:p w:rsidR="00615271" w:rsidRPr="00D00722" w:rsidRDefault="00615271" w:rsidP="00615271">
            <w:pPr>
              <w:jc w:val="right"/>
              <w:rPr>
                <w:rFonts w:ascii="Arial" w:hAnsi="Arial" w:cs="Arial"/>
                <w:color w:val="000000"/>
                <w:sz w:val="16"/>
                <w:szCs w:val="16"/>
              </w:rPr>
            </w:pPr>
          </w:p>
        </w:tc>
        <w:tc>
          <w:tcPr>
            <w:tcW w:w="1418" w:type="dxa"/>
            <w:tcBorders>
              <w:top w:val="nil"/>
              <w:left w:val="nil"/>
              <w:bottom w:val="nil"/>
              <w:right w:val="nil"/>
            </w:tcBorders>
            <w:shd w:val="clear" w:color="auto" w:fill="auto"/>
          </w:tcPr>
          <w:p w:rsidR="00615271" w:rsidRPr="00D00722" w:rsidRDefault="000842B4" w:rsidP="00C653B1">
            <w:pPr>
              <w:jc w:val="right"/>
              <w:rPr>
                <w:rFonts w:ascii="Arial" w:hAnsi="Arial" w:cs="Arial"/>
                <w:b/>
                <w:bCs/>
                <w:color w:val="000000"/>
                <w:sz w:val="16"/>
                <w:szCs w:val="16"/>
              </w:rPr>
            </w:pPr>
            <w:r w:rsidRPr="00D00722">
              <w:rPr>
                <w:rFonts w:ascii="Arial" w:hAnsi="Arial" w:cs="Arial"/>
                <w:b/>
                <w:bCs/>
                <w:color w:val="000000"/>
                <w:sz w:val="16"/>
                <w:szCs w:val="16"/>
              </w:rPr>
              <w:t>(232.0</w:t>
            </w:r>
            <w:r w:rsidR="00C653B1" w:rsidRPr="00D00722">
              <w:rPr>
                <w:rFonts w:ascii="Arial" w:hAnsi="Arial" w:cs="Arial"/>
                <w:b/>
                <w:bCs/>
                <w:color w:val="000000"/>
                <w:sz w:val="16"/>
                <w:szCs w:val="16"/>
              </w:rPr>
              <w:t>26</w:t>
            </w:r>
            <w:r w:rsidRPr="00D00722">
              <w:rPr>
                <w:rFonts w:ascii="Arial" w:hAnsi="Arial" w:cs="Arial"/>
                <w:b/>
                <w:bCs/>
                <w:color w:val="000000"/>
                <w:sz w:val="16"/>
                <w:szCs w:val="16"/>
              </w:rPr>
              <w:t>)</w:t>
            </w:r>
          </w:p>
        </w:tc>
        <w:tc>
          <w:tcPr>
            <w:tcW w:w="1417" w:type="dxa"/>
            <w:tcBorders>
              <w:top w:val="nil"/>
              <w:left w:val="nil"/>
              <w:bottom w:val="nil"/>
              <w:right w:val="nil"/>
            </w:tcBorders>
            <w:shd w:val="clear" w:color="auto" w:fill="auto"/>
            <w:hideMark/>
          </w:tcPr>
          <w:p w:rsidR="00615271" w:rsidRPr="00D00722" w:rsidRDefault="00615271" w:rsidP="00615271">
            <w:pPr>
              <w:jc w:val="right"/>
              <w:rPr>
                <w:rFonts w:ascii="Arial" w:hAnsi="Arial" w:cs="Arial"/>
                <w:bCs/>
                <w:color w:val="000000"/>
                <w:sz w:val="16"/>
                <w:szCs w:val="16"/>
              </w:rPr>
            </w:pPr>
            <w:r w:rsidRPr="00D00722">
              <w:rPr>
                <w:rFonts w:ascii="Arial" w:hAnsi="Arial" w:cs="Arial"/>
                <w:bCs/>
                <w:color w:val="000000"/>
                <w:sz w:val="16"/>
                <w:szCs w:val="16"/>
              </w:rPr>
              <w:t>(353.940)</w:t>
            </w:r>
          </w:p>
        </w:tc>
      </w:tr>
      <w:tr w:rsidR="00615271" w:rsidRPr="00D00722" w:rsidTr="009E6AD4">
        <w:trPr>
          <w:trHeight w:val="113"/>
        </w:trPr>
        <w:tc>
          <w:tcPr>
            <w:tcW w:w="5103" w:type="dxa"/>
            <w:tcBorders>
              <w:top w:val="nil"/>
              <w:left w:val="nil"/>
              <w:bottom w:val="nil"/>
              <w:right w:val="nil"/>
            </w:tcBorders>
            <w:shd w:val="clear" w:color="auto" w:fill="auto"/>
            <w:vAlign w:val="bottom"/>
            <w:hideMark/>
          </w:tcPr>
          <w:p w:rsidR="00615271" w:rsidRPr="00D00722" w:rsidRDefault="00615271" w:rsidP="00615271">
            <w:pPr>
              <w:ind w:left="318" w:hanging="426"/>
              <w:rPr>
                <w:rFonts w:ascii="Arial" w:hAnsi="Arial" w:cs="Arial"/>
                <w:color w:val="000000"/>
                <w:sz w:val="16"/>
                <w:szCs w:val="16"/>
              </w:rPr>
            </w:pPr>
          </w:p>
        </w:tc>
        <w:tc>
          <w:tcPr>
            <w:tcW w:w="1134" w:type="dxa"/>
            <w:tcBorders>
              <w:top w:val="nil"/>
              <w:left w:val="nil"/>
              <w:bottom w:val="nil"/>
              <w:right w:val="nil"/>
            </w:tcBorders>
            <w:shd w:val="clear" w:color="auto" w:fill="auto"/>
            <w:hideMark/>
          </w:tcPr>
          <w:p w:rsidR="00615271" w:rsidRPr="00D00722" w:rsidRDefault="00615271" w:rsidP="00615271">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tcPr>
          <w:p w:rsidR="00615271" w:rsidRPr="00D00722" w:rsidRDefault="00615271" w:rsidP="00615271">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615271" w:rsidRPr="00D00722" w:rsidRDefault="00615271" w:rsidP="00615271">
            <w:pPr>
              <w:jc w:val="right"/>
              <w:rPr>
                <w:rFonts w:ascii="Arial" w:hAnsi="Arial" w:cs="Arial"/>
                <w:bCs/>
                <w:color w:val="000000"/>
                <w:sz w:val="16"/>
                <w:szCs w:val="16"/>
              </w:rPr>
            </w:pPr>
          </w:p>
        </w:tc>
      </w:tr>
      <w:tr w:rsidR="00615271" w:rsidRPr="00D00722" w:rsidTr="009E6AD4">
        <w:trPr>
          <w:trHeight w:val="113"/>
        </w:trPr>
        <w:tc>
          <w:tcPr>
            <w:tcW w:w="5103" w:type="dxa"/>
            <w:tcBorders>
              <w:top w:val="single" w:sz="4" w:space="0" w:color="auto"/>
              <w:left w:val="nil"/>
              <w:bottom w:val="double" w:sz="6" w:space="0" w:color="auto"/>
              <w:right w:val="nil"/>
            </w:tcBorders>
            <w:shd w:val="clear" w:color="auto" w:fill="auto"/>
            <w:vAlign w:val="bottom"/>
            <w:hideMark/>
          </w:tcPr>
          <w:p w:rsidR="00615271" w:rsidRPr="00D00722" w:rsidRDefault="00615271" w:rsidP="00615271">
            <w:pPr>
              <w:ind w:left="318" w:hanging="426"/>
              <w:rPr>
                <w:rFonts w:ascii="Arial" w:hAnsi="Arial" w:cs="Arial"/>
                <w:b/>
                <w:bCs/>
                <w:color w:val="000000"/>
                <w:sz w:val="16"/>
                <w:szCs w:val="16"/>
              </w:rPr>
            </w:pPr>
            <w:r w:rsidRPr="00D00722">
              <w:rPr>
                <w:rFonts w:ascii="Arial" w:hAnsi="Arial" w:cs="Arial"/>
                <w:b/>
                <w:bCs/>
                <w:color w:val="000000"/>
                <w:sz w:val="16"/>
                <w:szCs w:val="16"/>
              </w:rPr>
              <w:t>Toplam kaynaklar</w:t>
            </w:r>
          </w:p>
        </w:tc>
        <w:tc>
          <w:tcPr>
            <w:tcW w:w="1134" w:type="dxa"/>
            <w:tcBorders>
              <w:top w:val="single" w:sz="4" w:space="0" w:color="auto"/>
              <w:left w:val="nil"/>
              <w:bottom w:val="double" w:sz="6" w:space="0" w:color="auto"/>
              <w:right w:val="nil"/>
            </w:tcBorders>
            <w:shd w:val="clear" w:color="auto" w:fill="auto"/>
            <w:vAlign w:val="bottom"/>
            <w:hideMark/>
          </w:tcPr>
          <w:p w:rsidR="00615271" w:rsidRPr="00D00722" w:rsidRDefault="00615271" w:rsidP="00615271">
            <w:pPr>
              <w:jc w:val="right"/>
              <w:rPr>
                <w:rFonts w:ascii="Arial" w:hAnsi="Arial" w:cs="Arial"/>
                <w:color w:val="000000"/>
                <w:sz w:val="16"/>
                <w:szCs w:val="16"/>
              </w:rPr>
            </w:pPr>
          </w:p>
        </w:tc>
        <w:tc>
          <w:tcPr>
            <w:tcW w:w="1418" w:type="dxa"/>
            <w:tcBorders>
              <w:top w:val="single" w:sz="4" w:space="0" w:color="auto"/>
              <w:left w:val="nil"/>
              <w:bottom w:val="double" w:sz="6" w:space="0" w:color="auto"/>
              <w:right w:val="nil"/>
            </w:tcBorders>
            <w:shd w:val="clear" w:color="auto" w:fill="auto"/>
            <w:vAlign w:val="bottom"/>
          </w:tcPr>
          <w:p w:rsidR="00615271" w:rsidRPr="00D00722" w:rsidRDefault="000842B4" w:rsidP="00615271">
            <w:pPr>
              <w:jc w:val="right"/>
              <w:rPr>
                <w:rFonts w:ascii="Arial" w:hAnsi="Arial" w:cs="Arial"/>
                <w:b/>
                <w:bCs/>
                <w:color w:val="000000"/>
                <w:sz w:val="16"/>
                <w:szCs w:val="16"/>
              </w:rPr>
            </w:pPr>
            <w:r w:rsidRPr="00D00722">
              <w:rPr>
                <w:rFonts w:ascii="Arial" w:hAnsi="Arial" w:cs="Arial"/>
                <w:b/>
                <w:bCs/>
                <w:color w:val="000000"/>
                <w:sz w:val="16"/>
                <w:szCs w:val="16"/>
              </w:rPr>
              <w:t>1.564.078</w:t>
            </w:r>
          </w:p>
        </w:tc>
        <w:tc>
          <w:tcPr>
            <w:tcW w:w="1417" w:type="dxa"/>
            <w:tcBorders>
              <w:top w:val="single" w:sz="4" w:space="0" w:color="auto"/>
              <w:left w:val="nil"/>
              <w:bottom w:val="double" w:sz="6" w:space="0" w:color="auto"/>
              <w:right w:val="nil"/>
            </w:tcBorders>
            <w:shd w:val="clear" w:color="auto" w:fill="auto"/>
            <w:vAlign w:val="bottom"/>
            <w:hideMark/>
          </w:tcPr>
          <w:p w:rsidR="00615271" w:rsidRPr="00D00722" w:rsidRDefault="00615271" w:rsidP="00615271">
            <w:pPr>
              <w:jc w:val="right"/>
              <w:rPr>
                <w:rFonts w:ascii="Arial" w:hAnsi="Arial" w:cs="Arial"/>
                <w:bCs/>
                <w:color w:val="000000"/>
                <w:sz w:val="16"/>
                <w:szCs w:val="16"/>
              </w:rPr>
            </w:pPr>
            <w:r w:rsidRPr="00D00722">
              <w:rPr>
                <w:rFonts w:ascii="Arial" w:hAnsi="Arial" w:cs="Arial"/>
                <w:bCs/>
                <w:color w:val="000000"/>
                <w:sz w:val="16"/>
                <w:szCs w:val="16"/>
              </w:rPr>
              <w:t>1.449.489</w:t>
            </w:r>
          </w:p>
        </w:tc>
      </w:tr>
    </w:tbl>
    <w:p w:rsidR="00CD2CE1" w:rsidRPr="00D00722" w:rsidRDefault="00CD2CE1">
      <w:pPr>
        <w:rPr>
          <w:rFonts w:ascii="Arial" w:hAnsi="Arial" w:cs="Arial"/>
        </w:rPr>
      </w:pPr>
    </w:p>
    <w:p w:rsidR="007576E9" w:rsidRPr="00D00722" w:rsidRDefault="007576E9">
      <w:pPr>
        <w:rPr>
          <w:rFonts w:ascii="Arial" w:hAnsi="Arial" w:cs="Arial"/>
        </w:rPr>
      </w:pPr>
    </w:p>
    <w:p w:rsidR="007576E9" w:rsidRPr="00D00722" w:rsidRDefault="007576E9" w:rsidP="007576E9">
      <w:pPr>
        <w:rPr>
          <w:rFonts w:ascii="Arial" w:hAnsi="Arial" w:cs="Arial"/>
        </w:rPr>
      </w:pPr>
    </w:p>
    <w:p w:rsidR="003F3E42" w:rsidRPr="00D00722" w:rsidRDefault="003F3E42" w:rsidP="00C64D8D">
      <w:pPr>
        <w:rPr>
          <w:rFonts w:ascii="Arial" w:hAnsi="Arial" w:cs="Arial"/>
        </w:rPr>
        <w:sectPr w:rsidR="003F3E42" w:rsidRPr="00D00722" w:rsidSect="00AE0484">
          <w:headerReference w:type="default" r:id="rId8"/>
          <w:footerReference w:type="default" r:id="rId9"/>
          <w:pgSz w:w="11907" w:h="16834" w:code="9"/>
          <w:pgMar w:top="1418" w:right="1418" w:bottom="1418" w:left="1418" w:header="708" w:footer="1140" w:gutter="0"/>
          <w:cols w:space="708"/>
          <w:docGrid w:linePitch="272"/>
        </w:sectPr>
      </w:pPr>
    </w:p>
    <w:p w:rsidR="003F3E42" w:rsidRPr="00D00722" w:rsidRDefault="003F3E42">
      <w:pPr>
        <w:rPr>
          <w:rFonts w:ascii="Arial" w:hAnsi="Arial" w:cs="Arial"/>
        </w:rPr>
      </w:pPr>
    </w:p>
    <w:tbl>
      <w:tblPr>
        <w:tblW w:w="9112" w:type="dxa"/>
        <w:tblInd w:w="108" w:type="dxa"/>
        <w:tblLayout w:type="fixed"/>
        <w:tblLook w:val="0000"/>
      </w:tblPr>
      <w:tblGrid>
        <w:gridCol w:w="4820"/>
        <w:gridCol w:w="1103"/>
        <w:gridCol w:w="1572"/>
        <w:gridCol w:w="1617"/>
      </w:tblGrid>
      <w:tr w:rsidR="00C917DA" w:rsidRPr="00D00722" w:rsidTr="00C917DA">
        <w:trPr>
          <w:trHeight w:val="113"/>
        </w:trPr>
        <w:tc>
          <w:tcPr>
            <w:tcW w:w="4820" w:type="dxa"/>
            <w:tcBorders>
              <w:top w:val="single" w:sz="6" w:space="0" w:color="auto"/>
              <w:left w:val="nil"/>
              <w:bottom w:val="single" w:sz="6" w:space="0" w:color="auto"/>
              <w:right w:val="nil"/>
            </w:tcBorders>
          </w:tcPr>
          <w:p w:rsidR="00C917DA" w:rsidRPr="00D00722" w:rsidRDefault="00C917DA" w:rsidP="00A870BB">
            <w:pPr>
              <w:autoSpaceDE w:val="0"/>
              <w:autoSpaceDN w:val="0"/>
              <w:adjustRightInd w:val="0"/>
              <w:ind w:hanging="108"/>
              <w:jc w:val="right"/>
              <w:rPr>
                <w:rFonts w:ascii="Arial" w:hAnsi="Arial" w:cs="Arial"/>
                <w:color w:val="000000"/>
                <w:sz w:val="16"/>
                <w:szCs w:val="16"/>
              </w:rPr>
            </w:pPr>
          </w:p>
        </w:tc>
        <w:tc>
          <w:tcPr>
            <w:tcW w:w="1103" w:type="dxa"/>
            <w:tcBorders>
              <w:top w:val="single" w:sz="6" w:space="0" w:color="auto"/>
              <w:left w:val="nil"/>
              <w:bottom w:val="single" w:sz="6" w:space="0" w:color="auto"/>
              <w:right w:val="nil"/>
            </w:tcBorders>
            <w:vAlign w:val="bottom"/>
          </w:tcPr>
          <w:p w:rsidR="00C917DA" w:rsidRPr="00D00722" w:rsidRDefault="00C917DA" w:rsidP="00A27292">
            <w:pPr>
              <w:autoSpaceDE w:val="0"/>
              <w:autoSpaceDN w:val="0"/>
              <w:adjustRightInd w:val="0"/>
              <w:jc w:val="right"/>
              <w:rPr>
                <w:rFonts w:ascii="Arial" w:hAnsi="Arial" w:cs="Arial"/>
                <w:color w:val="000000"/>
                <w:sz w:val="16"/>
                <w:szCs w:val="16"/>
              </w:rPr>
            </w:pPr>
          </w:p>
        </w:tc>
        <w:tc>
          <w:tcPr>
            <w:tcW w:w="1572" w:type="dxa"/>
            <w:tcBorders>
              <w:top w:val="single" w:sz="6" w:space="0" w:color="auto"/>
              <w:left w:val="nil"/>
              <w:bottom w:val="single" w:sz="6" w:space="0" w:color="auto"/>
              <w:right w:val="nil"/>
            </w:tcBorders>
            <w:vAlign w:val="bottom"/>
          </w:tcPr>
          <w:p w:rsidR="00C917DA" w:rsidRPr="00D00722" w:rsidRDefault="00C917DA" w:rsidP="00A27292">
            <w:pPr>
              <w:autoSpaceDE w:val="0"/>
              <w:autoSpaceDN w:val="0"/>
              <w:adjustRightInd w:val="0"/>
              <w:jc w:val="right"/>
              <w:rPr>
                <w:rFonts w:ascii="Arial" w:hAnsi="Arial" w:cs="Arial"/>
                <w:b/>
                <w:bCs/>
                <w:color w:val="000000"/>
                <w:sz w:val="16"/>
                <w:szCs w:val="16"/>
              </w:rPr>
            </w:pPr>
            <w:r w:rsidRPr="00D00722">
              <w:rPr>
                <w:rFonts w:ascii="Arial" w:hAnsi="Arial" w:cs="Arial"/>
                <w:b/>
                <w:bCs/>
                <w:color w:val="000000"/>
                <w:sz w:val="16"/>
                <w:szCs w:val="16"/>
              </w:rPr>
              <w:t>Bağımsız</w:t>
            </w:r>
          </w:p>
          <w:p w:rsidR="00C917DA" w:rsidRPr="00D00722" w:rsidRDefault="00C917DA" w:rsidP="00A27292">
            <w:pPr>
              <w:autoSpaceDE w:val="0"/>
              <w:autoSpaceDN w:val="0"/>
              <w:adjustRightInd w:val="0"/>
              <w:jc w:val="right"/>
              <w:rPr>
                <w:rFonts w:ascii="Arial" w:hAnsi="Arial" w:cs="Arial"/>
                <w:b/>
                <w:bCs/>
                <w:color w:val="000000"/>
                <w:sz w:val="16"/>
                <w:szCs w:val="16"/>
              </w:rPr>
            </w:pPr>
            <w:r w:rsidRPr="00D00722">
              <w:rPr>
                <w:rFonts w:ascii="Arial" w:hAnsi="Arial" w:cs="Arial"/>
                <w:b/>
                <w:bCs/>
                <w:color w:val="000000"/>
                <w:sz w:val="16"/>
                <w:szCs w:val="16"/>
              </w:rPr>
              <w:t>denetimden</w:t>
            </w:r>
          </w:p>
          <w:p w:rsidR="00C917DA" w:rsidRPr="00D00722" w:rsidRDefault="00C917DA" w:rsidP="00615271">
            <w:pPr>
              <w:autoSpaceDE w:val="0"/>
              <w:autoSpaceDN w:val="0"/>
              <w:adjustRightInd w:val="0"/>
              <w:jc w:val="right"/>
              <w:rPr>
                <w:rFonts w:ascii="Arial" w:hAnsi="Arial" w:cs="Arial"/>
                <w:b/>
                <w:bCs/>
                <w:color w:val="000000"/>
                <w:sz w:val="16"/>
                <w:szCs w:val="16"/>
              </w:rPr>
            </w:pPr>
            <w:r w:rsidRPr="00D00722">
              <w:rPr>
                <w:rFonts w:ascii="Arial" w:hAnsi="Arial" w:cs="Arial"/>
                <w:b/>
                <w:bCs/>
                <w:color w:val="000000"/>
                <w:sz w:val="16"/>
                <w:szCs w:val="16"/>
              </w:rPr>
              <w:t>geçm</w:t>
            </w:r>
            <w:r w:rsidR="00615271" w:rsidRPr="00D00722">
              <w:rPr>
                <w:rFonts w:ascii="Arial" w:hAnsi="Arial" w:cs="Arial"/>
                <w:b/>
                <w:bCs/>
                <w:color w:val="000000"/>
                <w:sz w:val="16"/>
                <w:szCs w:val="16"/>
              </w:rPr>
              <w:t>emiş</w:t>
            </w:r>
          </w:p>
        </w:tc>
        <w:tc>
          <w:tcPr>
            <w:tcW w:w="1617" w:type="dxa"/>
            <w:tcBorders>
              <w:top w:val="single" w:sz="6" w:space="0" w:color="auto"/>
              <w:left w:val="nil"/>
              <w:bottom w:val="single" w:sz="6" w:space="0" w:color="auto"/>
              <w:right w:val="nil"/>
            </w:tcBorders>
            <w:vAlign w:val="bottom"/>
          </w:tcPr>
          <w:p w:rsidR="00C917DA" w:rsidRPr="00D00722" w:rsidRDefault="00C917DA" w:rsidP="00A27292">
            <w:pPr>
              <w:autoSpaceDE w:val="0"/>
              <w:autoSpaceDN w:val="0"/>
              <w:adjustRightInd w:val="0"/>
              <w:jc w:val="right"/>
              <w:rPr>
                <w:rFonts w:ascii="Arial" w:hAnsi="Arial" w:cs="Arial"/>
                <w:color w:val="000000"/>
                <w:sz w:val="16"/>
                <w:szCs w:val="16"/>
              </w:rPr>
            </w:pPr>
            <w:r w:rsidRPr="00D00722">
              <w:rPr>
                <w:rFonts w:ascii="Arial" w:hAnsi="Arial" w:cs="Arial"/>
                <w:color w:val="000000"/>
                <w:sz w:val="16"/>
                <w:szCs w:val="16"/>
              </w:rPr>
              <w:t>Bağımsız</w:t>
            </w:r>
          </w:p>
          <w:p w:rsidR="00C917DA" w:rsidRPr="00D00722" w:rsidRDefault="00C917DA" w:rsidP="00A27292">
            <w:pPr>
              <w:autoSpaceDE w:val="0"/>
              <w:autoSpaceDN w:val="0"/>
              <w:adjustRightInd w:val="0"/>
              <w:jc w:val="right"/>
              <w:rPr>
                <w:rFonts w:ascii="Arial" w:hAnsi="Arial" w:cs="Arial"/>
                <w:color w:val="000000"/>
                <w:sz w:val="16"/>
                <w:szCs w:val="16"/>
              </w:rPr>
            </w:pPr>
            <w:r w:rsidRPr="00D00722">
              <w:rPr>
                <w:rFonts w:ascii="Arial" w:hAnsi="Arial" w:cs="Arial"/>
                <w:color w:val="000000"/>
                <w:sz w:val="16"/>
                <w:szCs w:val="16"/>
              </w:rPr>
              <w:t>denetimden</w:t>
            </w:r>
          </w:p>
          <w:p w:rsidR="00C917DA" w:rsidRPr="00D00722" w:rsidRDefault="00C917DA" w:rsidP="00615271">
            <w:pPr>
              <w:autoSpaceDE w:val="0"/>
              <w:autoSpaceDN w:val="0"/>
              <w:adjustRightInd w:val="0"/>
              <w:jc w:val="right"/>
              <w:rPr>
                <w:rFonts w:ascii="Arial" w:hAnsi="Arial" w:cs="Arial"/>
                <w:color w:val="000000"/>
                <w:sz w:val="16"/>
                <w:szCs w:val="16"/>
              </w:rPr>
            </w:pPr>
            <w:r w:rsidRPr="00D00722">
              <w:rPr>
                <w:rFonts w:ascii="Arial" w:hAnsi="Arial" w:cs="Arial"/>
                <w:color w:val="000000"/>
                <w:sz w:val="16"/>
                <w:szCs w:val="16"/>
              </w:rPr>
              <w:t>geçm</w:t>
            </w:r>
            <w:r w:rsidR="00615271" w:rsidRPr="00D00722">
              <w:rPr>
                <w:rFonts w:ascii="Arial" w:hAnsi="Arial" w:cs="Arial"/>
                <w:color w:val="000000"/>
                <w:sz w:val="16"/>
                <w:szCs w:val="16"/>
              </w:rPr>
              <w:t>emi</w:t>
            </w:r>
            <w:r w:rsidRPr="00D00722">
              <w:rPr>
                <w:rFonts w:ascii="Arial" w:hAnsi="Arial" w:cs="Arial"/>
                <w:color w:val="000000"/>
                <w:sz w:val="16"/>
                <w:szCs w:val="16"/>
              </w:rPr>
              <w:t>ş</w:t>
            </w:r>
          </w:p>
        </w:tc>
      </w:tr>
      <w:tr w:rsidR="00C917DA" w:rsidRPr="00D00722" w:rsidTr="00C917DA">
        <w:trPr>
          <w:trHeight w:val="113"/>
        </w:trPr>
        <w:tc>
          <w:tcPr>
            <w:tcW w:w="4820" w:type="dxa"/>
            <w:tcBorders>
              <w:top w:val="single" w:sz="6" w:space="0" w:color="auto"/>
              <w:left w:val="nil"/>
              <w:bottom w:val="single" w:sz="6" w:space="0" w:color="auto"/>
              <w:right w:val="nil"/>
            </w:tcBorders>
          </w:tcPr>
          <w:p w:rsidR="00C917DA" w:rsidRPr="00D00722" w:rsidRDefault="00C917DA" w:rsidP="00A870BB">
            <w:pPr>
              <w:autoSpaceDE w:val="0"/>
              <w:autoSpaceDN w:val="0"/>
              <w:adjustRightInd w:val="0"/>
              <w:ind w:hanging="108"/>
              <w:jc w:val="right"/>
              <w:rPr>
                <w:rFonts w:ascii="Arial" w:hAnsi="Arial" w:cs="Arial"/>
                <w:b/>
                <w:bCs/>
                <w:color w:val="000000"/>
                <w:sz w:val="16"/>
                <w:szCs w:val="16"/>
              </w:rPr>
            </w:pPr>
          </w:p>
        </w:tc>
        <w:tc>
          <w:tcPr>
            <w:tcW w:w="1103" w:type="dxa"/>
            <w:tcBorders>
              <w:top w:val="single" w:sz="6" w:space="0" w:color="auto"/>
              <w:left w:val="nil"/>
              <w:bottom w:val="single" w:sz="6" w:space="0" w:color="auto"/>
              <w:right w:val="nil"/>
            </w:tcBorders>
            <w:vAlign w:val="bottom"/>
          </w:tcPr>
          <w:p w:rsidR="00C917DA" w:rsidRPr="00D00722" w:rsidRDefault="00C917DA" w:rsidP="00A27292">
            <w:pPr>
              <w:autoSpaceDE w:val="0"/>
              <w:autoSpaceDN w:val="0"/>
              <w:adjustRightInd w:val="0"/>
              <w:jc w:val="right"/>
              <w:rPr>
                <w:rFonts w:ascii="Arial" w:hAnsi="Arial" w:cs="Arial"/>
                <w:b/>
                <w:bCs/>
                <w:color w:val="000000"/>
                <w:sz w:val="16"/>
                <w:szCs w:val="16"/>
              </w:rPr>
            </w:pPr>
            <w:r w:rsidRPr="00D00722">
              <w:rPr>
                <w:rFonts w:ascii="Arial" w:hAnsi="Arial" w:cs="Arial"/>
                <w:b/>
                <w:bCs/>
                <w:color w:val="000000"/>
                <w:sz w:val="16"/>
                <w:szCs w:val="16"/>
              </w:rPr>
              <w:t>Dipnot referansları</w:t>
            </w:r>
          </w:p>
        </w:tc>
        <w:tc>
          <w:tcPr>
            <w:tcW w:w="1572" w:type="dxa"/>
            <w:tcBorders>
              <w:top w:val="single" w:sz="6" w:space="0" w:color="auto"/>
              <w:left w:val="nil"/>
              <w:bottom w:val="single" w:sz="6" w:space="0" w:color="auto"/>
              <w:right w:val="nil"/>
            </w:tcBorders>
            <w:vAlign w:val="bottom"/>
          </w:tcPr>
          <w:p w:rsidR="00C917DA" w:rsidRPr="00D00722" w:rsidRDefault="00C917DA" w:rsidP="00A27292">
            <w:pPr>
              <w:autoSpaceDE w:val="0"/>
              <w:autoSpaceDN w:val="0"/>
              <w:adjustRightInd w:val="0"/>
              <w:jc w:val="right"/>
              <w:rPr>
                <w:rFonts w:ascii="Arial" w:hAnsi="Arial" w:cs="Arial"/>
                <w:b/>
                <w:bCs/>
                <w:color w:val="000000"/>
                <w:sz w:val="16"/>
                <w:szCs w:val="16"/>
              </w:rPr>
            </w:pPr>
            <w:r w:rsidRPr="00D00722">
              <w:rPr>
                <w:rFonts w:ascii="Arial" w:hAnsi="Arial" w:cs="Arial"/>
                <w:b/>
                <w:bCs/>
                <w:color w:val="000000"/>
                <w:sz w:val="16"/>
                <w:szCs w:val="16"/>
              </w:rPr>
              <w:t xml:space="preserve">1 Ocak </w:t>
            </w:r>
            <w:r w:rsidR="004F01F8" w:rsidRPr="00D00722">
              <w:rPr>
                <w:rFonts w:ascii="Arial" w:hAnsi="Arial" w:cs="Arial"/>
                <w:b/>
                <w:bCs/>
                <w:color w:val="000000"/>
                <w:sz w:val="16"/>
                <w:szCs w:val="16"/>
              </w:rPr>
              <w:t>201</w:t>
            </w:r>
            <w:r w:rsidR="00AF1716" w:rsidRPr="00D00722">
              <w:rPr>
                <w:rFonts w:ascii="Arial" w:hAnsi="Arial" w:cs="Arial"/>
                <w:b/>
                <w:bCs/>
                <w:color w:val="000000"/>
                <w:sz w:val="16"/>
                <w:szCs w:val="16"/>
              </w:rPr>
              <w:t>4</w:t>
            </w:r>
            <w:r w:rsidRPr="00D00722">
              <w:rPr>
                <w:rFonts w:ascii="Arial" w:hAnsi="Arial" w:cs="Arial"/>
                <w:b/>
                <w:bCs/>
                <w:color w:val="000000"/>
                <w:sz w:val="16"/>
                <w:szCs w:val="16"/>
              </w:rPr>
              <w:t xml:space="preserve"> –</w:t>
            </w:r>
          </w:p>
          <w:p w:rsidR="00C917DA" w:rsidRPr="00D00722" w:rsidRDefault="00C917DA" w:rsidP="00615271">
            <w:pPr>
              <w:autoSpaceDE w:val="0"/>
              <w:autoSpaceDN w:val="0"/>
              <w:adjustRightInd w:val="0"/>
              <w:jc w:val="right"/>
              <w:rPr>
                <w:rFonts w:ascii="Arial" w:hAnsi="Arial" w:cs="Arial"/>
                <w:b/>
                <w:bCs/>
                <w:color w:val="000000"/>
                <w:sz w:val="16"/>
                <w:szCs w:val="16"/>
              </w:rPr>
            </w:pPr>
            <w:r w:rsidRPr="00D00722">
              <w:rPr>
                <w:rFonts w:ascii="Arial" w:hAnsi="Arial" w:cs="Arial"/>
                <w:b/>
                <w:bCs/>
                <w:color w:val="000000"/>
                <w:sz w:val="16"/>
                <w:szCs w:val="16"/>
              </w:rPr>
              <w:t xml:space="preserve">31 </w:t>
            </w:r>
            <w:r w:rsidR="00615271" w:rsidRPr="00D00722">
              <w:rPr>
                <w:rFonts w:ascii="Arial" w:hAnsi="Arial" w:cs="Arial"/>
                <w:b/>
                <w:bCs/>
                <w:color w:val="000000"/>
                <w:sz w:val="16"/>
                <w:szCs w:val="16"/>
              </w:rPr>
              <w:t>Mart</w:t>
            </w:r>
            <w:r w:rsidRPr="00D00722">
              <w:rPr>
                <w:rFonts w:ascii="Arial" w:hAnsi="Arial" w:cs="Arial"/>
                <w:b/>
                <w:bCs/>
                <w:color w:val="000000"/>
                <w:sz w:val="16"/>
                <w:szCs w:val="16"/>
              </w:rPr>
              <w:t xml:space="preserve"> </w:t>
            </w:r>
            <w:r w:rsidR="00350F68" w:rsidRPr="00D00722">
              <w:rPr>
                <w:rFonts w:ascii="Arial" w:hAnsi="Arial" w:cs="Arial"/>
                <w:b/>
                <w:bCs/>
                <w:color w:val="000000"/>
                <w:sz w:val="16"/>
                <w:szCs w:val="16"/>
              </w:rPr>
              <w:t>201</w:t>
            </w:r>
            <w:r w:rsidR="00615271" w:rsidRPr="00D00722">
              <w:rPr>
                <w:rFonts w:ascii="Arial" w:hAnsi="Arial" w:cs="Arial"/>
                <w:b/>
                <w:bCs/>
                <w:color w:val="000000"/>
                <w:sz w:val="16"/>
                <w:szCs w:val="16"/>
              </w:rPr>
              <w:t>4</w:t>
            </w:r>
          </w:p>
        </w:tc>
        <w:tc>
          <w:tcPr>
            <w:tcW w:w="1617" w:type="dxa"/>
            <w:tcBorders>
              <w:top w:val="single" w:sz="6" w:space="0" w:color="auto"/>
              <w:left w:val="nil"/>
              <w:bottom w:val="single" w:sz="6" w:space="0" w:color="auto"/>
              <w:right w:val="nil"/>
            </w:tcBorders>
            <w:vAlign w:val="bottom"/>
          </w:tcPr>
          <w:p w:rsidR="00C917DA" w:rsidRPr="00D00722" w:rsidRDefault="00C917DA" w:rsidP="00A27292">
            <w:pPr>
              <w:autoSpaceDE w:val="0"/>
              <w:autoSpaceDN w:val="0"/>
              <w:adjustRightInd w:val="0"/>
              <w:jc w:val="right"/>
              <w:rPr>
                <w:rFonts w:ascii="Arial" w:hAnsi="Arial" w:cs="Arial"/>
                <w:color w:val="000000"/>
                <w:sz w:val="16"/>
                <w:szCs w:val="16"/>
              </w:rPr>
            </w:pPr>
            <w:r w:rsidRPr="00D00722">
              <w:rPr>
                <w:rFonts w:ascii="Arial" w:hAnsi="Arial" w:cs="Arial"/>
                <w:color w:val="000000"/>
                <w:sz w:val="16"/>
                <w:szCs w:val="16"/>
              </w:rPr>
              <w:t xml:space="preserve">1 Ocak </w:t>
            </w:r>
            <w:r w:rsidR="004F01F8" w:rsidRPr="00D00722">
              <w:rPr>
                <w:rFonts w:ascii="Arial" w:hAnsi="Arial" w:cs="Arial"/>
                <w:color w:val="000000"/>
                <w:sz w:val="16"/>
                <w:szCs w:val="16"/>
              </w:rPr>
              <w:t>201</w:t>
            </w:r>
            <w:r w:rsidR="00615271" w:rsidRPr="00D00722">
              <w:rPr>
                <w:rFonts w:ascii="Arial" w:hAnsi="Arial" w:cs="Arial"/>
                <w:color w:val="000000"/>
                <w:sz w:val="16"/>
                <w:szCs w:val="16"/>
              </w:rPr>
              <w:t>3</w:t>
            </w:r>
            <w:r w:rsidRPr="00D00722">
              <w:rPr>
                <w:rFonts w:ascii="Arial" w:hAnsi="Arial" w:cs="Arial"/>
                <w:color w:val="000000"/>
                <w:sz w:val="16"/>
                <w:szCs w:val="16"/>
              </w:rPr>
              <w:t xml:space="preserve"> -</w:t>
            </w:r>
          </w:p>
          <w:p w:rsidR="00C917DA" w:rsidRPr="00D00722" w:rsidRDefault="00C917DA" w:rsidP="00615271">
            <w:pPr>
              <w:autoSpaceDE w:val="0"/>
              <w:autoSpaceDN w:val="0"/>
              <w:adjustRightInd w:val="0"/>
              <w:jc w:val="right"/>
              <w:rPr>
                <w:rFonts w:ascii="Arial" w:hAnsi="Arial" w:cs="Arial"/>
                <w:color w:val="000000"/>
                <w:sz w:val="16"/>
                <w:szCs w:val="16"/>
              </w:rPr>
            </w:pPr>
            <w:r w:rsidRPr="00D00722">
              <w:rPr>
                <w:rFonts w:ascii="Arial" w:hAnsi="Arial" w:cs="Arial"/>
                <w:color w:val="000000"/>
                <w:sz w:val="16"/>
                <w:szCs w:val="16"/>
              </w:rPr>
              <w:t xml:space="preserve">31 </w:t>
            </w:r>
            <w:r w:rsidR="00615271" w:rsidRPr="00D00722">
              <w:rPr>
                <w:rFonts w:ascii="Arial" w:hAnsi="Arial" w:cs="Arial"/>
                <w:color w:val="000000"/>
                <w:sz w:val="16"/>
                <w:szCs w:val="16"/>
              </w:rPr>
              <w:t>Mart</w:t>
            </w:r>
            <w:r w:rsidRPr="00D00722">
              <w:rPr>
                <w:rFonts w:ascii="Arial" w:hAnsi="Arial" w:cs="Arial"/>
                <w:color w:val="000000"/>
                <w:sz w:val="16"/>
                <w:szCs w:val="16"/>
              </w:rPr>
              <w:t xml:space="preserve"> </w:t>
            </w:r>
            <w:r w:rsidR="00350F68" w:rsidRPr="00D00722">
              <w:rPr>
                <w:rFonts w:ascii="Arial" w:hAnsi="Arial" w:cs="Arial"/>
                <w:color w:val="000000"/>
                <w:sz w:val="16"/>
                <w:szCs w:val="16"/>
              </w:rPr>
              <w:t>201</w:t>
            </w:r>
            <w:r w:rsidR="00615271" w:rsidRPr="00D00722">
              <w:rPr>
                <w:rFonts w:ascii="Arial" w:hAnsi="Arial" w:cs="Arial"/>
                <w:color w:val="000000"/>
                <w:sz w:val="16"/>
                <w:szCs w:val="16"/>
              </w:rPr>
              <w:t>3</w:t>
            </w:r>
          </w:p>
        </w:tc>
      </w:tr>
      <w:tr w:rsidR="00C917DA" w:rsidRPr="00D00722" w:rsidTr="00C917DA">
        <w:trPr>
          <w:trHeight w:val="113"/>
        </w:trPr>
        <w:tc>
          <w:tcPr>
            <w:tcW w:w="4820" w:type="dxa"/>
            <w:tcBorders>
              <w:top w:val="nil"/>
              <w:left w:val="nil"/>
              <w:bottom w:val="nil"/>
              <w:right w:val="nil"/>
            </w:tcBorders>
          </w:tcPr>
          <w:p w:rsidR="00C917DA" w:rsidRPr="00D00722" w:rsidRDefault="00C917DA" w:rsidP="00A870BB">
            <w:pPr>
              <w:autoSpaceDE w:val="0"/>
              <w:autoSpaceDN w:val="0"/>
              <w:adjustRightInd w:val="0"/>
              <w:ind w:hanging="108"/>
              <w:jc w:val="right"/>
              <w:rPr>
                <w:rFonts w:ascii="Arial" w:hAnsi="Arial" w:cs="Arial"/>
                <w:color w:val="000000"/>
                <w:sz w:val="16"/>
                <w:szCs w:val="16"/>
              </w:rPr>
            </w:pPr>
          </w:p>
        </w:tc>
        <w:tc>
          <w:tcPr>
            <w:tcW w:w="1103" w:type="dxa"/>
            <w:tcBorders>
              <w:top w:val="nil"/>
              <w:left w:val="nil"/>
              <w:bottom w:val="nil"/>
              <w:right w:val="nil"/>
            </w:tcBorders>
            <w:vAlign w:val="bottom"/>
          </w:tcPr>
          <w:p w:rsidR="00C917DA" w:rsidRPr="00D00722" w:rsidRDefault="00C917DA" w:rsidP="00A27292">
            <w:pPr>
              <w:autoSpaceDE w:val="0"/>
              <w:autoSpaceDN w:val="0"/>
              <w:adjustRightInd w:val="0"/>
              <w:jc w:val="right"/>
              <w:rPr>
                <w:rFonts w:ascii="Arial" w:hAnsi="Arial" w:cs="Arial"/>
                <w:color w:val="000000"/>
                <w:sz w:val="16"/>
                <w:szCs w:val="16"/>
              </w:rPr>
            </w:pPr>
          </w:p>
        </w:tc>
        <w:tc>
          <w:tcPr>
            <w:tcW w:w="1572" w:type="dxa"/>
            <w:tcBorders>
              <w:top w:val="nil"/>
              <w:left w:val="nil"/>
              <w:bottom w:val="nil"/>
              <w:right w:val="nil"/>
            </w:tcBorders>
            <w:vAlign w:val="bottom"/>
          </w:tcPr>
          <w:p w:rsidR="00C917DA" w:rsidRPr="00D00722" w:rsidRDefault="00C917DA" w:rsidP="00A27292">
            <w:pPr>
              <w:autoSpaceDE w:val="0"/>
              <w:autoSpaceDN w:val="0"/>
              <w:adjustRightInd w:val="0"/>
              <w:jc w:val="right"/>
              <w:rPr>
                <w:rFonts w:ascii="Arial" w:hAnsi="Arial" w:cs="Arial"/>
                <w:b/>
                <w:color w:val="000000"/>
                <w:sz w:val="16"/>
                <w:szCs w:val="16"/>
              </w:rPr>
            </w:pPr>
          </w:p>
        </w:tc>
        <w:tc>
          <w:tcPr>
            <w:tcW w:w="1617" w:type="dxa"/>
            <w:tcBorders>
              <w:top w:val="nil"/>
              <w:left w:val="nil"/>
              <w:bottom w:val="nil"/>
              <w:right w:val="nil"/>
            </w:tcBorders>
            <w:vAlign w:val="bottom"/>
          </w:tcPr>
          <w:p w:rsidR="00C917DA" w:rsidRPr="00D00722" w:rsidRDefault="00C917DA" w:rsidP="00A27292">
            <w:pPr>
              <w:autoSpaceDE w:val="0"/>
              <w:autoSpaceDN w:val="0"/>
              <w:adjustRightInd w:val="0"/>
              <w:jc w:val="right"/>
              <w:rPr>
                <w:rFonts w:ascii="Arial" w:hAnsi="Arial" w:cs="Arial"/>
                <w:color w:val="000000"/>
                <w:sz w:val="16"/>
                <w:szCs w:val="16"/>
              </w:rPr>
            </w:pPr>
          </w:p>
        </w:tc>
      </w:tr>
      <w:tr w:rsidR="00C917DA" w:rsidRPr="00D00722" w:rsidTr="00C917DA">
        <w:trPr>
          <w:trHeight w:val="113"/>
        </w:trPr>
        <w:tc>
          <w:tcPr>
            <w:tcW w:w="4820" w:type="dxa"/>
            <w:tcBorders>
              <w:top w:val="nil"/>
              <w:left w:val="nil"/>
              <w:bottom w:val="nil"/>
              <w:right w:val="nil"/>
            </w:tcBorders>
            <w:vAlign w:val="bottom"/>
          </w:tcPr>
          <w:p w:rsidR="00C917DA" w:rsidRPr="00D00722" w:rsidRDefault="00826BEC" w:rsidP="00A870BB">
            <w:pPr>
              <w:autoSpaceDE w:val="0"/>
              <w:autoSpaceDN w:val="0"/>
              <w:adjustRightInd w:val="0"/>
              <w:ind w:hanging="108"/>
              <w:rPr>
                <w:rFonts w:ascii="Arial" w:hAnsi="Arial" w:cs="Arial"/>
                <w:b/>
                <w:bCs/>
                <w:color w:val="000000"/>
                <w:sz w:val="16"/>
                <w:szCs w:val="16"/>
                <w:u w:val="single"/>
              </w:rPr>
            </w:pPr>
            <w:r w:rsidRPr="00D00722">
              <w:rPr>
                <w:rFonts w:ascii="Arial" w:hAnsi="Arial" w:cs="Arial"/>
                <w:b/>
                <w:bCs/>
                <w:color w:val="000000"/>
                <w:sz w:val="16"/>
                <w:szCs w:val="16"/>
                <w:u w:val="single"/>
              </w:rPr>
              <w:t>Kar veya zarar kısmı</w:t>
            </w:r>
          </w:p>
        </w:tc>
        <w:tc>
          <w:tcPr>
            <w:tcW w:w="1103" w:type="dxa"/>
            <w:tcBorders>
              <w:top w:val="nil"/>
              <w:left w:val="nil"/>
              <w:bottom w:val="nil"/>
              <w:right w:val="nil"/>
            </w:tcBorders>
            <w:vAlign w:val="bottom"/>
          </w:tcPr>
          <w:p w:rsidR="00C917DA" w:rsidRPr="00D00722" w:rsidRDefault="00C917DA" w:rsidP="00A27292">
            <w:pPr>
              <w:autoSpaceDE w:val="0"/>
              <w:autoSpaceDN w:val="0"/>
              <w:adjustRightInd w:val="0"/>
              <w:jc w:val="right"/>
              <w:rPr>
                <w:rFonts w:ascii="Arial" w:hAnsi="Arial" w:cs="Arial"/>
                <w:color w:val="000000"/>
                <w:sz w:val="16"/>
                <w:szCs w:val="16"/>
              </w:rPr>
            </w:pPr>
          </w:p>
        </w:tc>
        <w:tc>
          <w:tcPr>
            <w:tcW w:w="1572" w:type="dxa"/>
            <w:tcBorders>
              <w:top w:val="nil"/>
              <w:left w:val="nil"/>
              <w:bottom w:val="nil"/>
              <w:right w:val="nil"/>
            </w:tcBorders>
            <w:vAlign w:val="bottom"/>
          </w:tcPr>
          <w:p w:rsidR="00C917DA" w:rsidRPr="00D00722" w:rsidRDefault="00C917DA" w:rsidP="00A27292">
            <w:pPr>
              <w:autoSpaceDE w:val="0"/>
              <w:autoSpaceDN w:val="0"/>
              <w:adjustRightInd w:val="0"/>
              <w:jc w:val="right"/>
              <w:rPr>
                <w:rFonts w:ascii="Arial" w:hAnsi="Arial" w:cs="Arial"/>
                <w:b/>
                <w:color w:val="000000"/>
                <w:sz w:val="16"/>
                <w:szCs w:val="16"/>
              </w:rPr>
            </w:pPr>
          </w:p>
        </w:tc>
        <w:tc>
          <w:tcPr>
            <w:tcW w:w="1617" w:type="dxa"/>
            <w:tcBorders>
              <w:top w:val="nil"/>
              <w:left w:val="nil"/>
              <w:bottom w:val="nil"/>
              <w:right w:val="nil"/>
            </w:tcBorders>
            <w:vAlign w:val="bottom"/>
          </w:tcPr>
          <w:p w:rsidR="00C917DA" w:rsidRPr="00D00722" w:rsidRDefault="00C917DA" w:rsidP="00A27292">
            <w:pPr>
              <w:autoSpaceDE w:val="0"/>
              <w:autoSpaceDN w:val="0"/>
              <w:adjustRightInd w:val="0"/>
              <w:jc w:val="right"/>
              <w:rPr>
                <w:rFonts w:ascii="Arial" w:hAnsi="Arial" w:cs="Arial"/>
                <w:color w:val="000000"/>
                <w:sz w:val="16"/>
                <w:szCs w:val="16"/>
              </w:rPr>
            </w:pPr>
          </w:p>
        </w:tc>
      </w:tr>
      <w:tr w:rsidR="00C917DA" w:rsidRPr="00D00722" w:rsidTr="00C917DA">
        <w:trPr>
          <w:trHeight w:val="113"/>
        </w:trPr>
        <w:tc>
          <w:tcPr>
            <w:tcW w:w="4820" w:type="dxa"/>
            <w:tcBorders>
              <w:top w:val="nil"/>
              <w:left w:val="nil"/>
              <w:bottom w:val="nil"/>
              <w:right w:val="nil"/>
            </w:tcBorders>
            <w:vAlign w:val="bottom"/>
          </w:tcPr>
          <w:p w:rsidR="00C917DA" w:rsidRPr="00D00722" w:rsidRDefault="00C917DA" w:rsidP="00A870BB">
            <w:pPr>
              <w:autoSpaceDE w:val="0"/>
              <w:autoSpaceDN w:val="0"/>
              <w:adjustRightInd w:val="0"/>
              <w:ind w:hanging="108"/>
              <w:rPr>
                <w:rFonts w:ascii="Arial" w:hAnsi="Arial" w:cs="Arial"/>
                <w:color w:val="000000"/>
                <w:sz w:val="16"/>
                <w:szCs w:val="16"/>
              </w:rPr>
            </w:pPr>
          </w:p>
        </w:tc>
        <w:tc>
          <w:tcPr>
            <w:tcW w:w="1103" w:type="dxa"/>
            <w:tcBorders>
              <w:top w:val="nil"/>
              <w:left w:val="nil"/>
              <w:bottom w:val="nil"/>
              <w:right w:val="nil"/>
            </w:tcBorders>
            <w:vAlign w:val="bottom"/>
          </w:tcPr>
          <w:p w:rsidR="00C917DA" w:rsidRPr="00D00722" w:rsidRDefault="00C917DA" w:rsidP="00A27292">
            <w:pPr>
              <w:autoSpaceDE w:val="0"/>
              <w:autoSpaceDN w:val="0"/>
              <w:adjustRightInd w:val="0"/>
              <w:jc w:val="right"/>
              <w:rPr>
                <w:rFonts w:ascii="Arial" w:hAnsi="Arial" w:cs="Arial"/>
                <w:color w:val="000000"/>
                <w:sz w:val="16"/>
                <w:szCs w:val="16"/>
              </w:rPr>
            </w:pPr>
          </w:p>
        </w:tc>
        <w:tc>
          <w:tcPr>
            <w:tcW w:w="1572" w:type="dxa"/>
            <w:tcBorders>
              <w:top w:val="nil"/>
              <w:left w:val="nil"/>
              <w:bottom w:val="nil"/>
              <w:right w:val="nil"/>
            </w:tcBorders>
            <w:vAlign w:val="bottom"/>
          </w:tcPr>
          <w:p w:rsidR="00C917DA" w:rsidRPr="00D00722" w:rsidRDefault="00C917DA" w:rsidP="00A27292">
            <w:pPr>
              <w:autoSpaceDE w:val="0"/>
              <w:autoSpaceDN w:val="0"/>
              <w:adjustRightInd w:val="0"/>
              <w:jc w:val="right"/>
              <w:rPr>
                <w:rFonts w:ascii="Arial" w:hAnsi="Arial" w:cs="Arial"/>
                <w:b/>
                <w:color w:val="000000"/>
                <w:sz w:val="16"/>
                <w:szCs w:val="16"/>
              </w:rPr>
            </w:pPr>
          </w:p>
        </w:tc>
        <w:tc>
          <w:tcPr>
            <w:tcW w:w="1617" w:type="dxa"/>
            <w:tcBorders>
              <w:top w:val="nil"/>
              <w:left w:val="nil"/>
              <w:bottom w:val="nil"/>
              <w:right w:val="nil"/>
            </w:tcBorders>
            <w:vAlign w:val="bottom"/>
          </w:tcPr>
          <w:p w:rsidR="00C917DA" w:rsidRPr="00D00722" w:rsidRDefault="00C917DA" w:rsidP="00A27292">
            <w:pPr>
              <w:autoSpaceDE w:val="0"/>
              <w:autoSpaceDN w:val="0"/>
              <w:adjustRightInd w:val="0"/>
              <w:jc w:val="right"/>
              <w:rPr>
                <w:rFonts w:ascii="Arial" w:hAnsi="Arial" w:cs="Arial"/>
                <w:color w:val="000000"/>
                <w:sz w:val="16"/>
                <w:szCs w:val="16"/>
              </w:rPr>
            </w:pPr>
          </w:p>
        </w:tc>
      </w:tr>
      <w:tr w:rsidR="009E6AD4" w:rsidRPr="00D00722" w:rsidTr="00C917DA">
        <w:trPr>
          <w:trHeight w:val="113"/>
        </w:trPr>
        <w:tc>
          <w:tcPr>
            <w:tcW w:w="4820" w:type="dxa"/>
            <w:tcBorders>
              <w:top w:val="nil"/>
              <w:left w:val="nil"/>
              <w:bottom w:val="nil"/>
              <w:right w:val="nil"/>
            </w:tcBorders>
            <w:vAlign w:val="bottom"/>
          </w:tcPr>
          <w:p w:rsidR="009E6AD4" w:rsidRPr="00D00722" w:rsidRDefault="00826BEC" w:rsidP="00A870BB">
            <w:pPr>
              <w:autoSpaceDE w:val="0"/>
              <w:autoSpaceDN w:val="0"/>
              <w:adjustRightInd w:val="0"/>
              <w:ind w:hanging="108"/>
              <w:rPr>
                <w:rFonts w:ascii="Arial" w:hAnsi="Arial" w:cs="Arial"/>
                <w:color w:val="000000"/>
                <w:sz w:val="16"/>
                <w:szCs w:val="16"/>
              </w:rPr>
            </w:pPr>
            <w:r w:rsidRPr="00D00722">
              <w:rPr>
                <w:rFonts w:ascii="Arial" w:hAnsi="Arial" w:cs="Arial"/>
                <w:color w:val="000000"/>
                <w:sz w:val="16"/>
                <w:szCs w:val="16"/>
              </w:rPr>
              <w:t>Hasılat</w:t>
            </w:r>
          </w:p>
        </w:tc>
        <w:tc>
          <w:tcPr>
            <w:tcW w:w="1103" w:type="dxa"/>
            <w:tcBorders>
              <w:top w:val="nil"/>
              <w:left w:val="nil"/>
              <w:bottom w:val="nil"/>
              <w:right w:val="nil"/>
            </w:tcBorders>
            <w:vAlign w:val="bottom"/>
          </w:tcPr>
          <w:p w:rsidR="009E6AD4" w:rsidRPr="00D00722" w:rsidRDefault="00826BEC" w:rsidP="00A27292">
            <w:pPr>
              <w:autoSpaceDE w:val="0"/>
              <w:autoSpaceDN w:val="0"/>
              <w:adjustRightInd w:val="0"/>
              <w:jc w:val="right"/>
              <w:rPr>
                <w:rFonts w:ascii="Arial" w:hAnsi="Arial" w:cs="Arial"/>
                <w:color w:val="000000"/>
                <w:sz w:val="16"/>
                <w:szCs w:val="16"/>
              </w:rPr>
            </w:pPr>
            <w:r w:rsidRPr="00D00722">
              <w:rPr>
                <w:rFonts w:ascii="Arial" w:hAnsi="Arial" w:cs="Arial"/>
                <w:color w:val="000000"/>
                <w:sz w:val="16"/>
                <w:szCs w:val="16"/>
              </w:rPr>
              <w:t>16</w:t>
            </w:r>
          </w:p>
        </w:tc>
        <w:tc>
          <w:tcPr>
            <w:tcW w:w="1572" w:type="dxa"/>
            <w:tcBorders>
              <w:top w:val="nil"/>
              <w:left w:val="nil"/>
              <w:bottom w:val="nil"/>
              <w:right w:val="nil"/>
            </w:tcBorders>
            <w:vAlign w:val="bottom"/>
          </w:tcPr>
          <w:p w:rsidR="009E6AD4" w:rsidRPr="00D00722" w:rsidRDefault="000842B4" w:rsidP="00A27292">
            <w:pPr>
              <w:autoSpaceDE w:val="0"/>
              <w:autoSpaceDN w:val="0"/>
              <w:adjustRightInd w:val="0"/>
              <w:jc w:val="right"/>
              <w:rPr>
                <w:rFonts w:ascii="Arial" w:hAnsi="Arial" w:cs="Arial"/>
                <w:b/>
                <w:color w:val="000000"/>
                <w:sz w:val="16"/>
                <w:szCs w:val="16"/>
              </w:rPr>
            </w:pPr>
            <w:r w:rsidRPr="00D00722">
              <w:rPr>
                <w:rFonts w:ascii="Arial" w:hAnsi="Arial" w:cs="Arial"/>
                <w:b/>
                <w:color w:val="000000"/>
                <w:sz w:val="16"/>
                <w:szCs w:val="16"/>
              </w:rPr>
              <w:t>387.503</w:t>
            </w:r>
          </w:p>
        </w:tc>
        <w:tc>
          <w:tcPr>
            <w:tcW w:w="1617" w:type="dxa"/>
            <w:tcBorders>
              <w:top w:val="nil"/>
              <w:left w:val="nil"/>
              <w:bottom w:val="nil"/>
              <w:right w:val="nil"/>
            </w:tcBorders>
            <w:vAlign w:val="bottom"/>
          </w:tcPr>
          <w:p w:rsidR="009E6AD4" w:rsidRPr="00D00722" w:rsidRDefault="00615271" w:rsidP="00615271">
            <w:pPr>
              <w:autoSpaceDE w:val="0"/>
              <w:autoSpaceDN w:val="0"/>
              <w:adjustRightInd w:val="0"/>
              <w:jc w:val="right"/>
              <w:rPr>
                <w:rFonts w:ascii="Arial" w:hAnsi="Arial" w:cs="Arial"/>
                <w:color w:val="000000"/>
                <w:sz w:val="16"/>
                <w:szCs w:val="16"/>
              </w:rPr>
            </w:pPr>
            <w:r w:rsidRPr="00D00722">
              <w:rPr>
                <w:rFonts w:ascii="Arial" w:hAnsi="Arial" w:cs="Arial"/>
                <w:color w:val="000000"/>
                <w:sz w:val="16"/>
                <w:szCs w:val="16"/>
              </w:rPr>
              <w:t>591</w:t>
            </w:r>
            <w:r w:rsidR="009E6AD4" w:rsidRPr="00D00722">
              <w:rPr>
                <w:rFonts w:ascii="Arial" w:hAnsi="Arial" w:cs="Arial"/>
                <w:color w:val="000000"/>
                <w:sz w:val="16"/>
                <w:szCs w:val="16"/>
              </w:rPr>
              <w:t>.</w:t>
            </w:r>
            <w:r w:rsidRPr="00D00722">
              <w:rPr>
                <w:rFonts w:ascii="Arial" w:hAnsi="Arial" w:cs="Arial"/>
                <w:color w:val="000000"/>
                <w:sz w:val="16"/>
                <w:szCs w:val="16"/>
              </w:rPr>
              <w:t>244</w:t>
            </w:r>
          </w:p>
        </w:tc>
      </w:tr>
      <w:tr w:rsidR="009E6AD4" w:rsidRPr="00D00722" w:rsidTr="00C917DA">
        <w:trPr>
          <w:trHeight w:val="113"/>
        </w:trPr>
        <w:tc>
          <w:tcPr>
            <w:tcW w:w="4820" w:type="dxa"/>
            <w:tcBorders>
              <w:top w:val="nil"/>
              <w:left w:val="nil"/>
              <w:bottom w:val="nil"/>
              <w:right w:val="nil"/>
            </w:tcBorders>
            <w:vAlign w:val="bottom"/>
          </w:tcPr>
          <w:p w:rsidR="009E6AD4" w:rsidRPr="00D00722" w:rsidRDefault="009E6AD4" w:rsidP="00A870BB">
            <w:pPr>
              <w:autoSpaceDE w:val="0"/>
              <w:autoSpaceDN w:val="0"/>
              <w:adjustRightInd w:val="0"/>
              <w:ind w:hanging="108"/>
              <w:rPr>
                <w:rFonts w:ascii="Arial" w:hAnsi="Arial" w:cs="Arial"/>
                <w:color w:val="000000"/>
                <w:sz w:val="16"/>
                <w:szCs w:val="16"/>
              </w:rPr>
            </w:pPr>
          </w:p>
        </w:tc>
        <w:tc>
          <w:tcPr>
            <w:tcW w:w="1103" w:type="dxa"/>
            <w:tcBorders>
              <w:top w:val="nil"/>
              <w:left w:val="nil"/>
              <w:bottom w:val="nil"/>
              <w:right w:val="nil"/>
            </w:tcBorders>
            <w:vAlign w:val="bottom"/>
          </w:tcPr>
          <w:p w:rsidR="009E6AD4" w:rsidRPr="00D00722" w:rsidRDefault="009E6AD4" w:rsidP="00A27292">
            <w:pPr>
              <w:autoSpaceDE w:val="0"/>
              <w:autoSpaceDN w:val="0"/>
              <w:adjustRightInd w:val="0"/>
              <w:jc w:val="right"/>
              <w:rPr>
                <w:rFonts w:ascii="Arial" w:hAnsi="Arial" w:cs="Arial"/>
                <w:color w:val="000000"/>
                <w:sz w:val="16"/>
                <w:szCs w:val="16"/>
              </w:rPr>
            </w:pPr>
          </w:p>
        </w:tc>
        <w:tc>
          <w:tcPr>
            <w:tcW w:w="1572" w:type="dxa"/>
            <w:tcBorders>
              <w:top w:val="nil"/>
              <w:left w:val="nil"/>
              <w:bottom w:val="nil"/>
              <w:right w:val="nil"/>
            </w:tcBorders>
            <w:vAlign w:val="bottom"/>
          </w:tcPr>
          <w:p w:rsidR="009E6AD4" w:rsidRPr="00D00722" w:rsidRDefault="009E6AD4" w:rsidP="00A27292">
            <w:pPr>
              <w:autoSpaceDE w:val="0"/>
              <w:autoSpaceDN w:val="0"/>
              <w:adjustRightInd w:val="0"/>
              <w:jc w:val="right"/>
              <w:rPr>
                <w:rFonts w:ascii="Arial" w:hAnsi="Arial" w:cs="Arial"/>
                <w:b/>
                <w:color w:val="000000"/>
                <w:sz w:val="16"/>
                <w:szCs w:val="16"/>
              </w:rPr>
            </w:pPr>
          </w:p>
        </w:tc>
        <w:tc>
          <w:tcPr>
            <w:tcW w:w="1617" w:type="dxa"/>
            <w:tcBorders>
              <w:top w:val="nil"/>
              <w:left w:val="nil"/>
              <w:bottom w:val="nil"/>
              <w:right w:val="nil"/>
            </w:tcBorders>
            <w:vAlign w:val="bottom"/>
          </w:tcPr>
          <w:p w:rsidR="009E6AD4" w:rsidRPr="00D00722" w:rsidRDefault="009E6AD4" w:rsidP="009E6AD4">
            <w:pPr>
              <w:autoSpaceDE w:val="0"/>
              <w:autoSpaceDN w:val="0"/>
              <w:adjustRightInd w:val="0"/>
              <w:jc w:val="right"/>
              <w:rPr>
                <w:rFonts w:ascii="Arial" w:hAnsi="Arial" w:cs="Arial"/>
                <w:color w:val="000000"/>
                <w:sz w:val="16"/>
                <w:szCs w:val="16"/>
              </w:rPr>
            </w:pPr>
          </w:p>
        </w:tc>
      </w:tr>
      <w:tr w:rsidR="009E6AD4" w:rsidRPr="00D00722" w:rsidTr="00C917DA">
        <w:trPr>
          <w:trHeight w:val="113"/>
        </w:trPr>
        <w:tc>
          <w:tcPr>
            <w:tcW w:w="4820" w:type="dxa"/>
            <w:tcBorders>
              <w:top w:val="single" w:sz="6" w:space="0" w:color="auto"/>
              <w:left w:val="nil"/>
              <w:bottom w:val="single" w:sz="6" w:space="0" w:color="auto"/>
              <w:right w:val="nil"/>
            </w:tcBorders>
            <w:vAlign w:val="bottom"/>
          </w:tcPr>
          <w:p w:rsidR="009E6AD4" w:rsidRPr="00D00722" w:rsidRDefault="009E6AD4" w:rsidP="00A870BB">
            <w:pPr>
              <w:autoSpaceDE w:val="0"/>
              <w:autoSpaceDN w:val="0"/>
              <w:adjustRightInd w:val="0"/>
              <w:ind w:hanging="108"/>
              <w:rPr>
                <w:rFonts w:ascii="Arial" w:hAnsi="Arial" w:cs="Arial"/>
                <w:b/>
                <w:bCs/>
                <w:color w:val="000000"/>
                <w:sz w:val="16"/>
                <w:szCs w:val="16"/>
              </w:rPr>
            </w:pPr>
            <w:r w:rsidRPr="00D00722">
              <w:rPr>
                <w:rFonts w:ascii="Arial" w:hAnsi="Arial" w:cs="Arial"/>
                <w:b/>
                <w:bCs/>
                <w:color w:val="000000"/>
                <w:sz w:val="16"/>
                <w:szCs w:val="16"/>
              </w:rPr>
              <w:t>Brüt kar/(zarar)</w:t>
            </w:r>
          </w:p>
        </w:tc>
        <w:tc>
          <w:tcPr>
            <w:tcW w:w="1103" w:type="dxa"/>
            <w:tcBorders>
              <w:top w:val="single" w:sz="6" w:space="0" w:color="auto"/>
              <w:left w:val="nil"/>
              <w:bottom w:val="single" w:sz="6" w:space="0" w:color="auto"/>
              <w:right w:val="nil"/>
            </w:tcBorders>
            <w:vAlign w:val="bottom"/>
          </w:tcPr>
          <w:p w:rsidR="009E6AD4" w:rsidRPr="00D00722" w:rsidRDefault="009E6AD4" w:rsidP="00A27292">
            <w:pPr>
              <w:autoSpaceDE w:val="0"/>
              <w:autoSpaceDN w:val="0"/>
              <w:adjustRightInd w:val="0"/>
              <w:jc w:val="right"/>
              <w:rPr>
                <w:rFonts w:ascii="Arial" w:hAnsi="Arial" w:cs="Arial"/>
                <w:color w:val="000000"/>
                <w:sz w:val="16"/>
                <w:szCs w:val="16"/>
              </w:rPr>
            </w:pPr>
          </w:p>
        </w:tc>
        <w:tc>
          <w:tcPr>
            <w:tcW w:w="1572" w:type="dxa"/>
            <w:tcBorders>
              <w:top w:val="single" w:sz="6" w:space="0" w:color="auto"/>
              <w:left w:val="nil"/>
              <w:bottom w:val="single" w:sz="6" w:space="0" w:color="auto"/>
              <w:right w:val="nil"/>
            </w:tcBorders>
            <w:vAlign w:val="bottom"/>
          </w:tcPr>
          <w:p w:rsidR="009E6AD4" w:rsidRPr="00D00722" w:rsidRDefault="000842B4" w:rsidP="003C2FFC">
            <w:pPr>
              <w:autoSpaceDE w:val="0"/>
              <w:autoSpaceDN w:val="0"/>
              <w:adjustRightInd w:val="0"/>
              <w:jc w:val="right"/>
              <w:rPr>
                <w:rFonts w:ascii="Arial" w:hAnsi="Arial" w:cs="Arial"/>
                <w:b/>
                <w:bCs/>
                <w:color w:val="000000"/>
                <w:sz w:val="16"/>
                <w:szCs w:val="16"/>
              </w:rPr>
            </w:pPr>
            <w:r w:rsidRPr="00D00722">
              <w:rPr>
                <w:rFonts w:ascii="Arial" w:hAnsi="Arial" w:cs="Arial"/>
                <w:b/>
                <w:bCs/>
                <w:color w:val="000000"/>
                <w:sz w:val="16"/>
                <w:szCs w:val="16"/>
              </w:rPr>
              <w:t>387.50</w:t>
            </w:r>
            <w:r w:rsidR="003C2FFC" w:rsidRPr="00D00722">
              <w:rPr>
                <w:rFonts w:ascii="Arial" w:hAnsi="Arial" w:cs="Arial"/>
                <w:b/>
                <w:bCs/>
                <w:color w:val="000000"/>
                <w:sz w:val="16"/>
                <w:szCs w:val="16"/>
              </w:rPr>
              <w:t>3</w:t>
            </w:r>
          </w:p>
        </w:tc>
        <w:tc>
          <w:tcPr>
            <w:tcW w:w="1617" w:type="dxa"/>
            <w:tcBorders>
              <w:top w:val="single" w:sz="6" w:space="0" w:color="auto"/>
              <w:left w:val="nil"/>
              <w:bottom w:val="single" w:sz="6" w:space="0" w:color="auto"/>
              <w:right w:val="nil"/>
            </w:tcBorders>
            <w:vAlign w:val="bottom"/>
          </w:tcPr>
          <w:p w:rsidR="009E6AD4" w:rsidRPr="00D00722" w:rsidRDefault="00615271" w:rsidP="00615271">
            <w:pPr>
              <w:autoSpaceDE w:val="0"/>
              <w:autoSpaceDN w:val="0"/>
              <w:adjustRightInd w:val="0"/>
              <w:jc w:val="right"/>
              <w:rPr>
                <w:rFonts w:ascii="Arial" w:hAnsi="Arial" w:cs="Arial"/>
                <w:bCs/>
                <w:color w:val="000000"/>
                <w:sz w:val="16"/>
                <w:szCs w:val="16"/>
              </w:rPr>
            </w:pPr>
            <w:r w:rsidRPr="00D00722">
              <w:rPr>
                <w:rFonts w:ascii="Arial" w:hAnsi="Arial" w:cs="Arial"/>
                <w:bCs/>
                <w:color w:val="000000"/>
                <w:sz w:val="16"/>
                <w:szCs w:val="16"/>
              </w:rPr>
              <w:t>591</w:t>
            </w:r>
            <w:r w:rsidR="009E6AD4" w:rsidRPr="00D00722">
              <w:rPr>
                <w:rFonts w:ascii="Arial" w:hAnsi="Arial" w:cs="Arial"/>
                <w:bCs/>
                <w:color w:val="000000"/>
                <w:sz w:val="16"/>
                <w:szCs w:val="16"/>
              </w:rPr>
              <w:t>.</w:t>
            </w:r>
            <w:r w:rsidRPr="00D00722">
              <w:rPr>
                <w:rFonts w:ascii="Arial" w:hAnsi="Arial" w:cs="Arial"/>
                <w:bCs/>
                <w:color w:val="000000"/>
                <w:sz w:val="16"/>
                <w:szCs w:val="16"/>
              </w:rPr>
              <w:t>244</w:t>
            </w:r>
          </w:p>
        </w:tc>
      </w:tr>
      <w:tr w:rsidR="009E6AD4" w:rsidRPr="00D00722" w:rsidTr="00C917DA">
        <w:trPr>
          <w:trHeight w:val="113"/>
        </w:trPr>
        <w:tc>
          <w:tcPr>
            <w:tcW w:w="4820" w:type="dxa"/>
            <w:tcBorders>
              <w:top w:val="nil"/>
              <w:left w:val="nil"/>
              <w:bottom w:val="nil"/>
              <w:right w:val="nil"/>
            </w:tcBorders>
            <w:vAlign w:val="bottom"/>
          </w:tcPr>
          <w:p w:rsidR="009E6AD4" w:rsidRPr="00D00722" w:rsidRDefault="009E6AD4" w:rsidP="00A870BB">
            <w:pPr>
              <w:autoSpaceDE w:val="0"/>
              <w:autoSpaceDN w:val="0"/>
              <w:adjustRightInd w:val="0"/>
              <w:ind w:hanging="108"/>
              <w:rPr>
                <w:rFonts w:ascii="Arial" w:hAnsi="Arial" w:cs="Arial"/>
                <w:color w:val="000000"/>
                <w:sz w:val="16"/>
                <w:szCs w:val="16"/>
              </w:rPr>
            </w:pPr>
          </w:p>
        </w:tc>
        <w:tc>
          <w:tcPr>
            <w:tcW w:w="1103" w:type="dxa"/>
            <w:tcBorders>
              <w:top w:val="nil"/>
              <w:left w:val="nil"/>
              <w:bottom w:val="nil"/>
              <w:right w:val="nil"/>
            </w:tcBorders>
            <w:vAlign w:val="bottom"/>
          </w:tcPr>
          <w:p w:rsidR="009E6AD4" w:rsidRPr="00D00722" w:rsidRDefault="009E6AD4" w:rsidP="00A27292">
            <w:pPr>
              <w:autoSpaceDE w:val="0"/>
              <w:autoSpaceDN w:val="0"/>
              <w:adjustRightInd w:val="0"/>
              <w:jc w:val="right"/>
              <w:rPr>
                <w:rFonts w:ascii="Arial" w:hAnsi="Arial" w:cs="Arial"/>
                <w:color w:val="000000"/>
                <w:sz w:val="16"/>
                <w:szCs w:val="16"/>
              </w:rPr>
            </w:pPr>
          </w:p>
        </w:tc>
        <w:tc>
          <w:tcPr>
            <w:tcW w:w="1572" w:type="dxa"/>
            <w:tcBorders>
              <w:top w:val="nil"/>
              <w:left w:val="nil"/>
              <w:bottom w:val="nil"/>
              <w:right w:val="nil"/>
            </w:tcBorders>
            <w:vAlign w:val="bottom"/>
          </w:tcPr>
          <w:p w:rsidR="009E6AD4" w:rsidRPr="00D00722" w:rsidRDefault="009E6AD4" w:rsidP="00A27292">
            <w:pPr>
              <w:autoSpaceDE w:val="0"/>
              <w:autoSpaceDN w:val="0"/>
              <w:adjustRightInd w:val="0"/>
              <w:jc w:val="right"/>
              <w:rPr>
                <w:rFonts w:ascii="Arial" w:hAnsi="Arial" w:cs="Arial"/>
                <w:b/>
                <w:color w:val="000000"/>
                <w:sz w:val="16"/>
                <w:szCs w:val="16"/>
              </w:rPr>
            </w:pPr>
          </w:p>
        </w:tc>
        <w:tc>
          <w:tcPr>
            <w:tcW w:w="1617" w:type="dxa"/>
            <w:tcBorders>
              <w:top w:val="nil"/>
              <w:left w:val="nil"/>
              <w:bottom w:val="nil"/>
              <w:right w:val="nil"/>
            </w:tcBorders>
            <w:vAlign w:val="bottom"/>
          </w:tcPr>
          <w:p w:rsidR="009E6AD4" w:rsidRPr="00D00722" w:rsidRDefault="009E6AD4" w:rsidP="009E6AD4">
            <w:pPr>
              <w:autoSpaceDE w:val="0"/>
              <w:autoSpaceDN w:val="0"/>
              <w:adjustRightInd w:val="0"/>
              <w:jc w:val="right"/>
              <w:rPr>
                <w:rFonts w:ascii="Arial" w:hAnsi="Arial" w:cs="Arial"/>
                <w:color w:val="000000"/>
                <w:sz w:val="16"/>
                <w:szCs w:val="16"/>
              </w:rPr>
            </w:pPr>
          </w:p>
        </w:tc>
      </w:tr>
      <w:tr w:rsidR="00826BEC" w:rsidRPr="00D00722" w:rsidTr="009A5458">
        <w:trPr>
          <w:trHeight w:val="113"/>
        </w:trPr>
        <w:tc>
          <w:tcPr>
            <w:tcW w:w="4820" w:type="dxa"/>
            <w:tcBorders>
              <w:top w:val="nil"/>
              <w:left w:val="nil"/>
              <w:bottom w:val="nil"/>
              <w:right w:val="nil"/>
            </w:tcBorders>
            <w:vAlign w:val="bottom"/>
          </w:tcPr>
          <w:p w:rsidR="00826BEC" w:rsidRPr="00D00722" w:rsidRDefault="00826BEC" w:rsidP="003F5B30">
            <w:pPr>
              <w:autoSpaceDE w:val="0"/>
              <w:autoSpaceDN w:val="0"/>
              <w:adjustRightInd w:val="0"/>
              <w:ind w:hanging="108"/>
              <w:rPr>
                <w:rFonts w:ascii="Arial" w:hAnsi="Arial" w:cs="Arial"/>
                <w:color w:val="000000"/>
                <w:sz w:val="16"/>
                <w:szCs w:val="16"/>
              </w:rPr>
            </w:pPr>
            <w:r w:rsidRPr="00D00722">
              <w:rPr>
                <w:rFonts w:ascii="Arial" w:hAnsi="Arial" w:cs="Arial"/>
                <w:color w:val="000000"/>
                <w:sz w:val="16"/>
                <w:szCs w:val="16"/>
              </w:rPr>
              <w:t>Genel yönetim giderleri (-)</w:t>
            </w:r>
          </w:p>
        </w:tc>
        <w:tc>
          <w:tcPr>
            <w:tcW w:w="1103" w:type="dxa"/>
            <w:tcBorders>
              <w:top w:val="nil"/>
              <w:left w:val="nil"/>
              <w:bottom w:val="nil"/>
              <w:right w:val="nil"/>
            </w:tcBorders>
          </w:tcPr>
          <w:p w:rsidR="00826BEC" w:rsidRPr="00D00722" w:rsidRDefault="00826BEC" w:rsidP="003F5B30">
            <w:pPr>
              <w:autoSpaceDE w:val="0"/>
              <w:autoSpaceDN w:val="0"/>
              <w:adjustRightInd w:val="0"/>
              <w:jc w:val="right"/>
              <w:rPr>
                <w:rFonts w:ascii="Arial" w:hAnsi="Arial" w:cs="Arial"/>
                <w:color w:val="000000"/>
                <w:sz w:val="16"/>
                <w:szCs w:val="16"/>
              </w:rPr>
            </w:pPr>
            <w:r w:rsidRPr="00D00722">
              <w:rPr>
                <w:rFonts w:ascii="Arial" w:hAnsi="Arial" w:cs="Arial"/>
                <w:color w:val="000000"/>
                <w:sz w:val="16"/>
                <w:szCs w:val="16"/>
              </w:rPr>
              <w:t>17, 18</w:t>
            </w:r>
          </w:p>
        </w:tc>
        <w:tc>
          <w:tcPr>
            <w:tcW w:w="1572" w:type="dxa"/>
            <w:tcBorders>
              <w:top w:val="nil"/>
              <w:left w:val="nil"/>
              <w:bottom w:val="nil"/>
              <w:right w:val="nil"/>
            </w:tcBorders>
            <w:vAlign w:val="bottom"/>
          </w:tcPr>
          <w:p w:rsidR="00826BEC" w:rsidRPr="00D00722" w:rsidRDefault="00ED6F5D" w:rsidP="00C653B1">
            <w:pPr>
              <w:jc w:val="right"/>
              <w:rPr>
                <w:rFonts w:ascii="Arial" w:hAnsi="Arial" w:cs="Arial"/>
                <w:b/>
                <w:bCs/>
                <w:color w:val="000000"/>
                <w:sz w:val="16"/>
                <w:szCs w:val="16"/>
              </w:rPr>
            </w:pPr>
            <w:r w:rsidRPr="00D00722">
              <w:rPr>
                <w:rFonts w:ascii="Arial" w:hAnsi="Arial" w:cs="Arial"/>
                <w:b/>
                <w:bCs/>
                <w:color w:val="000000"/>
                <w:sz w:val="16"/>
                <w:szCs w:val="16"/>
              </w:rPr>
              <w:t>(697.17</w:t>
            </w:r>
            <w:r w:rsidR="00C653B1" w:rsidRPr="00D00722">
              <w:rPr>
                <w:rFonts w:ascii="Arial" w:hAnsi="Arial" w:cs="Arial"/>
                <w:b/>
                <w:bCs/>
                <w:color w:val="000000"/>
                <w:sz w:val="16"/>
                <w:szCs w:val="16"/>
              </w:rPr>
              <w:t>5</w:t>
            </w:r>
            <w:r w:rsidRPr="00D00722">
              <w:rPr>
                <w:rFonts w:ascii="Arial" w:hAnsi="Arial" w:cs="Arial"/>
                <w:b/>
                <w:bCs/>
                <w:color w:val="000000"/>
                <w:sz w:val="16"/>
                <w:szCs w:val="16"/>
              </w:rPr>
              <w:t>)</w:t>
            </w:r>
          </w:p>
        </w:tc>
        <w:tc>
          <w:tcPr>
            <w:tcW w:w="1617" w:type="dxa"/>
            <w:tcBorders>
              <w:top w:val="nil"/>
              <w:left w:val="nil"/>
              <w:bottom w:val="nil"/>
              <w:right w:val="nil"/>
            </w:tcBorders>
            <w:vAlign w:val="bottom"/>
          </w:tcPr>
          <w:p w:rsidR="00826BEC" w:rsidRPr="00D00722" w:rsidRDefault="00826BEC" w:rsidP="00615271">
            <w:pPr>
              <w:jc w:val="right"/>
              <w:rPr>
                <w:rFonts w:ascii="Arial" w:hAnsi="Arial" w:cs="Arial"/>
                <w:bCs/>
                <w:color w:val="000000"/>
                <w:sz w:val="16"/>
                <w:szCs w:val="16"/>
              </w:rPr>
            </w:pPr>
            <w:r w:rsidRPr="00D00722">
              <w:rPr>
                <w:rFonts w:ascii="Arial" w:hAnsi="Arial" w:cs="Arial"/>
                <w:bCs/>
                <w:color w:val="000000"/>
                <w:sz w:val="16"/>
                <w:szCs w:val="16"/>
              </w:rPr>
              <w:t>(</w:t>
            </w:r>
            <w:r w:rsidR="00615271" w:rsidRPr="00D00722">
              <w:rPr>
                <w:rFonts w:ascii="Arial" w:hAnsi="Arial" w:cs="Arial"/>
                <w:bCs/>
                <w:color w:val="000000"/>
                <w:sz w:val="16"/>
                <w:szCs w:val="16"/>
              </w:rPr>
              <w:t>655</w:t>
            </w:r>
            <w:r w:rsidRPr="00D00722">
              <w:rPr>
                <w:rFonts w:ascii="Arial" w:hAnsi="Arial" w:cs="Arial"/>
                <w:bCs/>
                <w:color w:val="000000"/>
                <w:sz w:val="16"/>
                <w:szCs w:val="16"/>
              </w:rPr>
              <w:t>.</w:t>
            </w:r>
            <w:r w:rsidR="00615271" w:rsidRPr="00D00722">
              <w:rPr>
                <w:rFonts w:ascii="Arial" w:hAnsi="Arial" w:cs="Arial"/>
                <w:bCs/>
                <w:color w:val="000000"/>
                <w:sz w:val="16"/>
                <w:szCs w:val="16"/>
              </w:rPr>
              <w:t>502</w:t>
            </w:r>
            <w:r w:rsidRPr="00D00722">
              <w:rPr>
                <w:rFonts w:ascii="Arial" w:hAnsi="Arial" w:cs="Arial"/>
                <w:bCs/>
                <w:color w:val="000000"/>
                <w:sz w:val="16"/>
                <w:szCs w:val="16"/>
              </w:rPr>
              <w:t>)</w:t>
            </w:r>
          </w:p>
        </w:tc>
      </w:tr>
      <w:tr w:rsidR="00826BEC" w:rsidRPr="00D00722" w:rsidTr="009A5458">
        <w:trPr>
          <w:trHeight w:val="113"/>
        </w:trPr>
        <w:tc>
          <w:tcPr>
            <w:tcW w:w="4820" w:type="dxa"/>
            <w:tcBorders>
              <w:top w:val="nil"/>
              <w:left w:val="nil"/>
              <w:bottom w:val="nil"/>
              <w:right w:val="nil"/>
            </w:tcBorders>
            <w:vAlign w:val="bottom"/>
          </w:tcPr>
          <w:p w:rsidR="00826BEC" w:rsidRPr="00D00722" w:rsidRDefault="00826BEC" w:rsidP="003F5B30">
            <w:pPr>
              <w:autoSpaceDE w:val="0"/>
              <w:autoSpaceDN w:val="0"/>
              <w:adjustRightInd w:val="0"/>
              <w:ind w:hanging="108"/>
              <w:rPr>
                <w:rFonts w:ascii="Arial" w:hAnsi="Arial" w:cs="Arial"/>
                <w:color w:val="000000"/>
                <w:sz w:val="16"/>
                <w:szCs w:val="16"/>
              </w:rPr>
            </w:pPr>
            <w:r w:rsidRPr="00D00722">
              <w:rPr>
                <w:rFonts w:ascii="Arial" w:hAnsi="Arial" w:cs="Arial"/>
                <w:color w:val="000000"/>
                <w:sz w:val="16"/>
                <w:szCs w:val="16"/>
              </w:rPr>
              <w:t>Pazarlama, satış ve dağıtım  giderleri (-)</w:t>
            </w:r>
          </w:p>
        </w:tc>
        <w:tc>
          <w:tcPr>
            <w:tcW w:w="1103" w:type="dxa"/>
            <w:tcBorders>
              <w:top w:val="nil"/>
              <w:left w:val="nil"/>
              <w:bottom w:val="nil"/>
              <w:right w:val="nil"/>
            </w:tcBorders>
          </w:tcPr>
          <w:p w:rsidR="00826BEC" w:rsidRPr="00D00722" w:rsidRDefault="00826BEC" w:rsidP="003F5B30">
            <w:pPr>
              <w:autoSpaceDE w:val="0"/>
              <w:autoSpaceDN w:val="0"/>
              <w:adjustRightInd w:val="0"/>
              <w:jc w:val="right"/>
              <w:rPr>
                <w:rFonts w:ascii="Arial" w:hAnsi="Arial" w:cs="Arial"/>
                <w:color w:val="000000"/>
                <w:sz w:val="16"/>
                <w:szCs w:val="16"/>
              </w:rPr>
            </w:pPr>
            <w:r w:rsidRPr="00D00722">
              <w:rPr>
                <w:rFonts w:ascii="Arial" w:hAnsi="Arial" w:cs="Arial"/>
                <w:color w:val="000000"/>
                <w:sz w:val="16"/>
                <w:szCs w:val="16"/>
              </w:rPr>
              <w:t>17, 18</w:t>
            </w:r>
          </w:p>
        </w:tc>
        <w:tc>
          <w:tcPr>
            <w:tcW w:w="1572" w:type="dxa"/>
            <w:tcBorders>
              <w:top w:val="nil"/>
              <w:left w:val="nil"/>
              <w:bottom w:val="nil"/>
              <w:right w:val="nil"/>
            </w:tcBorders>
            <w:vAlign w:val="bottom"/>
          </w:tcPr>
          <w:p w:rsidR="00826BEC" w:rsidRPr="00D00722" w:rsidRDefault="00ED6F5D" w:rsidP="003F5B30">
            <w:pPr>
              <w:jc w:val="right"/>
              <w:rPr>
                <w:rFonts w:ascii="Arial" w:hAnsi="Arial" w:cs="Arial"/>
                <w:b/>
                <w:bCs/>
                <w:color w:val="000000"/>
                <w:sz w:val="16"/>
                <w:szCs w:val="16"/>
              </w:rPr>
            </w:pPr>
            <w:r w:rsidRPr="00D00722">
              <w:rPr>
                <w:rFonts w:ascii="Arial" w:hAnsi="Arial" w:cs="Arial"/>
                <w:b/>
                <w:bCs/>
                <w:color w:val="000000"/>
                <w:sz w:val="16"/>
                <w:szCs w:val="16"/>
              </w:rPr>
              <w:t>(325)</w:t>
            </w:r>
          </w:p>
        </w:tc>
        <w:tc>
          <w:tcPr>
            <w:tcW w:w="1617" w:type="dxa"/>
            <w:tcBorders>
              <w:top w:val="nil"/>
              <w:left w:val="nil"/>
              <w:bottom w:val="nil"/>
              <w:right w:val="nil"/>
            </w:tcBorders>
            <w:vAlign w:val="bottom"/>
          </w:tcPr>
          <w:p w:rsidR="00826BEC" w:rsidRPr="00D00722" w:rsidRDefault="00826BEC" w:rsidP="00615271">
            <w:pPr>
              <w:jc w:val="right"/>
              <w:rPr>
                <w:rFonts w:ascii="Arial" w:hAnsi="Arial" w:cs="Arial"/>
                <w:bCs/>
                <w:color w:val="000000"/>
                <w:sz w:val="16"/>
                <w:szCs w:val="16"/>
              </w:rPr>
            </w:pPr>
            <w:r w:rsidRPr="00D00722">
              <w:rPr>
                <w:rFonts w:ascii="Arial" w:hAnsi="Arial" w:cs="Arial"/>
                <w:bCs/>
                <w:color w:val="000000"/>
                <w:sz w:val="16"/>
                <w:szCs w:val="16"/>
              </w:rPr>
              <w:t>(</w:t>
            </w:r>
            <w:r w:rsidR="00615271" w:rsidRPr="00D00722">
              <w:rPr>
                <w:rFonts w:ascii="Arial" w:hAnsi="Arial" w:cs="Arial"/>
                <w:bCs/>
                <w:color w:val="000000"/>
                <w:sz w:val="16"/>
                <w:szCs w:val="16"/>
              </w:rPr>
              <w:t>324</w:t>
            </w:r>
            <w:r w:rsidRPr="00D00722">
              <w:rPr>
                <w:rFonts w:ascii="Arial" w:hAnsi="Arial" w:cs="Arial"/>
                <w:bCs/>
                <w:color w:val="000000"/>
                <w:sz w:val="16"/>
                <w:szCs w:val="16"/>
              </w:rPr>
              <w:t>)</w:t>
            </w:r>
          </w:p>
        </w:tc>
      </w:tr>
      <w:tr w:rsidR="00826BEC" w:rsidRPr="00D00722" w:rsidTr="009A5458">
        <w:trPr>
          <w:trHeight w:val="113"/>
        </w:trPr>
        <w:tc>
          <w:tcPr>
            <w:tcW w:w="4820" w:type="dxa"/>
            <w:tcBorders>
              <w:top w:val="nil"/>
              <w:left w:val="nil"/>
              <w:bottom w:val="nil"/>
              <w:right w:val="nil"/>
            </w:tcBorders>
            <w:vAlign w:val="bottom"/>
          </w:tcPr>
          <w:p w:rsidR="00826BEC" w:rsidRPr="00D00722" w:rsidRDefault="00826BEC" w:rsidP="003F5B30">
            <w:pPr>
              <w:autoSpaceDE w:val="0"/>
              <w:autoSpaceDN w:val="0"/>
              <w:adjustRightInd w:val="0"/>
              <w:ind w:hanging="108"/>
              <w:rPr>
                <w:rFonts w:ascii="Arial" w:hAnsi="Arial" w:cs="Arial"/>
                <w:color w:val="000000"/>
                <w:sz w:val="16"/>
                <w:szCs w:val="16"/>
              </w:rPr>
            </w:pPr>
            <w:r w:rsidRPr="00D00722">
              <w:rPr>
                <w:rFonts w:ascii="Arial" w:hAnsi="Arial" w:cs="Arial"/>
                <w:color w:val="000000"/>
                <w:sz w:val="16"/>
                <w:szCs w:val="16"/>
              </w:rPr>
              <w:t>Araştırma ve geliştirme giderleri (-)</w:t>
            </w:r>
          </w:p>
        </w:tc>
        <w:tc>
          <w:tcPr>
            <w:tcW w:w="1103" w:type="dxa"/>
            <w:tcBorders>
              <w:top w:val="nil"/>
              <w:left w:val="nil"/>
              <w:bottom w:val="nil"/>
              <w:right w:val="nil"/>
            </w:tcBorders>
          </w:tcPr>
          <w:p w:rsidR="00826BEC" w:rsidRPr="00D00722" w:rsidRDefault="00826BEC" w:rsidP="003F5B30">
            <w:pPr>
              <w:autoSpaceDE w:val="0"/>
              <w:autoSpaceDN w:val="0"/>
              <w:adjustRightInd w:val="0"/>
              <w:jc w:val="right"/>
              <w:rPr>
                <w:rFonts w:ascii="Arial" w:hAnsi="Arial" w:cs="Arial"/>
                <w:color w:val="000000"/>
                <w:sz w:val="16"/>
                <w:szCs w:val="16"/>
              </w:rPr>
            </w:pPr>
            <w:r w:rsidRPr="00D00722">
              <w:rPr>
                <w:rFonts w:ascii="Arial" w:hAnsi="Arial" w:cs="Arial"/>
                <w:color w:val="000000"/>
                <w:sz w:val="16"/>
                <w:szCs w:val="16"/>
              </w:rPr>
              <w:t>17, 18</w:t>
            </w:r>
          </w:p>
        </w:tc>
        <w:tc>
          <w:tcPr>
            <w:tcW w:w="1572" w:type="dxa"/>
            <w:tcBorders>
              <w:top w:val="nil"/>
              <w:left w:val="nil"/>
              <w:bottom w:val="nil"/>
              <w:right w:val="nil"/>
            </w:tcBorders>
            <w:vAlign w:val="bottom"/>
          </w:tcPr>
          <w:p w:rsidR="00826BEC" w:rsidRPr="00D00722" w:rsidRDefault="00ED6F5D" w:rsidP="003F5B30">
            <w:pPr>
              <w:jc w:val="right"/>
              <w:rPr>
                <w:rFonts w:ascii="Arial" w:hAnsi="Arial" w:cs="Arial"/>
                <w:b/>
                <w:bCs/>
                <w:color w:val="000000"/>
                <w:sz w:val="16"/>
                <w:szCs w:val="16"/>
              </w:rPr>
            </w:pPr>
            <w:r w:rsidRPr="00D00722">
              <w:rPr>
                <w:rFonts w:ascii="Arial" w:hAnsi="Arial" w:cs="Arial"/>
                <w:b/>
                <w:bCs/>
                <w:color w:val="000000"/>
                <w:sz w:val="16"/>
                <w:szCs w:val="16"/>
              </w:rPr>
              <w:t>(159)</w:t>
            </w:r>
          </w:p>
        </w:tc>
        <w:tc>
          <w:tcPr>
            <w:tcW w:w="1617" w:type="dxa"/>
            <w:tcBorders>
              <w:top w:val="nil"/>
              <w:left w:val="nil"/>
              <w:bottom w:val="nil"/>
              <w:right w:val="nil"/>
            </w:tcBorders>
            <w:vAlign w:val="bottom"/>
          </w:tcPr>
          <w:p w:rsidR="00826BEC" w:rsidRPr="00D00722" w:rsidRDefault="00826BEC" w:rsidP="00615271">
            <w:pPr>
              <w:jc w:val="right"/>
              <w:rPr>
                <w:rFonts w:ascii="Arial" w:hAnsi="Arial" w:cs="Arial"/>
                <w:bCs/>
                <w:color w:val="000000"/>
                <w:sz w:val="16"/>
                <w:szCs w:val="16"/>
              </w:rPr>
            </w:pPr>
            <w:r w:rsidRPr="00D00722">
              <w:rPr>
                <w:rFonts w:ascii="Arial" w:hAnsi="Arial" w:cs="Arial"/>
                <w:bCs/>
                <w:color w:val="000000"/>
                <w:sz w:val="16"/>
                <w:szCs w:val="16"/>
              </w:rPr>
              <w:t>(</w:t>
            </w:r>
            <w:r w:rsidR="00615271" w:rsidRPr="00D00722">
              <w:rPr>
                <w:rFonts w:ascii="Arial" w:hAnsi="Arial" w:cs="Arial"/>
                <w:bCs/>
                <w:color w:val="000000"/>
                <w:sz w:val="16"/>
                <w:szCs w:val="16"/>
              </w:rPr>
              <w:t>366</w:t>
            </w:r>
            <w:r w:rsidRPr="00D00722">
              <w:rPr>
                <w:rFonts w:ascii="Arial" w:hAnsi="Arial" w:cs="Arial"/>
                <w:bCs/>
                <w:color w:val="000000"/>
                <w:sz w:val="16"/>
                <w:szCs w:val="16"/>
              </w:rPr>
              <w:t>)</w:t>
            </w:r>
          </w:p>
        </w:tc>
      </w:tr>
      <w:tr w:rsidR="00826BEC" w:rsidRPr="00D00722" w:rsidTr="009A5458">
        <w:trPr>
          <w:trHeight w:val="113"/>
        </w:trPr>
        <w:tc>
          <w:tcPr>
            <w:tcW w:w="4820" w:type="dxa"/>
            <w:tcBorders>
              <w:top w:val="nil"/>
              <w:left w:val="nil"/>
              <w:bottom w:val="nil"/>
              <w:right w:val="nil"/>
            </w:tcBorders>
            <w:vAlign w:val="bottom"/>
          </w:tcPr>
          <w:p w:rsidR="00826BEC" w:rsidRPr="00D00722" w:rsidRDefault="00826BEC" w:rsidP="00A870BB">
            <w:pPr>
              <w:autoSpaceDE w:val="0"/>
              <w:autoSpaceDN w:val="0"/>
              <w:adjustRightInd w:val="0"/>
              <w:ind w:hanging="108"/>
              <w:rPr>
                <w:rFonts w:ascii="Arial" w:hAnsi="Arial" w:cs="Arial"/>
                <w:color w:val="000000"/>
                <w:sz w:val="16"/>
                <w:szCs w:val="16"/>
              </w:rPr>
            </w:pPr>
            <w:r w:rsidRPr="00D00722">
              <w:rPr>
                <w:rFonts w:ascii="Arial" w:hAnsi="Arial" w:cs="Arial"/>
                <w:color w:val="000000"/>
                <w:sz w:val="16"/>
                <w:szCs w:val="16"/>
              </w:rPr>
              <w:t>Esas faaliyetlerden diğer gelirler</w:t>
            </w:r>
          </w:p>
        </w:tc>
        <w:tc>
          <w:tcPr>
            <w:tcW w:w="1103" w:type="dxa"/>
            <w:tcBorders>
              <w:top w:val="nil"/>
              <w:left w:val="nil"/>
              <w:bottom w:val="nil"/>
              <w:right w:val="nil"/>
            </w:tcBorders>
          </w:tcPr>
          <w:p w:rsidR="00826BEC" w:rsidRPr="00D00722" w:rsidRDefault="00826BEC" w:rsidP="00A27292">
            <w:pPr>
              <w:autoSpaceDE w:val="0"/>
              <w:autoSpaceDN w:val="0"/>
              <w:adjustRightInd w:val="0"/>
              <w:jc w:val="right"/>
              <w:rPr>
                <w:rFonts w:ascii="Arial" w:hAnsi="Arial" w:cs="Arial"/>
                <w:color w:val="000000"/>
                <w:sz w:val="16"/>
                <w:szCs w:val="16"/>
              </w:rPr>
            </w:pPr>
            <w:r w:rsidRPr="00D00722">
              <w:rPr>
                <w:rFonts w:ascii="Arial" w:hAnsi="Arial" w:cs="Arial"/>
                <w:color w:val="000000"/>
                <w:sz w:val="16"/>
                <w:szCs w:val="16"/>
              </w:rPr>
              <w:t>19</w:t>
            </w:r>
          </w:p>
        </w:tc>
        <w:tc>
          <w:tcPr>
            <w:tcW w:w="1572" w:type="dxa"/>
            <w:tcBorders>
              <w:top w:val="nil"/>
              <w:left w:val="nil"/>
              <w:bottom w:val="nil"/>
              <w:right w:val="nil"/>
            </w:tcBorders>
            <w:vAlign w:val="bottom"/>
          </w:tcPr>
          <w:p w:rsidR="00826BEC" w:rsidRPr="00D00722" w:rsidRDefault="00ED6F5D" w:rsidP="003C2FFC">
            <w:pPr>
              <w:jc w:val="right"/>
              <w:rPr>
                <w:rFonts w:ascii="Arial" w:hAnsi="Arial" w:cs="Arial"/>
                <w:b/>
                <w:bCs/>
                <w:color w:val="000000"/>
                <w:sz w:val="16"/>
                <w:szCs w:val="16"/>
              </w:rPr>
            </w:pPr>
            <w:r w:rsidRPr="00D00722">
              <w:rPr>
                <w:rFonts w:ascii="Arial" w:hAnsi="Arial" w:cs="Arial"/>
                <w:b/>
                <w:bCs/>
                <w:color w:val="000000"/>
                <w:sz w:val="16"/>
                <w:szCs w:val="16"/>
              </w:rPr>
              <w:t>2</w:t>
            </w:r>
            <w:r w:rsidR="003C2FFC" w:rsidRPr="00D00722">
              <w:rPr>
                <w:rFonts w:ascii="Arial" w:hAnsi="Arial" w:cs="Arial"/>
                <w:b/>
                <w:bCs/>
                <w:color w:val="000000"/>
                <w:sz w:val="16"/>
                <w:szCs w:val="16"/>
              </w:rPr>
              <w:t>2</w:t>
            </w:r>
            <w:r w:rsidRPr="00D00722">
              <w:rPr>
                <w:rFonts w:ascii="Arial" w:hAnsi="Arial" w:cs="Arial"/>
                <w:b/>
                <w:bCs/>
                <w:color w:val="000000"/>
                <w:sz w:val="16"/>
                <w:szCs w:val="16"/>
              </w:rPr>
              <w:t>.</w:t>
            </w:r>
            <w:r w:rsidR="00C653B1" w:rsidRPr="00D00722">
              <w:rPr>
                <w:rFonts w:ascii="Arial" w:hAnsi="Arial" w:cs="Arial"/>
                <w:b/>
                <w:bCs/>
                <w:color w:val="000000"/>
                <w:sz w:val="16"/>
                <w:szCs w:val="16"/>
              </w:rPr>
              <w:t>037</w:t>
            </w:r>
          </w:p>
        </w:tc>
        <w:tc>
          <w:tcPr>
            <w:tcW w:w="1617" w:type="dxa"/>
            <w:tcBorders>
              <w:top w:val="nil"/>
              <w:left w:val="nil"/>
              <w:bottom w:val="nil"/>
              <w:right w:val="nil"/>
            </w:tcBorders>
            <w:vAlign w:val="bottom"/>
          </w:tcPr>
          <w:p w:rsidR="00826BEC" w:rsidRPr="00D00722" w:rsidRDefault="00615271" w:rsidP="00615271">
            <w:pPr>
              <w:jc w:val="right"/>
              <w:rPr>
                <w:rFonts w:ascii="Arial" w:hAnsi="Arial" w:cs="Arial"/>
                <w:bCs/>
                <w:color w:val="000000"/>
                <w:sz w:val="16"/>
                <w:szCs w:val="16"/>
              </w:rPr>
            </w:pPr>
            <w:r w:rsidRPr="00D00722">
              <w:rPr>
                <w:rFonts w:ascii="Arial" w:hAnsi="Arial" w:cs="Arial"/>
                <w:bCs/>
                <w:color w:val="000000"/>
                <w:sz w:val="16"/>
                <w:szCs w:val="16"/>
              </w:rPr>
              <w:t>30</w:t>
            </w:r>
            <w:r w:rsidR="00826BEC" w:rsidRPr="00D00722">
              <w:rPr>
                <w:rFonts w:ascii="Arial" w:hAnsi="Arial" w:cs="Arial"/>
                <w:bCs/>
                <w:color w:val="000000"/>
                <w:sz w:val="16"/>
                <w:szCs w:val="16"/>
              </w:rPr>
              <w:t>.</w:t>
            </w:r>
            <w:r w:rsidRPr="00D00722">
              <w:rPr>
                <w:rFonts w:ascii="Arial" w:hAnsi="Arial" w:cs="Arial"/>
                <w:bCs/>
                <w:color w:val="000000"/>
                <w:sz w:val="16"/>
                <w:szCs w:val="16"/>
              </w:rPr>
              <w:t>852</w:t>
            </w:r>
          </w:p>
        </w:tc>
      </w:tr>
      <w:tr w:rsidR="00826BEC" w:rsidRPr="00D00722" w:rsidTr="009A5458">
        <w:trPr>
          <w:trHeight w:val="113"/>
        </w:trPr>
        <w:tc>
          <w:tcPr>
            <w:tcW w:w="4820" w:type="dxa"/>
            <w:tcBorders>
              <w:top w:val="nil"/>
              <w:left w:val="nil"/>
              <w:bottom w:val="nil"/>
              <w:right w:val="nil"/>
            </w:tcBorders>
            <w:vAlign w:val="bottom"/>
          </w:tcPr>
          <w:p w:rsidR="00826BEC" w:rsidRPr="00D00722" w:rsidRDefault="00826BEC" w:rsidP="00A870BB">
            <w:pPr>
              <w:autoSpaceDE w:val="0"/>
              <w:autoSpaceDN w:val="0"/>
              <w:adjustRightInd w:val="0"/>
              <w:ind w:hanging="108"/>
              <w:rPr>
                <w:rFonts w:ascii="Arial" w:hAnsi="Arial" w:cs="Arial"/>
                <w:color w:val="000000"/>
                <w:sz w:val="16"/>
                <w:szCs w:val="16"/>
              </w:rPr>
            </w:pPr>
            <w:r w:rsidRPr="00D00722">
              <w:rPr>
                <w:rFonts w:ascii="Arial" w:hAnsi="Arial" w:cs="Arial"/>
                <w:color w:val="000000"/>
                <w:sz w:val="16"/>
                <w:szCs w:val="16"/>
              </w:rPr>
              <w:t>Esas faaliyetlerden diğer giderler (-)</w:t>
            </w:r>
          </w:p>
        </w:tc>
        <w:tc>
          <w:tcPr>
            <w:tcW w:w="1103" w:type="dxa"/>
            <w:tcBorders>
              <w:top w:val="nil"/>
              <w:left w:val="nil"/>
              <w:bottom w:val="nil"/>
              <w:right w:val="nil"/>
            </w:tcBorders>
          </w:tcPr>
          <w:p w:rsidR="00826BEC" w:rsidRPr="00D00722" w:rsidRDefault="00826BEC" w:rsidP="00A27292">
            <w:pPr>
              <w:autoSpaceDE w:val="0"/>
              <w:autoSpaceDN w:val="0"/>
              <w:adjustRightInd w:val="0"/>
              <w:jc w:val="right"/>
              <w:rPr>
                <w:rFonts w:ascii="Arial" w:hAnsi="Arial" w:cs="Arial"/>
                <w:color w:val="000000"/>
                <w:sz w:val="16"/>
                <w:szCs w:val="16"/>
              </w:rPr>
            </w:pPr>
            <w:r w:rsidRPr="00D00722">
              <w:rPr>
                <w:rFonts w:ascii="Arial" w:hAnsi="Arial" w:cs="Arial"/>
                <w:color w:val="000000"/>
                <w:sz w:val="16"/>
                <w:szCs w:val="16"/>
              </w:rPr>
              <w:t>20</w:t>
            </w:r>
          </w:p>
        </w:tc>
        <w:tc>
          <w:tcPr>
            <w:tcW w:w="1572" w:type="dxa"/>
            <w:tcBorders>
              <w:top w:val="nil"/>
              <w:left w:val="nil"/>
              <w:bottom w:val="nil"/>
              <w:right w:val="nil"/>
            </w:tcBorders>
            <w:vAlign w:val="bottom"/>
          </w:tcPr>
          <w:p w:rsidR="00826BEC" w:rsidRPr="00D00722" w:rsidRDefault="00ED6F5D" w:rsidP="00C653B1">
            <w:pPr>
              <w:jc w:val="right"/>
              <w:rPr>
                <w:rFonts w:ascii="Arial" w:hAnsi="Arial" w:cs="Arial"/>
                <w:b/>
                <w:bCs/>
                <w:color w:val="000000"/>
                <w:sz w:val="16"/>
                <w:szCs w:val="16"/>
              </w:rPr>
            </w:pPr>
            <w:r w:rsidRPr="00D00722">
              <w:rPr>
                <w:rFonts w:ascii="Arial" w:hAnsi="Arial" w:cs="Arial"/>
                <w:b/>
                <w:bCs/>
                <w:color w:val="000000"/>
                <w:sz w:val="16"/>
                <w:szCs w:val="16"/>
              </w:rPr>
              <w:t>(</w:t>
            </w:r>
            <w:r w:rsidR="00C653B1" w:rsidRPr="00D00722">
              <w:rPr>
                <w:rFonts w:ascii="Arial" w:hAnsi="Arial" w:cs="Arial"/>
                <w:b/>
                <w:bCs/>
                <w:color w:val="000000"/>
                <w:sz w:val="16"/>
                <w:szCs w:val="16"/>
              </w:rPr>
              <w:t>1.708</w:t>
            </w:r>
            <w:r w:rsidRPr="00D00722">
              <w:rPr>
                <w:rFonts w:ascii="Arial" w:hAnsi="Arial" w:cs="Arial"/>
                <w:b/>
                <w:bCs/>
                <w:color w:val="000000"/>
                <w:sz w:val="16"/>
                <w:szCs w:val="16"/>
              </w:rPr>
              <w:t>)</w:t>
            </w:r>
          </w:p>
        </w:tc>
        <w:tc>
          <w:tcPr>
            <w:tcW w:w="1617" w:type="dxa"/>
            <w:tcBorders>
              <w:top w:val="nil"/>
              <w:left w:val="nil"/>
              <w:bottom w:val="nil"/>
              <w:right w:val="nil"/>
            </w:tcBorders>
            <w:vAlign w:val="bottom"/>
          </w:tcPr>
          <w:p w:rsidR="00826BEC" w:rsidRPr="00D00722" w:rsidRDefault="00826BEC" w:rsidP="00615271">
            <w:pPr>
              <w:jc w:val="right"/>
              <w:rPr>
                <w:rFonts w:ascii="Arial" w:hAnsi="Arial" w:cs="Arial"/>
                <w:bCs/>
                <w:color w:val="000000"/>
                <w:sz w:val="16"/>
                <w:szCs w:val="16"/>
              </w:rPr>
            </w:pPr>
            <w:r w:rsidRPr="00D00722">
              <w:rPr>
                <w:rFonts w:ascii="Arial" w:hAnsi="Arial" w:cs="Arial"/>
                <w:bCs/>
                <w:color w:val="000000"/>
                <w:sz w:val="16"/>
                <w:szCs w:val="16"/>
              </w:rPr>
              <w:t>(</w:t>
            </w:r>
            <w:r w:rsidR="00615271" w:rsidRPr="00D00722">
              <w:rPr>
                <w:rFonts w:ascii="Arial" w:hAnsi="Arial" w:cs="Arial"/>
                <w:bCs/>
                <w:color w:val="000000"/>
                <w:sz w:val="16"/>
                <w:szCs w:val="16"/>
              </w:rPr>
              <w:t>759</w:t>
            </w:r>
            <w:r w:rsidRPr="00D00722">
              <w:rPr>
                <w:rFonts w:ascii="Arial" w:hAnsi="Arial" w:cs="Arial"/>
                <w:bCs/>
                <w:color w:val="000000"/>
                <w:sz w:val="16"/>
                <w:szCs w:val="16"/>
              </w:rPr>
              <w:t>)</w:t>
            </w:r>
          </w:p>
        </w:tc>
      </w:tr>
      <w:tr w:rsidR="00826BEC" w:rsidRPr="00D00722" w:rsidTr="00C917DA">
        <w:trPr>
          <w:trHeight w:val="113"/>
        </w:trPr>
        <w:tc>
          <w:tcPr>
            <w:tcW w:w="4820" w:type="dxa"/>
            <w:tcBorders>
              <w:top w:val="nil"/>
              <w:left w:val="nil"/>
              <w:bottom w:val="nil"/>
              <w:right w:val="nil"/>
            </w:tcBorders>
            <w:vAlign w:val="bottom"/>
          </w:tcPr>
          <w:p w:rsidR="00826BEC" w:rsidRPr="00D00722" w:rsidRDefault="00826BEC" w:rsidP="00A870BB">
            <w:pPr>
              <w:autoSpaceDE w:val="0"/>
              <w:autoSpaceDN w:val="0"/>
              <w:adjustRightInd w:val="0"/>
              <w:ind w:hanging="108"/>
              <w:rPr>
                <w:rFonts w:ascii="Arial" w:hAnsi="Arial" w:cs="Arial"/>
                <w:color w:val="000000"/>
                <w:sz w:val="16"/>
                <w:szCs w:val="16"/>
              </w:rPr>
            </w:pPr>
          </w:p>
        </w:tc>
        <w:tc>
          <w:tcPr>
            <w:tcW w:w="1103" w:type="dxa"/>
            <w:tcBorders>
              <w:top w:val="nil"/>
              <w:left w:val="nil"/>
              <w:bottom w:val="nil"/>
              <w:right w:val="nil"/>
            </w:tcBorders>
            <w:vAlign w:val="bottom"/>
          </w:tcPr>
          <w:p w:rsidR="00826BEC" w:rsidRPr="00D00722" w:rsidRDefault="00826BEC" w:rsidP="00A27292">
            <w:pPr>
              <w:autoSpaceDE w:val="0"/>
              <w:autoSpaceDN w:val="0"/>
              <w:adjustRightInd w:val="0"/>
              <w:jc w:val="right"/>
              <w:rPr>
                <w:rFonts w:ascii="Arial" w:hAnsi="Arial" w:cs="Arial"/>
                <w:color w:val="000000"/>
                <w:sz w:val="16"/>
                <w:szCs w:val="16"/>
              </w:rPr>
            </w:pPr>
          </w:p>
        </w:tc>
        <w:tc>
          <w:tcPr>
            <w:tcW w:w="1572" w:type="dxa"/>
            <w:tcBorders>
              <w:top w:val="nil"/>
              <w:left w:val="nil"/>
              <w:bottom w:val="nil"/>
              <w:right w:val="nil"/>
            </w:tcBorders>
            <w:vAlign w:val="bottom"/>
          </w:tcPr>
          <w:p w:rsidR="00826BEC" w:rsidRPr="00D00722" w:rsidRDefault="00826BEC" w:rsidP="00A27292">
            <w:pPr>
              <w:autoSpaceDE w:val="0"/>
              <w:autoSpaceDN w:val="0"/>
              <w:adjustRightInd w:val="0"/>
              <w:jc w:val="right"/>
              <w:rPr>
                <w:rFonts w:ascii="Arial" w:hAnsi="Arial" w:cs="Arial"/>
                <w:b/>
                <w:color w:val="000000"/>
                <w:sz w:val="16"/>
                <w:szCs w:val="16"/>
              </w:rPr>
            </w:pPr>
          </w:p>
        </w:tc>
        <w:tc>
          <w:tcPr>
            <w:tcW w:w="1617" w:type="dxa"/>
            <w:tcBorders>
              <w:top w:val="nil"/>
              <w:left w:val="nil"/>
              <w:bottom w:val="nil"/>
              <w:right w:val="nil"/>
            </w:tcBorders>
            <w:vAlign w:val="bottom"/>
          </w:tcPr>
          <w:p w:rsidR="00826BEC" w:rsidRPr="00D00722" w:rsidRDefault="00826BEC" w:rsidP="009E6AD4">
            <w:pPr>
              <w:autoSpaceDE w:val="0"/>
              <w:autoSpaceDN w:val="0"/>
              <w:adjustRightInd w:val="0"/>
              <w:jc w:val="right"/>
              <w:rPr>
                <w:rFonts w:ascii="Arial" w:hAnsi="Arial" w:cs="Arial"/>
                <w:color w:val="000000"/>
                <w:sz w:val="16"/>
                <w:szCs w:val="16"/>
              </w:rPr>
            </w:pPr>
          </w:p>
        </w:tc>
      </w:tr>
      <w:tr w:rsidR="00826BEC" w:rsidRPr="00D00722" w:rsidTr="00C917DA">
        <w:trPr>
          <w:trHeight w:val="113"/>
        </w:trPr>
        <w:tc>
          <w:tcPr>
            <w:tcW w:w="4820" w:type="dxa"/>
            <w:tcBorders>
              <w:top w:val="single" w:sz="6" w:space="0" w:color="auto"/>
              <w:left w:val="nil"/>
              <w:bottom w:val="single" w:sz="6" w:space="0" w:color="auto"/>
              <w:right w:val="nil"/>
            </w:tcBorders>
            <w:vAlign w:val="bottom"/>
          </w:tcPr>
          <w:p w:rsidR="00826BEC" w:rsidRPr="00D00722" w:rsidRDefault="00D1135B" w:rsidP="00A870BB">
            <w:pPr>
              <w:autoSpaceDE w:val="0"/>
              <w:autoSpaceDN w:val="0"/>
              <w:adjustRightInd w:val="0"/>
              <w:ind w:hanging="108"/>
              <w:rPr>
                <w:rFonts w:ascii="Arial" w:hAnsi="Arial" w:cs="Arial"/>
                <w:b/>
                <w:bCs/>
                <w:color w:val="000000"/>
                <w:sz w:val="16"/>
                <w:szCs w:val="16"/>
              </w:rPr>
            </w:pPr>
            <w:r w:rsidRPr="00D00722">
              <w:rPr>
                <w:rFonts w:ascii="Arial" w:hAnsi="Arial" w:cs="Arial"/>
                <w:b/>
                <w:bCs/>
                <w:color w:val="000000"/>
                <w:sz w:val="16"/>
                <w:szCs w:val="16"/>
              </w:rPr>
              <w:t>Esas f</w:t>
            </w:r>
            <w:r w:rsidR="00826BEC" w:rsidRPr="00D00722">
              <w:rPr>
                <w:rFonts w:ascii="Arial" w:hAnsi="Arial" w:cs="Arial"/>
                <w:b/>
                <w:bCs/>
                <w:color w:val="000000"/>
                <w:sz w:val="16"/>
                <w:szCs w:val="16"/>
              </w:rPr>
              <w:t>aaliyet karı/(zararı)</w:t>
            </w:r>
          </w:p>
        </w:tc>
        <w:tc>
          <w:tcPr>
            <w:tcW w:w="1103" w:type="dxa"/>
            <w:tcBorders>
              <w:top w:val="single" w:sz="6" w:space="0" w:color="auto"/>
              <w:left w:val="nil"/>
              <w:bottom w:val="single" w:sz="6" w:space="0" w:color="auto"/>
              <w:right w:val="nil"/>
            </w:tcBorders>
            <w:vAlign w:val="bottom"/>
          </w:tcPr>
          <w:p w:rsidR="00826BEC" w:rsidRPr="00D00722" w:rsidRDefault="00826BEC" w:rsidP="00A27292">
            <w:pPr>
              <w:autoSpaceDE w:val="0"/>
              <w:autoSpaceDN w:val="0"/>
              <w:adjustRightInd w:val="0"/>
              <w:jc w:val="right"/>
              <w:rPr>
                <w:rFonts w:ascii="Arial" w:hAnsi="Arial" w:cs="Arial"/>
                <w:color w:val="000000"/>
                <w:sz w:val="16"/>
                <w:szCs w:val="16"/>
              </w:rPr>
            </w:pPr>
          </w:p>
        </w:tc>
        <w:tc>
          <w:tcPr>
            <w:tcW w:w="1572" w:type="dxa"/>
            <w:tcBorders>
              <w:top w:val="single" w:sz="6" w:space="0" w:color="auto"/>
              <w:left w:val="nil"/>
              <w:bottom w:val="single" w:sz="6" w:space="0" w:color="auto"/>
              <w:right w:val="nil"/>
            </w:tcBorders>
            <w:vAlign w:val="bottom"/>
          </w:tcPr>
          <w:p w:rsidR="00826BEC" w:rsidRPr="00D00722" w:rsidRDefault="00ED6F5D" w:rsidP="00A27292">
            <w:pPr>
              <w:autoSpaceDE w:val="0"/>
              <w:autoSpaceDN w:val="0"/>
              <w:adjustRightInd w:val="0"/>
              <w:jc w:val="right"/>
              <w:rPr>
                <w:rFonts w:ascii="Arial" w:hAnsi="Arial" w:cs="Arial"/>
                <w:b/>
                <w:bCs/>
                <w:color w:val="000000"/>
                <w:sz w:val="16"/>
                <w:szCs w:val="16"/>
              </w:rPr>
            </w:pPr>
            <w:r w:rsidRPr="00D00722">
              <w:rPr>
                <w:rFonts w:ascii="Arial" w:hAnsi="Arial" w:cs="Arial"/>
                <w:b/>
                <w:bCs/>
                <w:color w:val="000000"/>
                <w:sz w:val="16"/>
                <w:szCs w:val="16"/>
              </w:rPr>
              <w:t>(289.827)</w:t>
            </w:r>
          </w:p>
        </w:tc>
        <w:tc>
          <w:tcPr>
            <w:tcW w:w="1617" w:type="dxa"/>
            <w:tcBorders>
              <w:top w:val="single" w:sz="6" w:space="0" w:color="auto"/>
              <w:left w:val="nil"/>
              <w:bottom w:val="single" w:sz="6" w:space="0" w:color="auto"/>
              <w:right w:val="nil"/>
            </w:tcBorders>
            <w:vAlign w:val="bottom"/>
          </w:tcPr>
          <w:p w:rsidR="00826BEC" w:rsidRPr="00D00722" w:rsidRDefault="00826BEC" w:rsidP="00615271">
            <w:pPr>
              <w:autoSpaceDE w:val="0"/>
              <w:autoSpaceDN w:val="0"/>
              <w:adjustRightInd w:val="0"/>
              <w:jc w:val="right"/>
              <w:rPr>
                <w:rFonts w:ascii="Arial" w:hAnsi="Arial" w:cs="Arial"/>
                <w:bCs/>
                <w:color w:val="000000"/>
                <w:sz w:val="16"/>
                <w:szCs w:val="16"/>
              </w:rPr>
            </w:pPr>
            <w:r w:rsidRPr="00D00722">
              <w:rPr>
                <w:rFonts w:ascii="Arial" w:hAnsi="Arial" w:cs="Arial"/>
                <w:bCs/>
                <w:color w:val="000000"/>
                <w:sz w:val="16"/>
                <w:szCs w:val="16"/>
              </w:rPr>
              <w:t>(</w:t>
            </w:r>
            <w:r w:rsidR="00615271" w:rsidRPr="00D00722">
              <w:rPr>
                <w:rFonts w:ascii="Arial" w:hAnsi="Arial" w:cs="Arial"/>
                <w:bCs/>
                <w:color w:val="000000"/>
                <w:sz w:val="16"/>
                <w:szCs w:val="16"/>
              </w:rPr>
              <w:t>34</w:t>
            </w:r>
            <w:r w:rsidRPr="00D00722">
              <w:rPr>
                <w:rFonts w:ascii="Arial" w:hAnsi="Arial" w:cs="Arial"/>
                <w:bCs/>
                <w:color w:val="000000"/>
                <w:sz w:val="16"/>
                <w:szCs w:val="16"/>
              </w:rPr>
              <w:t>.</w:t>
            </w:r>
            <w:r w:rsidR="00615271" w:rsidRPr="00D00722">
              <w:rPr>
                <w:rFonts w:ascii="Arial" w:hAnsi="Arial" w:cs="Arial"/>
                <w:bCs/>
                <w:color w:val="000000"/>
                <w:sz w:val="16"/>
                <w:szCs w:val="16"/>
              </w:rPr>
              <w:t>855</w:t>
            </w:r>
            <w:r w:rsidRPr="00D00722">
              <w:rPr>
                <w:rFonts w:ascii="Arial" w:hAnsi="Arial" w:cs="Arial"/>
                <w:bCs/>
                <w:color w:val="000000"/>
                <w:sz w:val="16"/>
                <w:szCs w:val="16"/>
              </w:rPr>
              <w:t>)</w:t>
            </w:r>
          </w:p>
        </w:tc>
      </w:tr>
      <w:tr w:rsidR="00826BEC" w:rsidRPr="00D00722" w:rsidTr="00C917DA">
        <w:trPr>
          <w:trHeight w:val="113"/>
        </w:trPr>
        <w:tc>
          <w:tcPr>
            <w:tcW w:w="4820" w:type="dxa"/>
            <w:tcBorders>
              <w:top w:val="nil"/>
              <w:left w:val="nil"/>
              <w:bottom w:val="nil"/>
              <w:right w:val="nil"/>
            </w:tcBorders>
            <w:vAlign w:val="bottom"/>
          </w:tcPr>
          <w:p w:rsidR="00826BEC" w:rsidRPr="00D00722" w:rsidRDefault="00826BEC" w:rsidP="00A870BB">
            <w:pPr>
              <w:autoSpaceDE w:val="0"/>
              <w:autoSpaceDN w:val="0"/>
              <w:adjustRightInd w:val="0"/>
              <w:ind w:hanging="108"/>
              <w:rPr>
                <w:rFonts w:ascii="Arial" w:hAnsi="Arial" w:cs="Arial"/>
                <w:color w:val="000000"/>
                <w:sz w:val="16"/>
                <w:szCs w:val="16"/>
              </w:rPr>
            </w:pPr>
          </w:p>
        </w:tc>
        <w:tc>
          <w:tcPr>
            <w:tcW w:w="1103" w:type="dxa"/>
            <w:tcBorders>
              <w:top w:val="nil"/>
              <w:left w:val="nil"/>
              <w:bottom w:val="nil"/>
              <w:right w:val="nil"/>
            </w:tcBorders>
            <w:vAlign w:val="bottom"/>
          </w:tcPr>
          <w:p w:rsidR="00826BEC" w:rsidRPr="00D00722" w:rsidRDefault="00826BEC" w:rsidP="00A27292">
            <w:pPr>
              <w:autoSpaceDE w:val="0"/>
              <w:autoSpaceDN w:val="0"/>
              <w:adjustRightInd w:val="0"/>
              <w:jc w:val="right"/>
              <w:rPr>
                <w:rFonts w:ascii="Arial" w:hAnsi="Arial" w:cs="Arial"/>
                <w:color w:val="000000"/>
                <w:sz w:val="16"/>
                <w:szCs w:val="16"/>
              </w:rPr>
            </w:pPr>
          </w:p>
        </w:tc>
        <w:tc>
          <w:tcPr>
            <w:tcW w:w="1572" w:type="dxa"/>
            <w:tcBorders>
              <w:top w:val="nil"/>
              <w:left w:val="nil"/>
              <w:bottom w:val="nil"/>
              <w:right w:val="nil"/>
            </w:tcBorders>
            <w:vAlign w:val="bottom"/>
          </w:tcPr>
          <w:p w:rsidR="00826BEC" w:rsidRPr="00D00722" w:rsidRDefault="00826BEC" w:rsidP="00A27292">
            <w:pPr>
              <w:autoSpaceDE w:val="0"/>
              <w:autoSpaceDN w:val="0"/>
              <w:adjustRightInd w:val="0"/>
              <w:jc w:val="right"/>
              <w:rPr>
                <w:rFonts w:ascii="Arial" w:hAnsi="Arial" w:cs="Arial"/>
                <w:b/>
                <w:color w:val="000000"/>
                <w:sz w:val="16"/>
                <w:szCs w:val="16"/>
              </w:rPr>
            </w:pPr>
          </w:p>
        </w:tc>
        <w:tc>
          <w:tcPr>
            <w:tcW w:w="1617" w:type="dxa"/>
            <w:tcBorders>
              <w:top w:val="nil"/>
              <w:left w:val="nil"/>
              <w:bottom w:val="nil"/>
              <w:right w:val="nil"/>
            </w:tcBorders>
            <w:vAlign w:val="bottom"/>
          </w:tcPr>
          <w:p w:rsidR="00826BEC" w:rsidRPr="00D00722" w:rsidRDefault="00826BEC" w:rsidP="009E6AD4">
            <w:pPr>
              <w:autoSpaceDE w:val="0"/>
              <w:autoSpaceDN w:val="0"/>
              <w:adjustRightInd w:val="0"/>
              <w:jc w:val="right"/>
              <w:rPr>
                <w:rFonts w:ascii="Arial" w:hAnsi="Arial" w:cs="Arial"/>
                <w:color w:val="000000"/>
                <w:sz w:val="16"/>
                <w:szCs w:val="16"/>
              </w:rPr>
            </w:pPr>
          </w:p>
        </w:tc>
      </w:tr>
      <w:tr w:rsidR="00826BEC" w:rsidRPr="00D00722" w:rsidTr="00C917DA">
        <w:trPr>
          <w:trHeight w:val="113"/>
        </w:trPr>
        <w:tc>
          <w:tcPr>
            <w:tcW w:w="4820" w:type="dxa"/>
            <w:tcBorders>
              <w:top w:val="single" w:sz="6" w:space="0" w:color="auto"/>
              <w:left w:val="nil"/>
              <w:bottom w:val="single" w:sz="6" w:space="0" w:color="auto"/>
              <w:right w:val="nil"/>
            </w:tcBorders>
            <w:vAlign w:val="bottom"/>
          </w:tcPr>
          <w:p w:rsidR="00826BEC" w:rsidRPr="00D00722" w:rsidRDefault="00826BEC" w:rsidP="00A870BB">
            <w:pPr>
              <w:autoSpaceDE w:val="0"/>
              <w:autoSpaceDN w:val="0"/>
              <w:adjustRightInd w:val="0"/>
              <w:ind w:hanging="108"/>
              <w:rPr>
                <w:rFonts w:ascii="Arial" w:hAnsi="Arial" w:cs="Arial"/>
                <w:b/>
                <w:bCs/>
                <w:color w:val="000000"/>
                <w:sz w:val="16"/>
                <w:szCs w:val="16"/>
              </w:rPr>
            </w:pPr>
            <w:r w:rsidRPr="00D00722">
              <w:rPr>
                <w:rFonts w:ascii="Arial" w:hAnsi="Arial" w:cs="Arial"/>
                <w:b/>
                <w:bCs/>
                <w:color w:val="000000"/>
                <w:sz w:val="16"/>
                <w:szCs w:val="16"/>
              </w:rPr>
              <w:t>Sürdürülen faaliyetler vergi öncesi karı / (zararı)</w:t>
            </w:r>
          </w:p>
        </w:tc>
        <w:tc>
          <w:tcPr>
            <w:tcW w:w="1103" w:type="dxa"/>
            <w:tcBorders>
              <w:top w:val="single" w:sz="6" w:space="0" w:color="auto"/>
              <w:left w:val="nil"/>
              <w:bottom w:val="single" w:sz="6" w:space="0" w:color="auto"/>
              <w:right w:val="nil"/>
            </w:tcBorders>
            <w:vAlign w:val="bottom"/>
          </w:tcPr>
          <w:p w:rsidR="00826BEC" w:rsidRPr="00D00722" w:rsidRDefault="00826BEC" w:rsidP="00A27292">
            <w:pPr>
              <w:autoSpaceDE w:val="0"/>
              <w:autoSpaceDN w:val="0"/>
              <w:adjustRightInd w:val="0"/>
              <w:jc w:val="right"/>
              <w:rPr>
                <w:rFonts w:ascii="Arial" w:hAnsi="Arial" w:cs="Arial"/>
                <w:color w:val="000000"/>
                <w:sz w:val="16"/>
                <w:szCs w:val="16"/>
              </w:rPr>
            </w:pPr>
          </w:p>
        </w:tc>
        <w:tc>
          <w:tcPr>
            <w:tcW w:w="1572" w:type="dxa"/>
            <w:tcBorders>
              <w:top w:val="single" w:sz="6" w:space="0" w:color="auto"/>
              <w:left w:val="nil"/>
              <w:bottom w:val="single" w:sz="6" w:space="0" w:color="auto"/>
              <w:right w:val="nil"/>
            </w:tcBorders>
            <w:vAlign w:val="bottom"/>
          </w:tcPr>
          <w:p w:rsidR="00826BEC" w:rsidRPr="00D00722" w:rsidRDefault="00ED6F5D" w:rsidP="00ED6F5D">
            <w:pPr>
              <w:autoSpaceDE w:val="0"/>
              <w:autoSpaceDN w:val="0"/>
              <w:adjustRightInd w:val="0"/>
              <w:jc w:val="right"/>
              <w:rPr>
                <w:rFonts w:ascii="Arial" w:hAnsi="Arial" w:cs="Arial"/>
                <w:b/>
                <w:bCs/>
                <w:color w:val="000000"/>
                <w:sz w:val="16"/>
                <w:szCs w:val="16"/>
              </w:rPr>
            </w:pPr>
            <w:r w:rsidRPr="00D00722">
              <w:rPr>
                <w:rFonts w:ascii="Arial" w:hAnsi="Arial" w:cs="Arial"/>
                <w:b/>
                <w:bCs/>
                <w:color w:val="000000"/>
                <w:sz w:val="16"/>
                <w:szCs w:val="16"/>
              </w:rPr>
              <w:t>(289.827)</w:t>
            </w:r>
          </w:p>
        </w:tc>
        <w:tc>
          <w:tcPr>
            <w:tcW w:w="1617" w:type="dxa"/>
            <w:tcBorders>
              <w:top w:val="single" w:sz="6" w:space="0" w:color="auto"/>
              <w:left w:val="nil"/>
              <w:bottom w:val="single" w:sz="6" w:space="0" w:color="auto"/>
              <w:right w:val="nil"/>
            </w:tcBorders>
            <w:vAlign w:val="bottom"/>
          </w:tcPr>
          <w:p w:rsidR="00826BEC" w:rsidRPr="00D00722" w:rsidRDefault="00826BEC" w:rsidP="00615271">
            <w:pPr>
              <w:autoSpaceDE w:val="0"/>
              <w:autoSpaceDN w:val="0"/>
              <w:adjustRightInd w:val="0"/>
              <w:jc w:val="right"/>
              <w:rPr>
                <w:rFonts w:ascii="Arial" w:hAnsi="Arial" w:cs="Arial"/>
                <w:bCs/>
                <w:color w:val="000000"/>
                <w:sz w:val="16"/>
                <w:szCs w:val="16"/>
              </w:rPr>
            </w:pPr>
            <w:r w:rsidRPr="00D00722">
              <w:rPr>
                <w:rFonts w:ascii="Arial" w:hAnsi="Arial" w:cs="Arial"/>
                <w:bCs/>
                <w:color w:val="000000"/>
                <w:sz w:val="16"/>
                <w:szCs w:val="16"/>
              </w:rPr>
              <w:t>(</w:t>
            </w:r>
            <w:r w:rsidR="00615271" w:rsidRPr="00D00722">
              <w:rPr>
                <w:rFonts w:ascii="Arial" w:hAnsi="Arial" w:cs="Arial"/>
                <w:bCs/>
                <w:color w:val="000000"/>
                <w:sz w:val="16"/>
                <w:szCs w:val="16"/>
              </w:rPr>
              <w:t>34</w:t>
            </w:r>
            <w:r w:rsidRPr="00D00722">
              <w:rPr>
                <w:rFonts w:ascii="Arial" w:hAnsi="Arial" w:cs="Arial"/>
                <w:bCs/>
                <w:color w:val="000000"/>
                <w:sz w:val="16"/>
                <w:szCs w:val="16"/>
              </w:rPr>
              <w:t>.</w:t>
            </w:r>
            <w:r w:rsidR="00615271" w:rsidRPr="00D00722">
              <w:rPr>
                <w:rFonts w:ascii="Arial" w:hAnsi="Arial" w:cs="Arial"/>
                <w:bCs/>
                <w:color w:val="000000"/>
                <w:sz w:val="16"/>
                <w:szCs w:val="16"/>
              </w:rPr>
              <w:t>855</w:t>
            </w:r>
            <w:r w:rsidRPr="00D00722">
              <w:rPr>
                <w:rFonts w:ascii="Arial" w:hAnsi="Arial" w:cs="Arial"/>
                <w:bCs/>
                <w:color w:val="000000"/>
                <w:sz w:val="16"/>
                <w:szCs w:val="16"/>
              </w:rPr>
              <w:t>)</w:t>
            </w:r>
          </w:p>
        </w:tc>
      </w:tr>
      <w:tr w:rsidR="00826BEC" w:rsidRPr="00D00722" w:rsidTr="00C917DA">
        <w:trPr>
          <w:trHeight w:val="113"/>
        </w:trPr>
        <w:tc>
          <w:tcPr>
            <w:tcW w:w="4820" w:type="dxa"/>
            <w:tcBorders>
              <w:top w:val="nil"/>
              <w:left w:val="nil"/>
              <w:bottom w:val="nil"/>
              <w:right w:val="nil"/>
            </w:tcBorders>
            <w:vAlign w:val="bottom"/>
          </w:tcPr>
          <w:p w:rsidR="00826BEC" w:rsidRPr="00D00722" w:rsidRDefault="00826BEC" w:rsidP="00A870BB">
            <w:pPr>
              <w:autoSpaceDE w:val="0"/>
              <w:autoSpaceDN w:val="0"/>
              <w:adjustRightInd w:val="0"/>
              <w:ind w:hanging="108"/>
              <w:rPr>
                <w:rFonts w:ascii="Arial" w:hAnsi="Arial" w:cs="Arial"/>
                <w:color w:val="000000"/>
                <w:sz w:val="16"/>
                <w:szCs w:val="16"/>
              </w:rPr>
            </w:pPr>
          </w:p>
        </w:tc>
        <w:tc>
          <w:tcPr>
            <w:tcW w:w="1103" w:type="dxa"/>
            <w:tcBorders>
              <w:top w:val="nil"/>
              <w:left w:val="nil"/>
              <w:bottom w:val="nil"/>
              <w:right w:val="nil"/>
            </w:tcBorders>
            <w:vAlign w:val="bottom"/>
          </w:tcPr>
          <w:p w:rsidR="00826BEC" w:rsidRPr="00D00722" w:rsidRDefault="00826BEC" w:rsidP="00A27292">
            <w:pPr>
              <w:autoSpaceDE w:val="0"/>
              <w:autoSpaceDN w:val="0"/>
              <w:adjustRightInd w:val="0"/>
              <w:jc w:val="right"/>
              <w:rPr>
                <w:rFonts w:ascii="Arial" w:hAnsi="Arial" w:cs="Arial"/>
                <w:color w:val="000000"/>
                <w:sz w:val="16"/>
                <w:szCs w:val="16"/>
              </w:rPr>
            </w:pPr>
          </w:p>
        </w:tc>
        <w:tc>
          <w:tcPr>
            <w:tcW w:w="1572" w:type="dxa"/>
            <w:tcBorders>
              <w:top w:val="nil"/>
              <w:left w:val="nil"/>
              <w:bottom w:val="nil"/>
              <w:right w:val="nil"/>
            </w:tcBorders>
            <w:vAlign w:val="bottom"/>
          </w:tcPr>
          <w:p w:rsidR="00826BEC" w:rsidRPr="00D00722" w:rsidRDefault="00826BEC" w:rsidP="00A27292">
            <w:pPr>
              <w:autoSpaceDE w:val="0"/>
              <w:autoSpaceDN w:val="0"/>
              <w:adjustRightInd w:val="0"/>
              <w:jc w:val="right"/>
              <w:rPr>
                <w:rFonts w:ascii="Arial" w:hAnsi="Arial" w:cs="Arial"/>
                <w:b/>
                <w:color w:val="000000"/>
                <w:sz w:val="16"/>
                <w:szCs w:val="16"/>
              </w:rPr>
            </w:pPr>
          </w:p>
        </w:tc>
        <w:tc>
          <w:tcPr>
            <w:tcW w:w="1617" w:type="dxa"/>
            <w:tcBorders>
              <w:top w:val="nil"/>
              <w:left w:val="nil"/>
              <w:bottom w:val="nil"/>
              <w:right w:val="nil"/>
            </w:tcBorders>
            <w:vAlign w:val="bottom"/>
          </w:tcPr>
          <w:p w:rsidR="00826BEC" w:rsidRPr="00D00722" w:rsidRDefault="00826BEC" w:rsidP="009E6AD4">
            <w:pPr>
              <w:autoSpaceDE w:val="0"/>
              <w:autoSpaceDN w:val="0"/>
              <w:adjustRightInd w:val="0"/>
              <w:jc w:val="right"/>
              <w:rPr>
                <w:rFonts w:ascii="Arial" w:hAnsi="Arial" w:cs="Arial"/>
                <w:color w:val="000000"/>
                <w:sz w:val="16"/>
                <w:szCs w:val="16"/>
              </w:rPr>
            </w:pPr>
          </w:p>
        </w:tc>
      </w:tr>
      <w:tr w:rsidR="00826BEC" w:rsidRPr="00D00722" w:rsidTr="00C917DA">
        <w:trPr>
          <w:trHeight w:val="113"/>
        </w:trPr>
        <w:tc>
          <w:tcPr>
            <w:tcW w:w="4820" w:type="dxa"/>
            <w:tcBorders>
              <w:top w:val="nil"/>
              <w:left w:val="nil"/>
              <w:bottom w:val="nil"/>
              <w:right w:val="nil"/>
            </w:tcBorders>
            <w:vAlign w:val="bottom"/>
          </w:tcPr>
          <w:p w:rsidR="00826BEC" w:rsidRPr="00D00722" w:rsidRDefault="00826BEC" w:rsidP="00A870BB">
            <w:pPr>
              <w:autoSpaceDE w:val="0"/>
              <w:autoSpaceDN w:val="0"/>
              <w:adjustRightInd w:val="0"/>
              <w:ind w:hanging="108"/>
              <w:rPr>
                <w:rFonts w:ascii="Arial" w:hAnsi="Arial" w:cs="Arial"/>
                <w:color w:val="000000"/>
                <w:sz w:val="16"/>
                <w:szCs w:val="16"/>
              </w:rPr>
            </w:pPr>
            <w:r w:rsidRPr="00D00722">
              <w:rPr>
                <w:rFonts w:ascii="Arial" w:hAnsi="Arial" w:cs="Arial"/>
                <w:color w:val="000000"/>
                <w:sz w:val="16"/>
                <w:szCs w:val="16"/>
              </w:rPr>
              <w:t>Sürdürülen faaliyetler vergi gelir / (gideri)</w:t>
            </w:r>
          </w:p>
        </w:tc>
        <w:tc>
          <w:tcPr>
            <w:tcW w:w="1103" w:type="dxa"/>
            <w:tcBorders>
              <w:top w:val="nil"/>
              <w:left w:val="nil"/>
              <w:bottom w:val="nil"/>
              <w:right w:val="nil"/>
            </w:tcBorders>
            <w:vAlign w:val="bottom"/>
          </w:tcPr>
          <w:p w:rsidR="00826BEC" w:rsidRPr="00D00722" w:rsidRDefault="00826BEC" w:rsidP="00A27292">
            <w:pPr>
              <w:autoSpaceDE w:val="0"/>
              <w:autoSpaceDN w:val="0"/>
              <w:adjustRightInd w:val="0"/>
              <w:jc w:val="right"/>
              <w:rPr>
                <w:rFonts w:ascii="Arial" w:hAnsi="Arial" w:cs="Arial"/>
                <w:color w:val="000000"/>
                <w:sz w:val="16"/>
                <w:szCs w:val="16"/>
              </w:rPr>
            </w:pPr>
          </w:p>
        </w:tc>
        <w:tc>
          <w:tcPr>
            <w:tcW w:w="1572" w:type="dxa"/>
            <w:tcBorders>
              <w:top w:val="nil"/>
              <w:left w:val="nil"/>
              <w:bottom w:val="nil"/>
              <w:right w:val="nil"/>
            </w:tcBorders>
            <w:vAlign w:val="bottom"/>
          </w:tcPr>
          <w:p w:rsidR="00826BEC" w:rsidRPr="00D00722" w:rsidRDefault="00826BEC" w:rsidP="00A27292">
            <w:pPr>
              <w:autoSpaceDE w:val="0"/>
              <w:autoSpaceDN w:val="0"/>
              <w:adjustRightInd w:val="0"/>
              <w:jc w:val="right"/>
              <w:rPr>
                <w:rFonts w:ascii="Arial" w:hAnsi="Arial" w:cs="Arial"/>
                <w:b/>
                <w:color w:val="000000"/>
                <w:sz w:val="16"/>
                <w:szCs w:val="16"/>
              </w:rPr>
            </w:pPr>
          </w:p>
        </w:tc>
        <w:tc>
          <w:tcPr>
            <w:tcW w:w="1617" w:type="dxa"/>
            <w:tcBorders>
              <w:top w:val="nil"/>
              <w:left w:val="nil"/>
              <w:bottom w:val="nil"/>
              <w:right w:val="nil"/>
            </w:tcBorders>
            <w:vAlign w:val="bottom"/>
          </w:tcPr>
          <w:p w:rsidR="00826BEC" w:rsidRPr="00D00722" w:rsidRDefault="00826BEC" w:rsidP="009E6AD4">
            <w:pPr>
              <w:autoSpaceDE w:val="0"/>
              <w:autoSpaceDN w:val="0"/>
              <w:adjustRightInd w:val="0"/>
              <w:jc w:val="right"/>
              <w:rPr>
                <w:rFonts w:ascii="Arial" w:hAnsi="Arial" w:cs="Arial"/>
                <w:color w:val="000000"/>
                <w:sz w:val="16"/>
                <w:szCs w:val="16"/>
              </w:rPr>
            </w:pPr>
          </w:p>
        </w:tc>
      </w:tr>
      <w:tr w:rsidR="00826BEC" w:rsidRPr="00D00722" w:rsidTr="00C917DA">
        <w:trPr>
          <w:trHeight w:val="113"/>
        </w:trPr>
        <w:tc>
          <w:tcPr>
            <w:tcW w:w="4820" w:type="dxa"/>
            <w:tcBorders>
              <w:top w:val="nil"/>
              <w:left w:val="nil"/>
              <w:bottom w:val="nil"/>
              <w:right w:val="nil"/>
            </w:tcBorders>
            <w:vAlign w:val="bottom"/>
          </w:tcPr>
          <w:p w:rsidR="00826BEC" w:rsidRPr="00D00722" w:rsidRDefault="00826BEC" w:rsidP="00A870BB">
            <w:pPr>
              <w:autoSpaceDE w:val="0"/>
              <w:autoSpaceDN w:val="0"/>
              <w:adjustRightInd w:val="0"/>
              <w:ind w:hanging="108"/>
              <w:rPr>
                <w:rFonts w:ascii="Arial" w:hAnsi="Arial" w:cs="Arial"/>
                <w:color w:val="000000"/>
                <w:sz w:val="16"/>
                <w:szCs w:val="16"/>
              </w:rPr>
            </w:pPr>
            <w:r w:rsidRPr="00D00722">
              <w:rPr>
                <w:rFonts w:ascii="Arial" w:hAnsi="Arial" w:cs="Arial"/>
                <w:color w:val="000000"/>
                <w:sz w:val="16"/>
                <w:szCs w:val="16"/>
              </w:rPr>
              <w:t xml:space="preserve"> - Dönem vergi gelir/ (gideri)</w:t>
            </w:r>
          </w:p>
        </w:tc>
        <w:tc>
          <w:tcPr>
            <w:tcW w:w="1103" w:type="dxa"/>
            <w:tcBorders>
              <w:top w:val="nil"/>
              <w:left w:val="nil"/>
              <w:bottom w:val="nil"/>
              <w:right w:val="nil"/>
            </w:tcBorders>
            <w:vAlign w:val="bottom"/>
          </w:tcPr>
          <w:p w:rsidR="00826BEC" w:rsidRPr="00D00722" w:rsidRDefault="00D1135B" w:rsidP="00A27292">
            <w:pPr>
              <w:autoSpaceDE w:val="0"/>
              <w:autoSpaceDN w:val="0"/>
              <w:adjustRightInd w:val="0"/>
              <w:jc w:val="right"/>
              <w:rPr>
                <w:rFonts w:ascii="Arial" w:hAnsi="Arial" w:cs="Arial"/>
                <w:color w:val="000000"/>
                <w:sz w:val="16"/>
                <w:szCs w:val="16"/>
              </w:rPr>
            </w:pPr>
            <w:r w:rsidRPr="00D00722">
              <w:rPr>
                <w:rFonts w:ascii="Arial" w:hAnsi="Arial" w:cs="Arial"/>
                <w:color w:val="000000"/>
                <w:sz w:val="16"/>
                <w:szCs w:val="16"/>
              </w:rPr>
              <w:t>21</w:t>
            </w:r>
          </w:p>
        </w:tc>
        <w:tc>
          <w:tcPr>
            <w:tcW w:w="1572" w:type="dxa"/>
            <w:tcBorders>
              <w:top w:val="nil"/>
              <w:left w:val="nil"/>
              <w:bottom w:val="nil"/>
              <w:right w:val="nil"/>
            </w:tcBorders>
            <w:vAlign w:val="bottom"/>
          </w:tcPr>
          <w:p w:rsidR="00826BEC" w:rsidRPr="00D00722" w:rsidRDefault="00826BEC" w:rsidP="00A27292">
            <w:pPr>
              <w:jc w:val="right"/>
              <w:rPr>
                <w:rFonts w:ascii="Arial" w:hAnsi="Arial" w:cs="Arial"/>
                <w:b/>
                <w:bCs/>
                <w:color w:val="000000"/>
                <w:sz w:val="16"/>
                <w:szCs w:val="16"/>
              </w:rPr>
            </w:pPr>
          </w:p>
        </w:tc>
        <w:tc>
          <w:tcPr>
            <w:tcW w:w="1617" w:type="dxa"/>
            <w:tcBorders>
              <w:top w:val="nil"/>
              <w:left w:val="nil"/>
              <w:bottom w:val="nil"/>
              <w:right w:val="nil"/>
            </w:tcBorders>
            <w:vAlign w:val="bottom"/>
          </w:tcPr>
          <w:p w:rsidR="00826BEC" w:rsidRPr="00D00722" w:rsidRDefault="00826BEC" w:rsidP="009E6AD4">
            <w:pPr>
              <w:jc w:val="right"/>
              <w:rPr>
                <w:rFonts w:ascii="Arial" w:hAnsi="Arial" w:cs="Arial"/>
                <w:bCs/>
                <w:color w:val="000000"/>
                <w:sz w:val="16"/>
                <w:szCs w:val="16"/>
              </w:rPr>
            </w:pPr>
          </w:p>
        </w:tc>
      </w:tr>
      <w:tr w:rsidR="00826BEC" w:rsidRPr="00D00722" w:rsidTr="00C917DA">
        <w:trPr>
          <w:trHeight w:val="113"/>
        </w:trPr>
        <w:tc>
          <w:tcPr>
            <w:tcW w:w="4820" w:type="dxa"/>
            <w:tcBorders>
              <w:top w:val="nil"/>
              <w:left w:val="nil"/>
              <w:bottom w:val="nil"/>
              <w:right w:val="nil"/>
            </w:tcBorders>
            <w:vAlign w:val="bottom"/>
          </w:tcPr>
          <w:p w:rsidR="00826BEC" w:rsidRPr="00D00722" w:rsidRDefault="00826BEC" w:rsidP="00A870BB">
            <w:pPr>
              <w:autoSpaceDE w:val="0"/>
              <w:autoSpaceDN w:val="0"/>
              <w:adjustRightInd w:val="0"/>
              <w:ind w:hanging="108"/>
              <w:rPr>
                <w:rFonts w:ascii="Arial" w:hAnsi="Arial" w:cs="Arial"/>
                <w:color w:val="000000"/>
                <w:sz w:val="16"/>
                <w:szCs w:val="16"/>
              </w:rPr>
            </w:pPr>
            <w:r w:rsidRPr="00D00722">
              <w:rPr>
                <w:rFonts w:ascii="Arial" w:hAnsi="Arial" w:cs="Arial"/>
                <w:color w:val="000000"/>
                <w:sz w:val="16"/>
                <w:szCs w:val="16"/>
              </w:rPr>
              <w:t xml:space="preserve"> - Ertelenmiş vergi gelir/ (gideri)</w:t>
            </w:r>
          </w:p>
        </w:tc>
        <w:tc>
          <w:tcPr>
            <w:tcW w:w="1103" w:type="dxa"/>
            <w:tcBorders>
              <w:top w:val="nil"/>
              <w:left w:val="nil"/>
              <w:bottom w:val="nil"/>
              <w:right w:val="nil"/>
            </w:tcBorders>
            <w:vAlign w:val="bottom"/>
          </w:tcPr>
          <w:p w:rsidR="00826BEC" w:rsidRPr="00D00722" w:rsidRDefault="00D1135B" w:rsidP="00A27292">
            <w:pPr>
              <w:autoSpaceDE w:val="0"/>
              <w:autoSpaceDN w:val="0"/>
              <w:adjustRightInd w:val="0"/>
              <w:jc w:val="right"/>
              <w:rPr>
                <w:rFonts w:ascii="Arial" w:hAnsi="Arial" w:cs="Arial"/>
                <w:color w:val="000000"/>
                <w:sz w:val="16"/>
                <w:szCs w:val="16"/>
              </w:rPr>
            </w:pPr>
            <w:r w:rsidRPr="00D00722">
              <w:rPr>
                <w:rFonts w:ascii="Arial" w:hAnsi="Arial" w:cs="Arial"/>
                <w:color w:val="000000"/>
                <w:sz w:val="16"/>
                <w:szCs w:val="16"/>
              </w:rPr>
              <w:t>21</w:t>
            </w:r>
          </w:p>
        </w:tc>
        <w:tc>
          <w:tcPr>
            <w:tcW w:w="1572" w:type="dxa"/>
            <w:tcBorders>
              <w:top w:val="nil"/>
              <w:left w:val="nil"/>
              <w:bottom w:val="nil"/>
              <w:right w:val="nil"/>
            </w:tcBorders>
            <w:vAlign w:val="bottom"/>
          </w:tcPr>
          <w:p w:rsidR="00826BEC" w:rsidRPr="00D00722" w:rsidRDefault="00ED6F5D" w:rsidP="00D369A7">
            <w:pPr>
              <w:jc w:val="right"/>
              <w:rPr>
                <w:rFonts w:ascii="Arial" w:hAnsi="Arial" w:cs="Arial"/>
                <w:b/>
                <w:bCs/>
                <w:color w:val="000000"/>
                <w:sz w:val="16"/>
                <w:szCs w:val="16"/>
              </w:rPr>
            </w:pPr>
            <w:r w:rsidRPr="00D00722">
              <w:rPr>
                <w:rFonts w:ascii="Arial" w:hAnsi="Arial" w:cs="Arial"/>
                <w:b/>
                <w:bCs/>
                <w:color w:val="000000"/>
                <w:sz w:val="16"/>
                <w:szCs w:val="16"/>
              </w:rPr>
              <w:t>(57.</w:t>
            </w:r>
            <w:r w:rsidR="00D369A7" w:rsidRPr="00D00722">
              <w:rPr>
                <w:rFonts w:ascii="Arial" w:hAnsi="Arial" w:cs="Arial"/>
                <w:b/>
                <w:bCs/>
                <w:color w:val="000000"/>
                <w:sz w:val="16"/>
                <w:szCs w:val="16"/>
              </w:rPr>
              <w:t>801</w:t>
            </w:r>
            <w:r w:rsidRPr="00D00722">
              <w:rPr>
                <w:rFonts w:ascii="Arial" w:hAnsi="Arial" w:cs="Arial"/>
                <w:b/>
                <w:bCs/>
                <w:color w:val="000000"/>
                <w:sz w:val="16"/>
                <w:szCs w:val="16"/>
              </w:rPr>
              <w:t>)</w:t>
            </w:r>
          </w:p>
        </w:tc>
        <w:tc>
          <w:tcPr>
            <w:tcW w:w="1617" w:type="dxa"/>
            <w:tcBorders>
              <w:top w:val="nil"/>
              <w:left w:val="nil"/>
              <w:bottom w:val="nil"/>
              <w:right w:val="nil"/>
            </w:tcBorders>
            <w:vAlign w:val="bottom"/>
          </w:tcPr>
          <w:p w:rsidR="00826BEC" w:rsidRPr="00D00722" w:rsidRDefault="00615271" w:rsidP="00615271">
            <w:pPr>
              <w:jc w:val="right"/>
              <w:rPr>
                <w:rFonts w:ascii="Arial" w:hAnsi="Arial" w:cs="Arial"/>
                <w:bCs/>
                <w:color w:val="000000"/>
                <w:sz w:val="16"/>
                <w:szCs w:val="16"/>
              </w:rPr>
            </w:pPr>
            <w:r w:rsidRPr="00D00722">
              <w:rPr>
                <w:rFonts w:ascii="Arial" w:hAnsi="Arial" w:cs="Arial"/>
                <w:bCs/>
                <w:color w:val="000000"/>
                <w:sz w:val="16"/>
                <w:szCs w:val="16"/>
              </w:rPr>
              <w:t>4</w:t>
            </w:r>
            <w:r w:rsidR="00826BEC" w:rsidRPr="00D00722">
              <w:rPr>
                <w:rFonts w:ascii="Arial" w:hAnsi="Arial" w:cs="Arial"/>
                <w:bCs/>
                <w:color w:val="000000"/>
                <w:sz w:val="16"/>
                <w:szCs w:val="16"/>
              </w:rPr>
              <w:t>.</w:t>
            </w:r>
            <w:r w:rsidRPr="00D00722">
              <w:rPr>
                <w:rFonts w:ascii="Arial" w:hAnsi="Arial" w:cs="Arial"/>
                <w:bCs/>
                <w:color w:val="000000"/>
                <w:sz w:val="16"/>
                <w:szCs w:val="16"/>
              </w:rPr>
              <w:t>842</w:t>
            </w:r>
          </w:p>
        </w:tc>
      </w:tr>
      <w:tr w:rsidR="00826BEC" w:rsidRPr="00D00722" w:rsidTr="00C917DA">
        <w:trPr>
          <w:trHeight w:val="113"/>
        </w:trPr>
        <w:tc>
          <w:tcPr>
            <w:tcW w:w="4820" w:type="dxa"/>
            <w:tcBorders>
              <w:top w:val="nil"/>
              <w:left w:val="nil"/>
              <w:bottom w:val="nil"/>
              <w:right w:val="nil"/>
            </w:tcBorders>
            <w:vAlign w:val="bottom"/>
          </w:tcPr>
          <w:p w:rsidR="00826BEC" w:rsidRPr="00D00722" w:rsidRDefault="00826BEC" w:rsidP="00A870BB">
            <w:pPr>
              <w:autoSpaceDE w:val="0"/>
              <w:autoSpaceDN w:val="0"/>
              <w:adjustRightInd w:val="0"/>
              <w:ind w:hanging="108"/>
              <w:rPr>
                <w:rFonts w:ascii="Arial" w:hAnsi="Arial" w:cs="Arial"/>
                <w:color w:val="000000"/>
                <w:sz w:val="16"/>
                <w:szCs w:val="16"/>
              </w:rPr>
            </w:pPr>
          </w:p>
        </w:tc>
        <w:tc>
          <w:tcPr>
            <w:tcW w:w="1103" w:type="dxa"/>
            <w:tcBorders>
              <w:top w:val="nil"/>
              <w:left w:val="nil"/>
              <w:bottom w:val="nil"/>
              <w:right w:val="nil"/>
            </w:tcBorders>
            <w:vAlign w:val="bottom"/>
          </w:tcPr>
          <w:p w:rsidR="00826BEC" w:rsidRPr="00D00722" w:rsidRDefault="00826BEC" w:rsidP="00A27292">
            <w:pPr>
              <w:autoSpaceDE w:val="0"/>
              <w:autoSpaceDN w:val="0"/>
              <w:adjustRightInd w:val="0"/>
              <w:jc w:val="right"/>
              <w:rPr>
                <w:rFonts w:ascii="Arial" w:hAnsi="Arial" w:cs="Arial"/>
                <w:color w:val="000000"/>
                <w:sz w:val="16"/>
                <w:szCs w:val="16"/>
              </w:rPr>
            </w:pPr>
          </w:p>
        </w:tc>
        <w:tc>
          <w:tcPr>
            <w:tcW w:w="1572" w:type="dxa"/>
            <w:tcBorders>
              <w:top w:val="nil"/>
              <w:left w:val="nil"/>
              <w:bottom w:val="nil"/>
              <w:right w:val="nil"/>
            </w:tcBorders>
            <w:vAlign w:val="bottom"/>
          </w:tcPr>
          <w:p w:rsidR="00826BEC" w:rsidRPr="00D00722" w:rsidRDefault="00826BEC" w:rsidP="00A27292">
            <w:pPr>
              <w:autoSpaceDE w:val="0"/>
              <w:autoSpaceDN w:val="0"/>
              <w:adjustRightInd w:val="0"/>
              <w:jc w:val="right"/>
              <w:rPr>
                <w:rFonts w:ascii="Arial" w:hAnsi="Arial" w:cs="Arial"/>
                <w:b/>
                <w:color w:val="000000"/>
                <w:sz w:val="16"/>
                <w:szCs w:val="16"/>
              </w:rPr>
            </w:pPr>
          </w:p>
        </w:tc>
        <w:tc>
          <w:tcPr>
            <w:tcW w:w="1617" w:type="dxa"/>
            <w:tcBorders>
              <w:top w:val="nil"/>
              <w:left w:val="nil"/>
              <w:bottom w:val="nil"/>
              <w:right w:val="nil"/>
            </w:tcBorders>
            <w:vAlign w:val="bottom"/>
          </w:tcPr>
          <w:p w:rsidR="00826BEC" w:rsidRPr="00D00722" w:rsidRDefault="00826BEC" w:rsidP="009E6AD4">
            <w:pPr>
              <w:autoSpaceDE w:val="0"/>
              <w:autoSpaceDN w:val="0"/>
              <w:adjustRightInd w:val="0"/>
              <w:jc w:val="right"/>
              <w:rPr>
                <w:rFonts w:ascii="Arial" w:hAnsi="Arial" w:cs="Arial"/>
                <w:color w:val="000000"/>
                <w:sz w:val="16"/>
                <w:szCs w:val="16"/>
              </w:rPr>
            </w:pPr>
          </w:p>
        </w:tc>
      </w:tr>
      <w:tr w:rsidR="00826BEC" w:rsidRPr="00D00722" w:rsidTr="00C917DA">
        <w:trPr>
          <w:trHeight w:val="113"/>
        </w:trPr>
        <w:tc>
          <w:tcPr>
            <w:tcW w:w="4820" w:type="dxa"/>
            <w:tcBorders>
              <w:top w:val="single" w:sz="6" w:space="0" w:color="auto"/>
              <w:left w:val="nil"/>
              <w:bottom w:val="double" w:sz="6" w:space="0" w:color="auto"/>
              <w:right w:val="nil"/>
            </w:tcBorders>
            <w:vAlign w:val="bottom"/>
          </w:tcPr>
          <w:p w:rsidR="00826BEC" w:rsidRPr="00D00722" w:rsidRDefault="00826BEC" w:rsidP="00A870BB">
            <w:pPr>
              <w:autoSpaceDE w:val="0"/>
              <w:autoSpaceDN w:val="0"/>
              <w:adjustRightInd w:val="0"/>
              <w:ind w:hanging="108"/>
              <w:rPr>
                <w:rFonts w:ascii="Arial" w:hAnsi="Arial" w:cs="Arial"/>
                <w:b/>
                <w:bCs/>
                <w:color w:val="000000"/>
                <w:sz w:val="16"/>
                <w:szCs w:val="16"/>
              </w:rPr>
            </w:pPr>
            <w:r w:rsidRPr="00D00722">
              <w:rPr>
                <w:rFonts w:ascii="Arial" w:hAnsi="Arial" w:cs="Arial"/>
                <w:b/>
                <w:bCs/>
                <w:color w:val="000000"/>
                <w:sz w:val="16"/>
                <w:szCs w:val="16"/>
              </w:rPr>
              <w:t>Sürdürülen faaliyetler dönem kar/ ( zararı)</w:t>
            </w:r>
          </w:p>
        </w:tc>
        <w:tc>
          <w:tcPr>
            <w:tcW w:w="1103" w:type="dxa"/>
            <w:tcBorders>
              <w:top w:val="single" w:sz="6" w:space="0" w:color="auto"/>
              <w:left w:val="nil"/>
              <w:bottom w:val="double" w:sz="6" w:space="0" w:color="auto"/>
              <w:right w:val="nil"/>
            </w:tcBorders>
            <w:vAlign w:val="bottom"/>
          </w:tcPr>
          <w:p w:rsidR="00826BEC" w:rsidRPr="00D00722" w:rsidRDefault="00826BEC" w:rsidP="00A27292">
            <w:pPr>
              <w:autoSpaceDE w:val="0"/>
              <w:autoSpaceDN w:val="0"/>
              <w:adjustRightInd w:val="0"/>
              <w:jc w:val="right"/>
              <w:rPr>
                <w:rFonts w:ascii="Arial" w:hAnsi="Arial" w:cs="Arial"/>
                <w:color w:val="000000"/>
                <w:sz w:val="16"/>
                <w:szCs w:val="16"/>
              </w:rPr>
            </w:pPr>
          </w:p>
        </w:tc>
        <w:tc>
          <w:tcPr>
            <w:tcW w:w="1572" w:type="dxa"/>
            <w:tcBorders>
              <w:top w:val="single" w:sz="6" w:space="0" w:color="auto"/>
              <w:left w:val="nil"/>
              <w:bottom w:val="double" w:sz="6" w:space="0" w:color="auto"/>
              <w:right w:val="nil"/>
            </w:tcBorders>
            <w:vAlign w:val="bottom"/>
          </w:tcPr>
          <w:p w:rsidR="00826BEC" w:rsidRPr="00D00722" w:rsidRDefault="00ED6F5D" w:rsidP="00C653B1">
            <w:pPr>
              <w:autoSpaceDE w:val="0"/>
              <w:autoSpaceDN w:val="0"/>
              <w:adjustRightInd w:val="0"/>
              <w:jc w:val="right"/>
              <w:rPr>
                <w:rFonts w:ascii="Arial" w:hAnsi="Arial" w:cs="Arial"/>
                <w:b/>
                <w:bCs/>
                <w:color w:val="000000"/>
                <w:sz w:val="16"/>
                <w:szCs w:val="16"/>
              </w:rPr>
            </w:pPr>
            <w:r w:rsidRPr="00D00722">
              <w:rPr>
                <w:rFonts w:ascii="Arial" w:hAnsi="Arial" w:cs="Arial"/>
                <w:b/>
                <w:bCs/>
                <w:color w:val="000000"/>
                <w:sz w:val="16"/>
                <w:szCs w:val="16"/>
              </w:rPr>
              <w:t>(232.0</w:t>
            </w:r>
            <w:r w:rsidR="00C653B1" w:rsidRPr="00D00722">
              <w:rPr>
                <w:rFonts w:ascii="Arial" w:hAnsi="Arial" w:cs="Arial"/>
                <w:b/>
                <w:bCs/>
                <w:color w:val="000000"/>
                <w:sz w:val="16"/>
                <w:szCs w:val="16"/>
              </w:rPr>
              <w:t>26</w:t>
            </w:r>
            <w:r w:rsidRPr="00D00722">
              <w:rPr>
                <w:rFonts w:ascii="Arial" w:hAnsi="Arial" w:cs="Arial"/>
                <w:b/>
                <w:bCs/>
                <w:color w:val="000000"/>
                <w:sz w:val="16"/>
                <w:szCs w:val="16"/>
              </w:rPr>
              <w:t>)</w:t>
            </w:r>
          </w:p>
        </w:tc>
        <w:tc>
          <w:tcPr>
            <w:tcW w:w="1617" w:type="dxa"/>
            <w:tcBorders>
              <w:top w:val="single" w:sz="6" w:space="0" w:color="auto"/>
              <w:left w:val="nil"/>
              <w:bottom w:val="double" w:sz="6" w:space="0" w:color="auto"/>
              <w:right w:val="nil"/>
            </w:tcBorders>
            <w:vAlign w:val="bottom"/>
          </w:tcPr>
          <w:p w:rsidR="00826BEC" w:rsidRPr="00D00722" w:rsidRDefault="00615271" w:rsidP="00615271">
            <w:pPr>
              <w:autoSpaceDE w:val="0"/>
              <w:autoSpaceDN w:val="0"/>
              <w:adjustRightInd w:val="0"/>
              <w:jc w:val="right"/>
              <w:rPr>
                <w:rFonts w:ascii="Arial" w:hAnsi="Arial" w:cs="Arial"/>
                <w:bCs/>
                <w:color w:val="000000"/>
                <w:sz w:val="16"/>
                <w:szCs w:val="16"/>
              </w:rPr>
            </w:pPr>
            <w:r w:rsidRPr="00D00722">
              <w:rPr>
                <w:rFonts w:ascii="Arial" w:hAnsi="Arial" w:cs="Arial"/>
                <w:bCs/>
                <w:color w:val="000000"/>
                <w:sz w:val="16"/>
                <w:szCs w:val="16"/>
              </w:rPr>
              <w:t xml:space="preserve"> </w:t>
            </w:r>
            <w:r w:rsidR="00826BEC" w:rsidRPr="00D00722">
              <w:rPr>
                <w:rFonts w:ascii="Arial" w:hAnsi="Arial" w:cs="Arial"/>
                <w:bCs/>
                <w:color w:val="000000"/>
                <w:sz w:val="16"/>
                <w:szCs w:val="16"/>
              </w:rPr>
              <w:t>(</w:t>
            </w:r>
            <w:r w:rsidRPr="00D00722">
              <w:rPr>
                <w:rFonts w:ascii="Arial" w:hAnsi="Arial" w:cs="Arial"/>
                <w:bCs/>
                <w:color w:val="000000"/>
                <w:sz w:val="16"/>
                <w:szCs w:val="16"/>
              </w:rPr>
              <w:t>30</w:t>
            </w:r>
            <w:r w:rsidR="00826BEC" w:rsidRPr="00D00722">
              <w:rPr>
                <w:rFonts w:ascii="Arial" w:hAnsi="Arial" w:cs="Arial"/>
                <w:bCs/>
                <w:color w:val="000000"/>
                <w:sz w:val="16"/>
                <w:szCs w:val="16"/>
              </w:rPr>
              <w:t>.</w:t>
            </w:r>
            <w:r w:rsidRPr="00D00722">
              <w:rPr>
                <w:rFonts w:ascii="Arial" w:hAnsi="Arial" w:cs="Arial"/>
                <w:bCs/>
                <w:color w:val="000000"/>
                <w:sz w:val="16"/>
                <w:szCs w:val="16"/>
              </w:rPr>
              <w:t>013</w:t>
            </w:r>
            <w:r w:rsidR="00826BEC" w:rsidRPr="00D00722">
              <w:rPr>
                <w:rFonts w:ascii="Arial" w:hAnsi="Arial" w:cs="Arial"/>
                <w:bCs/>
                <w:color w:val="000000"/>
                <w:sz w:val="16"/>
                <w:szCs w:val="16"/>
              </w:rPr>
              <w:t>)</w:t>
            </w:r>
          </w:p>
        </w:tc>
      </w:tr>
      <w:tr w:rsidR="00826BEC" w:rsidRPr="00D00722" w:rsidTr="00C917DA">
        <w:trPr>
          <w:trHeight w:val="113"/>
        </w:trPr>
        <w:tc>
          <w:tcPr>
            <w:tcW w:w="4820" w:type="dxa"/>
            <w:tcBorders>
              <w:top w:val="nil"/>
              <w:left w:val="nil"/>
              <w:bottom w:val="nil"/>
              <w:right w:val="nil"/>
            </w:tcBorders>
            <w:vAlign w:val="bottom"/>
          </w:tcPr>
          <w:p w:rsidR="00826BEC" w:rsidRPr="00D00722" w:rsidRDefault="00826BEC" w:rsidP="00A870BB">
            <w:pPr>
              <w:autoSpaceDE w:val="0"/>
              <w:autoSpaceDN w:val="0"/>
              <w:adjustRightInd w:val="0"/>
              <w:ind w:hanging="108"/>
              <w:rPr>
                <w:rFonts w:ascii="Arial" w:hAnsi="Arial" w:cs="Arial"/>
                <w:color w:val="000000"/>
                <w:sz w:val="16"/>
                <w:szCs w:val="16"/>
              </w:rPr>
            </w:pPr>
          </w:p>
        </w:tc>
        <w:tc>
          <w:tcPr>
            <w:tcW w:w="1103" w:type="dxa"/>
            <w:tcBorders>
              <w:top w:val="nil"/>
              <w:left w:val="nil"/>
              <w:bottom w:val="nil"/>
              <w:right w:val="nil"/>
            </w:tcBorders>
            <w:vAlign w:val="bottom"/>
          </w:tcPr>
          <w:p w:rsidR="00826BEC" w:rsidRPr="00D00722" w:rsidRDefault="00826BEC" w:rsidP="00A27292">
            <w:pPr>
              <w:autoSpaceDE w:val="0"/>
              <w:autoSpaceDN w:val="0"/>
              <w:adjustRightInd w:val="0"/>
              <w:jc w:val="right"/>
              <w:rPr>
                <w:rFonts w:ascii="Arial" w:hAnsi="Arial" w:cs="Arial"/>
                <w:color w:val="000000"/>
                <w:sz w:val="16"/>
                <w:szCs w:val="16"/>
              </w:rPr>
            </w:pPr>
          </w:p>
        </w:tc>
        <w:tc>
          <w:tcPr>
            <w:tcW w:w="1572" w:type="dxa"/>
            <w:tcBorders>
              <w:top w:val="nil"/>
              <w:left w:val="nil"/>
              <w:bottom w:val="nil"/>
              <w:right w:val="nil"/>
            </w:tcBorders>
            <w:vAlign w:val="bottom"/>
          </w:tcPr>
          <w:p w:rsidR="00826BEC" w:rsidRPr="00D00722" w:rsidRDefault="00826BEC" w:rsidP="00A27292">
            <w:pPr>
              <w:autoSpaceDE w:val="0"/>
              <w:autoSpaceDN w:val="0"/>
              <w:adjustRightInd w:val="0"/>
              <w:jc w:val="right"/>
              <w:rPr>
                <w:rFonts w:ascii="Arial" w:hAnsi="Arial" w:cs="Arial"/>
                <w:b/>
                <w:color w:val="000000"/>
                <w:sz w:val="16"/>
                <w:szCs w:val="16"/>
              </w:rPr>
            </w:pPr>
          </w:p>
        </w:tc>
        <w:tc>
          <w:tcPr>
            <w:tcW w:w="1617" w:type="dxa"/>
            <w:tcBorders>
              <w:top w:val="nil"/>
              <w:left w:val="nil"/>
              <w:bottom w:val="nil"/>
              <w:right w:val="nil"/>
            </w:tcBorders>
            <w:vAlign w:val="bottom"/>
          </w:tcPr>
          <w:p w:rsidR="00826BEC" w:rsidRPr="00D00722" w:rsidRDefault="00826BEC" w:rsidP="009E6AD4">
            <w:pPr>
              <w:autoSpaceDE w:val="0"/>
              <w:autoSpaceDN w:val="0"/>
              <w:adjustRightInd w:val="0"/>
              <w:jc w:val="right"/>
              <w:rPr>
                <w:rFonts w:ascii="Arial" w:hAnsi="Arial" w:cs="Arial"/>
                <w:color w:val="000000"/>
                <w:sz w:val="16"/>
                <w:szCs w:val="16"/>
              </w:rPr>
            </w:pPr>
          </w:p>
        </w:tc>
      </w:tr>
      <w:tr w:rsidR="00826BEC" w:rsidRPr="00D00722" w:rsidTr="00C917DA">
        <w:trPr>
          <w:trHeight w:val="113"/>
        </w:trPr>
        <w:tc>
          <w:tcPr>
            <w:tcW w:w="4820" w:type="dxa"/>
            <w:tcBorders>
              <w:top w:val="nil"/>
              <w:left w:val="nil"/>
              <w:bottom w:val="nil"/>
              <w:right w:val="nil"/>
            </w:tcBorders>
            <w:vAlign w:val="bottom"/>
          </w:tcPr>
          <w:p w:rsidR="00826BEC" w:rsidRPr="00D00722" w:rsidRDefault="00826BEC" w:rsidP="00A870BB">
            <w:pPr>
              <w:autoSpaceDE w:val="0"/>
              <w:autoSpaceDN w:val="0"/>
              <w:adjustRightInd w:val="0"/>
              <w:ind w:hanging="108"/>
              <w:rPr>
                <w:rFonts w:ascii="Arial" w:hAnsi="Arial" w:cs="Arial"/>
                <w:color w:val="000000"/>
                <w:sz w:val="16"/>
                <w:szCs w:val="16"/>
              </w:rPr>
            </w:pPr>
            <w:r w:rsidRPr="00D00722">
              <w:rPr>
                <w:rFonts w:ascii="Arial" w:hAnsi="Arial" w:cs="Arial"/>
                <w:color w:val="000000"/>
                <w:sz w:val="16"/>
                <w:szCs w:val="16"/>
              </w:rPr>
              <w:t>Diğer kapsamlı gelir/ (gider)</w:t>
            </w:r>
          </w:p>
        </w:tc>
        <w:tc>
          <w:tcPr>
            <w:tcW w:w="1103" w:type="dxa"/>
            <w:tcBorders>
              <w:top w:val="nil"/>
              <w:left w:val="nil"/>
              <w:bottom w:val="nil"/>
              <w:right w:val="nil"/>
            </w:tcBorders>
            <w:vAlign w:val="bottom"/>
          </w:tcPr>
          <w:p w:rsidR="00826BEC" w:rsidRPr="00D00722" w:rsidRDefault="00826BEC" w:rsidP="00A27292">
            <w:pPr>
              <w:autoSpaceDE w:val="0"/>
              <w:autoSpaceDN w:val="0"/>
              <w:adjustRightInd w:val="0"/>
              <w:jc w:val="right"/>
              <w:rPr>
                <w:rFonts w:ascii="Arial" w:hAnsi="Arial" w:cs="Arial"/>
                <w:color w:val="000000"/>
                <w:sz w:val="16"/>
                <w:szCs w:val="16"/>
              </w:rPr>
            </w:pPr>
          </w:p>
        </w:tc>
        <w:tc>
          <w:tcPr>
            <w:tcW w:w="1572" w:type="dxa"/>
            <w:tcBorders>
              <w:top w:val="nil"/>
              <w:left w:val="nil"/>
              <w:bottom w:val="nil"/>
              <w:right w:val="nil"/>
            </w:tcBorders>
            <w:vAlign w:val="bottom"/>
          </w:tcPr>
          <w:p w:rsidR="00826BEC" w:rsidRPr="00D00722" w:rsidRDefault="00826BEC" w:rsidP="00A27292">
            <w:pPr>
              <w:autoSpaceDE w:val="0"/>
              <w:autoSpaceDN w:val="0"/>
              <w:adjustRightInd w:val="0"/>
              <w:jc w:val="right"/>
              <w:rPr>
                <w:rFonts w:ascii="Arial" w:hAnsi="Arial" w:cs="Arial"/>
                <w:b/>
                <w:color w:val="000000"/>
                <w:sz w:val="16"/>
                <w:szCs w:val="16"/>
              </w:rPr>
            </w:pPr>
          </w:p>
        </w:tc>
        <w:tc>
          <w:tcPr>
            <w:tcW w:w="1617" w:type="dxa"/>
            <w:tcBorders>
              <w:top w:val="nil"/>
              <w:left w:val="nil"/>
              <w:bottom w:val="nil"/>
              <w:right w:val="nil"/>
            </w:tcBorders>
            <w:vAlign w:val="bottom"/>
          </w:tcPr>
          <w:p w:rsidR="00826BEC" w:rsidRPr="00D00722" w:rsidRDefault="00826BEC" w:rsidP="009E6AD4">
            <w:pPr>
              <w:autoSpaceDE w:val="0"/>
              <w:autoSpaceDN w:val="0"/>
              <w:adjustRightInd w:val="0"/>
              <w:jc w:val="right"/>
              <w:rPr>
                <w:rFonts w:ascii="Arial" w:hAnsi="Arial" w:cs="Arial"/>
                <w:color w:val="000000"/>
                <w:sz w:val="16"/>
                <w:szCs w:val="16"/>
              </w:rPr>
            </w:pPr>
            <w:r w:rsidRPr="00D00722">
              <w:rPr>
                <w:rFonts w:ascii="Arial" w:hAnsi="Arial" w:cs="Arial"/>
                <w:color w:val="000000"/>
                <w:sz w:val="16"/>
                <w:szCs w:val="16"/>
              </w:rPr>
              <w:t>-</w:t>
            </w:r>
          </w:p>
        </w:tc>
      </w:tr>
      <w:tr w:rsidR="00826BEC" w:rsidRPr="00D00722" w:rsidTr="00C917DA">
        <w:trPr>
          <w:trHeight w:val="113"/>
        </w:trPr>
        <w:tc>
          <w:tcPr>
            <w:tcW w:w="4820" w:type="dxa"/>
            <w:tcBorders>
              <w:top w:val="nil"/>
              <w:left w:val="nil"/>
              <w:bottom w:val="nil"/>
              <w:right w:val="nil"/>
            </w:tcBorders>
            <w:vAlign w:val="bottom"/>
          </w:tcPr>
          <w:p w:rsidR="00826BEC" w:rsidRPr="00D00722" w:rsidRDefault="00826BEC" w:rsidP="00A870BB">
            <w:pPr>
              <w:autoSpaceDE w:val="0"/>
              <w:autoSpaceDN w:val="0"/>
              <w:adjustRightInd w:val="0"/>
              <w:ind w:hanging="108"/>
              <w:rPr>
                <w:rFonts w:ascii="Arial" w:hAnsi="Arial" w:cs="Arial"/>
                <w:color w:val="000000"/>
                <w:sz w:val="16"/>
                <w:szCs w:val="16"/>
              </w:rPr>
            </w:pPr>
          </w:p>
        </w:tc>
        <w:tc>
          <w:tcPr>
            <w:tcW w:w="1103" w:type="dxa"/>
            <w:tcBorders>
              <w:top w:val="nil"/>
              <w:left w:val="nil"/>
              <w:bottom w:val="nil"/>
              <w:right w:val="nil"/>
            </w:tcBorders>
            <w:vAlign w:val="bottom"/>
          </w:tcPr>
          <w:p w:rsidR="00826BEC" w:rsidRPr="00D00722" w:rsidRDefault="00826BEC" w:rsidP="00A27292">
            <w:pPr>
              <w:autoSpaceDE w:val="0"/>
              <w:autoSpaceDN w:val="0"/>
              <w:adjustRightInd w:val="0"/>
              <w:jc w:val="right"/>
              <w:rPr>
                <w:rFonts w:ascii="Arial" w:hAnsi="Arial" w:cs="Arial"/>
                <w:color w:val="000000"/>
                <w:sz w:val="16"/>
                <w:szCs w:val="16"/>
              </w:rPr>
            </w:pPr>
          </w:p>
        </w:tc>
        <w:tc>
          <w:tcPr>
            <w:tcW w:w="1572" w:type="dxa"/>
            <w:tcBorders>
              <w:top w:val="nil"/>
              <w:left w:val="nil"/>
              <w:bottom w:val="nil"/>
              <w:right w:val="nil"/>
            </w:tcBorders>
            <w:vAlign w:val="bottom"/>
          </w:tcPr>
          <w:p w:rsidR="00826BEC" w:rsidRPr="00D00722" w:rsidRDefault="00826BEC" w:rsidP="00A27292">
            <w:pPr>
              <w:autoSpaceDE w:val="0"/>
              <w:autoSpaceDN w:val="0"/>
              <w:adjustRightInd w:val="0"/>
              <w:jc w:val="right"/>
              <w:rPr>
                <w:rFonts w:ascii="Arial" w:hAnsi="Arial" w:cs="Arial"/>
                <w:b/>
                <w:color w:val="000000"/>
                <w:sz w:val="16"/>
                <w:szCs w:val="16"/>
              </w:rPr>
            </w:pPr>
          </w:p>
        </w:tc>
        <w:tc>
          <w:tcPr>
            <w:tcW w:w="1617" w:type="dxa"/>
            <w:tcBorders>
              <w:top w:val="nil"/>
              <w:left w:val="nil"/>
              <w:bottom w:val="nil"/>
              <w:right w:val="nil"/>
            </w:tcBorders>
            <w:vAlign w:val="bottom"/>
          </w:tcPr>
          <w:p w:rsidR="00826BEC" w:rsidRPr="00D00722" w:rsidRDefault="00826BEC" w:rsidP="009E6AD4">
            <w:pPr>
              <w:autoSpaceDE w:val="0"/>
              <w:autoSpaceDN w:val="0"/>
              <w:adjustRightInd w:val="0"/>
              <w:jc w:val="right"/>
              <w:rPr>
                <w:rFonts w:ascii="Arial" w:hAnsi="Arial" w:cs="Arial"/>
                <w:color w:val="000000"/>
                <w:sz w:val="16"/>
                <w:szCs w:val="16"/>
              </w:rPr>
            </w:pPr>
          </w:p>
        </w:tc>
      </w:tr>
      <w:tr w:rsidR="00826BEC" w:rsidRPr="00D00722" w:rsidTr="00C917DA">
        <w:trPr>
          <w:trHeight w:val="113"/>
        </w:trPr>
        <w:tc>
          <w:tcPr>
            <w:tcW w:w="4820" w:type="dxa"/>
            <w:tcBorders>
              <w:top w:val="single" w:sz="6" w:space="0" w:color="auto"/>
              <w:left w:val="nil"/>
              <w:bottom w:val="double" w:sz="6" w:space="0" w:color="auto"/>
              <w:right w:val="nil"/>
            </w:tcBorders>
            <w:vAlign w:val="bottom"/>
          </w:tcPr>
          <w:p w:rsidR="00826BEC" w:rsidRPr="00D00722" w:rsidRDefault="00826BEC" w:rsidP="00A870BB">
            <w:pPr>
              <w:autoSpaceDE w:val="0"/>
              <w:autoSpaceDN w:val="0"/>
              <w:adjustRightInd w:val="0"/>
              <w:ind w:hanging="108"/>
              <w:rPr>
                <w:rFonts w:ascii="Arial" w:hAnsi="Arial" w:cs="Arial"/>
                <w:b/>
                <w:bCs/>
                <w:color w:val="000000"/>
                <w:sz w:val="16"/>
                <w:szCs w:val="16"/>
              </w:rPr>
            </w:pPr>
            <w:r w:rsidRPr="00D00722">
              <w:rPr>
                <w:rFonts w:ascii="Arial" w:hAnsi="Arial" w:cs="Arial"/>
                <w:b/>
                <w:bCs/>
                <w:color w:val="000000"/>
                <w:sz w:val="16"/>
                <w:szCs w:val="16"/>
              </w:rPr>
              <w:t>Diğer kapsamlı gelir/ (gider) (vergi sonrası)</w:t>
            </w:r>
          </w:p>
        </w:tc>
        <w:tc>
          <w:tcPr>
            <w:tcW w:w="1103" w:type="dxa"/>
            <w:tcBorders>
              <w:top w:val="single" w:sz="6" w:space="0" w:color="auto"/>
              <w:left w:val="nil"/>
              <w:bottom w:val="double" w:sz="6" w:space="0" w:color="auto"/>
              <w:right w:val="nil"/>
            </w:tcBorders>
            <w:vAlign w:val="bottom"/>
          </w:tcPr>
          <w:p w:rsidR="00826BEC" w:rsidRPr="00D00722" w:rsidRDefault="00826BEC" w:rsidP="00A27292">
            <w:pPr>
              <w:autoSpaceDE w:val="0"/>
              <w:autoSpaceDN w:val="0"/>
              <w:adjustRightInd w:val="0"/>
              <w:jc w:val="right"/>
              <w:rPr>
                <w:rFonts w:ascii="Arial" w:hAnsi="Arial" w:cs="Arial"/>
                <w:color w:val="000000"/>
                <w:sz w:val="16"/>
                <w:szCs w:val="16"/>
              </w:rPr>
            </w:pPr>
          </w:p>
        </w:tc>
        <w:tc>
          <w:tcPr>
            <w:tcW w:w="1572" w:type="dxa"/>
            <w:tcBorders>
              <w:top w:val="single" w:sz="6" w:space="0" w:color="auto"/>
              <w:left w:val="nil"/>
              <w:bottom w:val="double" w:sz="6" w:space="0" w:color="auto"/>
              <w:right w:val="nil"/>
            </w:tcBorders>
            <w:vAlign w:val="bottom"/>
          </w:tcPr>
          <w:p w:rsidR="00826BEC" w:rsidRPr="00D00722" w:rsidRDefault="00ED6F5D" w:rsidP="00C653B1">
            <w:pPr>
              <w:autoSpaceDE w:val="0"/>
              <w:autoSpaceDN w:val="0"/>
              <w:adjustRightInd w:val="0"/>
              <w:jc w:val="right"/>
              <w:rPr>
                <w:rFonts w:ascii="Arial" w:hAnsi="Arial" w:cs="Arial"/>
                <w:b/>
                <w:color w:val="000000"/>
                <w:sz w:val="16"/>
                <w:szCs w:val="16"/>
              </w:rPr>
            </w:pPr>
            <w:r w:rsidRPr="00D00722">
              <w:rPr>
                <w:rFonts w:ascii="Arial" w:hAnsi="Arial" w:cs="Arial"/>
                <w:b/>
                <w:color w:val="000000"/>
                <w:sz w:val="16"/>
                <w:szCs w:val="16"/>
              </w:rPr>
              <w:t>(232.0</w:t>
            </w:r>
            <w:r w:rsidR="00C653B1" w:rsidRPr="00D00722">
              <w:rPr>
                <w:rFonts w:ascii="Arial" w:hAnsi="Arial" w:cs="Arial"/>
                <w:b/>
                <w:color w:val="000000"/>
                <w:sz w:val="16"/>
                <w:szCs w:val="16"/>
              </w:rPr>
              <w:t>26</w:t>
            </w:r>
            <w:r w:rsidRPr="00D00722">
              <w:rPr>
                <w:rFonts w:ascii="Arial" w:hAnsi="Arial" w:cs="Arial"/>
                <w:b/>
                <w:color w:val="000000"/>
                <w:sz w:val="16"/>
                <w:szCs w:val="16"/>
              </w:rPr>
              <w:t>)</w:t>
            </w:r>
          </w:p>
        </w:tc>
        <w:tc>
          <w:tcPr>
            <w:tcW w:w="1617" w:type="dxa"/>
            <w:tcBorders>
              <w:top w:val="single" w:sz="6" w:space="0" w:color="auto"/>
              <w:left w:val="nil"/>
              <w:bottom w:val="double" w:sz="6" w:space="0" w:color="auto"/>
              <w:right w:val="nil"/>
            </w:tcBorders>
            <w:vAlign w:val="bottom"/>
          </w:tcPr>
          <w:p w:rsidR="00826BEC" w:rsidRPr="00D00722" w:rsidRDefault="00826BEC" w:rsidP="00615271">
            <w:pPr>
              <w:autoSpaceDE w:val="0"/>
              <w:autoSpaceDN w:val="0"/>
              <w:adjustRightInd w:val="0"/>
              <w:jc w:val="right"/>
              <w:rPr>
                <w:rFonts w:ascii="Arial" w:hAnsi="Arial" w:cs="Arial"/>
                <w:color w:val="000000"/>
                <w:sz w:val="16"/>
                <w:szCs w:val="16"/>
              </w:rPr>
            </w:pPr>
            <w:r w:rsidRPr="00D00722">
              <w:rPr>
                <w:rFonts w:ascii="Arial" w:hAnsi="Arial" w:cs="Arial"/>
                <w:color w:val="000000"/>
                <w:sz w:val="16"/>
                <w:szCs w:val="16"/>
              </w:rPr>
              <w:t>(</w:t>
            </w:r>
            <w:r w:rsidR="00615271" w:rsidRPr="00D00722">
              <w:rPr>
                <w:rFonts w:ascii="Arial" w:hAnsi="Arial" w:cs="Arial"/>
                <w:color w:val="000000"/>
                <w:sz w:val="16"/>
                <w:szCs w:val="16"/>
              </w:rPr>
              <w:t>30</w:t>
            </w:r>
            <w:r w:rsidRPr="00D00722">
              <w:rPr>
                <w:rFonts w:ascii="Arial" w:hAnsi="Arial" w:cs="Arial"/>
                <w:color w:val="000000"/>
                <w:sz w:val="16"/>
                <w:szCs w:val="16"/>
              </w:rPr>
              <w:t>.</w:t>
            </w:r>
            <w:r w:rsidR="00615271" w:rsidRPr="00D00722">
              <w:rPr>
                <w:rFonts w:ascii="Arial" w:hAnsi="Arial" w:cs="Arial"/>
                <w:color w:val="000000"/>
                <w:sz w:val="16"/>
                <w:szCs w:val="16"/>
              </w:rPr>
              <w:t>013</w:t>
            </w:r>
            <w:r w:rsidRPr="00D00722">
              <w:rPr>
                <w:rFonts w:ascii="Arial" w:hAnsi="Arial" w:cs="Arial"/>
                <w:color w:val="000000"/>
                <w:sz w:val="16"/>
                <w:szCs w:val="16"/>
              </w:rPr>
              <w:t>)</w:t>
            </w:r>
          </w:p>
        </w:tc>
      </w:tr>
      <w:tr w:rsidR="00826BEC" w:rsidRPr="00D00722" w:rsidTr="00C917DA">
        <w:trPr>
          <w:trHeight w:val="113"/>
        </w:trPr>
        <w:tc>
          <w:tcPr>
            <w:tcW w:w="4820" w:type="dxa"/>
            <w:tcBorders>
              <w:top w:val="nil"/>
              <w:left w:val="nil"/>
              <w:bottom w:val="nil"/>
              <w:right w:val="nil"/>
            </w:tcBorders>
            <w:vAlign w:val="bottom"/>
          </w:tcPr>
          <w:p w:rsidR="00826BEC" w:rsidRPr="00D00722" w:rsidRDefault="00826BEC" w:rsidP="00A870BB">
            <w:pPr>
              <w:autoSpaceDE w:val="0"/>
              <w:autoSpaceDN w:val="0"/>
              <w:adjustRightInd w:val="0"/>
              <w:ind w:hanging="108"/>
              <w:rPr>
                <w:rFonts w:ascii="Arial" w:hAnsi="Arial" w:cs="Arial"/>
                <w:b/>
                <w:bCs/>
                <w:color w:val="000000"/>
                <w:sz w:val="16"/>
                <w:szCs w:val="16"/>
              </w:rPr>
            </w:pPr>
          </w:p>
        </w:tc>
        <w:tc>
          <w:tcPr>
            <w:tcW w:w="1103" w:type="dxa"/>
            <w:tcBorders>
              <w:top w:val="nil"/>
              <w:left w:val="nil"/>
              <w:bottom w:val="nil"/>
              <w:right w:val="nil"/>
            </w:tcBorders>
            <w:vAlign w:val="bottom"/>
          </w:tcPr>
          <w:p w:rsidR="00826BEC" w:rsidRPr="00D00722" w:rsidRDefault="00826BEC" w:rsidP="00A27292">
            <w:pPr>
              <w:autoSpaceDE w:val="0"/>
              <w:autoSpaceDN w:val="0"/>
              <w:adjustRightInd w:val="0"/>
              <w:jc w:val="right"/>
              <w:rPr>
                <w:rFonts w:ascii="Arial" w:hAnsi="Arial" w:cs="Arial"/>
                <w:color w:val="000000"/>
                <w:sz w:val="16"/>
                <w:szCs w:val="16"/>
              </w:rPr>
            </w:pPr>
          </w:p>
        </w:tc>
        <w:tc>
          <w:tcPr>
            <w:tcW w:w="1572" w:type="dxa"/>
            <w:tcBorders>
              <w:top w:val="nil"/>
              <w:left w:val="nil"/>
              <w:bottom w:val="nil"/>
              <w:right w:val="nil"/>
            </w:tcBorders>
            <w:vAlign w:val="bottom"/>
          </w:tcPr>
          <w:p w:rsidR="00826BEC" w:rsidRPr="00D00722" w:rsidRDefault="00826BEC" w:rsidP="00A27292">
            <w:pPr>
              <w:autoSpaceDE w:val="0"/>
              <w:autoSpaceDN w:val="0"/>
              <w:adjustRightInd w:val="0"/>
              <w:jc w:val="right"/>
              <w:rPr>
                <w:rFonts w:ascii="Arial" w:hAnsi="Arial" w:cs="Arial"/>
                <w:b/>
                <w:bCs/>
                <w:color w:val="000000"/>
                <w:sz w:val="16"/>
                <w:szCs w:val="16"/>
              </w:rPr>
            </w:pPr>
          </w:p>
        </w:tc>
        <w:tc>
          <w:tcPr>
            <w:tcW w:w="1617" w:type="dxa"/>
            <w:tcBorders>
              <w:top w:val="nil"/>
              <w:left w:val="nil"/>
              <w:bottom w:val="nil"/>
              <w:right w:val="nil"/>
            </w:tcBorders>
            <w:vAlign w:val="bottom"/>
          </w:tcPr>
          <w:p w:rsidR="00826BEC" w:rsidRPr="00D00722" w:rsidRDefault="00826BEC" w:rsidP="009E6AD4">
            <w:pPr>
              <w:autoSpaceDE w:val="0"/>
              <w:autoSpaceDN w:val="0"/>
              <w:adjustRightInd w:val="0"/>
              <w:jc w:val="right"/>
              <w:rPr>
                <w:rFonts w:ascii="Arial" w:hAnsi="Arial" w:cs="Arial"/>
                <w:bCs/>
                <w:color w:val="000000"/>
                <w:sz w:val="16"/>
                <w:szCs w:val="16"/>
              </w:rPr>
            </w:pPr>
          </w:p>
        </w:tc>
      </w:tr>
      <w:tr w:rsidR="00826BEC" w:rsidRPr="00D00722" w:rsidTr="00C917DA">
        <w:trPr>
          <w:trHeight w:val="113"/>
        </w:trPr>
        <w:tc>
          <w:tcPr>
            <w:tcW w:w="4820" w:type="dxa"/>
            <w:tcBorders>
              <w:top w:val="single" w:sz="6" w:space="0" w:color="auto"/>
              <w:left w:val="nil"/>
              <w:bottom w:val="double" w:sz="6" w:space="0" w:color="auto"/>
              <w:right w:val="nil"/>
            </w:tcBorders>
            <w:vAlign w:val="bottom"/>
          </w:tcPr>
          <w:p w:rsidR="00826BEC" w:rsidRPr="00D00722" w:rsidRDefault="00826BEC" w:rsidP="00A870BB">
            <w:pPr>
              <w:autoSpaceDE w:val="0"/>
              <w:autoSpaceDN w:val="0"/>
              <w:adjustRightInd w:val="0"/>
              <w:ind w:hanging="108"/>
              <w:rPr>
                <w:rFonts w:ascii="Arial" w:hAnsi="Arial" w:cs="Arial"/>
                <w:b/>
                <w:bCs/>
                <w:color w:val="000000"/>
                <w:sz w:val="16"/>
                <w:szCs w:val="16"/>
              </w:rPr>
            </w:pPr>
            <w:r w:rsidRPr="00D00722">
              <w:rPr>
                <w:rFonts w:ascii="Arial" w:hAnsi="Arial" w:cs="Arial"/>
                <w:b/>
                <w:bCs/>
                <w:color w:val="000000"/>
                <w:sz w:val="16"/>
                <w:szCs w:val="16"/>
              </w:rPr>
              <w:t>Toplam kapsamlı gelir/ (gider)</w:t>
            </w:r>
          </w:p>
        </w:tc>
        <w:tc>
          <w:tcPr>
            <w:tcW w:w="1103" w:type="dxa"/>
            <w:tcBorders>
              <w:top w:val="single" w:sz="6" w:space="0" w:color="auto"/>
              <w:left w:val="nil"/>
              <w:bottom w:val="double" w:sz="6" w:space="0" w:color="auto"/>
              <w:right w:val="nil"/>
            </w:tcBorders>
            <w:vAlign w:val="bottom"/>
          </w:tcPr>
          <w:p w:rsidR="00826BEC" w:rsidRPr="00D00722" w:rsidRDefault="00826BEC" w:rsidP="00A27292">
            <w:pPr>
              <w:autoSpaceDE w:val="0"/>
              <w:autoSpaceDN w:val="0"/>
              <w:adjustRightInd w:val="0"/>
              <w:jc w:val="right"/>
              <w:rPr>
                <w:rFonts w:ascii="Arial" w:hAnsi="Arial" w:cs="Arial"/>
                <w:color w:val="000000"/>
                <w:sz w:val="16"/>
                <w:szCs w:val="16"/>
              </w:rPr>
            </w:pPr>
          </w:p>
        </w:tc>
        <w:tc>
          <w:tcPr>
            <w:tcW w:w="1572" w:type="dxa"/>
            <w:tcBorders>
              <w:top w:val="single" w:sz="6" w:space="0" w:color="auto"/>
              <w:left w:val="nil"/>
              <w:bottom w:val="double" w:sz="6" w:space="0" w:color="auto"/>
              <w:right w:val="nil"/>
            </w:tcBorders>
            <w:vAlign w:val="bottom"/>
          </w:tcPr>
          <w:p w:rsidR="00826BEC" w:rsidRPr="00D00722" w:rsidRDefault="00ED6F5D" w:rsidP="00C653B1">
            <w:pPr>
              <w:autoSpaceDE w:val="0"/>
              <w:autoSpaceDN w:val="0"/>
              <w:adjustRightInd w:val="0"/>
              <w:jc w:val="right"/>
              <w:rPr>
                <w:rFonts w:ascii="Arial" w:hAnsi="Arial" w:cs="Arial"/>
                <w:b/>
                <w:bCs/>
                <w:color w:val="000000"/>
                <w:sz w:val="16"/>
                <w:szCs w:val="16"/>
              </w:rPr>
            </w:pPr>
            <w:r w:rsidRPr="00D00722">
              <w:rPr>
                <w:rFonts w:ascii="Arial" w:hAnsi="Arial" w:cs="Arial"/>
                <w:b/>
                <w:bCs/>
                <w:color w:val="000000"/>
                <w:sz w:val="16"/>
                <w:szCs w:val="16"/>
              </w:rPr>
              <w:t>(232.0</w:t>
            </w:r>
            <w:r w:rsidR="00C653B1" w:rsidRPr="00D00722">
              <w:rPr>
                <w:rFonts w:ascii="Arial" w:hAnsi="Arial" w:cs="Arial"/>
                <w:b/>
                <w:bCs/>
                <w:color w:val="000000"/>
                <w:sz w:val="16"/>
                <w:szCs w:val="16"/>
              </w:rPr>
              <w:t>26</w:t>
            </w:r>
            <w:r w:rsidRPr="00D00722">
              <w:rPr>
                <w:rFonts w:ascii="Arial" w:hAnsi="Arial" w:cs="Arial"/>
                <w:b/>
                <w:bCs/>
                <w:color w:val="000000"/>
                <w:sz w:val="16"/>
                <w:szCs w:val="16"/>
              </w:rPr>
              <w:t>)</w:t>
            </w:r>
          </w:p>
        </w:tc>
        <w:tc>
          <w:tcPr>
            <w:tcW w:w="1617" w:type="dxa"/>
            <w:tcBorders>
              <w:top w:val="single" w:sz="6" w:space="0" w:color="auto"/>
              <w:left w:val="nil"/>
              <w:bottom w:val="double" w:sz="6" w:space="0" w:color="auto"/>
              <w:right w:val="nil"/>
            </w:tcBorders>
            <w:vAlign w:val="bottom"/>
          </w:tcPr>
          <w:p w:rsidR="00826BEC" w:rsidRPr="00D00722" w:rsidRDefault="00826BEC" w:rsidP="00615271">
            <w:pPr>
              <w:autoSpaceDE w:val="0"/>
              <w:autoSpaceDN w:val="0"/>
              <w:adjustRightInd w:val="0"/>
              <w:jc w:val="right"/>
              <w:rPr>
                <w:rFonts w:ascii="Arial" w:hAnsi="Arial" w:cs="Arial"/>
                <w:bCs/>
                <w:color w:val="000000"/>
                <w:sz w:val="16"/>
                <w:szCs w:val="16"/>
              </w:rPr>
            </w:pPr>
            <w:r w:rsidRPr="00D00722">
              <w:rPr>
                <w:rFonts w:ascii="Arial" w:hAnsi="Arial" w:cs="Arial"/>
                <w:bCs/>
                <w:color w:val="000000"/>
                <w:sz w:val="16"/>
                <w:szCs w:val="16"/>
              </w:rPr>
              <w:t>(</w:t>
            </w:r>
            <w:r w:rsidR="00615271" w:rsidRPr="00D00722">
              <w:rPr>
                <w:rFonts w:ascii="Arial" w:hAnsi="Arial" w:cs="Arial"/>
                <w:bCs/>
                <w:color w:val="000000"/>
                <w:sz w:val="16"/>
                <w:szCs w:val="16"/>
              </w:rPr>
              <w:t>30</w:t>
            </w:r>
            <w:r w:rsidRPr="00D00722">
              <w:rPr>
                <w:rFonts w:ascii="Arial" w:hAnsi="Arial" w:cs="Arial"/>
                <w:bCs/>
                <w:color w:val="000000"/>
                <w:sz w:val="16"/>
                <w:szCs w:val="16"/>
              </w:rPr>
              <w:t>.</w:t>
            </w:r>
            <w:r w:rsidR="00615271" w:rsidRPr="00D00722">
              <w:rPr>
                <w:rFonts w:ascii="Arial" w:hAnsi="Arial" w:cs="Arial"/>
                <w:bCs/>
                <w:color w:val="000000"/>
                <w:sz w:val="16"/>
                <w:szCs w:val="16"/>
              </w:rPr>
              <w:t>013</w:t>
            </w:r>
            <w:r w:rsidRPr="00D00722">
              <w:rPr>
                <w:rFonts w:ascii="Arial" w:hAnsi="Arial" w:cs="Arial"/>
                <w:bCs/>
                <w:color w:val="000000"/>
                <w:sz w:val="16"/>
                <w:szCs w:val="16"/>
              </w:rPr>
              <w:t>)</w:t>
            </w:r>
          </w:p>
        </w:tc>
      </w:tr>
    </w:tbl>
    <w:p w:rsidR="00C917DA" w:rsidRPr="00D00722" w:rsidRDefault="00C917DA" w:rsidP="00AE0484">
      <w:pPr>
        <w:rPr>
          <w:rFonts w:ascii="Arial" w:hAnsi="Arial" w:cs="Arial"/>
          <w:lang w:val="tr-TR"/>
        </w:rPr>
      </w:pPr>
    </w:p>
    <w:p w:rsidR="00C917DA" w:rsidRPr="00D00722" w:rsidRDefault="00C917DA" w:rsidP="00AE0484">
      <w:pPr>
        <w:rPr>
          <w:rFonts w:ascii="Arial" w:hAnsi="Arial" w:cs="Arial"/>
          <w:lang w:val="tr-TR"/>
        </w:rPr>
      </w:pPr>
    </w:p>
    <w:p w:rsidR="00C917DA" w:rsidRPr="00D00722" w:rsidRDefault="00C917DA" w:rsidP="00AE0484">
      <w:pPr>
        <w:rPr>
          <w:rFonts w:ascii="Arial" w:hAnsi="Arial" w:cs="Arial"/>
          <w:lang w:val="tr-TR"/>
        </w:rPr>
      </w:pPr>
    </w:p>
    <w:p w:rsidR="00C917DA" w:rsidRPr="00D00722" w:rsidRDefault="00C917DA" w:rsidP="00AE0484">
      <w:pPr>
        <w:rPr>
          <w:rFonts w:ascii="Arial" w:hAnsi="Arial" w:cs="Arial"/>
          <w:lang w:val="tr-TR"/>
        </w:rPr>
      </w:pPr>
    </w:p>
    <w:p w:rsidR="00C917DA" w:rsidRPr="00D00722" w:rsidRDefault="00C917DA" w:rsidP="00AE0484">
      <w:pPr>
        <w:rPr>
          <w:rFonts w:ascii="Arial" w:hAnsi="Arial" w:cs="Arial"/>
          <w:lang w:val="tr-TR"/>
        </w:rPr>
        <w:sectPr w:rsidR="00C917DA" w:rsidRPr="00D00722" w:rsidSect="00AE0484">
          <w:headerReference w:type="default" r:id="rId10"/>
          <w:pgSz w:w="11907" w:h="16834" w:code="9"/>
          <w:pgMar w:top="1418" w:right="1418" w:bottom="1418" w:left="1418" w:header="708" w:footer="1140" w:gutter="0"/>
          <w:cols w:space="708"/>
          <w:docGrid w:linePitch="272"/>
        </w:sectPr>
      </w:pPr>
    </w:p>
    <w:tbl>
      <w:tblPr>
        <w:tblW w:w="14034" w:type="dxa"/>
        <w:tblInd w:w="108" w:type="dxa"/>
        <w:tblLayout w:type="fixed"/>
        <w:tblLook w:val="0000"/>
      </w:tblPr>
      <w:tblGrid>
        <w:gridCol w:w="4253"/>
        <w:gridCol w:w="850"/>
        <w:gridCol w:w="1134"/>
        <w:gridCol w:w="1276"/>
        <w:gridCol w:w="1843"/>
        <w:gridCol w:w="1649"/>
        <w:gridCol w:w="1559"/>
        <w:gridCol w:w="1470"/>
      </w:tblGrid>
      <w:tr w:rsidR="006E6428" w:rsidRPr="00D00722" w:rsidTr="00981BEF">
        <w:trPr>
          <w:trHeight w:val="113"/>
        </w:trPr>
        <w:tc>
          <w:tcPr>
            <w:tcW w:w="4253" w:type="dxa"/>
            <w:tcBorders>
              <w:top w:val="single" w:sz="6" w:space="0" w:color="auto"/>
              <w:left w:val="nil"/>
              <w:bottom w:val="single" w:sz="6" w:space="0" w:color="auto"/>
              <w:right w:val="nil"/>
            </w:tcBorders>
            <w:vAlign w:val="bottom"/>
          </w:tcPr>
          <w:p w:rsidR="006E6428" w:rsidRPr="00D00722" w:rsidRDefault="006E6428" w:rsidP="003C359E">
            <w:pPr>
              <w:autoSpaceDE w:val="0"/>
              <w:autoSpaceDN w:val="0"/>
              <w:adjustRightInd w:val="0"/>
              <w:spacing w:line="230" w:lineRule="auto"/>
              <w:ind w:left="-108"/>
              <w:rPr>
                <w:rFonts w:ascii="Arial" w:hAnsi="Arial" w:cs="Arial"/>
                <w:color w:val="000000"/>
                <w:sz w:val="18"/>
                <w:szCs w:val="18"/>
              </w:rPr>
            </w:pPr>
            <w:r w:rsidRPr="00D00722">
              <w:rPr>
                <w:rFonts w:ascii="Arial" w:hAnsi="Arial" w:cs="Arial"/>
                <w:color w:val="000000"/>
                <w:sz w:val="18"/>
                <w:szCs w:val="18"/>
              </w:rPr>
              <w:lastRenderedPageBreak/>
              <w:t>Bağımsız denetimden geç</w:t>
            </w:r>
            <w:r w:rsidR="00AB2363" w:rsidRPr="00D00722">
              <w:rPr>
                <w:rFonts w:ascii="Arial" w:hAnsi="Arial" w:cs="Arial"/>
                <w:color w:val="000000"/>
                <w:sz w:val="18"/>
                <w:szCs w:val="18"/>
              </w:rPr>
              <w:t>me</w:t>
            </w:r>
            <w:r w:rsidRPr="00D00722">
              <w:rPr>
                <w:rFonts w:ascii="Arial" w:hAnsi="Arial" w:cs="Arial"/>
                <w:color w:val="000000"/>
                <w:sz w:val="18"/>
                <w:szCs w:val="18"/>
              </w:rPr>
              <w:t xml:space="preserve">miş </w:t>
            </w:r>
          </w:p>
        </w:tc>
        <w:tc>
          <w:tcPr>
            <w:tcW w:w="850" w:type="dxa"/>
            <w:tcBorders>
              <w:top w:val="single" w:sz="6" w:space="0" w:color="auto"/>
              <w:left w:val="nil"/>
              <w:bottom w:val="single" w:sz="6" w:space="0" w:color="auto"/>
              <w:right w:val="nil"/>
            </w:tcBorders>
            <w:vAlign w:val="bottom"/>
          </w:tcPr>
          <w:p w:rsidR="006E6428" w:rsidRPr="00D00722" w:rsidRDefault="006E6428" w:rsidP="003C359E">
            <w:pPr>
              <w:autoSpaceDE w:val="0"/>
              <w:autoSpaceDN w:val="0"/>
              <w:adjustRightInd w:val="0"/>
              <w:spacing w:line="230" w:lineRule="auto"/>
              <w:jc w:val="right"/>
              <w:rPr>
                <w:rFonts w:ascii="Arial" w:hAnsi="Arial" w:cs="Arial"/>
                <w:bCs/>
                <w:color w:val="000000"/>
                <w:sz w:val="18"/>
                <w:szCs w:val="18"/>
              </w:rPr>
            </w:pPr>
            <w:r w:rsidRPr="00D00722">
              <w:rPr>
                <w:rFonts w:ascii="Arial" w:hAnsi="Arial" w:cs="Arial"/>
                <w:bCs/>
                <w:color w:val="000000"/>
                <w:sz w:val="18"/>
                <w:szCs w:val="18"/>
              </w:rPr>
              <w:t>Dipnot</w:t>
            </w:r>
          </w:p>
        </w:tc>
        <w:tc>
          <w:tcPr>
            <w:tcW w:w="1134" w:type="dxa"/>
            <w:tcBorders>
              <w:top w:val="single" w:sz="6" w:space="0" w:color="auto"/>
              <w:left w:val="nil"/>
              <w:bottom w:val="single" w:sz="6" w:space="0" w:color="auto"/>
              <w:right w:val="nil"/>
            </w:tcBorders>
            <w:vAlign w:val="bottom"/>
          </w:tcPr>
          <w:p w:rsidR="00C917DA" w:rsidRPr="00D00722" w:rsidRDefault="006E6428" w:rsidP="003C359E">
            <w:pPr>
              <w:autoSpaceDE w:val="0"/>
              <w:autoSpaceDN w:val="0"/>
              <w:adjustRightInd w:val="0"/>
              <w:spacing w:line="230" w:lineRule="auto"/>
              <w:jc w:val="right"/>
              <w:rPr>
                <w:rFonts w:ascii="Arial" w:hAnsi="Arial" w:cs="Arial"/>
                <w:bCs/>
                <w:color w:val="000000"/>
                <w:sz w:val="18"/>
                <w:szCs w:val="18"/>
              </w:rPr>
            </w:pPr>
            <w:r w:rsidRPr="00D00722">
              <w:rPr>
                <w:rFonts w:ascii="Arial" w:hAnsi="Arial" w:cs="Arial"/>
                <w:bCs/>
                <w:color w:val="000000"/>
                <w:sz w:val="18"/>
                <w:szCs w:val="18"/>
              </w:rPr>
              <w:t xml:space="preserve">Ödenmiş </w:t>
            </w:r>
          </w:p>
          <w:p w:rsidR="006E6428" w:rsidRPr="00D00722" w:rsidRDefault="007139C8" w:rsidP="003C359E">
            <w:pPr>
              <w:autoSpaceDE w:val="0"/>
              <w:autoSpaceDN w:val="0"/>
              <w:adjustRightInd w:val="0"/>
              <w:spacing w:line="230" w:lineRule="auto"/>
              <w:jc w:val="right"/>
              <w:rPr>
                <w:rFonts w:ascii="Arial" w:hAnsi="Arial" w:cs="Arial"/>
                <w:bCs/>
                <w:color w:val="000000"/>
                <w:sz w:val="18"/>
                <w:szCs w:val="18"/>
              </w:rPr>
            </w:pPr>
            <w:r w:rsidRPr="00D00722">
              <w:rPr>
                <w:rFonts w:ascii="Arial" w:hAnsi="Arial" w:cs="Arial"/>
                <w:bCs/>
                <w:color w:val="000000"/>
                <w:sz w:val="18"/>
                <w:szCs w:val="18"/>
              </w:rPr>
              <w:t>sermaye</w:t>
            </w:r>
          </w:p>
        </w:tc>
        <w:tc>
          <w:tcPr>
            <w:tcW w:w="1276" w:type="dxa"/>
            <w:tcBorders>
              <w:top w:val="single" w:sz="6" w:space="0" w:color="auto"/>
              <w:left w:val="nil"/>
              <w:bottom w:val="single" w:sz="6" w:space="0" w:color="auto"/>
              <w:right w:val="nil"/>
            </w:tcBorders>
            <w:vAlign w:val="bottom"/>
          </w:tcPr>
          <w:p w:rsidR="00C917DA" w:rsidRPr="00D00722" w:rsidRDefault="006E6428" w:rsidP="003C359E">
            <w:pPr>
              <w:autoSpaceDE w:val="0"/>
              <w:autoSpaceDN w:val="0"/>
              <w:adjustRightInd w:val="0"/>
              <w:spacing w:line="230" w:lineRule="auto"/>
              <w:jc w:val="right"/>
              <w:rPr>
                <w:rFonts w:ascii="Arial" w:hAnsi="Arial" w:cs="Arial"/>
                <w:bCs/>
                <w:color w:val="000000"/>
                <w:sz w:val="18"/>
                <w:szCs w:val="18"/>
              </w:rPr>
            </w:pPr>
            <w:r w:rsidRPr="00D00722">
              <w:rPr>
                <w:rFonts w:ascii="Arial" w:hAnsi="Arial" w:cs="Arial"/>
                <w:bCs/>
                <w:color w:val="000000"/>
                <w:sz w:val="18"/>
                <w:szCs w:val="18"/>
              </w:rPr>
              <w:t xml:space="preserve">Sermaye </w:t>
            </w:r>
          </w:p>
          <w:p w:rsidR="00C917DA" w:rsidRPr="00D00722" w:rsidRDefault="00C917DA" w:rsidP="003C359E">
            <w:pPr>
              <w:autoSpaceDE w:val="0"/>
              <w:autoSpaceDN w:val="0"/>
              <w:adjustRightInd w:val="0"/>
              <w:spacing w:line="230" w:lineRule="auto"/>
              <w:jc w:val="right"/>
              <w:rPr>
                <w:rFonts w:ascii="Arial" w:hAnsi="Arial" w:cs="Arial"/>
                <w:bCs/>
                <w:color w:val="000000"/>
                <w:sz w:val="18"/>
                <w:szCs w:val="18"/>
              </w:rPr>
            </w:pPr>
            <w:r w:rsidRPr="00D00722">
              <w:rPr>
                <w:rFonts w:ascii="Arial" w:hAnsi="Arial" w:cs="Arial"/>
                <w:bCs/>
                <w:color w:val="000000"/>
                <w:sz w:val="18"/>
                <w:szCs w:val="18"/>
              </w:rPr>
              <w:t>d</w:t>
            </w:r>
            <w:r w:rsidR="006E6428" w:rsidRPr="00D00722">
              <w:rPr>
                <w:rFonts w:ascii="Arial" w:hAnsi="Arial" w:cs="Arial"/>
                <w:bCs/>
                <w:color w:val="000000"/>
                <w:sz w:val="18"/>
                <w:szCs w:val="18"/>
              </w:rPr>
              <w:t>üzeltmesi</w:t>
            </w:r>
          </w:p>
          <w:p w:rsidR="006E6428" w:rsidRPr="00D00722" w:rsidRDefault="006E6428" w:rsidP="003C359E">
            <w:pPr>
              <w:autoSpaceDE w:val="0"/>
              <w:autoSpaceDN w:val="0"/>
              <w:adjustRightInd w:val="0"/>
              <w:spacing w:line="230" w:lineRule="auto"/>
              <w:jc w:val="right"/>
              <w:rPr>
                <w:rFonts w:ascii="Arial" w:hAnsi="Arial" w:cs="Arial"/>
                <w:bCs/>
                <w:color w:val="000000"/>
                <w:sz w:val="18"/>
                <w:szCs w:val="18"/>
              </w:rPr>
            </w:pPr>
            <w:r w:rsidRPr="00D00722">
              <w:rPr>
                <w:rFonts w:ascii="Arial" w:hAnsi="Arial" w:cs="Arial"/>
                <w:bCs/>
                <w:color w:val="000000"/>
                <w:sz w:val="18"/>
                <w:szCs w:val="18"/>
              </w:rPr>
              <w:t xml:space="preserve"> farkları</w:t>
            </w:r>
          </w:p>
        </w:tc>
        <w:tc>
          <w:tcPr>
            <w:tcW w:w="1843" w:type="dxa"/>
            <w:tcBorders>
              <w:top w:val="single" w:sz="6" w:space="0" w:color="auto"/>
              <w:left w:val="nil"/>
              <w:bottom w:val="single" w:sz="6" w:space="0" w:color="auto"/>
              <w:right w:val="nil"/>
            </w:tcBorders>
            <w:vAlign w:val="bottom"/>
          </w:tcPr>
          <w:p w:rsidR="00C917DA" w:rsidRPr="00D00722" w:rsidRDefault="006E6428" w:rsidP="003C359E">
            <w:pPr>
              <w:autoSpaceDE w:val="0"/>
              <w:autoSpaceDN w:val="0"/>
              <w:adjustRightInd w:val="0"/>
              <w:spacing w:line="230" w:lineRule="auto"/>
              <w:jc w:val="right"/>
              <w:rPr>
                <w:rFonts w:ascii="Arial" w:hAnsi="Arial" w:cs="Arial"/>
                <w:bCs/>
                <w:color w:val="000000"/>
                <w:sz w:val="18"/>
                <w:szCs w:val="18"/>
              </w:rPr>
            </w:pPr>
            <w:r w:rsidRPr="00D00722">
              <w:rPr>
                <w:rFonts w:ascii="Arial" w:hAnsi="Arial" w:cs="Arial"/>
                <w:bCs/>
                <w:color w:val="000000"/>
                <w:sz w:val="18"/>
                <w:szCs w:val="18"/>
              </w:rPr>
              <w:t xml:space="preserve">Kardan </w:t>
            </w:r>
            <w:r w:rsidR="00C917DA" w:rsidRPr="00D00722">
              <w:rPr>
                <w:rFonts w:ascii="Arial" w:hAnsi="Arial" w:cs="Arial"/>
                <w:bCs/>
                <w:color w:val="000000"/>
                <w:sz w:val="18"/>
                <w:szCs w:val="18"/>
              </w:rPr>
              <w:t>ayrılan</w:t>
            </w:r>
          </w:p>
          <w:p w:rsidR="00C917DA" w:rsidRPr="00D00722" w:rsidRDefault="00C917DA" w:rsidP="003C359E">
            <w:pPr>
              <w:autoSpaceDE w:val="0"/>
              <w:autoSpaceDN w:val="0"/>
              <w:adjustRightInd w:val="0"/>
              <w:spacing w:line="230" w:lineRule="auto"/>
              <w:jc w:val="right"/>
              <w:rPr>
                <w:rFonts w:ascii="Arial" w:hAnsi="Arial" w:cs="Arial"/>
                <w:bCs/>
                <w:color w:val="000000"/>
                <w:sz w:val="18"/>
                <w:szCs w:val="18"/>
              </w:rPr>
            </w:pPr>
            <w:r w:rsidRPr="00D00722">
              <w:rPr>
                <w:rFonts w:ascii="Arial" w:hAnsi="Arial" w:cs="Arial"/>
                <w:bCs/>
                <w:color w:val="000000"/>
                <w:sz w:val="18"/>
                <w:szCs w:val="18"/>
              </w:rPr>
              <w:t xml:space="preserve"> </w:t>
            </w:r>
            <w:r w:rsidR="007139C8" w:rsidRPr="00D00722">
              <w:rPr>
                <w:rFonts w:ascii="Arial" w:hAnsi="Arial" w:cs="Arial"/>
                <w:bCs/>
                <w:color w:val="000000"/>
                <w:sz w:val="18"/>
                <w:szCs w:val="18"/>
              </w:rPr>
              <w:t>kısıtlanmış</w:t>
            </w:r>
          </w:p>
          <w:p w:rsidR="006E6428" w:rsidRPr="00D00722" w:rsidRDefault="00C917DA" w:rsidP="003C359E">
            <w:pPr>
              <w:autoSpaceDE w:val="0"/>
              <w:autoSpaceDN w:val="0"/>
              <w:adjustRightInd w:val="0"/>
              <w:spacing w:line="230" w:lineRule="auto"/>
              <w:jc w:val="right"/>
              <w:rPr>
                <w:rFonts w:ascii="Arial" w:hAnsi="Arial" w:cs="Arial"/>
                <w:bCs/>
                <w:color w:val="000000"/>
                <w:sz w:val="18"/>
                <w:szCs w:val="18"/>
              </w:rPr>
            </w:pPr>
            <w:r w:rsidRPr="00D00722">
              <w:rPr>
                <w:rFonts w:ascii="Arial" w:hAnsi="Arial" w:cs="Arial"/>
                <w:bCs/>
                <w:color w:val="000000"/>
                <w:sz w:val="18"/>
                <w:szCs w:val="18"/>
              </w:rPr>
              <w:t>yed</w:t>
            </w:r>
            <w:r w:rsidR="006E6428" w:rsidRPr="00D00722">
              <w:rPr>
                <w:rFonts w:ascii="Arial" w:hAnsi="Arial" w:cs="Arial"/>
                <w:bCs/>
                <w:color w:val="000000"/>
                <w:sz w:val="18"/>
                <w:szCs w:val="18"/>
              </w:rPr>
              <w:t>ekler</w:t>
            </w:r>
          </w:p>
        </w:tc>
        <w:tc>
          <w:tcPr>
            <w:tcW w:w="1649" w:type="dxa"/>
            <w:tcBorders>
              <w:top w:val="single" w:sz="6" w:space="0" w:color="auto"/>
              <w:left w:val="nil"/>
              <w:bottom w:val="single" w:sz="6" w:space="0" w:color="auto"/>
              <w:right w:val="nil"/>
            </w:tcBorders>
            <w:vAlign w:val="bottom"/>
          </w:tcPr>
          <w:p w:rsidR="00C917DA" w:rsidRPr="00D00722" w:rsidRDefault="006E6428" w:rsidP="003C359E">
            <w:pPr>
              <w:autoSpaceDE w:val="0"/>
              <w:autoSpaceDN w:val="0"/>
              <w:adjustRightInd w:val="0"/>
              <w:spacing w:line="230" w:lineRule="auto"/>
              <w:jc w:val="right"/>
              <w:rPr>
                <w:rFonts w:ascii="Arial" w:hAnsi="Arial" w:cs="Arial"/>
                <w:bCs/>
                <w:color w:val="000000"/>
                <w:sz w:val="18"/>
                <w:szCs w:val="18"/>
              </w:rPr>
            </w:pPr>
            <w:r w:rsidRPr="00D00722">
              <w:rPr>
                <w:rFonts w:ascii="Arial" w:hAnsi="Arial" w:cs="Arial"/>
                <w:bCs/>
                <w:color w:val="000000"/>
                <w:sz w:val="18"/>
                <w:szCs w:val="18"/>
              </w:rPr>
              <w:t>Net dönem karı</w:t>
            </w:r>
          </w:p>
          <w:p w:rsidR="006E6428" w:rsidRPr="00D00722" w:rsidRDefault="006E6428" w:rsidP="003C359E">
            <w:pPr>
              <w:autoSpaceDE w:val="0"/>
              <w:autoSpaceDN w:val="0"/>
              <w:adjustRightInd w:val="0"/>
              <w:spacing w:line="230" w:lineRule="auto"/>
              <w:jc w:val="right"/>
              <w:rPr>
                <w:rFonts w:ascii="Arial" w:hAnsi="Arial" w:cs="Arial"/>
                <w:bCs/>
                <w:color w:val="000000"/>
                <w:sz w:val="18"/>
                <w:szCs w:val="18"/>
              </w:rPr>
            </w:pPr>
            <w:r w:rsidRPr="00D00722">
              <w:rPr>
                <w:rFonts w:ascii="Arial" w:hAnsi="Arial" w:cs="Arial"/>
                <w:bCs/>
                <w:color w:val="000000"/>
                <w:sz w:val="18"/>
                <w:szCs w:val="18"/>
              </w:rPr>
              <w:t xml:space="preserve"> /(zararı)</w:t>
            </w:r>
          </w:p>
        </w:tc>
        <w:tc>
          <w:tcPr>
            <w:tcW w:w="1559" w:type="dxa"/>
            <w:tcBorders>
              <w:top w:val="single" w:sz="6" w:space="0" w:color="auto"/>
              <w:left w:val="nil"/>
              <w:bottom w:val="single" w:sz="6" w:space="0" w:color="auto"/>
              <w:right w:val="nil"/>
            </w:tcBorders>
            <w:vAlign w:val="bottom"/>
          </w:tcPr>
          <w:p w:rsidR="00C917DA" w:rsidRPr="00D00722" w:rsidRDefault="006E6428" w:rsidP="003C359E">
            <w:pPr>
              <w:autoSpaceDE w:val="0"/>
              <w:autoSpaceDN w:val="0"/>
              <w:adjustRightInd w:val="0"/>
              <w:spacing w:line="230" w:lineRule="auto"/>
              <w:jc w:val="right"/>
              <w:rPr>
                <w:rFonts w:ascii="Arial" w:hAnsi="Arial" w:cs="Arial"/>
                <w:bCs/>
                <w:color w:val="000000"/>
                <w:sz w:val="18"/>
                <w:szCs w:val="18"/>
              </w:rPr>
            </w:pPr>
            <w:r w:rsidRPr="00D00722">
              <w:rPr>
                <w:rFonts w:ascii="Arial" w:hAnsi="Arial" w:cs="Arial"/>
                <w:bCs/>
                <w:color w:val="000000"/>
                <w:sz w:val="18"/>
                <w:szCs w:val="18"/>
              </w:rPr>
              <w:t xml:space="preserve">Geçmiş yıllar </w:t>
            </w:r>
          </w:p>
          <w:p w:rsidR="006E6428" w:rsidRPr="00D00722" w:rsidRDefault="006E6428" w:rsidP="003C359E">
            <w:pPr>
              <w:autoSpaceDE w:val="0"/>
              <w:autoSpaceDN w:val="0"/>
              <w:adjustRightInd w:val="0"/>
              <w:spacing w:line="230" w:lineRule="auto"/>
              <w:jc w:val="right"/>
              <w:rPr>
                <w:rFonts w:ascii="Arial" w:hAnsi="Arial" w:cs="Arial"/>
                <w:bCs/>
                <w:color w:val="000000"/>
                <w:sz w:val="18"/>
                <w:szCs w:val="18"/>
              </w:rPr>
            </w:pPr>
            <w:r w:rsidRPr="00D00722">
              <w:rPr>
                <w:rFonts w:ascii="Arial" w:hAnsi="Arial" w:cs="Arial"/>
                <w:bCs/>
                <w:color w:val="000000"/>
                <w:sz w:val="18"/>
                <w:szCs w:val="18"/>
              </w:rPr>
              <w:t>kar/(zararları)</w:t>
            </w:r>
          </w:p>
        </w:tc>
        <w:tc>
          <w:tcPr>
            <w:tcW w:w="1470" w:type="dxa"/>
            <w:tcBorders>
              <w:top w:val="single" w:sz="6" w:space="0" w:color="auto"/>
              <w:left w:val="nil"/>
              <w:bottom w:val="single" w:sz="6" w:space="0" w:color="auto"/>
              <w:right w:val="nil"/>
            </w:tcBorders>
            <w:vAlign w:val="bottom"/>
          </w:tcPr>
          <w:p w:rsidR="006E6428" w:rsidRPr="00D00722" w:rsidRDefault="006E6428" w:rsidP="003C359E">
            <w:pPr>
              <w:autoSpaceDE w:val="0"/>
              <w:autoSpaceDN w:val="0"/>
              <w:adjustRightInd w:val="0"/>
              <w:spacing w:line="230" w:lineRule="auto"/>
              <w:jc w:val="right"/>
              <w:rPr>
                <w:rFonts w:ascii="Arial" w:hAnsi="Arial" w:cs="Arial"/>
                <w:bCs/>
                <w:color w:val="000000"/>
                <w:sz w:val="18"/>
                <w:szCs w:val="18"/>
              </w:rPr>
            </w:pPr>
            <w:r w:rsidRPr="00D00722">
              <w:rPr>
                <w:rFonts w:ascii="Arial" w:hAnsi="Arial" w:cs="Arial"/>
                <w:bCs/>
                <w:color w:val="000000"/>
                <w:sz w:val="18"/>
                <w:szCs w:val="18"/>
              </w:rPr>
              <w:t>Özsermaye</w:t>
            </w:r>
          </w:p>
        </w:tc>
      </w:tr>
      <w:tr w:rsidR="006E6428" w:rsidRPr="00D00722" w:rsidTr="00981BEF">
        <w:trPr>
          <w:trHeight w:val="113"/>
        </w:trPr>
        <w:tc>
          <w:tcPr>
            <w:tcW w:w="4253" w:type="dxa"/>
            <w:tcBorders>
              <w:top w:val="nil"/>
              <w:left w:val="nil"/>
              <w:bottom w:val="nil"/>
              <w:right w:val="nil"/>
            </w:tcBorders>
            <w:vAlign w:val="bottom"/>
          </w:tcPr>
          <w:p w:rsidR="006E6428" w:rsidRPr="00D00722" w:rsidRDefault="006E6428" w:rsidP="003C359E">
            <w:pPr>
              <w:autoSpaceDE w:val="0"/>
              <w:autoSpaceDN w:val="0"/>
              <w:adjustRightInd w:val="0"/>
              <w:spacing w:line="230" w:lineRule="auto"/>
              <w:ind w:left="-108"/>
              <w:rPr>
                <w:rFonts w:ascii="Arial" w:hAnsi="Arial" w:cs="Arial"/>
                <w:color w:val="000000"/>
                <w:sz w:val="18"/>
                <w:szCs w:val="18"/>
              </w:rPr>
            </w:pPr>
          </w:p>
        </w:tc>
        <w:tc>
          <w:tcPr>
            <w:tcW w:w="850" w:type="dxa"/>
            <w:tcBorders>
              <w:top w:val="nil"/>
              <w:left w:val="nil"/>
              <w:bottom w:val="nil"/>
              <w:right w:val="nil"/>
            </w:tcBorders>
            <w:vAlign w:val="bottom"/>
          </w:tcPr>
          <w:p w:rsidR="006E6428" w:rsidRPr="00D00722" w:rsidRDefault="006E6428" w:rsidP="003C359E">
            <w:pPr>
              <w:autoSpaceDE w:val="0"/>
              <w:autoSpaceDN w:val="0"/>
              <w:adjustRightInd w:val="0"/>
              <w:spacing w:line="230" w:lineRule="auto"/>
              <w:jc w:val="right"/>
              <w:rPr>
                <w:rFonts w:ascii="Arial" w:hAnsi="Arial" w:cs="Arial"/>
                <w:color w:val="000000"/>
                <w:sz w:val="18"/>
                <w:szCs w:val="18"/>
              </w:rPr>
            </w:pPr>
          </w:p>
        </w:tc>
        <w:tc>
          <w:tcPr>
            <w:tcW w:w="1134" w:type="dxa"/>
            <w:tcBorders>
              <w:top w:val="nil"/>
              <w:left w:val="nil"/>
              <w:bottom w:val="nil"/>
              <w:right w:val="nil"/>
            </w:tcBorders>
            <w:vAlign w:val="bottom"/>
          </w:tcPr>
          <w:p w:rsidR="006E6428" w:rsidRPr="00D00722" w:rsidRDefault="006E6428" w:rsidP="003C359E">
            <w:pPr>
              <w:autoSpaceDE w:val="0"/>
              <w:autoSpaceDN w:val="0"/>
              <w:adjustRightInd w:val="0"/>
              <w:spacing w:line="230" w:lineRule="auto"/>
              <w:jc w:val="right"/>
              <w:rPr>
                <w:rFonts w:ascii="Arial" w:hAnsi="Arial" w:cs="Arial"/>
                <w:color w:val="000000"/>
                <w:sz w:val="18"/>
                <w:szCs w:val="18"/>
              </w:rPr>
            </w:pPr>
          </w:p>
        </w:tc>
        <w:tc>
          <w:tcPr>
            <w:tcW w:w="1276" w:type="dxa"/>
            <w:tcBorders>
              <w:top w:val="nil"/>
              <w:left w:val="nil"/>
              <w:bottom w:val="nil"/>
              <w:right w:val="nil"/>
            </w:tcBorders>
            <w:vAlign w:val="bottom"/>
          </w:tcPr>
          <w:p w:rsidR="006E6428" w:rsidRPr="00D00722" w:rsidRDefault="006E6428" w:rsidP="003C359E">
            <w:pPr>
              <w:autoSpaceDE w:val="0"/>
              <w:autoSpaceDN w:val="0"/>
              <w:adjustRightInd w:val="0"/>
              <w:spacing w:line="230" w:lineRule="auto"/>
              <w:jc w:val="right"/>
              <w:rPr>
                <w:rFonts w:ascii="Arial" w:hAnsi="Arial" w:cs="Arial"/>
                <w:color w:val="000000"/>
                <w:sz w:val="18"/>
                <w:szCs w:val="18"/>
              </w:rPr>
            </w:pPr>
          </w:p>
        </w:tc>
        <w:tc>
          <w:tcPr>
            <w:tcW w:w="1843" w:type="dxa"/>
            <w:tcBorders>
              <w:top w:val="nil"/>
              <w:left w:val="nil"/>
              <w:bottom w:val="nil"/>
              <w:right w:val="nil"/>
            </w:tcBorders>
            <w:vAlign w:val="bottom"/>
          </w:tcPr>
          <w:p w:rsidR="006E6428" w:rsidRPr="00D00722" w:rsidRDefault="006E6428" w:rsidP="003C359E">
            <w:pPr>
              <w:autoSpaceDE w:val="0"/>
              <w:autoSpaceDN w:val="0"/>
              <w:adjustRightInd w:val="0"/>
              <w:spacing w:line="230" w:lineRule="auto"/>
              <w:jc w:val="right"/>
              <w:rPr>
                <w:rFonts w:ascii="Arial" w:hAnsi="Arial" w:cs="Arial"/>
                <w:color w:val="000000"/>
                <w:sz w:val="18"/>
                <w:szCs w:val="18"/>
              </w:rPr>
            </w:pPr>
          </w:p>
        </w:tc>
        <w:tc>
          <w:tcPr>
            <w:tcW w:w="1649" w:type="dxa"/>
            <w:tcBorders>
              <w:top w:val="nil"/>
              <w:left w:val="nil"/>
              <w:bottom w:val="nil"/>
              <w:right w:val="nil"/>
            </w:tcBorders>
            <w:vAlign w:val="bottom"/>
          </w:tcPr>
          <w:p w:rsidR="006E6428" w:rsidRPr="00D00722" w:rsidRDefault="006E6428" w:rsidP="003C359E">
            <w:pPr>
              <w:autoSpaceDE w:val="0"/>
              <w:autoSpaceDN w:val="0"/>
              <w:adjustRightInd w:val="0"/>
              <w:spacing w:line="230" w:lineRule="auto"/>
              <w:jc w:val="right"/>
              <w:rPr>
                <w:rFonts w:ascii="Arial" w:hAnsi="Arial" w:cs="Arial"/>
                <w:color w:val="000000"/>
                <w:sz w:val="18"/>
                <w:szCs w:val="18"/>
              </w:rPr>
            </w:pPr>
          </w:p>
        </w:tc>
        <w:tc>
          <w:tcPr>
            <w:tcW w:w="1559" w:type="dxa"/>
            <w:tcBorders>
              <w:top w:val="nil"/>
              <w:left w:val="nil"/>
              <w:bottom w:val="nil"/>
              <w:right w:val="nil"/>
            </w:tcBorders>
            <w:vAlign w:val="bottom"/>
          </w:tcPr>
          <w:p w:rsidR="006E6428" w:rsidRPr="00D00722" w:rsidRDefault="006E6428" w:rsidP="003C359E">
            <w:pPr>
              <w:autoSpaceDE w:val="0"/>
              <w:autoSpaceDN w:val="0"/>
              <w:adjustRightInd w:val="0"/>
              <w:spacing w:line="230" w:lineRule="auto"/>
              <w:jc w:val="right"/>
              <w:rPr>
                <w:rFonts w:ascii="Arial" w:hAnsi="Arial" w:cs="Arial"/>
                <w:color w:val="000000"/>
                <w:sz w:val="18"/>
                <w:szCs w:val="18"/>
              </w:rPr>
            </w:pPr>
          </w:p>
        </w:tc>
        <w:tc>
          <w:tcPr>
            <w:tcW w:w="1470" w:type="dxa"/>
            <w:tcBorders>
              <w:top w:val="nil"/>
              <w:left w:val="nil"/>
              <w:bottom w:val="nil"/>
              <w:right w:val="nil"/>
            </w:tcBorders>
            <w:vAlign w:val="bottom"/>
          </w:tcPr>
          <w:p w:rsidR="006E6428" w:rsidRPr="00D00722" w:rsidRDefault="006E6428" w:rsidP="003C359E">
            <w:pPr>
              <w:autoSpaceDE w:val="0"/>
              <w:autoSpaceDN w:val="0"/>
              <w:adjustRightInd w:val="0"/>
              <w:spacing w:line="230" w:lineRule="auto"/>
              <w:jc w:val="right"/>
              <w:rPr>
                <w:rFonts w:ascii="Arial" w:hAnsi="Arial" w:cs="Arial"/>
                <w:color w:val="000000"/>
                <w:sz w:val="18"/>
                <w:szCs w:val="18"/>
              </w:rPr>
            </w:pPr>
          </w:p>
        </w:tc>
      </w:tr>
      <w:tr w:rsidR="009E6AD4" w:rsidRPr="00D00722" w:rsidTr="00981BEF">
        <w:trPr>
          <w:trHeight w:val="113"/>
        </w:trPr>
        <w:tc>
          <w:tcPr>
            <w:tcW w:w="4253" w:type="dxa"/>
            <w:tcBorders>
              <w:top w:val="single" w:sz="6" w:space="0" w:color="auto"/>
              <w:left w:val="nil"/>
              <w:bottom w:val="single" w:sz="6" w:space="0" w:color="auto"/>
              <w:right w:val="nil"/>
            </w:tcBorders>
            <w:vAlign w:val="bottom"/>
          </w:tcPr>
          <w:p w:rsidR="009E6AD4" w:rsidRPr="00D00722" w:rsidRDefault="009E6AD4" w:rsidP="005A70C2">
            <w:pPr>
              <w:autoSpaceDE w:val="0"/>
              <w:autoSpaceDN w:val="0"/>
              <w:adjustRightInd w:val="0"/>
              <w:spacing w:line="230" w:lineRule="auto"/>
              <w:ind w:left="-78" w:hanging="30"/>
              <w:rPr>
                <w:rFonts w:ascii="Arial" w:eastAsia="Calibri" w:hAnsi="Arial" w:cs="Arial"/>
                <w:b/>
                <w:color w:val="000000"/>
                <w:sz w:val="18"/>
                <w:szCs w:val="18"/>
                <w:lang w:val="tr-TR"/>
              </w:rPr>
            </w:pPr>
            <w:r w:rsidRPr="00D00722">
              <w:rPr>
                <w:rFonts w:ascii="Arial" w:hAnsi="Arial" w:cs="Arial"/>
                <w:b/>
                <w:color w:val="000000"/>
                <w:sz w:val="18"/>
                <w:szCs w:val="18"/>
              </w:rPr>
              <w:t>1 Ocak 201</w:t>
            </w:r>
            <w:r w:rsidR="005A70C2" w:rsidRPr="00D00722">
              <w:rPr>
                <w:rFonts w:ascii="Arial" w:hAnsi="Arial" w:cs="Arial"/>
                <w:b/>
                <w:color w:val="000000"/>
                <w:sz w:val="18"/>
                <w:szCs w:val="18"/>
              </w:rPr>
              <w:t>3</w:t>
            </w:r>
            <w:r w:rsidRPr="00D00722">
              <w:rPr>
                <w:rFonts w:ascii="Arial" w:hAnsi="Arial" w:cs="Arial"/>
                <w:b/>
                <w:color w:val="000000"/>
                <w:sz w:val="18"/>
                <w:szCs w:val="18"/>
              </w:rPr>
              <w:t xml:space="preserve"> itibariyle bakiye</w:t>
            </w:r>
          </w:p>
        </w:tc>
        <w:tc>
          <w:tcPr>
            <w:tcW w:w="850" w:type="dxa"/>
            <w:tcBorders>
              <w:top w:val="single" w:sz="6" w:space="0" w:color="auto"/>
              <w:left w:val="nil"/>
              <w:bottom w:val="single" w:sz="6" w:space="0" w:color="auto"/>
              <w:right w:val="nil"/>
            </w:tcBorders>
            <w:vAlign w:val="bottom"/>
          </w:tcPr>
          <w:p w:rsidR="009E6AD4" w:rsidRPr="00D00722" w:rsidRDefault="009E6AD4" w:rsidP="003C359E">
            <w:pPr>
              <w:autoSpaceDE w:val="0"/>
              <w:autoSpaceDN w:val="0"/>
              <w:adjustRightInd w:val="0"/>
              <w:spacing w:line="230" w:lineRule="auto"/>
              <w:jc w:val="right"/>
              <w:rPr>
                <w:rFonts w:ascii="Arial" w:hAnsi="Arial" w:cs="Arial"/>
                <w:color w:val="000000"/>
                <w:sz w:val="18"/>
                <w:szCs w:val="18"/>
              </w:rPr>
            </w:pPr>
          </w:p>
        </w:tc>
        <w:tc>
          <w:tcPr>
            <w:tcW w:w="1134" w:type="dxa"/>
            <w:tcBorders>
              <w:top w:val="single" w:sz="6" w:space="0" w:color="auto"/>
              <w:left w:val="nil"/>
              <w:bottom w:val="single" w:sz="6" w:space="0" w:color="auto"/>
              <w:right w:val="nil"/>
            </w:tcBorders>
            <w:vAlign w:val="bottom"/>
          </w:tcPr>
          <w:p w:rsidR="009E6AD4" w:rsidRPr="00D00722" w:rsidRDefault="009E6AD4" w:rsidP="003C359E">
            <w:pPr>
              <w:autoSpaceDE w:val="0"/>
              <w:autoSpaceDN w:val="0"/>
              <w:adjustRightInd w:val="0"/>
              <w:spacing w:line="230" w:lineRule="auto"/>
              <w:jc w:val="right"/>
              <w:rPr>
                <w:rFonts w:ascii="Arial" w:eastAsia="Calibri" w:hAnsi="Arial" w:cs="Arial"/>
                <w:color w:val="000000"/>
                <w:sz w:val="18"/>
                <w:szCs w:val="18"/>
                <w:lang w:val="tr-TR"/>
              </w:rPr>
            </w:pPr>
            <w:r w:rsidRPr="00D00722">
              <w:rPr>
                <w:rFonts w:ascii="Arial" w:hAnsi="Arial" w:cs="Arial"/>
                <w:bCs/>
                <w:color w:val="000000"/>
                <w:sz w:val="18"/>
                <w:szCs w:val="18"/>
              </w:rPr>
              <w:t>1.700.000</w:t>
            </w:r>
          </w:p>
        </w:tc>
        <w:tc>
          <w:tcPr>
            <w:tcW w:w="1276" w:type="dxa"/>
            <w:tcBorders>
              <w:top w:val="single" w:sz="6" w:space="0" w:color="auto"/>
              <w:left w:val="nil"/>
              <w:bottom w:val="single" w:sz="6" w:space="0" w:color="auto"/>
              <w:right w:val="nil"/>
            </w:tcBorders>
            <w:vAlign w:val="bottom"/>
          </w:tcPr>
          <w:p w:rsidR="009E6AD4" w:rsidRPr="00D00722" w:rsidRDefault="009E6AD4" w:rsidP="003C359E">
            <w:pPr>
              <w:autoSpaceDE w:val="0"/>
              <w:autoSpaceDN w:val="0"/>
              <w:adjustRightInd w:val="0"/>
              <w:spacing w:line="230" w:lineRule="auto"/>
              <w:jc w:val="right"/>
              <w:rPr>
                <w:rFonts w:ascii="Arial" w:eastAsia="Calibri" w:hAnsi="Arial" w:cs="Arial"/>
                <w:color w:val="000000"/>
                <w:sz w:val="18"/>
                <w:szCs w:val="18"/>
                <w:lang w:val="tr-TR"/>
              </w:rPr>
            </w:pPr>
            <w:r w:rsidRPr="00D00722">
              <w:rPr>
                <w:rFonts w:ascii="Arial" w:hAnsi="Arial" w:cs="Arial"/>
                <w:bCs/>
                <w:color w:val="000000"/>
                <w:sz w:val="18"/>
                <w:szCs w:val="18"/>
              </w:rPr>
              <w:t>133.130</w:t>
            </w:r>
          </w:p>
        </w:tc>
        <w:tc>
          <w:tcPr>
            <w:tcW w:w="1843" w:type="dxa"/>
            <w:tcBorders>
              <w:top w:val="single" w:sz="6" w:space="0" w:color="auto"/>
              <w:left w:val="nil"/>
              <w:bottom w:val="single" w:sz="6" w:space="0" w:color="auto"/>
              <w:right w:val="nil"/>
            </w:tcBorders>
            <w:vAlign w:val="bottom"/>
          </w:tcPr>
          <w:p w:rsidR="009E6AD4" w:rsidRPr="00D00722" w:rsidRDefault="009E6AD4" w:rsidP="003C359E">
            <w:pPr>
              <w:autoSpaceDE w:val="0"/>
              <w:autoSpaceDN w:val="0"/>
              <w:adjustRightInd w:val="0"/>
              <w:spacing w:line="230" w:lineRule="auto"/>
              <w:jc w:val="right"/>
              <w:rPr>
                <w:rFonts w:ascii="Arial" w:eastAsia="Calibri" w:hAnsi="Arial" w:cs="Arial"/>
                <w:color w:val="000000"/>
                <w:sz w:val="18"/>
                <w:szCs w:val="18"/>
                <w:lang w:val="tr-TR"/>
              </w:rPr>
            </w:pPr>
            <w:r w:rsidRPr="00D00722">
              <w:rPr>
                <w:rFonts w:ascii="Arial" w:hAnsi="Arial" w:cs="Arial"/>
                <w:bCs/>
                <w:color w:val="000000"/>
                <w:sz w:val="18"/>
                <w:szCs w:val="18"/>
              </w:rPr>
              <w:t>44.772</w:t>
            </w:r>
          </w:p>
        </w:tc>
        <w:tc>
          <w:tcPr>
            <w:tcW w:w="1649" w:type="dxa"/>
            <w:tcBorders>
              <w:top w:val="single" w:sz="6" w:space="0" w:color="auto"/>
              <w:left w:val="nil"/>
              <w:bottom w:val="single" w:sz="6" w:space="0" w:color="auto"/>
              <w:right w:val="nil"/>
            </w:tcBorders>
            <w:vAlign w:val="bottom"/>
          </w:tcPr>
          <w:p w:rsidR="009E6AD4" w:rsidRPr="00D00722" w:rsidRDefault="009E6AD4" w:rsidP="005A70C2">
            <w:pPr>
              <w:autoSpaceDE w:val="0"/>
              <w:autoSpaceDN w:val="0"/>
              <w:adjustRightInd w:val="0"/>
              <w:spacing w:line="230" w:lineRule="auto"/>
              <w:jc w:val="right"/>
              <w:rPr>
                <w:rFonts w:ascii="Arial" w:eastAsia="Calibri" w:hAnsi="Arial" w:cs="Arial"/>
                <w:color w:val="000000"/>
                <w:sz w:val="18"/>
                <w:szCs w:val="18"/>
                <w:lang w:val="tr-TR"/>
              </w:rPr>
            </w:pPr>
            <w:r w:rsidRPr="00D00722">
              <w:rPr>
                <w:rFonts w:ascii="Arial" w:hAnsi="Arial" w:cs="Arial"/>
                <w:bCs/>
                <w:color w:val="000000"/>
                <w:sz w:val="18"/>
                <w:szCs w:val="18"/>
              </w:rPr>
              <w:t>(</w:t>
            </w:r>
            <w:r w:rsidR="005A70C2" w:rsidRPr="00D00722">
              <w:rPr>
                <w:rFonts w:ascii="Arial" w:hAnsi="Arial" w:cs="Arial"/>
                <w:bCs/>
                <w:color w:val="000000"/>
                <w:sz w:val="18"/>
                <w:szCs w:val="18"/>
              </w:rPr>
              <w:t>907</w:t>
            </w:r>
            <w:r w:rsidRPr="00D00722">
              <w:rPr>
                <w:rFonts w:ascii="Arial" w:hAnsi="Arial" w:cs="Arial"/>
                <w:bCs/>
                <w:color w:val="000000"/>
                <w:sz w:val="18"/>
                <w:szCs w:val="18"/>
              </w:rPr>
              <w:t>.</w:t>
            </w:r>
            <w:r w:rsidR="005A70C2" w:rsidRPr="00D00722">
              <w:rPr>
                <w:rFonts w:ascii="Arial" w:hAnsi="Arial" w:cs="Arial"/>
                <w:bCs/>
                <w:color w:val="000000"/>
                <w:sz w:val="18"/>
                <w:szCs w:val="18"/>
              </w:rPr>
              <w:t>641</w:t>
            </w:r>
            <w:r w:rsidRPr="00D00722">
              <w:rPr>
                <w:rFonts w:ascii="Arial" w:hAnsi="Arial" w:cs="Arial"/>
                <w:bCs/>
                <w:color w:val="000000"/>
                <w:sz w:val="18"/>
                <w:szCs w:val="18"/>
              </w:rPr>
              <w:t>)</w:t>
            </w:r>
          </w:p>
        </w:tc>
        <w:tc>
          <w:tcPr>
            <w:tcW w:w="1559" w:type="dxa"/>
            <w:tcBorders>
              <w:top w:val="single" w:sz="6" w:space="0" w:color="auto"/>
              <w:left w:val="nil"/>
              <w:bottom w:val="single" w:sz="6" w:space="0" w:color="auto"/>
              <w:right w:val="nil"/>
            </w:tcBorders>
            <w:vAlign w:val="bottom"/>
          </w:tcPr>
          <w:p w:rsidR="009E6AD4" w:rsidRPr="00D00722" w:rsidRDefault="005A70C2" w:rsidP="005A70C2">
            <w:pPr>
              <w:autoSpaceDE w:val="0"/>
              <w:autoSpaceDN w:val="0"/>
              <w:adjustRightInd w:val="0"/>
              <w:spacing w:line="230" w:lineRule="auto"/>
              <w:jc w:val="right"/>
              <w:rPr>
                <w:rFonts w:ascii="Arial" w:eastAsia="Calibri" w:hAnsi="Arial" w:cs="Arial"/>
                <w:color w:val="000000"/>
                <w:sz w:val="18"/>
                <w:szCs w:val="18"/>
                <w:lang w:val="tr-TR"/>
              </w:rPr>
            </w:pPr>
            <w:r w:rsidRPr="00D00722">
              <w:rPr>
                <w:rFonts w:ascii="Arial" w:hAnsi="Arial" w:cs="Arial"/>
                <w:bCs/>
                <w:color w:val="000000"/>
                <w:sz w:val="18"/>
                <w:szCs w:val="18"/>
              </w:rPr>
              <w:t>300</w:t>
            </w:r>
            <w:r w:rsidR="009E6AD4" w:rsidRPr="00D00722">
              <w:rPr>
                <w:rFonts w:ascii="Arial" w:hAnsi="Arial" w:cs="Arial"/>
                <w:bCs/>
                <w:color w:val="000000"/>
                <w:sz w:val="18"/>
                <w:szCs w:val="18"/>
              </w:rPr>
              <w:t>.</w:t>
            </w:r>
            <w:r w:rsidRPr="00D00722">
              <w:rPr>
                <w:rFonts w:ascii="Arial" w:hAnsi="Arial" w:cs="Arial"/>
                <w:bCs/>
                <w:color w:val="000000"/>
                <w:sz w:val="18"/>
                <w:szCs w:val="18"/>
              </w:rPr>
              <w:t>504</w:t>
            </w:r>
          </w:p>
        </w:tc>
        <w:tc>
          <w:tcPr>
            <w:tcW w:w="1470" w:type="dxa"/>
            <w:tcBorders>
              <w:top w:val="single" w:sz="6" w:space="0" w:color="auto"/>
              <w:left w:val="nil"/>
              <w:bottom w:val="single" w:sz="6" w:space="0" w:color="auto"/>
              <w:right w:val="nil"/>
            </w:tcBorders>
            <w:vAlign w:val="bottom"/>
          </w:tcPr>
          <w:p w:rsidR="009E6AD4" w:rsidRPr="00D00722" w:rsidRDefault="005A70C2" w:rsidP="005A70C2">
            <w:pPr>
              <w:autoSpaceDE w:val="0"/>
              <w:autoSpaceDN w:val="0"/>
              <w:adjustRightInd w:val="0"/>
              <w:spacing w:line="230" w:lineRule="auto"/>
              <w:jc w:val="right"/>
              <w:rPr>
                <w:rFonts w:ascii="Arial" w:eastAsia="Calibri" w:hAnsi="Arial" w:cs="Arial"/>
                <w:color w:val="000000"/>
                <w:sz w:val="18"/>
                <w:szCs w:val="18"/>
                <w:lang w:val="tr-TR"/>
              </w:rPr>
            </w:pPr>
            <w:r w:rsidRPr="00D00722">
              <w:rPr>
                <w:rFonts w:ascii="Arial" w:hAnsi="Arial" w:cs="Arial"/>
                <w:bCs/>
                <w:color w:val="000000"/>
                <w:sz w:val="18"/>
                <w:szCs w:val="18"/>
              </w:rPr>
              <w:t>1.270.765</w:t>
            </w:r>
          </w:p>
        </w:tc>
      </w:tr>
      <w:tr w:rsidR="009E6AD4" w:rsidRPr="00D00722" w:rsidTr="00981BEF">
        <w:trPr>
          <w:trHeight w:val="113"/>
        </w:trPr>
        <w:tc>
          <w:tcPr>
            <w:tcW w:w="4253" w:type="dxa"/>
            <w:tcBorders>
              <w:top w:val="nil"/>
              <w:left w:val="nil"/>
              <w:bottom w:val="nil"/>
              <w:right w:val="nil"/>
            </w:tcBorders>
            <w:vAlign w:val="bottom"/>
          </w:tcPr>
          <w:p w:rsidR="009E6AD4" w:rsidRPr="00D00722" w:rsidRDefault="009E6AD4" w:rsidP="003C359E">
            <w:pPr>
              <w:autoSpaceDE w:val="0"/>
              <w:autoSpaceDN w:val="0"/>
              <w:adjustRightInd w:val="0"/>
              <w:spacing w:line="230" w:lineRule="auto"/>
              <w:ind w:left="-78" w:hanging="30"/>
              <w:rPr>
                <w:rFonts w:ascii="Arial" w:hAnsi="Arial" w:cs="Arial"/>
                <w:color w:val="000000"/>
                <w:sz w:val="18"/>
                <w:szCs w:val="18"/>
              </w:rPr>
            </w:pPr>
          </w:p>
        </w:tc>
        <w:tc>
          <w:tcPr>
            <w:tcW w:w="850" w:type="dxa"/>
            <w:tcBorders>
              <w:top w:val="nil"/>
              <w:left w:val="nil"/>
              <w:bottom w:val="nil"/>
              <w:right w:val="nil"/>
            </w:tcBorders>
            <w:vAlign w:val="bottom"/>
          </w:tcPr>
          <w:p w:rsidR="009E6AD4" w:rsidRPr="00D00722" w:rsidRDefault="009E6AD4" w:rsidP="003C359E">
            <w:pPr>
              <w:autoSpaceDE w:val="0"/>
              <w:autoSpaceDN w:val="0"/>
              <w:adjustRightInd w:val="0"/>
              <w:spacing w:line="230" w:lineRule="auto"/>
              <w:jc w:val="right"/>
              <w:rPr>
                <w:rFonts w:ascii="Arial" w:hAnsi="Arial" w:cs="Arial"/>
                <w:color w:val="000000"/>
                <w:sz w:val="18"/>
                <w:szCs w:val="18"/>
              </w:rPr>
            </w:pPr>
          </w:p>
        </w:tc>
        <w:tc>
          <w:tcPr>
            <w:tcW w:w="1134" w:type="dxa"/>
            <w:tcBorders>
              <w:top w:val="nil"/>
              <w:left w:val="nil"/>
              <w:bottom w:val="nil"/>
              <w:right w:val="nil"/>
            </w:tcBorders>
            <w:vAlign w:val="bottom"/>
          </w:tcPr>
          <w:p w:rsidR="009E6AD4" w:rsidRPr="00D00722" w:rsidRDefault="009E6AD4" w:rsidP="003C359E">
            <w:pPr>
              <w:autoSpaceDE w:val="0"/>
              <w:autoSpaceDN w:val="0"/>
              <w:adjustRightInd w:val="0"/>
              <w:spacing w:line="230" w:lineRule="auto"/>
              <w:jc w:val="right"/>
              <w:rPr>
                <w:rFonts w:ascii="Arial" w:hAnsi="Arial" w:cs="Arial"/>
                <w:color w:val="000000"/>
                <w:sz w:val="18"/>
                <w:szCs w:val="18"/>
              </w:rPr>
            </w:pPr>
          </w:p>
        </w:tc>
        <w:tc>
          <w:tcPr>
            <w:tcW w:w="1276" w:type="dxa"/>
            <w:tcBorders>
              <w:top w:val="nil"/>
              <w:left w:val="nil"/>
              <w:bottom w:val="nil"/>
              <w:right w:val="nil"/>
            </w:tcBorders>
            <w:vAlign w:val="bottom"/>
          </w:tcPr>
          <w:p w:rsidR="009E6AD4" w:rsidRPr="00D00722" w:rsidRDefault="009E6AD4" w:rsidP="003C359E">
            <w:pPr>
              <w:autoSpaceDE w:val="0"/>
              <w:autoSpaceDN w:val="0"/>
              <w:adjustRightInd w:val="0"/>
              <w:spacing w:line="230" w:lineRule="auto"/>
              <w:jc w:val="right"/>
              <w:rPr>
                <w:rFonts w:ascii="Arial" w:hAnsi="Arial" w:cs="Arial"/>
                <w:color w:val="000000"/>
                <w:sz w:val="18"/>
                <w:szCs w:val="18"/>
              </w:rPr>
            </w:pPr>
          </w:p>
        </w:tc>
        <w:tc>
          <w:tcPr>
            <w:tcW w:w="1843" w:type="dxa"/>
            <w:tcBorders>
              <w:top w:val="nil"/>
              <w:left w:val="nil"/>
              <w:bottom w:val="nil"/>
              <w:right w:val="nil"/>
            </w:tcBorders>
            <w:vAlign w:val="bottom"/>
          </w:tcPr>
          <w:p w:rsidR="009E6AD4" w:rsidRPr="00D00722" w:rsidRDefault="009E6AD4" w:rsidP="003C359E">
            <w:pPr>
              <w:autoSpaceDE w:val="0"/>
              <w:autoSpaceDN w:val="0"/>
              <w:adjustRightInd w:val="0"/>
              <w:spacing w:line="230" w:lineRule="auto"/>
              <w:jc w:val="right"/>
              <w:rPr>
                <w:rFonts w:ascii="Arial" w:hAnsi="Arial" w:cs="Arial"/>
                <w:color w:val="000000"/>
                <w:sz w:val="18"/>
                <w:szCs w:val="18"/>
              </w:rPr>
            </w:pPr>
          </w:p>
        </w:tc>
        <w:tc>
          <w:tcPr>
            <w:tcW w:w="1649" w:type="dxa"/>
            <w:tcBorders>
              <w:top w:val="nil"/>
              <w:left w:val="nil"/>
              <w:bottom w:val="nil"/>
              <w:right w:val="nil"/>
            </w:tcBorders>
            <w:vAlign w:val="bottom"/>
          </w:tcPr>
          <w:p w:rsidR="009E6AD4" w:rsidRPr="00D00722" w:rsidRDefault="009E6AD4" w:rsidP="003C359E">
            <w:pPr>
              <w:autoSpaceDE w:val="0"/>
              <w:autoSpaceDN w:val="0"/>
              <w:adjustRightInd w:val="0"/>
              <w:spacing w:line="230" w:lineRule="auto"/>
              <w:jc w:val="right"/>
              <w:rPr>
                <w:rFonts w:ascii="Arial" w:hAnsi="Arial" w:cs="Arial"/>
                <w:color w:val="000000"/>
                <w:sz w:val="18"/>
                <w:szCs w:val="18"/>
              </w:rPr>
            </w:pPr>
          </w:p>
        </w:tc>
        <w:tc>
          <w:tcPr>
            <w:tcW w:w="1559" w:type="dxa"/>
            <w:tcBorders>
              <w:top w:val="nil"/>
              <w:left w:val="nil"/>
              <w:bottom w:val="nil"/>
              <w:right w:val="nil"/>
            </w:tcBorders>
            <w:vAlign w:val="bottom"/>
          </w:tcPr>
          <w:p w:rsidR="009E6AD4" w:rsidRPr="00D00722" w:rsidRDefault="009E6AD4" w:rsidP="003C359E">
            <w:pPr>
              <w:autoSpaceDE w:val="0"/>
              <w:autoSpaceDN w:val="0"/>
              <w:adjustRightInd w:val="0"/>
              <w:spacing w:line="230" w:lineRule="auto"/>
              <w:jc w:val="right"/>
              <w:rPr>
                <w:rFonts w:ascii="Arial" w:hAnsi="Arial" w:cs="Arial"/>
                <w:color w:val="000000"/>
                <w:sz w:val="18"/>
                <w:szCs w:val="18"/>
              </w:rPr>
            </w:pPr>
          </w:p>
        </w:tc>
        <w:tc>
          <w:tcPr>
            <w:tcW w:w="1470" w:type="dxa"/>
            <w:tcBorders>
              <w:top w:val="nil"/>
              <w:left w:val="nil"/>
              <w:bottom w:val="nil"/>
              <w:right w:val="nil"/>
            </w:tcBorders>
            <w:vAlign w:val="bottom"/>
          </w:tcPr>
          <w:p w:rsidR="009E6AD4" w:rsidRPr="00D00722" w:rsidRDefault="009E6AD4" w:rsidP="003C359E">
            <w:pPr>
              <w:autoSpaceDE w:val="0"/>
              <w:autoSpaceDN w:val="0"/>
              <w:adjustRightInd w:val="0"/>
              <w:spacing w:line="230" w:lineRule="auto"/>
              <w:jc w:val="right"/>
              <w:rPr>
                <w:rFonts w:ascii="Arial" w:hAnsi="Arial" w:cs="Arial"/>
                <w:color w:val="000000"/>
                <w:sz w:val="18"/>
                <w:szCs w:val="18"/>
              </w:rPr>
            </w:pPr>
          </w:p>
        </w:tc>
      </w:tr>
      <w:tr w:rsidR="009E6AD4" w:rsidRPr="00D00722" w:rsidTr="009E6AD4">
        <w:trPr>
          <w:trHeight w:val="113"/>
        </w:trPr>
        <w:tc>
          <w:tcPr>
            <w:tcW w:w="4253" w:type="dxa"/>
            <w:tcBorders>
              <w:top w:val="nil"/>
              <w:left w:val="nil"/>
              <w:bottom w:val="nil"/>
              <w:right w:val="nil"/>
            </w:tcBorders>
            <w:vAlign w:val="bottom"/>
          </w:tcPr>
          <w:p w:rsidR="009E6AD4" w:rsidRPr="00D00722" w:rsidRDefault="009E6AD4" w:rsidP="00ED6F5D">
            <w:pPr>
              <w:autoSpaceDE w:val="0"/>
              <w:autoSpaceDN w:val="0"/>
              <w:adjustRightInd w:val="0"/>
              <w:spacing w:line="230" w:lineRule="auto"/>
              <w:ind w:left="-78" w:hanging="30"/>
              <w:rPr>
                <w:rFonts w:ascii="Arial" w:eastAsia="Calibri" w:hAnsi="Arial" w:cs="Arial"/>
                <w:color w:val="000000"/>
                <w:sz w:val="18"/>
                <w:szCs w:val="18"/>
                <w:lang w:val="tr-TR"/>
              </w:rPr>
            </w:pPr>
            <w:r w:rsidRPr="00D00722">
              <w:rPr>
                <w:rFonts w:ascii="Arial" w:hAnsi="Arial" w:cs="Arial"/>
                <w:color w:val="000000"/>
                <w:sz w:val="18"/>
                <w:szCs w:val="18"/>
              </w:rPr>
              <w:t>Geçmiş yıl zararlarına</w:t>
            </w:r>
            <w:r w:rsidR="0081182E" w:rsidRPr="00D00722">
              <w:rPr>
                <w:rFonts w:ascii="Arial" w:hAnsi="Arial" w:cs="Arial"/>
                <w:color w:val="000000"/>
                <w:sz w:val="18"/>
                <w:szCs w:val="18"/>
              </w:rPr>
              <w:t xml:space="preserve"> nakit ilaveler</w:t>
            </w:r>
            <w:r w:rsidRPr="00D00722">
              <w:rPr>
                <w:rFonts w:ascii="Arial" w:hAnsi="Arial" w:cs="Arial"/>
                <w:color w:val="000000"/>
                <w:sz w:val="18"/>
                <w:szCs w:val="18"/>
              </w:rPr>
              <w:t xml:space="preserve"> </w:t>
            </w:r>
          </w:p>
        </w:tc>
        <w:tc>
          <w:tcPr>
            <w:tcW w:w="850" w:type="dxa"/>
            <w:tcBorders>
              <w:top w:val="nil"/>
              <w:left w:val="nil"/>
              <w:bottom w:val="nil"/>
              <w:right w:val="nil"/>
            </w:tcBorders>
            <w:vAlign w:val="bottom"/>
          </w:tcPr>
          <w:p w:rsidR="009E6AD4" w:rsidRPr="00D00722" w:rsidRDefault="009E6AD4" w:rsidP="003C359E">
            <w:pPr>
              <w:autoSpaceDE w:val="0"/>
              <w:autoSpaceDN w:val="0"/>
              <w:adjustRightInd w:val="0"/>
              <w:spacing w:line="230" w:lineRule="auto"/>
              <w:jc w:val="right"/>
              <w:rPr>
                <w:rFonts w:ascii="Arial" w:hAnsi="Arial" w:cs="Arial"/>
                <w:color w:val="000000"/>
                <w:sz w:val="18"/>
                <w:szCs w:val="18"/>
              </w:rPr>
            </w:pPr>
          </w:p>
        </w:tc>
        <w:tc>
          <w:tcPr>
            <w:tcW w:w="1134" w:type="dxa"/>
            <w:tcBorders>
              <w:top w:val="nil"/>
              <w:left w:val="nil"/>
              <w:bottom w:val="nil"/>
              <w:right w:val="nil"/>
            </w:tcBorders>
          </w:tcPr>
          <w:p w:rsidR="009E6AD4" w:rsidRPr="00D00722" w:rsidRDefault="009E6AD4" w:rsidP="003C359E">
            <w:pPr>
              <w:autoSpaceDE w:val="0"/>
              <w:autoSpaceDN w:val="0"/>
              <w:adjustRightInd w:val="0"/>
              <w:spacing w:line="230" w:lineRule="auto"/>
              <w:jc w:val="right"/>
              <w:rPr>
                <w:rFonts w:ascii="Arial" w:eastAsia="Calibri" w:hAnsi="Arial" w:cs="Arial"/>
                <w:color w:val="000000"/>
                <w:sz w:val="18"/>
                <w:szCs w:val="18"/>
                <w:lang w:val="tr-TR"/>
              </w:rPr>
            </w:pPr>
            <w:r w:rsidRPr="00D00722">
              <w:rPr>
                <w:rFonts w:ascii="Arial" w:hAnsi="Arial" w:cs="Arial"/>
                <w:color w:val="000000"/>
                <w:sz w:val="18"/>
                <w:szCs w:val="18"/>
              </w:rPr>
              <w:t>-</w:t>
            </w:r>
          </w:p>
        </w:tc>
        <w:tc>
          <w:tcPr>
            <w:tcW w:w="1276" w:type="dxa"/>
            <w:tcBorders>
              <w:top w:val="nil"/>
              <w:left w:val="nil"/>
              <w:bottom w:val="nil"/>
              <w:right w:val="nil"/>
            </w:tcBorders>
          </w:tcPr>
          <w:p w:rsidR="009E6AD4" w:rsidRPr="00D00722" w:rsidRDefault="009E6AD4" w:rsidP="003C359E">
            <w:pPr>
              <w:autoSpaceDE w:val="0"/>
              <w:autoSpaceDN w:val="0"/>
              <w:adjustRightInd w:val="0"/>
              <w:spacing w:line="230" w:lineRule="auto"/>
              <w:jc w:val="right"/>
              <w:rPr>
                <w:rFonts w:ascii="Arial" w:eastAsia="Calibri" w:hAnsi="Arial" w:cs="Arial"/>
                <w:color w:val="000000"/>
                <w:sz w:val="18"/>
                <w:szCs w:val="18"/>
                <w:lang w:val="tr-TR"/>
              </w:rPr>
            </w:pPr>
            <w:r w:rsidRPr="00D00722">
              <w:rPr>
                <w:rFonts w:ascii="Arial" w:hAnsi="Arial" w:cs="Arial"/>
                <w:color w:val="000000"/>
                <w:sz w:val="18"/>
                <w:szCs w:val="18"/>
              </w:rPr>
              <w:t>-</w:t>
            </w:r>
          </w:p>
        </w:tc>
        <w:tc>
          <w:tcPr>
            <w:tcW w:w="1843" w:type="dxa"/>
            <w:tcBorders>
              <w:top w:val="nil"/>
              <w:left w:val="nil"/>
              <w:bottom w:val="nil"/>
              <w:right w:val="nil"/>
            </w:tcBorders>
          </w:tcPr>
          <w:p w:rsidR="009E6AD4" w:rsidRPr="00D00722" w:rsidRDefault="009E6AD4" w:rsidP="003C359E">
            <w:pPr>
              <w:autoSpaceDE w:val="0"/>
              <w:autoSpaceDN w:val="0"/>
              <w:adjustRightInd w:val="0"/>
              <w:spacing w:line="230" w:lineRule="auto"/>
              <w:jc w:val="right"/>
              <w:rPr>
                <w:rFonts w:ascii="Arial" w:eastAsia="Calibri" w:hAnsi="Arial" w:cs="Arial"/>
                <w:color w:val="000000"/>
                <w:sz w:val="18"/>
                <w:szCs w:val="18"/>
                <w:lang w:val="tr-TR"/>
              </w:rPr>
            </w:pPr>
            <w:r w:rsidRPr="00D00722">
              <w:rPr>
                <w:rFonts w:ascii="Arial" w:hAnsi="Arial" w:cs="Arial"/>
                <w:color w:val="000000"/>
                <w:sz w:val="18"/>
                <w:szCs w:val="18"/>
              </w:rPr>
              <w:t>-</w:t>
            </w:r>
          </w:p>
        </w:tc>
        <w:tc>
          <w:tcPr>
            <w:tcW w:w="1649" w:type="dxa"/>
            <w:tcBorders>
              <w:top w:val="nil"/>
              <w:left w:val="nil"/>
              <w:bottom w:val="nil"/>
              <w:right w:val="nil"/>
            </w:tcBorders>
          </w:tcPr>
          <w:p w:rsidR="009E6AD4" w:rsidRPr="00D00722" w:rsidRDefault="009E6AD4" w:rsidP="003C359E">
            <w:pPr>
              <w:autoSpaceDE w:val="0"/>
              <w:autoSpaceDN w:val="0"/>
              <w:adjustRightInd w:val="0"/>
              <w:spacing w:line="230" w:lineRule="auto"/>
              <w:jc w:val="right"/>
              <w:rPr>
                <w:rFonts w:ascii="Arial" w:eastAsia="Calibri" w:hAnsi="Arial" w:cs="Arial"/>
                <w:color w:val="000000"/>
                <w:sz w:val="18"/>
                <w:szCs w:val="18"/>
                <w:lang w:val="tr-TR"/>
              </w:rPr>
            </w:pPr>
          </w:p>
        </w:tc>
        <w:tc>
          <w:tcPr>
            <w:tcW w:w="1559" w:type="dxa"/>
            <w:tcBorders>
              <w:top w:val="nil"/>
              <w:left w:val="nil"/>
              <w:bottom w:val="nil"/>
              <w:right w:val="nil"/>
            </w:tcBorders>
          </w:tcPr>
          <w:p w:rsidR="009E6AD4" w:rsidRPr="00D00722" w:rsidRDefault="009E6AD4" w:rsidP="005A70C2">
            <w:pPr>
              <w:autoSpaceDE w:val="0"/>
              <w:autoSpaceDN w:val="0"/>
              <w:adjustRightInd w:val="0"/>
              <w:spacing w:line="230" w:lineRule="auto"/>
              <w:jc w:val="right"/>
              <w:rPr>
                <w:rFonts w:ascii="Arial" w:eastAsia="Calibri" w:hAnsi="Arial" w:cs="Arial"/>
                <w:color w:val="000000"/>
                <w:sz w:val="18"/>
                <w:szCs w:val="18"/>
                <w:lang w:val="tr-TR"/>
              </w:rPr>
            </w:pPr>
          </w:p>
        </w:tc>
        <w:tc>
          <w:tcPr>
            <w:tcW w:w="1470" w:type="dxa"/>
            <w:tcBorders>
              <w:top w:val="nil"/>
              <w:left w:val="nil"/>
              <w:bottom w:val="nil"/>
              <w:right w:val="nil"/>
            </w:tcBorders>
          </w:tcPr>
          <w:p w:rsidR="009E6AD4" w:rsidRPr="00D00722" w:rsidRDefault="009E6AD4" w:rsidP="003C359E">
            <w:pPr>
              <w:autoSpaceDE w:val="0"/>
              <w:autoSpaceDN w:val="0"/>
              <w:adjustRightInd w:val="0"/>
              <w:spacing w:line="230" w:lineRule="auto"/>
              <w:jc w:val="right"/>
              <w:rPr>
                <w:rFonts w:ascii="Arial" w:eastAsia="Calibri" w:hAnsi="Arial" w:cs="Arial"/>
                <w:color w:val="000000"/>
                <w:sz w:val="18"/>
                <w:szCs w:val="18"/>
                <w:lang w:val="tr-TR"/>
              </w:rPr>
            </w:pPr>
          </w:p>
        </w:tc>
      </w:tr>
      <w:tr w:rsidR="005A70C2" w:rsidRPr="00D00722" w:rsidTr="009E6AD4">
        <w:trPr>
          <w:trHeight w:val="113"/>
        </w:trPr>
        <w:tc>
          <w:tcPr>
            <w:tcW w:w="4253" w:type="dxa"/>
            <w:tcBorders>
              <w:top w:val="nil"/>
              <w:left w:val="nil"/>
              <w:bottom w:val="nil"/>
              <w:right w:val="nil"/>
            </w:tcBorders>
            <w:vAlign w:val="bottom"/>
          </w:tcPr>
          <w:p w:rsidR="005A70C2" w:rsidRPr="00D00722" w:rsidRDefault="005A70C2" w:rsidP="003C359E">
            <w:pPr>
              <w:autoSpaceDE w:val="0"/>
              <w:autoSpaceDN w:val="0"/>
              <w:adjustRightInd w:val="0"/>
              <w:spacing w:line="230" w:lineRule="auto"/>
              <w:ind w:left="-78" w:hanging="30"/>
              <w:rPr>
                <w:rFonts w:ascii="Arial" w:eastAsia="Calibri" w:hAnsi="Arial" w:cs="Arial"/>
                <w:color w:val="000000"/>
                <w:sz w:val="18"/>
                <w:szCs w:val="18"/>
                <w:lang w:val="tr-TR"/>
              </w:rPr>
            </w:pPr>
            <w:r w:rsidRPr="00D00722">
              <w:rPr>
                <w:rFonts w:ascii="Arial" w:hAnsi="Arial" w:cs="Arial"/>
                <w:color w:val="000000"/>
                <w:sz w:val="18"/>
                <w:szCs w:val="18"/>
              </w:rPr>
              <w:t>Geçmiş yıl karlarına transfer</w:t>
            </w:r>
          </w:p>
        </w:tc>
        <w:tc>
          <w:tcPr>
            <w:tcW w:w="850" w:type="dxa"/>
            <w:tcBorders>
              <w:top w:val="nil"/>
              <w:left w:val="nil"/>
              <w:bottom w:val="nil"/>
              <w:right w:val="nil"/>
            </w:tcBorders>
            <w:vAlign w:val="bottom"/>
          </w:tcPr>
          <w:p w:rsidR="005A70C2" w:rsidRPr="00D00722" w:rsidRDefault="005A70C2" w:rsidP="003C359E">
            <w:pPr>
              <w:autoSpaceDE w:val="0"/>
              <w:autoSpaceDN w:val="0"/>
              <w:adjustRightInd w:val="0"/>
              <w:spacing w:line="230" w:lineRule="auto"/>
              <w:jc w:val="right"/>
              <w:rPr>
                <w:rFonts w:ascii="Arial" w:hAnsi="Arial" w:cs="Arial"/>
                <w:color w:val="000000"/>
                <w:sz w:val="18"/>
                <w:szCs w:val="18"/>
              </w:rPr>
            </w:pPr>
          </w:p>
        </w:tc>
        <w:tc>
          <w:tcPr>
            <w:tcW w:w="1134" w:type="dxa"/>
            <w:tcBorders>
              <w:top w:val="nil"/>
              <w:left w:val="nil"/>
              <w:bottom w:val="nil"/>
              <w:right w:val="nil"/>
            </w:tcBorders>
          </w:tcPr>
          <w:p w:rsidR="005A70C2" w:rsidRPr="00D00722" w:rsidRDefault="005A70C2" w:rsidP="003C359E">
            <w:pPr>
              <w:autoSpaceDE w:val="0"/>
              <w:autoSpaceDN w:val="0"/>
              <w:adjustRightInd w:val="0"/>
              <w:spacing w:line="230" w:lineRule="auto"/>
              <w:jc w:val="right"/>
              <w:rPr>
                <w:rFonts w:ascii="Arial" w:eastAsia="Calibri" w:hAnsi="Arial" w:cs="Arial"/>
                <w:color w:val="000000"/>
                <w:sz w:val="18"/>
                <w:szCs w:val="18"/>
                <w:lang w:val="tr-TR"/>
              </w:rPr>
            </w:pPr>
            <w:r w:rsidRPr="00D00722">
              <w:rPr>
                <w:rFonts w:ascii="Arial" w:hAnsi="Arial" w:cs="Arial"/>
                <w:color w:val="000000"/>
                <w:sz w:val="18"/>
                <w:szCs w:val="18"/>
              </w:rPr>
              <w:t>-</w:t>
            </w:r>
          </w:p>
        </w:tc>
        <w:tc>
          <w:tcPr>
            <w:tcW w:w="1276" w:type="dxa"/>
            <w:tcBorders>
              <w:top w:val="nil"/>
              <w:left w:val="nil"/>
              <w:bottom w:val="nil"/>
              <w:right w:val="nil"/>
            </w:tcBorders>
          </w:tcPr>
          <w:p w:rsidR="005A70C2" w:rsidRPr="00D00722" w:rsidRDefault="005A70C2" w:rsidP="003C359E">
            <w:pPr>
              <w:autoSpaceDE w:val="0"/>
              <w:autoSpaceDN w:val="0"/>
              <w:adjustRightInd w:val="0"/>
              <w:spacing w:line="230" w:lineRule="auto"/>
              <w:jc w:val="right"/>
              <w:rPr>
                <w:rFonts w:ascii="Arial" w:eastAsia="Calibri" w:hAnsi="Arial" w:cs="Arial"/>
                <w:color w:val="000000"/>
                <w:sz w:val="18"/>
                <w:szCs w:val="18"/>
                <w:lang w:val="tr-TR"/>
              </w:rPr>
            </w:pPr>
            <w:r w:rsidRPr="00D00722">
              <w:rPr>
                <w:rFonts w:ascii="Arial" w:hAnsi="Arial" w:cs="Arial"/>
                <w:color w:val="000000"/>
                <w:sz w:val="18"/>
                <w:szCs w:val="18"/>
              </w:rPr>
              <w:t>-</w:t>
            </w:r>
          </w:p>
        </w:tc>
        <w:tc>
          <w:tcPr>
            <w:tcW w:w="1843" w:type="dxa"/>
            <w:tcBorders>
              <w:top w:val="nil"/>
              <w:left w:val="nil"/>
              <w:bottom w:val="nil"/>
              <w:right w:val="nil"/>
            </w:tcBorders>
          </w:tcPr>
          <w:p w:rsidR="005A70C2" w:rsidRPr="00D00722" w:rsidRDefault="005A70C2" w:rsidP="003C359E">
            <w:pPr>
              <w:autoSpaceDE w:val="0"/>
              <w:autoSpaceDN w:val="0"/>
              <w:adjustRightInd w:val="0"/>
              <w:spacing w:line="230" w:lineRule="auto"/>
              <w:jc w:val="right"/>
              <w:rPr>
                <w:rFonts w:ascii="Arial" w:eastAsia="Calibri" w:hAnsi="Arial" w:cs="Arial"/>
                <w:color w:val="000000"/>
                <w:sz w:val="18"/>
                <w:szCs w:val="18"/>
                <w:lang w:val="tr-TR"/>
              </w:rPr>
            </w:pPr>
            <w:r w:rsidRPr="00D00722">
              <w:rPr>
                <w:rFonts w:ascii="Arial" w:hAnsi="Arial" w:cs="Arial"/>
                <w:color w:val="000000"/>
                <w:sz w:val="18"/>
                <w:szCs w:val="18"/>
              </w:rPr>
              <w:t>-</w:t>
            </w:r>
          </w:p>
        </w:tc>
        <w:tc>
          <w:tcPr>
            <w:tcW w:w="1649" w:type="dxa"/>
            <w:tcBorders>
              <w:top w:val="nil"/>
              <w:left w:val="nil"/>
              <w:bottom w:val="nil"/>
              <w:right w:val="nil"/>
            </w:tcBorders>
          </w:tcPr>
          <w:p w:rsidR="005A70C2" w:rsidRPr="00D00722" w:rsidRDefault="005A70C2" w:rsidP="005A70C2">
            <w:pPr>
              <w:autoSpaceDE w:val="0"/>
              <w:autoSpaceDN w:val="0"/>
              <w:adjustRightInd w:val="0"/>
              <w:spacing w:line="230" w:lineRule="auto"/>
              <w:jc w:val="right"/>
              <w:rPr>
                <w:rFonts w:ascii="Arial" w:eastAsia="Calibri" w:hAnsi="Arial" w:cs="Arial"/>
                <w:color w:val="000000"/>
                <w:sz w:val="18"/>
                <w:szCs w:val="18"/>
                <w:lang w:val="tr-TR"/>
              </w:rPr>
            </w:pPr>
            <w:r w:rsidRPr="00D00722">
              <w:rPr>
                <w:rFonts w:ascii="Arial" w:hAnsi="Arial" w:cs="Arial"/>
                <w:color w:val="000000"/>
                <w:sz w:val="18"/>
                <w:szCs w:val="18"/>
              </w:rPr>
              <w:t>907,641-</w:t>
            </w:r>
          </w:p>
        </w:tc>
        <w:tc>
          <w:tcPr>
            <w:tcW w:w="1559" w:type="dxa"/>
            <w:tcBorders>
              <w:top w:val="nil"/>
              <w:left w:val="nil"/>
              <w:bottom w:val="nil"/>
              <w:right w:val="nil"/>
            </w:tcBorders>
          </w:tcPr>
          <w:p w:rsidR="005A70C2" w:rsidRPr="00D00722" w:rsidRDefault="005A70C2" w:rsidP="005A70C2">
            <w:pPr>
              <w:autoSpaceDE w:val="0"/>
              <w:autoSpaceDN w:val="0"/>
              <w:adjustRightInd w:val="0"/>
              <w:spacing w:line="230" w:lineRule="auto"/>
              <w:jc w:val="right"/>
              <w:rPr>
                <w:rFonts w:ascii="Arial" w:eastAsia="Calibri" w:hAnsi="Arial" w:cs="Arial"/>
                <w:color w:val="000000"/>
                <w:sz w:val="18"/>
                <w:szCs w:val="18"/>
                <w:lang w:val="tr-TR"/>
              </w:rPr>
            </w:pPr>
            <w:r w:rsidRPr="00D00722">
              <w:rPr>
                <w:rFonts w:ascii="Arial" w:hAnsi="Arial" w:cs="Arial"/>
                <w:color w:val="000000"/>
                <w:sz w:val="18"/>
                <w:szCs w:val="18"/>
              </w:rPr>
              <w:t>(907.641)</w:t>
            </w:r>
          </w:p>
        </w:tc>
        <w:tc>
          <w:tcPr>
            <w:tcW w:w="1470" w:type="dxa"/>
            <w:tcBorders>
              <w:top w:val="nil"/>
              <w:left w:val="nil"/>
              <w:bottom w:val="nil"/>
              <w:right w:val="nil"/>
            </w:tcBorders>
          </w:tcPr>
          <w:p w:rsidR="005A70C2" w:rsidRPr="00D00722" w:rsidRDefault="005A70C2" w:rsidP="003C359E">
            <w:pPr>
              <w:autoSpaceDE w:val="0"/>
              <w:autoSpaceDN w:val="0"/>
              <w:adjustRightInd w:val="0"/>
              <w:spacing w:line="230" w:lineRule="auto"/>
              <w:jc w:val="right"/>
              <w:rPr>
                <w:rFonts w:ascii="Arial" w:eastAsia="Calibri" w:hAnsi="Arial" w:cs="Arial"/>
                <w:color w:val="000000"/>
                <w:sz w:val="18"/>
                <w:szCs w:val="18"/>
                <w:lang w:val="tr-TR"/>
              </w:rPr>
            </w:pPr>
          </w:p>
        </w:tc>
      </w:tr>
      <w:tr w:rsidR="005A70C2" w:rsidRPr="00D00722" w:rsidTr="009E6AD4">
        <w:trPr>
          <w:trHeight w:val="113"/>
        </w:trPr>
        <w:tc>
          <w:tcPr>
            <w:tcW w:w="4253" w:type="dxa"/>
            <w:tcBorders>
              <w:top w:val="nil"/>
              <w:left w:val="nil"/>
              <w:bottom w:val="nil"/>
              <w:right w:val="nil"/>
            </w:tcBorders>
            <w:vAlign w:val="bottom"/>
          </w:tcPr>
          <w:p w:rsidR="005A70C2" w:rsidRPr="00D00722" w:rsidRDefault="005A70C2" w:rsidP="003C359E">
            <w:pPr>
              <w:autoSpaceDE w:val="0"/>
              <w:autoSpaceDN w:val="0"/>
              <w:adjustRightInd w:val="0"/>
              <w:spacing w:line="230" w:lineRule="auto"/>
              <w:ind w:left="-78" w:hanging="30"/>
              <w:rPr>
                <w:rFonts w:ascii="Arial" w:eastAsia="Calibri" w:hAnsi="Arial" w:cs="Arial"/>
                <w:color w:val="000000"/>
                <w:sz w:val="18"/>
                <w:szCs w:val="18"/>
                <w:lang w:val="tr-TR"/>
              </w:rPr>
            </w:pPr>
            <w:r w:rsidRPr="00D00722">
              <w:rPr>
                <w:rFonts w:ascii="Arial" w:hAnsi="Arial" w:cs="Arial"/>
                <w:color w:val="000000"/>
                <w:sz w:val="18"/>
                <w:szCs w:val="18"/>
              </w:rPr>
              <w:t>Yedeklere aktarılan tutarlar</w:t>
            </w:r>
          </w:p>
        </w:tc>
        <w:tc>
          <w:tcPr>
            <w:tcW w:w="850" w:type="dxa"/>
            <w:tcBorders>
              <w:top w:val="nil"/>
              <w:left w:val="nil"/>
              <w:bottom w:val="nil"/>
              <w:right w:val="nil"/>
            </w:tcBorders>
            <w:vAlign w:val="bottom"/>
          </w:tcPr>
          <w:p w:rsidR="005A70C2" w:rsidRPr="00D00722" w:rsidRDefault="005A70C2" w:rsidP="003C359E">
            <w:pPr>
              <w:autoSpaceDE w:val="0"/>
              <w:autoSpaceDN w:val="0"/>
              <w:adjustRightInd w:val="0"/>
              <w:spacing w:line="230" w:lineRule="auto"/>
              <w:jc w:val="right"/>
              <w:rPr>
                <w:rFonts w:ascii="Arial" w:hAnsi="Arial" w:cs="Arial"/>
                <w:color w:val="000000"/>
                <w:sz w:val="18"/>
                <w:szCs w:val="18"/>
              </w:rPr>
            </w:pPr>
          </w:p>
        </w:tc>
        <w:tc>
          <w:tcPr>
            <w:tcW w:w="1134" w:type="dxa"/>
            <w:tcBorders>
              <w:top w:val="nil"/>
              <w:left w:val="nil"/>
              <w:bottom w:val="nil"/>
              <w:right w:val="nil"/>
            </w:tcBorders>
          </w:tcPr>
          <w:p w:rsidR="005A70C2" w:rsidRPr="00D00722" w:rsidRDefault="005A70C2" w:rsidP="003C359E">
            <w:pPr>
              <w:autoSpaceDE w:val="0"/>
              <w:autoSpaceDN w:val="0"/>
              <w:adjustRightInd w:val="0"/>
              <w:spacing w:line="230" w:lineRule="auto"/>
              <w:jc w:val="right"/>
              <w:rPr>
                <w:rFonts w:ascii="Arial" w:eastAsia="Calibri" w:hAnsi="Arial" w:cs="Arial"/>
                <w:color w:val="000000"/>
                <w:sz w:val="18"/>
                <w:szCs w:val="18"/>
                <w:lang w:val="tr-TR"/>
              </w:rPr>
            </w:pPr>
            <w:r w:rsidRPr="00D00722">
              <w:rPr>
                <w:rFonts w:ascii="Arial" w:hAnsi="Arial" w:cs="Arial"/>
                <w:color w:val="000000"/>
                <w:sz w:val="18"/>
                <w:szCs w:val="18"/>
              </w:rPr>
              <w:t>-</w:t>
            </w:r>
          </w:p>
        </w:tc>
        <w:tc>
          <w:tcPr>
            <w:tcW w:w="1276" w:type="dxa"/>
            <w:tcBorders>
              <w:top w:val="nil"/>
              <w:left w:val="nil"/>
              <w:bottom w:val="nil"/>
              <w:right w:val="nil"/>
            </w:tcBorders>
          </w:tcPr>
          <w:p w:rsidR="005A70C2" w:rsidRPr="00D00722" w:rsidRDefault="005A70C2" w:rsidP="003C359E">
            <w:pPr>
              <w:autoSpaceDE w:val="0"/>
              <w:autoSpaceDN w:val="0"/>
              <w:adjustRightInd w:val="0"/>
              <w:spacing w:line="230" w:lineRule="auto"/>
              <w:jc w:val="right"/>
              <w:rPr>
                <w:rFonts w:ascii="Arial" w:eastAsia="Calibri" w:hAnsi="Arial" w:cs="Arial"/>
                <w:color w:val="000000"/>
                <w:sz w:val="18"/>
                <w:szCs w:val="18"/>
                <w:lang w:val="tr-TR"/>
              </w:rPr>
            </w:pPr>
            <w:r w:rsidRPr="00D00722">
              <w:rPr>
                <w:rFonts w:ascii="Arial" w:hAnsi="Arial" w:cs="Arial"/>
                <w:color w:val="000000"/>
                <w:sz w:val="18"/>
                <w:szCs w:val="18"/>
              </w:rPr>
              <w:t>-</w:t>
            </w:r>
          </w:p>
        </w:tc>
        <w:tc>
          <w:tcPr>
            <w:tcW w:w="1843" w:type="dxa"/>
            <w:tcBorders>
              <w:top w:val="nil"/>
              <w:left w:val="nil"/>
              <w:bottom w:val="nil"/>
              <w:right w:val="nil"/>
            </w:tcBorders>
          </w:tcPr>
          <w:p w:rsidR="005A70C2" w:rsidRPr="00D00722" w:rsidRDefault="005A70C2" w:rsidP="003C359E">
            <w:pPr>
              <w:autoSpaceDE w:val="0"/>
              <w:autoSpaceDN w:val="0"/>
              <w:adjustRightInd w:val="0"/>
              <w:spacing w:line="230" w:lineRule="auto"/>
              <w:jc w:val="right"/>
              <w:rPr>
                <w:rFonts w:ascii="Arial" w:eastAsia="Calibri" w:hAnsi="Arial" w:cs="Arial"/>
                <w:color w:val="000000"/>
                <w:sz w:val="18"/>
                <w:szCs w:val="18"/>
                <w:lang w:val="tr-TR"/>
              </w:rPr>
            </w:pPr>
            <w:r w:rsidRPr="00D00722">
              <w:rPr>
                <w:rFonts w:ascii="Arial" w:hAnsi="Arial" w:cs="Arial"/>
                <w:color w:val="000000"/>
                <w:sz w:val="18"/>
                <w:szCs w:val="18"/>
              </w:rPr>
              <w:t>-</w:t>
            </w:r>
          </w:p>
        </w:tc>
        <w:tc>
          <w:tcPr>
            <w:tcW w:w="1649" w:type="dxa"/>
            <w:tcBorders>
              <w:top w:val="nil"/>
              <w:left w:val="nil"/>
              <w:bottom w:val="nil"/>
              <w:right w:val="nil"/>
            </w:tcBorders>
          </w:tcPr>
          <w:p w:rsidR="005A70C2" w:rsidRPr="00D00722" w:rsidRDefault="005A70C2" w:rsidP="003C359E">
            <w:pPr>
              <w:autoSpaceDE w:val="0"/>
              <w:autoSpaceDN w:val="0"/>
              <w:adjustRightInd w:val="0"/>
              <w:spacing w:line="230" w:lineRule="auto"/>
              <w:jc w:val="right"/>
              <w:rPr>
                <w:rFonts w:ascii="Arial" w:eastAsia="Calibri" w:hAnsi="Arial" w:cs="Arial"/>
                <w:color w:val="000000"/>
                <w:sz w:val="18"/>
                <w:szCs w:val="18"/>
                <w:lang w:val="tr-TR"/>
              </w:rPr>
            </w:pPr>
            <w:r w:rsidRPr="00D00722">
              <w:rPr>
                <w:rFonts w:ascii="Arial" w:hAnsi="Arial" w:cs="Arial"/>
                <w:color w:val="000000"/>
                <w:sz w:val="18"/>
                <w:szCs w:val="18"/>
              </w:rPr>
              <w:t>-</w:t>
            </w:r>
          </w:p>
        </w:tc>
        <w:tc>
          <w:tcPr>
            <w:tcW w:w="1559" w:type="dxa"/>
            <w:tcBorders>
              <w:top w:val="nil"/>
              <w:left w:val="nil"/>
              <w:bottom w:val="nil"/>
              <w:right w:val="nil"/>
            </w:tcBorders>
          </w:tcPr>
          <w:p w:rsidR="005A70C2" w:rsidRPr="00D00722" w:rsidRDefault="005A70C2" w:rsidP="003C359E">
            <w:pPr>
              <w:autoSpaceDE w:val="0"/>
              <w:autoSpaceDN w:val="0"/>
              <w:adjustRightInd w:val="0"/>
              <w:spacing w:line="230" w:lineRule="auto"/>
              <w:jc w:val="right"/>
              <w:rPr>
                <w:rFonts w:ascii="Arial" w:eastAsia="Calibri" w:hAnsi="Arial" w:cs="Arial"/>
                <w:color w:val="000000"/>
                <w:sz w:val="18"/>
                <w:szCs w:val="18"/>
                <w:lang w:val="tr-TR"/>
              </w:rPr>
            </w:pPr>
            <w:r w:rsidRPr="00D00722">
              <w:rPr>
                <w:rFonts w:ascii="Arial" w:hAnsi="Arial" w:cs="Arial"/>
                <w:color w:val="000000"/>
                <w:sz w:val="18"/>
                <w:szCs w:val="18"/>
              </w:rPr>
              <w:t>-</w:t>
            </w:r>
          </w:p>
        </w:tc>
        <w:tc>
          <w:tcPr>
            <w:tcW w:w="1470" w:type="dxa"/>
            <w:tcBorders>
              <w:top w:val="nil"/>
              <w:left w:val="nil"/>
              <w:bottom w:val="nil"/>
              <w:right w:val="nil"/>
            </w:tcBorders>
          </w:tcPr>
          <w:p w:rsidR="005A70C2" w:rsidRPr="00D00722" w:rsidRDefault="005A70C2" w:rsidP="003C359E">
            <w:pPr>
              <w:autoSpaceDE w:val="0"/>
              <w:autoSpaceDN w:val="0"/>
              <w:adjustRightInd w:val="0"/>
              <w:spacing w:line="230" w:lineRule="auto"/>
              <w:jc w:val="right"/>
              <w:rPr>
                <w:rFonts w:ascii="Arial" w:eastAsia="Calibri" w:hAnsi="Arial" w:cs="Arial"/>
                <w:color w:val="000000"/>
                <w:sz w:val="18"/>
                <w:szCs w:val="18"/>
                <w:lang w:val="tr-TR"/>
              </w:rPr>
            </w:pPr>
          </w:p>
        </w:tc>
      </w:tr>
      <w:tr w:rsidR="005A70C2" w:rsidRPr="00D00722" w:rsidTr="003C359E">
        <w:trPr>
          <w:trHeight w:val="113"/>
        </w:trPr>
        <w:tc>
          <w:tcPr>
            <w:tcW w:w="4253" w:type="dxa"/>
            <w:tcBorders>
              <w:top w:val="nil"/>
              <w:left w:val="nil"/>
              <w:right w:val="nil"/>
            </w:tcBorders>
            <w:vAlign w:val="bottom"/>
          </w:tcPr>
          <w:p w:rsidR="005A70C2" w:rsidRPr="00D00722" w:rsidRDefault="005A70C2" w:rsidP="003C359E">
            <w:pPr>
              <w:autoSpaceDE w:val="0"/>
              <w:autoSpaceDN w:val="0"/>
              <w:adjustRightInd w:val="0"/>
              <w:spacing w:line="230" w:lineRule="auto"/>
              <w:ind w:left="-78" w:hanging="30"/>
              <w:rPr>
                <w:rFonts w:ascii="Arial" w:eastAsia="Calibri" w:hAnsi="Arial" w:cs="Arial"/>
                <w:color w:val="000000"/>
                <w:sz w:val="18"/>
                <w:szCs w:val="18"/>
                <w:lang w:val="tr-TR"/>
              </w:rPr>
            </w:pPr>
            <w:r w:rsidRPr="00D00722">
              <w:rPr>
                <w:rFonts w:ascii="Arial" w:hAnsi="Arial" w:cs="Arial"/>
                <w:color w:val="000000"/>
                <w:sz w:val="18"/>
                <w:szCs w:val="18"/>
              </w:rPr>
              <w:t>Toplam kapsamlı gelir / (gider)</w:t>
            </w:r>
          </w:p>
        </w:tc>
        <w:tc>
          <w:tcPr>
            <w:tcW w:w="850" w:type="dxa"/>
            <w:tcBorders>
              <w:top w:val="nil"/>
              <w:left w:val="nil"/>
              <w:right w:val="nil"/>
            </w:tcBorders>
            <w:vAlign w:val="bottom"/>
          </w:tcPr>
          <w:p w:rsidR="005A70C2" w:rsidRPr="00D00722" w:rsidRDefault="005A70C2" w:rsidP="003C359E">
            <w:pPr>
              <w:autoSpaceDE w:val="0"/>
              <w:autoSpaceDN w:val="0"/>
              <w:adjustRightInd w:val="0"/>
              <w:spacing w:line="230" w:lineRule="auto"/>
              <w:jc w:val="right"/>
              <w:rPr>
                <w:rFonts w:ascii="Arial" w:hAnsi="Arial" w:cs="Arial"/>
                <w:color w:val="000000"/>
                <w:sz w:val="18"/>
                <w:szCs w:val="18"/>
              </w:rPr>
            </w:pPr>
          </w:p>
        </w:tc>
        <w:tc>
          <w:tcPr>
            <w:tcW w:w="1134" w:type="dxa"/>
            <w:tcBorders>
              <w:top w:val="nil"/>
              <w:left w:val="nil"/>
              <w:right w:val="nil"/>
            </w:tcBorders>
          </w:tcPr>
          <w:p w:rsidR="005A70C2" w:rsidRPr="00D00722" w:rsidRDefault="005A70C2" w:rsidP="003C359E">
            <w:pPr>
              <w:autoSpaceDE w:val="0"/>
              <w:autoSpaceDN w:val="0"/>
              <w:adjustRightInd w:val="0"/>
              <w:spacing w:line="230" w:lineRule="auto"/>
              <w:jc w:val="right"/>
              <w:rPr>
                <w:rFonts w:ascii="Arial" w:eastAsia="Calibri" w:hAnsi="Arial" w:cs="Arial"/>
                <w:color w:val="000000"/>
                <w:sz w:val="18"/>
                <w:szCs w:val="18"/>
                <w:lang w:val="tr-TR"/>
              </w:rPr>
            </w:pPr>
            <w:r w:rsidRPr="00D00722">
              <w:rPr>
                <w:rFonts w:ascii="Arial" w:hAnsi="Arial" w:cs="Arial"/>
                <w:color w:val="000000"/>
                <w:sz w:val="18"/>
                <w:szCs w:val="18"/>
              </w:rPr>
              <w:t>-</w:t>
            </w:r>
          </w:p>
        </w:tc>
        <w:tc>
          <w:tcPr>
            <w:tcW w:w="1276" w:type="dxa"/>
            <w:tcBorders>
              <w:top w:val="nil"/>
              <w:left w:val="nil"/>
              <w:right w:val="nil"/>
            </w:tcBorders>
          </w:tcPr>
          <w:p w:rsidR="005A70C2" w:rsidRPr="00D00722" w:rsidRDefault="005A70C2" w:rsidP="003C359E">
            <w:pPr>
              <w:autoSpaceDE w:val="0"/>
              <w:autoSpaceDN w:val="0"/>
              <w:adjustRightInd w:val="0"/>
              <w:spacing w:line="230" w:lineRule="auto"/>
              <w:jc w:val="right"/>
              <w:rPr>
                <w:rFonts w:ascii="Arial" w:eastAsia="Calibri" w:hAnsi="Arial" w:cs="Arial"/>
                <w:color w:val="000000"/>
                <w:sz w:val="18"/>
                <w:szCs w:val="18"/>
                <w:lang w:val="tr-TR"/>
              </w:rPr>
            </w:pPr>
            <w:r w:rsidRPr="00D00722">
              <w:rPr>
                <w:rFonts w:ascii="Arial" w:hAnsi="Arial" w:cs="Arial"/>
                <w:color w:val="000000"/>
                <w:sz w:val="18"/>
                <w:szCs w:val="18"/>
              </w:rPr>
              <w:t>-</w:t>
            </w:r>
          </w:p>
        </w:tc>
        <w:tc>
          <w:tcPr>
            <w:tcW w:w="1843" w:type="dxa"/>
            <w:tcBorders>
              <w:top w:val="nil"/>
              <w:left w:val="nil"/>
              <w:right w:val="nil"/>
            </w:tcBorders>
          </w:tcPr>
          <w:p w:rsidR="005A70C2" w:rsidRPr="00D00722" w:rsidRDefault="005A70C2" w:rsidP="003C359E">
            <w:pPr>
              <w:autoSpaceDE w:val="0"/>
              <w:autoSpaceDN w:val="0"/>
              <w:adjustRightInd w:val="0"/>
              <w:spacing w:line="230" w:lineRule="auto"/>
              <w:jc w:val="right"/>
              <w:rPr>
                <w:rFonts w:ascii="Arial" w:eastAsia="Calibri" w:hAnsi="Arial" w:cs="Arial"/>
                <w:color w:val="000000"/>
                <w:sz w:val="18"/>
                <w:szCs w:val="18"/>
                <w:lang w:val="tr-TR"/>
              </w:rPr>
            </w:pPr>
            <w:r w:rsidRPr="00D00722">
              <w:rPr>
                <w:rFonts w:ascii="Arial" w:hAnsi="Arial" w:cs="Arial"/>
                <w:color w:val="000000"/>
                <w:sz w:val="18"/>
                <w:szCs w:val="18"/>
              </w:rPr>
              <w:t>-</w:t>
            </w:r>
          </w:p>
        </w:tc>
        <w:tc>
          <w:tcPr>
            <w:tcW w:w="1649" w:type="dxa"/>
            <w:tcBorders>
              <w:top w:val="nil"/>
              <w:left w:val="nil"/>
              <w:right w:val="nil"/>
            </w:tcBorders>
          </w:tcPr>
          <w:p w:rsidR="005A70C2" w:rsidRPr="00D00722" w:rsidRDefault="005A70C2" w:rsidP="005A70C2">
            <w:pPr>
              <w:autoSpaceDE w:val="0"/>
              <w:autoSpaceDN w:val="0"/>
              <w:adjustRightInd w:val="0"/>
              <w:spacing w:line="230" w:lineRule="auto"/>
              <w:jc w:val="right"/>
              <w:rPr>
                <w:rFonts w:ascii="Arial" w:eastAsia="Calibri" w:hAnsi="Arial" w:cs="Arial"/>
                <w:color w:val="000000"/>
                <w:sz w:val="18"/>
                <w:szCs w:val="18"/>
                <w:lang w:val="tr-TR"/>
              </w:rPr>
            </w:pPr>
            <w:r w:rsidRPr="00D00722">
              <w:rPr>
                <w:rFonts w:ascii="Arial" w:hAnsi="Arial" w:cs="Arial"/>
                <w:color w:val="000000"/>
                <w:sz w:val="18"/>
                <w:szCs w:val="18"/>
              </w:rPr>
              <w:t>(30.013)</w:t>
            </w:r>
          </w:p>
        </w:tc>
        <w:tc>
          <w:tcPr>
            <w:tcW w:w="1559" w:type="dxa"/>
            <w:tcBorders>
              <w:top w:val="nil"/>
              <w:left w:val="nil"/>
              <w:right w:val="nil"/>
            </w:tcBorders>
          </w:tcPr>
          <w:p w:rsidR="005A70C2" w:rsidRPr="00D00722" w:rsidRDefault="005A70C2" w:rsidP="003C359E">
            <w:pPr>
              <w:autoSpaceDE w:val="0"/>
              <w:autoSpaceDN w:val="0"/>
              <w:adjustRightInd w:val="0"/>
              <w:spacing w:line="230" w:lineRule="auto"/>
              <w:jc w:val="right"/>
              <w:rPr>
                <w:rFonts w:ascii="Arial" w:eastAsia="Calibri" w:hAnsi="Arial" w:cs="Arial"/>
                <w:color w:val="000000"/>
                <w:sz w:val="18"/>
                <w:szCs w:val="18"/>
                <w:lang w:val="tr-TR"/>
              </w:rPr>
            </w:pPr>
            <w:r w:rsidRPr="00D00722">
              <w:rPr>
                <w:rFonts w:ascii="Arial" w:hAnsi="Arial" w:cs="Arial"/>
                <w:color w:val="000000"/>
                <w:sz w:val="18"/>
                <w:szCs w:val="18"/>
              </w:rPr>
              <w:t>-</w:t>
            </w:r>
          </w:p>
        </w:tc>
        <w:tc>
          <w:tcPr>
            <w:tcW w:w="1470" w:type="dxa"/>
            <w:tcBorders>
              <w:top w:val="nil"/>
              <w:left w:val="nil"/>
              <w:right w:val="nil"/>
            </w:tcBorders>
          </w:tcPr>
          <w:p w:rsidR="005A70C2" w:rsidRPr="00D00722" w:rsidRDefault="005A70C2" w:rsidP="003C359E">
            <w:pPr>
              <w:autoSpaceDE w:val="0"/>
              <w:autoSpaceDN w:val="0"/>
              <w:adjustRightInd w:val="0"/>
              <w:spacing w:line="230" w:lineRule="auto"/>
              <w:jc w:val="right"/>
              <w:rPr>
                <w:rFonts w:ascii="Arial" w:eastAsia="Calibri" w:hAnsi="Arial" w:cs="Arial"/>
                <w:color w:val="000000"/>
                <w:sz w:val="18"/>
                <w:szCs w:val="18"/>
                <w:lang w:val="tr-TR"/>
              </w:rPr>
            </w:pPr>
            <w:r w:rsidRPr="00D00722">
              <w:rPr>
                <w:rFonts w:ascii="Arial" w:hAnsi="Arial" w:cs="Arial"/>
                <w:color w:val="000000"/>
                <w:sz w:val="18"/>
                <w:szCs w:val="18"/>
              </w:rPr>
              <w:t>(30.013)</w:t>
            </w:r>
          </w:p>
        </w:tc>
      </w:tr>
      <w:tr w:rsidR="005A70C2" w:rsidRPr="00D00722" w:rsidTr="003C359E">
        <w:trPr>
          <w:trHeight w:val="113"/>
        </w:trPr>
        <w:tc>
          <w:tcPr>
            <w:tcW w:w="4253" w:type="dxa"/>
            <w:tcBorders>
              <w:top w:val="nil"/>
              <w:left w:val="nil"/>
              <w:right w:val="nil"/>
            </w:tcBorders>
            <w:vAlign w:val="bottom"/>
          </w:tcPr>
          <w:p w:rsidR="005A70C2" w:rsidRPr="00D00722" w:rsidRDefault="005A70C2" w:rsidP="003C359E">
            <w:pPr>
              <w:autoSpaceDE w:val="0"/>
              <w:autoSpaceDN w:val="0"/>
              <w:adjustRightInd w:val="0"/>
              <w:spacing w:line="230" w:lineRule="auto"/>
              <w:ind w:left="-78" w:hanging="30"/>
              <w:rPr>
                <w:rFonts w:ascii="Arial" w:hAnsi="Arial" w:cs="Arial"/>
                <w:color w:val="000000"/>
                <w:sz w:val="18"/>
                <w:szCs w:val="18"/>
              </w:rPr>
            </w:pPr>
            <w:r w:rsidRPr="00D00722">
              <w:rPr>
                <w:rFonts w:ascii="Arial" w:hAnsi="Arial" w:cs="Arial"/>
                <w:color w:val="000000"/>
                <w:sz w:val="18"/>
                <w:szCs w:val="18"/>
              </w:rPr>
              <w:t>Sermaye arttırımı</w:t>
            </w:r>
          </w:p>
        </w:tc>
        <w:tc>
          <w:tcPr>
            <w:tcW w:w="850" w:type="dxa"/>
            <w:tcBorders>
              <w:top w:val="nil"/>
              <w:left w:val="nil"/>
              <w:right w:val="nil"/>
            </w:tcBorders>
            <w:vAlign w:val="bottom"/>
          </w:tcPr>
          <w:p w:rsidR="005A70C2" w:rsidRPr="00D00722" w:rsidRDefault="005A70C2" w:rsidP="003C359E">
            <w:pPr>
              <w:autoSpaceDE w:val="0"/>
              <w:autoSpaceDN w:val="0"/>
              <w:adjustRightInd w:val="0"/>
              <w:spacing w:line="230" w:lineRule="auto"/>
              <w:jc w:val="right"/>
              <w:rPr>
                <w:rFonts w:ascii="Arial" w:hAnsi="Arial" w:cs="Arial"/>
                <w:color w:val="000000"/>
                <w:sz w:val="18"/>
                <w:szCs w:val="18"/>
              </w:rPr>
            </w:pPr>
          </w:p>
        </w:tc>
        <w:tc>
          <w:tcPr>
            <w:tcW w:w="1134" w:type="dxa"/>
            <w:tcBorders>
              <w:top w:val="nil"/>
              <w:left w:val="nil"/>
              <w:right w:val="nil"/>
            </w:tcBorders>
          </w:tcPr>
          <w:p w:rsidR="005A70C2" w:rsidRPr="00D00722" w:rsidRDefault="005A70C2" w:rsidP="003C359E">
            <w:pPr>
              <w:autoSpaceDE w:val="0"/>
              <w:autoSpaceDN w:val="0"/>
              <w:adjustRightInd w:val="0"/>
              <w:spacing w:line="230" w:lineRule="auto"/>
              <w:jc w:val="right"/>
              <w:rPr>
                <w:rFonts w:ascii="Arial" w:eastAsia="Calibri" w:hAnsi="Arial" w:cs="Arial"/>
                <w:color w:val="000000"/>
                <w:sz w:val="18"/>
                <w:szCs w:val="18"/>
                <w:lang w:val="tr-TR"/>
              </w:rPr>
            </w:pPr>
            <w:r w:rsidRPr="00D00722">
              <w:rPr>
                <w:rFonts w:ascii="Arial" w:hAnsi="Arial" w:cs="Arial"/>
                <w:color w:val="000000"/>
                <w:sz w:val="18"/>
                <w:szCs w:val="18"/>
              </w:rPr>
              <w:t>-</w:t>
            </w:r>
          </w:p>
        </w:tc>
        <w:tc>
          <w:tcPr>
            <w:tcW w:w="1276" w:type="dxa"/>
            <w:tcBorders>
              <w:top w:val="nil"/>
              <w:left w:val="nil"/>
              <w:right w:val="nil"/>
            </w:tcBorders>
          </w:tcPr>
          <w:p w:rsidR="005A70C2" w:rsidRPr="00D00722" w:rsidRDefault="005A70C2" w:rsidP="003C359E">
            <w:pPr>
              <w:autoSpaceDE w:val="0"/>
              <w:autoSpaceDN w:val="0"/>
              <w:adjustRightInd w:val="0"/>
              <w:spacing w:line="230" w:lineRule="auto"/>
              <w:jc w:val="right"/>
              <w:rPr>
                <w:rFonts w:ascii="Arial" w:eastAsia="Calibri" w:hAnsi="Arial" w:cs="Arial"/>
                <w:color w:val="000000"/>
                <w:sz w:val="18"/>
                <w:szCs w:val="18"/>
                <w:lang w:val="tr-TR"/>
              </w:rPr>
            </w:pPr>
            <w:r w:rsidRPr="00D00722">
              <w:rPr>
                <w:rFonts w:ascii="Arial" w:hAnsi="Arial" w:cs="Arial"/>
                <w:color w:val="000000"/>
                <w:sz w:val="18"/>
                <w:szCs w:val="18"/>
              </w:rPr>
              <w:t>-</w:t>
            </w:r>
          </w:p>
        </w:tc>
        <w:tc>
          <w:tcPr>
            <w:tcW w:w="1843" w:type="dxa"/>
            <w:tcBorders>
              <w:top w:val="nil"/>
              <w:left w:val="nil"/>
              <w:right w:val="nil"/>
            </w:tcBorders>
          </w:tcPr>
          <w:p w:rsidR="005A70C2" w:rsidRPr="00D00722" w:rsidRDefault="005A70C2" w:rsidP="003C359E">
            <w:pPr>
              <w:autoSpaceDE w:val="0"/>
              <w:autoSpaceDN w:val="0"/>
              <w:adjustRightInd w:val="0"/>
              <w:spacing w:line="230" w:lineRule="auto"/>
              <w:jc w:val="right"/>
              <w:rPr>
                <w:rFonts w:ascii="Arial" w:eastAsia="Calibri" w:hAnsi="Arial" w:cs="Arial"/>
                <w:color w:val="000000"/>
                <w:sz w:val="18"/>
                <w:szCs w:val="18"/>
                <w:lang w:val="tr-TR"/>
              </w:rPr>
            </w:pPr>
            <w:r w:rsidRPr="00D00722">
              <w:rPr>
                <w:rFonts w:ascii="Arial" w:hAnsi="Arial" w:cs="Arial"/>
                <w:color w:val="000000"/>
                <w:sz w:val="18"/>
                <w:szCs w:val="18"/>
              </w:rPr>
              <w:t>-</w:t>
            </w:r>
          </w:p>
        </w:tc>
        <w:tc>
          <w:tcPr>
            <w:tcW w:w="1649" w:type="dxa"/>
            <w:tcBorders>
              <w:top w:val="nil"/>
              <w:left w:val="nil"/>
              <w:right w:val="nil"/>
            </w:tcBorders>
          </w:tcPr>
          <w:p w:rsidR="005A70C2" w:rsidRPr="00D00722" w:rsidRDefault="005A70C2" w:rsidP="003C359E">
            <w:pPr>
              <w:autoSpaceDE w:val="0"/>
              <w:autoSpaceDN w:val="0"/>
              <w:adjustRightInd w:val="0"/>
              <w:spacing w:line="230" w:lineRule="auto"/>
              <w:jc w:val="right"/>
              <w:rPr>
                <w:rFonts w:ascii="Arial" w:eastAsia="Calibri" w:hAnsi="Arial" w:cs="Arial"/>
                <w:color w:val="000000"/>
                <w:sz w:val="18"/>
                <w:szCs w:val="18"/>
                <w:lang w:val="tr-TR"/>
              </w:rPr>
            </w:pPr>
            <w:r w:rsidRPr="00D00722">
              <w:rPr>
                <w:rFonts w:ascii="Arial" w:hAnsi="Arial" w:cs="Arial"/>
                <w:color w:val="000000"/>
                <w:sz w:val="18"/>
                <w:szCs w:val="18"/>
              </w:rPr>
              <w:t>-</w:t>
            </w:r>
          </w:p>
        </w:tc>
        <w:tc>
          <w:tcPr>
            <w:tcW w:w="1559" w:type="dxa"/>
            <w:tcBorders>
              <w:top w:val="nil"/>
              <w:left w:val="nil"/>
              <w:right w:val="nil"/>
            </w:tcBorders>
          </w:tcPr>
          <w:p w:rsidR="005A70C2" w:rsidRPr="00D00722" w:rsidRDefault="005A70C2" w:rsidP="003C359E">
            <w:pPr>
              <w:autoSpaceDE w:val="0"/>
              <w:autoSpaceDN w:val="0"/>
              <w:adjustRightInd w:val="0"/>
              <w:spacing w:line="230" w:lineRule="auto"/>
              <w:jc w:val="right"/>
              <w:rPr>
                <w:rFonts w:ascii="Arial" w:eastAsia="Calibri" w:hAnsi="Arial" w:cs="Arial"/>
                <w:color w:val="000000"/>
                <w:sz w:val="18"/>
                <w:szCs w:val="18"/>
                <w:lang w:val="tr-TR"/>
              </w:rPr>
            </w:pPr>
            <w:r w:rsidRPr="00D00722">
              <w:rPr>
                <w:rFonts w:ascii="Arial" w:hAnsi="Arial" w:cs="Arial"/>
                <w:color w:val="000000"/>
                <w:sz w:val="18"/>
                <w:szCs w:val="18"/>
              </w:rPr>
              <w:t>-</w:t>
            </w:r>
          </w:p>
        </w:tc>
        <w:tc>
          <w:tcPr>
            <w:tcW w:w="1470" w:type="dxa"/>
            <w:tcBorders>
              <w:top w:val="nil"/>
              <w:left w:val="nil"/>
              <w:right w:val="nil"/>
            </w:tcBorders>
          </w:tcPr>
          <w:p w:rsidR="005A70C2" w:rsidRPr="00D00722" w:rsidRDefault="005A70C2" w:rsidP="003C359E">
            <w:pPr>
              <w:autoSpaceDE w:val="0"/>
              <w:autoSpaceDN w:val="0"/>
              <w:adjustRightInd w:val="0"/>
              <w:spacing w:line="230" w:lineRule="auto"/>
              <w:jc w:val="right"/>
              <w:rPr>
                <w:rFonts w:ascii="Arial" w:eastAsia="Calibri" w:hAnsi="Arial" w:cs="Arial"/>
                <w:color w:val="000000"/>
                <w:sz w:val="18"/>
                <w:szCs w:val="18"/>
                <w:lang w:val="tr-TR"/>
              </w:rPr>
            </w:pPr>
            <w:r w:rsidRPr="00D00722">
              <w:rPr>
                <w:rFonts w:ascii="Arial" w:hAnsi="Arial" w:cs="Arial"/>
                <w:color w:val="000000"/>
                <w:sz w:val="18"/>
                <w:szCs w:val="18"/>
              </w:rPr>
              <w:t>-</w:t>
            </w:r>
          </w:p>
        </w:tc>
      </w:tr>
      <w:tr w:rsidR="005A70C2" w:rsidRPr="00D00722" w:rsidTr="003C359E">
        <w:trPr>
          <w:trHeight w:val="113"/>
        </w:trPr>
        <w:tc>
          <w:tcPr>
            <w:tcW w:w="4253" w:type="dxa"/>
            <w:tcBorders>
              <w:left w:val="nil"/>
              <w:bottom w:val="single" w:sz="6" w:space="0" w:color="auto"/>
              <w:right w:val="nil"/>
            </w:tcBorders>
            <w:vAlign w:val="bottom"/>
          </w:tcPr>
          <w:p w:rsidR="005A70C2" w:rsidRPr="00D00722" w:rsidRDefault="005A70C2" w:rsidP="003C359E">
            <w:pPr>
              <w:autoSpaceDE w:val="0"/>
              <w:autoSpaceDN w:val="0"/>
              <w:adjustRightInd w:val="0"/>
              <w:spacing w:line="230" w:lineRule="auto"/>
              <w:ind w:left="-78" w:hanging="30"/>
              <w:rPr>
                <w:rFonts w:ascii="Arial" w:hAnsi="Arial" w:cs="Arial"/>
                <w:color w:val="000000"/>
                <w:sz w:val="18"/>
                <w:szCs w:val="18"/>
              </w:rPr>
            </w:pPr>
          </w:p>
        </w:tc>
        <w:tc>
          <w:tcPr>
            <w:tcW w:w="850" w:type="dxa"/>
            <w:tcBorders>
              <w:left w:val="nil"/>
              <w:bottom w:val="single" w:sz="6" w:space="0" w:color="auto"/>
              <w:right w:val="nil"/>
            </w:tcBorders>
            <w:vAlign w:val="bottom"/>
          </w:tcPr>
          <w:p w:rsidR="005A70C2" w:rsidRPr="00D00722" w:rsidRDefault="005A70C2" w:rsidP="003C359E">
            <w:pPr>
              <w:autoSpaceDE w:val="0"/>
              <w:autoSpaceDN w:val="0"/>
              <w:adjustRightInd w:val="0"/>
              <w:spacing w:line="230" w:lineRule="auto"/>
              <w:jc w:val="right"/>
              <w:rPr>
                <w:rFonts w:ascii="Arial" w:hAnsi="Arial" w:cs="Arial"/>
                <w:color w:val="000000"/>
                <w:sz w:val="18"/>
                <w:szCs w:val="18"/>
              </w:rPr>
            </w:pPr>
          </w:p>
        </w:tc>
        <w:tc>
          <w:tcPr>
            <w:tcW w:w="1134" w:type="dxa"/>
            <w:tcBorders>
              <w:left w:val="nil"/>
              <w:bottom w:val="single" w:sz="6" w:space="0" w:color="auto"/>
              <w:right w:val="nil"/>
            </w:tcBorders>
            <w:vAlign w:val="bottom"/>
          </w:tcPr>
          <w:p w:rsidR="005A70C2" w:rsidRPr="00D00722" w:rsidRDefault="005A70C2" w:rsidP="003C359E">
            <w:pPr>
              <w:autoSpaceDE w:val="0"/>
              <w:autoSpaceDN w:val="0"/>
              <w:adjustRightInd w:val="0"/>
              <w:spacing w:line="230" w:lineRule="auto"/>
              <w:jc w:val="right"/>
              <w:rPr>
                <w:rFonts w:ascii="Arial" w:hAnsi="Arial" w:cs="Arial"/>
                <w:color w:val="000000"/>
                <w:sz w:val="18"/>
                <w:szCs w:val="18"/>
              </w:rPr>
            </w:pPr>
          </w:p>
        </w:tc>
        <w:tc>
          <w:tcPr>
            <w:tcW w:w="1276" w:type="dxa"/>
            <w:tcBorders>
              <w:left w:val="nil"/>
              <w:bottom w:val="single" w:sz="6" w:space="0" w:color="auto"/>
              <w:right w:val="nil"/>
            </w:tcBorders>
            <w:vAlign w:val="bottom"/>
          </w:tcPr>
          <w:p w:rsidR="005A70C2" w:rsidRPr="00D00722" w:rsidRDefault="005A70C2" w:rsidP="003C359E">
            <w:pPr>
              <w:autoSpaceDE w:val="0"/>
              <w:autoSpaceDN w:val="0"/>
              <w:adjustRightInd w:val="0"/>
              <w:spacing w:line="230" w:lineRule="auto"/>
              <w:jc w:val="right"/>
              <w:rPr>
                <w:rFonts w:ascii="Arial" w:hAnsi="Arial" w:cs="Arial"/>
                <w:color w:val="000000"/>
                <w:sz w:val="18"/>
                <w:szCs w:val="18"/>
              </w:rPr>
            </w:pPr>
          </w:p>
        </w:tc>
        <w:tc>
          <w:tcPr>
            <w:tcW w:w="1843" w:type="dxa"/>
            <w:tcBorders>
              <w:left w:val="nil"/>
              <w:bottom w:val="single" w:sz="6" w:space="0" w:color="auto"/>
              <w:right w:val="nil"/>
            </w:tcBorders>
            <w:vAlign w:val="bottom"/>
          </w:tcPr>
          <w:p w:rsidR="005A70C2" w:rsidRPr="00D00722" w:rsidRDefault="005A70C2" w:rsidP="003C359E">
            <w:pPr>
              <w:autoSpaceDE w:val="0"/>
              <w:autoSpaceDN w:val="0"/>
              <w:adjustRightInd w:val="0"/>
              <w:spacing w:line="230" w:lineRule="auto"/>
              <w:jc w:val="right"/>
              <w:rPr>
                <w:rFonts w:ascii="Arial" w:hAnsi="Arial" w:cs="Arial"/>
                <w:color w:val="000000"/>
                <w:sz w:val="18"/>
                <w:szCs w:val="18"/>
              </w:rPr>
            </w:pPr>
          </w:p>
        </w:tc>
        <w:tc>
          <w:tcPr>
            <w:tcW w:w="1649" w:type="dxa"/>
            <w:tcBorders>
              <w:left w:val="nil"/>
              <w:bottom w:val="single" w:sz="6" w:space="0" w:color="auto"/>
              <w:right w:val="nil"/>
            </w:tcBorders>
            <w:vAlign w:val="bottom"/>
          </w:tcPr>
          <w:p w:rsidR="005A70C2" w:rsidRPr="00D00722" w:rsidRDefault="005A70C2" w:rsidP="003C359E">
            <w:pPr>
              <w:autoSpaceDE w:val="0"/>
              <w:autoSpaceDN w:val="0"/>
              <w:adjustRightInd w:val="0"/>
              <w:spacing w:line="230" w:lineRule="auto"/>
              <w:jc w:val="right"/>
              <w:rPr>
                <w:rFonts w:ascii="Arial" w:hAnsi="Arial" w:cs="Arial"/>
                <w:color w:val="000000"/>
                <w:sz w:val="18"/>
                <w:szCs w:val="18"/>
              </w:rPr>
            </w:pPr>
          </w:p>
        </w:tc>
        <w:tc>
          <w:tcPr>
            <w:tcW w:w="1559" w:type="dxa"/>
            <w:tcBorders>
              <w:left w:val="nil"/>
              <w:bottom w:val="single" w:sz="6" w:space="0" w:color="auto"/>
              <w:right w:val="nil"/>
            </w:tcBorders>
            <w:vAlign w:val="bottom"/>
          </w:tcPr>
          <w:p w:rsidR="005A70C2" w:rsidRPr="00D00722" w:rsidRDefault="005A70C2" w:rsidP="003C359E">
            <w:pPr>
              <w:autoSpaceDE w:val="0"/>
              <w:autoSpaceDN w:val="0"/>
              <w:adjustRightInd w:val="0"/>
              <w:spacing w:line="230" w:lineRule="auto"/>
              <w:jc w:val="right"/>
              <w:rPr>
                <w:rFonts w:ascii="Arial" w:hAnsi="Arial" w:cs="Arial"/>
                <w:color w:val="000000"/>
                <w:sz w:val="18"/>
                <w:szCs w:val="18"/>
              </w:rPr>
            </w:pPr>
          </w:p>
        </w:tc>
        <w:tc>
          <w:tcPr>
            <w:tcW w:w="1470" w:type="dxa"/>
            <w:tcBorders>
              <w:left w:val="nil"/>
              <w:bottom w:val="single" w:sz="6" w:space="0" w:color="auto"/>
              <w:right w:val="nil"/>
            </w:tcBorders>
            <w:vAlign w:val="bottom"/>
          </w:tcPr>
          <w:p w:rsidR="005A70C2" w:rsidRPr="00D00722" w:rsidRDefault="005A70C2" w:rsidP="003C359E">
            <w:pPr>
              <w:autoSpaceDE w:val="0"/>
              <w:autoSpaceDN w:val="0"/>
              <w:adjustRightInd w:val="0"/>
              <w:spacing w:line="230" w:lineRule="auto"/>
              <w:jc w:val="right"/>
              <w:rPr>
                <w:rFonts w:ascii="Arial" w:hAnsi="Arial" w:cs="Arial"/>
                <w:color w:val="000000"/>
                <w:sz w:val="18"/>
                <w:szCs w:val="18"/>
              </w:rPr>
            </w:pPr>
          </w:p>
        </w:tc>
      </w:tr>
      <w:tr w:rsidR="005A70C2" w:rsidRPr="00D00722" w:rsidTr="009E6AD4">
        <w:trPr>
          <w:trHeight w:val="113"/>
        </w:trPr>
        <w:tc>
          <w:tcPr>
            <w:tcW w:w="4253" w:type="dxa"/>
            <w:tcBorders>
              <w:top w:val="single" w:sz="6" w:space="0" w:color="auto"/>
              <w:left w:val="nil"/>
              <w:bottom w:val="single" w:sz="6" w:space="0" w:color="auto"/>
              <w:right w:val="nil"/>
            </w:tcBorders>
            <w:vAlign w:val="bottom"/>
          </w:tcPr>
          <w:p w:rsidR="005A70C2" w:rsidRPr="00D00722" w:rsidRDefault="005A70C2" w:rsidP="005A70C2">
            <w:pPr>
              <w:autoSpaceDE w:val="0"/>
              <w:autoSpaceDN w:val="0"/>
              <w:adjustRightInd w:val="0"/>
              <w:spacing w:line="230" w:lineRule="auto"/>
              <w:ind w:left="-78" w:hanging="30"/>
              <w:rPr>
                <w:rFonts w:ascii="Arial" w:hAnsi="Arial" w:cs="Arial"/>
                <w:b/>
                <w:color w:val="000000"/>
                <w:sz w:val="18"/>
                <w:szCs w:val="18"/>
              </w:rPr>
            </w:pPr>
            <w:r w:rsidRPr="00D00722">
              <w:rPr>
                <w:rFonts w:ascii="Arial" w:hAnsi="Arial" w:cs="Arial"/>
                <w:b/>
                <w:color w:val="000000"/>
                <w:sz w:val="18"/>
                <w:szCs w:val="18"/>
              </w:rPr>
              <w:t>31 Mart  2013 itibariyle bakiye</w:t>
            </w:r>
          </w:p>
        </w:tc>
        <w:tc>
          <w:tcPr>
            <w:tcW w:w="850" w:type="dxa"/>
            <w:tcBorders>
              <w:top w:val="single" w:sz="6" w:space="0" w:color="auto"/>
              <w:left w:val="nil"/>
              <w:bottom w:val="single" w:sz="6" w:space="0" w:color="auto"/>
              <w:right w:val="nil"/>
            </w:tcBorders>
            <w:vAlign w:val="bottom"/>
          </w:tcPr>
          <w:p w:rsidR="005A70C2" w:rsidRPr="00D00722" w:rsidRDefault="005A70C2" w:rsidP="003C359E">
            <w:pPr>
              <w:autoSpaceDE w:val="0"/>
              <w:autoSpaceDN w:val="0"/>
              <w:adjustRightInd w:val="0"/>
              <w:spacing w:line="230" w:lineRule="auto"/>
              <w:jc w:val="right"/>
              <w:rPr>
                <w:rFonts w:ascii="Arial" w:eastAsia="Calibri" w:hAnsi="Arial" w:cs="Arial"/>
                <w:color w:val="000000"/>
                <w:sz w:val="18"/>
                <w:szCs w:val="18"/>
                <w:lang w:val="tr-TR"/>
              </w:rPr>
            </w:pPr>
            <w:r w:rsidRPr="00D00722">
              <w:rPr>
                <w:rFonts w:ascii="Arial" w:hAnsi="Arial" w:cs="Arial"/>
                <w:color w:val="000000"/>
                <w:sz w:val="18"/>
                <w:szCs w:val="18"/>
              </w:rPr>
              <w:t>15</w:t>
            </w:r>
          </w:p>
        </w:tc>
        <w:tc>
          <w:tcPr>
            <w:tcW w:w="1134" w:type="dxa"/>
            <w:tcBorders>
              <w:top w:val="single" w:sz="6" w:space="0" w:color="auto"/>
              <w:left w:val="nil"/>
              <w:bottom w:val="single" w:sz="6" w:space="0" w:color="auto"/>
              <w:right w:val="nil"/>
            </w:tcBorders>
          </w:tcPr>
          <w:p w:rsidR="005A70C2" w:rsidRPr="00D00722" w:rsidRDefault="005A70C2" w:rsidP="003C359E">
            <w:pPr>
              <w:autoSpaceDE w:val="0"/>
              <w:autoSpaceDN w:val="0"/>
              <w:adjustRightInd w:val="0"/>
              <w:spacing w:line="230" w:lineRule="auto"/>
              <w:jc w:val="right"/>
              <w:rPr>
                <w:rFonts w:ascii="Arial" w:eastAsia="Calibri" w:hAnsi="Arial" w:cs="Arial"/>
                <w:color w:val="000000"/>
                <w:sz w:val="18"/>
                <w:szCs w:val="18"/>
                <w:lang w:val="tr-TR"/>
              </w:rPr>
            </w:pPr>
            <w:r w:rsidRPr="00D00722">
              <w:rPr>
                <w:rFonts w:ascii="Arial" w:hAnsi="Arial" w:cs="Arial"/>
                <w:color w:val="000000"/>
                <w:sz w:val="18"/>
                <w:szCs w:val="18"/>
              </w:rPr>
              <w:t>1.700.000</w:t>
            </w:r>
          </w:p>
        </w:tc>
        <w:tc>
          <w:tcPr>
            <w:tcW w:w="1276" w:type="dxa"/>
            <w:tcBorders>
              <w:top w:val="single" w:sz="6" w:space="0" w:color="auto"/>
              <w:left w:val="nil"/>
              <w:bottom w:val="single" w:sz="6" w:space="0" w:color="auto"/>
              <w:right w:val="nil"/>
            </w:tcBorders>
          </w:tcPr>
          <w:p w:rsidR="005A70C2" w:rsidRPr="00D00722" w:rsidRDefault="005A70C2" w:rsidP="003C359E">
            <w:pPr>
              <w:autoSpaceDE w:val="0"/>
              <w:autoSpaceDN w:val="0"/>
              <w:adjustRightInd w:val="0"/>
              <w:spacing w:line="230" w:lineRule="auto"/>
              <w:jc w:val="right"/>
              <w:rPr>
                <w:rFonts w:ascii="Arial" w:eastAsia="Calibri" w:hAnsi="Arial" w:cs="Arial"/>
                <w:color w:val="000000"/>
                <w:sz w:val="18"/>
                <w:szCs w:val="18"/>
                <w:lang w:val="tr-TR"/>
              </w:rPr>
            </w:pPr>
            <w:r w:rsidRPr="00D00722">
              <w:rPr>
                <w:rFonts w:ascii="Arial" w:hAnsi="Arial" w:cs="Arial"/>
                <w:color w:val="000000"/>
                <w:sz w:val="18"/>
                <w:szCs w:val="18"/>
              </w:rPr>
              <w:t>133.130</w:t>
            </w:r>
          </w:p>
        </w:tc>
        <w:tc>
          <w:tcPr>
            <w:tcW w:w="1843" w:type="dxa"/>
            <w:tcBorders>
              <w:top w:val="single" w:sz="6" w:space="0" w:color="auto"/>
              <w:left w:val="nil"/>
              <w:bottom w:val="single" w:sz="6" w:space="0" w:color="auto"/>
              <w:right w:val="nil"/>
            </w:tcBorders>
          </w:tcPr>
          <w:p w:rsidR="005A70C2" w:rsidRPr="00D00722" w:rsidRDefault="005A70C2" w:rsidP="003C359E">
            <w:pPr>
              <w:autoSpaceDE w:val="0"/>
              <w:autoSpaceDN w:val="0"/>
              <w:adjustRightInd w:val="0"/>
              <w:spacing w:line="230" w:lineRule="auto"/>
              <w:jc w:val="right"/>
              <w:rPr>
                <w:rFonts w:ascii="Arial" w:eastAsia="Calibri" w:hAnsi="Arial" w:cs="Arial"/>
                <w:color w:val="000000"/>
                <w:sz w:val="18"/>
                <w:szCs w:val="18"/>
                <w:lang w:val="tr-TR"/>
              </w:rPr>
            </w:pPr>
            <w:r w:rsidRPr="00D00722">
              <w:rPr>
                <w:rFonts w:ascii="Arial" w:hAnsi="Arial" w:cs="Arial"/>
                <w:color w:val="000000"/>
                <w:sz w:val="18"/>
                <w:szCs w:val="18"/>
              </w:rPr>
              <w:t>44.772</w:t>
            </w:r>
          </w:p>
        </w:tc>
        <w:tc>
          <w:tcPr>
            <w:tcW w:w="1649" w:type="dxa"/>
            <w:tcBorders>
              <w:top w:val="single" w:sz="6" w:space="0" w:color="auto"/>
              <w:left w:val="nil"/>
              <w:bottom w:val="single" w:sz="6" w:space="0" w:color="auto"/>
              <w:right w:val="nil"/>
            </w:tcBorders>
          </w:tcPr>
          <w:p w:rsidR="005A70C2" w:rsidRPr="00D00722" w:rsidRDefault="005A70C2" w:rsidP="005A70C2">
            <w:pPr>
              <w:autoSpaceDE w:val="0"/>
              <w:autoSpaceDN w:val="0"/>
              <w:adjustRightInd w:val="0"/>
              <w:spacing w:line="230" w:lineRule="auto"/>
              <w:jc w:val="right"/>
              <w:rPr>
                <w:rFonts w:ascii="Arial" w:eastAsia="Calibri" w:hAnsi="Arial" w:cs="Arial"/>
                <w:color w:val="000000"/>
                <w:sz w:val="18"/>
                <w:szCs w:val="18"/>
                <w:lang w:val="tr-TR"/>
              </w:rPr>
            </w:pPr>
            <w:r w:rsidRPr="00D00722">
              <w:rPr>
                <w:rFonts w:ascii="Arial" w:hAnsi="Arial" w:cs="Arial"/>
                <w:color w:val="000000"/>
                <w:sz w:val="18"/>
                <w:szCs w:val="18"/>
              </w:rPr>
              <w:t>(30.013)</w:t>
            </w:r>
          </w:p>
        </w:tc>
        <w:tc>
          <w:tcPr>
            <w:tcW w:w="1559" w:type="dxa"/>
            <w:tcBorders>
              <w:top w:val="single" w:sz="6" w:space="0" w:color="auto"/>
              <w:left w:val="nil"/>
              <w:bottom w:val="single" w:sz="6" w:space="0" w:color="auto"/>
              <w:right w:val="nil"/>
            </w:tcBorders>
          </w:tcPr>
          <w:p w:rsidR="005A70C2" w:rsidRPr="00D00722" w:rsidRDefault="005A70C2" w:rsidP="005A70C2">
            <w:pPr>
              <w:autoSpaceDE w:val="0"/>
              <w:autoSpaceDN w:val="0"/>
              <w:adjustRightInd w:val="0"/>
              <w:spacing w:line="230" w:lineRule="auto"/>
              <w:jc w:val="right"/>
              <w:rPr>
                <w:rFonts w:ascii="Arial" w:eastAsia="Calibri" w:hAnsi="Arial" w:cs="Arial"/>
                <w:color w:val="000000"/>
                <w:sz w:val="18"/>
                <w:szCs w:val="18"/>
                <w:lang w:val="tr-TR"/>
              </w:rPr>
            </w:pPr>
            <w:r w:rsidRPr="00D00722">
              <w:rPr>
                <w:rFonts w:ascii="Arial" w:hAnsi="Arial" w:cs="Arial"/>
                <w:color w:val="000000"/>
                <w:sz w:val="18"/>
                <w:szCs w:val="18"/>
              </w:rPr>
              <w:t>(607.137)</w:t>
            </w:r>
          </w:p>
        </w:tc>
        <w:tc>
          <w:tcPr>
            <w:tcW w:w="1470" w:type="dxa"/>
            <w:tcBorders>
              <w:top w:val="single" w:sz="6" w:space="0" w:color="auto"/>
              <w:left w:val="nil"/>
              <w:bottom w:val="single" w:sz="6" w:space="0" w:color="auto"/>
              <w:right w:val="nil"/>
            </w:tcBorders>
          </w:tcPr>
          <w:p w:rsidR="005A70C2" w:rsidRPr="00D00722" w:rsidRDefault="005A70C2" w:rsidP="003C359E">
            <w:pPr>
              <w:autoSpaceDE w:val="0"/>
              <w:autoSpaceDN w:val="0"/>
              <w:adjustRightInd w:val="0"/>
              <w:spacing w:line="230" w:lineRule="auto"/>
              <w:jc w:val="right"/>
              <w:rPr>
                <w:rFonts w:ascii="Arial" w:eastAsia="Calibri" w:hAnsi="Arial" w:cs="Arial"/>
                <w:color w:val="000000"/>
                <w:sz w:val="18"/>
                <w:szCs w:val="18"/>
                <w:lang w:val="tr-TR"/>
              </w:rPr>
            </w:pPr>
            <w:r w:rsidRPr="00D00722">
              <w:rPr>
                <w:rFonts w:ascii="Arial" w:hAnsi="Arial" w:cs="Arial"/>
                <w:color w:val="000000"/>
                <w:sz w:val="18"/>
                <w:szCs w:val="18"/>
              </w:rPr>
              <w:t>1.240.752</w:t>
            </w:r>
          </w:p>
        </w:tc>
      </w:tr>
    </w:tbl>
    <w:p w:rsidR="002F2192" w:rsidRPr="00D00722" w:rsidRDefault="002F2192" w:rsidP="003C359E">
      <w:pPr>
        <w:spacing w:line="230" w:lineRule="auto"/>
        <w:rPr>
          <w:rFonts w:ascii="Arial" w:hAnsi="Arial" w:cs="Arial"/>
          <w:sz w:val="18"/>
          <w:szCs w:val="18"/>
          <w:lang w:val="tr-TR"/>
        </w:rPr>
      </w:pPr>
    </w:p>
    <w:tbl>
      <w:tblPr>
        <w:tblW w:w="14034" w:type="dxa"/>
        <w:tblInd w:w="108" w:type="dxa"/>
        <w:tblLayout w:type="fixed"/>
        <w:tblLook w:val="0000"/>
      </w:tblPr>
      <w:tblGrid>
        <w:gridCol w:w="4253"/>
        <w:gridCol w:w="850"/>
        <w:gridCol w:w="1134"/>
        <w:gridCol w:w="1276"/>
        <w:gridCol w:w="1843"/>
        <w:gridCol w:w="1647"/>
        <w:gridCol w:w="1567"/>
        <w:gridCol w:w="1464"/>
      </w:tblGrid>
      <w:tr w:rsidR="00916C83" w:rsidRPr="00D00722" w:rsidTr="00981BEF">
        <w:trPr>
          <w:trHeight w:val="113"/>
        </w:trPr>
        <w:tc>
          <w:tcPr>
            <w:tcW w:w="4253" w:type="dxa"/>
            <w:tcBorders>
              <w:top w:val="single" w:sz="6" w:space="0" w:color="auto"/>
              <w:left w:val="nil"/>
              <w:bottom w:val="single" w:sz="6" w:space="0" w:color="auto"/>
              <w:right w:val="nil"/>
            </w:tcBorders>
            <w:vAlign w:val="bottom"/>
          </w:tcPr>
          <w:p w:rsidR="00916C83" w:rsidRPr="00D00722" w:rsidRDefault="00916C83" w:rsidP="003C359E">
            <w:pPr>
              <w:autoSpaceDE w:val="0"/>
              <w:autoSpaceDN w:val="0"/>
              <w:adjustRightInd w:val="0"/>
              <w:spacing w:line="230" w:lineRule="auto"/>
              <w:ind w:left="-78" w:hanging="30"/>
              <w:rPr>
                <w:rFonts w:ascii="Arial" w:hAnsi="Arial" w:cs="Arial"/>
                <w:b/>
                <w:color w:val="000000"/>
                <w:sz w:val="18"/>
                <w:szCs w:val="18"/>
              </w:rPr>
            </w:pPr>
            <w:r w:rsidRPr="00D00722">
              <w:rPr>
                <w:rFonts w:ascii="Arial" w:hAnsi="Arial" w:cs="Arial"/>
                <w:b/>
                <w:color w:val="000000"/>
                <w:sz w:val="18"/>
                <w:szCs w:val="18"/>
              </w:rPr>
              <w:t>Bağımsız denetimden geçm</w:t>
            </w:r>
            <w:r w:rsidR="00AB2363" w:rsidRPr="00D00722">
              <w:rPr>
                <w:rFonts w:ascii="Arial" w:hAnsi="Arial" w:cs="Arial"/>
                <w:b/>
                <w:color w:val="000000"/>
                <w:sz w:val="18"/>
                <w:szCs w:val="18"/>
              </w:rPr>
              <w:t>em</w:t>
            </w:r>
            <w:r w:rsidRPr="00D00722">
              <w:rPr>
                <w:rFonts w:ascii="Arial" w:hAnsi="Arial" w:cs="Arial"/>
                <w:b/>
                <w:color w:val="000000"/>
                <w:sz w:val="18"/>
                <w:szCs w:val="18"/>
              </w:rPr>
              <w:t xml:space="preserve">iş </w:t>
            </w:r>
          </w:p>
        </w:tc>
        <w:tc>
          <w:tcPr>
            <w:tcW w:w="850" w:type="dxa"/>
            <w:tcBorders>
              <w:top w:val="single" w:sz="6" w:space="0" w:color="auto"/>
              <w:left w:val="nil"/>
              <w:bottom w:val="single" w:sz="6" w:space="0" w:color="auto"/>
              <w:right w:val="nil"/>
            </w:tcBorders>
            <w:vAlign w:val="bottom"/>
          </w:tcPr>
          <w:p w:rsidR="00916C83" w:rsidRPr="00D00722" w:rsidRDefault="00916C83" w:rsidP="003C359E">
            <w:pPr>
              <w:autoSpaceDE w:val="0"/>
              <w:autoSpaceDN w:val="0"/>
              <w:adjustRightInd w:val="0"/>
              <w:spacing w:line="230" w:lineRule="auto"/>
              <w:jc w:val="right"/>
              <w:rPr>
                <w:rFonts w:ascii="Arial" w:hAnsi="Arial" w:cs="Arial"/>
                <w:b/>
                <w:bCs/>
                <w:color w:val="000000"/>
                <w:sz w:val="18"/>
                <w:szCs w:val="18"/>
              </w:rPr>
            </w:pPr>
            <w:r w:rsidRPr="00D00722">
              <w:rPr>
                <w:rFonts w:ascii="Arial" w:hAnsi="Arial" w:cs="Arial"/>
                <w:b/>
                <w:bCs/>
                <w:color w:val="000000"/>
                <w:sz w:val="18"/>
                <w:szCs w:val="18"/>
              </w:rPr>
              <w:t>Dipnot</w:t>
            </w:r>
          </w:p>
        </w:tc>
        <w:tc>
          <w:tcPr>
            <w:tcW w:w="1134" w:type="dxa"/>
            <w:tcBorders>
              <w:top w:val="single" w:sz="6" w:space="0" w:color="auto"/>
              <w:left w:val="nil"/>
              <w:bottom w:val="single" w:sz="6" w:space="0" w:color="auto"/>
              <w:right w:val="nil"/>
            </w:tcBorders>
            <w:vAlign w:val="bottom"/>
          </w:tcPr>
          <w:p w:rsidR="00C917DA" w:rsidRPr="00D00722" w:rsidRDefault="00916C83" w:rsidP="003C359E">
            <w:pPr>
              <w:autoSpaceDE w:val="0"/>
              <w:autoSpaceDN w:val="0"/>
              <w:adjustRightInd w:val="0"/>
              <w:spacing w:line="230" w:lineRule="auto"/>
              <w:jc w:val="right"/>
              <w:rPr>
                <w:rFonts w:ascii="Arial" w:hAnsi="Arial" w:cs="Arial"/>
                <w:b/>
                <w:bCs/>
                <w:color w:val="000000"/>
                <w:sz w:val="18"/>
                <w:szCs w:val="18"/>
              </w:rPr>
            </w:pPr>
            <w:r w:rsidRPr="00D00722">
              <w:rPr>
                <w:rFonts w:ascii="Arial" w:hAnsi="Arial" w:cs="Arial"/>
                <w:b/>
                <w:bCs/>
                <w:color w:val="000000"/>
                <w:sz w:val="18"/>
                <w:szCs w:val="18"/>
              </w:rPr>
              <w:t>Ödenmiş</w:t>
            </w:r>
          </w:p>
          <w:p w:rsidR="00916C83" w:rsidRPr="00D00722" w:rsidRDefault="00C917DA" w:rsidP="003C359E">
            <w:pPr>
              <w:autoSpaceDE w:val="0"/>
              <w:autoSpaceDN w:val="0"/>
              <w:adjustRightInd w:val="0"/>
              <w:spacing w:line="230" w:lineRule="auto"/>
              <w:jc w:val="right"/>
              <w:rPr>
                <w:rFonts w:ascii="Arial" w:hAnsi="Arial" w:cs="Arial"/>
                <w:b/>
                <w:bCs/>
                <w:color w:val="000000"/>
                <w:sz w:val="18"/>
                <w:szCs w:val="18"/>
              </w:rPr>
            </w:pPr>
            <w:r w:rsidRPr="00D00722">
              <w:rPr>
                <w:rFonts w:ascii="Arial" w:hAnsi="Arial" w:cs="Arial"/>
                <w:b/>
                <w:bCs/>
                <w:color w:val="000000"/>
                <w:sz w:val="18"/>
                <w:szCs w:val="18"/>
              </w:rPr>
              <w:t>s</w:t>
            </w:r>
            <w:r w:rsidR="00916C83" w:rsidRPr="00D00722">
              <w:rPr>
                <w:rFonts w:ascii="Arial" w:hAnsi="Arial" w:cs="Arial"/>
                <w:b/>
                <w:bCs/>
                <w:color w:val="000000"/>
                <w:sz w:val="18"/>
                <w:szCs w:val="18"/>
              </w:rPr>
              <w:t>ermaye</w:t>
            </w:r>
          </w:p>
        </w:tc>
        <w:tc>
          <w:tcPr>
            <w:tcW w:w="1276" w:type="dxa"/>
            <w:tcBorders>
              <w:top w:val="single" w:sz="6" w:space="0" w:color="auto"/>
              <w:left w:val="nil"/>
              <w:bottom w:val="single" w:sz="6" w:space="0" w:color="auto"/>
              <w:right w:val="nil"/>
            </w:tcBorders>
            <w:vAlign w:val="bottom"/>
          </w:tcPr>
          <w:p w:rsidR="00C917DA" w:rsidRPr="00D00722" w:rsidRDefault="00916C83" w:rsidP="003C359E">
            <w:pPr>
              <w:autoSpaceDE w:val="0"/>
              <w:autoSpaceDN w:val="0"/>
              <w:adjustRightInd w:val="0"/>
              <w:spacing w:line="230" w:lineRule="auto"/>
              <w:jc w:val="right"/>
              <w:rPr>
                <w:rFonts w:ascii="Arial" w:hAnsi="Arial" w:cs="Arial"/>
                <w:b/>
                <w:bCs/>
                <w:color w:val="000000"/>
                <w:sz w:val="18"/>
                <w:szCs w:val="18"/>
              </w:rPr>
            </w:pPr>
            <w:r w:rsidRPr="00D00722">
              <w:rPr>
                <w:rFonts w:ascii="Arial" w:hAnsi="Arial" w:cs="Arial"/>
                <w:b/>
                <w:bCs/>
                <w:color w:val="000000"/>
                <w:sz w:val="18"/>
                <w:szCs w:val="18"/>
              </w:rPr>
              <w:t>Sermaye</w:t>
            </w:r>
          </w:p>
          <w:p w:rsidR="00C917DA" w:rsidRPr="00D00722" w:rsidRDefault="00916C83" w:rsidP="003C359E">
            <w:pPr>
              <w:autoSpaceDE w:val="0"/>
              <w:autoSpaceDN w:val="0"/>
              <w:adjustRightInd w:val="0"/>
              <w:spacing w:line="230" w:lineRule="auto"/>
              <w:jc w:val="right"/>
              <w:rPr>
                <w:rFonts w:ascii="Arial" w:hAnsi="Arial" w:cs="Arial"/>
                <w:b/>
                <w:bCs/>
                <w:color w:val="000000"/>
                <w:sz w:val="18"/>
                <w:szCs w:val="18"/>
              </w:rPr>
            </w:pPr>
            <w:r w:rsidRPr="00D00722">
              <w:rPr>
                <w:rFonts w:ascii="Arial" w:hAnsi="Arial" w:cs="Arial"/>
                <w:b/>
                <w:bCs/>
                <w:color w:val="000000"/>
                <w:sz w:val="18"/>
                <w:szCs w:val="18"/>
              </w:rPr>
              <w:t>düzeltmesi</w:t>
            </w:r>
          </w:p>
          <w:p w:rsidR="00916C83" w:rsidRPr="00D00722" w:rsidRDefault="00916C83" w:rsidP="003C359E">
            <w:pPr>
              <w:autoSpaceDE w:val="0"/>
              <w:autoSpaceDN w:val="0"/>
              <w:adjustRightInd w:val="0"/>
              <w:spacing w:line="230" w:lineRule="auto"/>
              <w:jc w:val="right"/>
              <w:rPr>
                <w:rFonts w:ascii="Arial" w:hAnsi="Arial" w:cs="Arial"/>
                <w:b/>
                <w:bCs/>
                <w:color w:val="000000"/>
                <w:sz w:val="18"/>
                <w:szCs w:val="18"/>
              </w:rPr>
            </w:pPr>
            <w:r w:rsidRPr="00D00722">
              <w:rPr>
                <w:rFonts w:ascii="Arial" w:hAnsi="Arial" w:cs="Arial"/>
                <w:b/>
                <w:bCs/>
                <w:color w:val="000000"/>
                <w:sz w:val="18"/>
                <w:szCs w:val="18"/>
              </w:rPr>
              <w:t>farkları</w:t>
            </w:r>
          </w:p>
        </w:tc>
        <w:tc>
          <w:tcPr>
            <w:tcW w:w="1843" w:type="dxa"/>
            <w:tcBorders>
              <w:top w:val="single" w:sz="6" w:space="0" w:color="auto"/>
              <w:left w:val="nil"/>
              <w:bottom w:val="single" w:sz="6" w:space="0" w:color="auto"/>
              <w:right w:val="nil"/>
            </w:tcBorders>
            <w:vAlign w:val="bottom"/>
          </w:tcPr>
          <w:p w:rsidR="00C917DA" w:rsidRPr="00D00722" w:rsidRDefault="00916C83" w:rsidP="003C359E">
            <w:pPr>
              <w:autoSpaceDE w:val="0"/>
              <w:autoSpaceDN w:val="0"/>
              <w:adjustRightInd w:val="0"/>
              <w:spacing w:line="230" w:lineRule="auto"/>
              <w:jc w:val="right"/>
              <w:rPr>
                <w:rFonts w:ascii="Arial" w:hAnsi="Arial" w:cs="Arial"/>
                <w:b/>
                <w:bCs/>
                <w:color w:val="000000"/>
                <w:sz w:val="18"/>
                <w:szCs w:val="18"/>
              </w:rPr>
            </w:pPr>
            <w:r w:rsidRPr="00D00722">
              <w:rPr>
                <w:rFonts w:ascii="Arial" w:hAnsi="Arial" w:cs="Arial"/>
                <w:b/>
                <w:bCs/>
                <w:color w:val="000000"/>
                <w:sz w:val="18"/>
                <w:szCs w:val="18"/>
              </w:rPr>
              <w:t>Kardan</w:t>
            </w:r>
            <w:r w:rsidR="00C917DA" w:rsidRPr="00D00722">
              <w:rPr>
                <w:rFonts w:ascii="Arial" w:hAnsi="Arial" w:cs="Arial"/>
                <w:b/>
                <w:bCs/>
                <w:color w:val="000000"/>
                <w:sz w:val="18"/>
                <w:szCs w:val="18"/>
              </w:rPr>
              <w:t xml:space="preserve"> a</w:t>
            </w:r>
            <w:r w:rsidRPr="00D00722">
              <w:rPr>
                <w:rFonts w:ascii="Arial" w:hAnsi="Arial" w:cs="Arial"/>
                <w:b/>
                <w:bCs/>
                <w:color w:val="000000"/>
                <w:sz w:val="18"/>
                <w:szCs w:val="18"/>
              </w:rPr>
              <w:t>yrılan</w:t>
            </w:r>
          </w:p>
          <w:p w:rsidR="00C917DA" w:rsidRPr="00D00722" w:rsidRDefault="00C917DA" w:rsidP="003C359E">
            <w:pPr>
              <w:autoSpaceDE w:val="0"/>
              <w:autoSpaceDN w:val="0"/>
              <w:adjustRightInd w:val="0"/>
              <w:spacing w:line="230" w:lineRule="auto"/>
              <w:jc w:val="right"/>
              <w:rPr>
                <w:rFonts w:ascii="Arial" w:hAnsi="Arial" w:cs="Arial"/>
                <w:b/>
                <w:bCs/>
                <w:color w:val="000000"/>
                <w:sz w:val="18"/>
                <w:szCs w:val="18"/>
              </w:rPr>
            </w:pPr>
            <w:r w:rsidRPr="00D00722">
              <w:rPr>
                <w:rFonts w:ascii="Arial" w:hAnsi="Arial" w:cs="Arial"/>
                <w:b/>
                <w:bCs/>
                <w:color w:val="000000"/>
                <w:sz w:val="18"/>
                <w:szCs w:val="18"/>
              </w:rPr>
              <w:t>kısıtlanmış</w:t>
            </w:r>
          </w:p>
          <w:p w:rsidR="00916C83" w:rsidRPr="00D00722" w:rsidRDefault="00C917DA" w:rsidP="003C359E">
            <w:pPr>
              <w:autoSpaceDE w:val="0"/>
              <w:autoSpaceDN w:val="0"/>
              <w:adjustRightInd w:val="0"/>
              <w:spacing w:line="230" w:lineRule="auto"/>
              <w:jc w:val="right"/>
              <w:rPr>
                <w:rFonts w:ascii="Arial" w:hAnsi="Arial" w:cs="Arial"/>
                <w:b/>
                <w:bCs/>
                <w:color w:val="000000"/>
                <w:sz w:val="18"/>
                <w:szCs w:val="18"/>
              </w:rPr>
            </w:pPr>
            <w:r w:rsidRPr="00D00722">
              <w:rPr>
                <w:rFonts w:ascii="Arial" w:hAnsi="Arial" w:cs="Arial"/>
                <w:b/>
                <w:bCs/>
                <w:color w:val="000000"/>
                <w:sz w:val="18"/>
                <w:szCs w:val="18"/>
              </w:rPr>
              <w:t>yedekler</w:t>
            </w:r>
          </w:p>
        </w:tc>
        <w:tc>
          <w:tcPr>
            <w:tcW w:w="1647" w:type="dxa"/>
            <w:tcBorders>
              <w:top w:val="single" w:sz="6" w:space="0" w:color="auto"/>
              <w:left w:val="nil"/>
              <w:bottom w:val="single" w:sz="6" w:space="0" w:color="auto"/>
              <w:right w:val="nil"/>
            </w:tcBorders>
            <w:vAlign w:val="bottom"/>
          </w:tcPr>
          <w:p w:rsidR="00C917DA" w:rsidRPr="00D00722" w:rsidRDefault="00916C83" w:rsidP="003C359E">
            <w:pPr>
              <w:autoSpaceDE w:val="0"/>
              <w:autoSpaceDN w:val="0"/>
              <w:adjustRightInd w:val="0"/>
              <w:spacing w:line="230" w:lineRule="auto"/>
              <w:jc w:val="right"/>
              <w:rPr>
                <w:rFonts w:ascii="Arial" w:hAnsi="Arial" w:cs="Arial"/>
                <w:b/>
                <w:bCs/>
                <w:color w:val="000000"/>
                <w:sz w:val="18"/>
                <w:szCs w:val="18"/>
              </w:rPr>
            </w:pPr>
            <w:r w:rsidRPr="00D00722">
              <w:rPr>
                <w:rFonts w:ascii="Arial" w:hAnsi="Arial" w:cs="Arial"/>
                <w:b/>
                <w:bCs/>
                <w:color w:val="000000"/>
                <w:sz w:val="18"/>
                <w:szCs w:val="18"/>
              </w:rPr>
              <w:t>Net dönem karı</w:t>
            </w:r>
          </w:p>
          <w:p w:rsidR="00916C83" w:rsidRPr="00D00722" w:rsidRDefault="00916C83" w:rsidP="003C359E">
            <w:pPr>
              <w:autoSpaceDE w:val="0"/>
              <w:autoSpaceDN w:val="0"/>
              <w:adjustRightInd w:val="0"/>
              <w:spacing w:line="230" w:lineRule="auto"/>
              <w:jc w:val="right"/>
              <w:rPr>
                <w:rFonts w:ascii="Arial" w:hAnsi="Arial" w:cs="Arial"/>
                <w:b/>
                <w:bCs/>
                <w:color w:val="000000"/>
                <w:sz w:val="18"/>
                <w:szCs w:val="18"/>
              </w:rPr>
            </w:pPr>
            <w:r w:rsidRPr="00D00722">
              <w:rPr>
                <w:rFonts w:ascii="Arial" w:hAnsi="Arial" w:cs="Arial"/>
                <w:b/>
                <w:bCs/>
                <w:color w:val="000000"/>
                <w:sz w:val="18"/>
                <w:szCs w:val="18"/>
              </w:rPr>
              <w:t>/(zararı)</w:t>
            </w:r>
          </w:p>
        </w:tc>
        <w:tc>
          <w:tcPr>
            <w:tcW w:w="1567" w:type="dxa"/>
            <w:tcBorders>
              <w:top w:val="single" w:sz="6" w:space="0" w:color="auto"/>
              <w:left w:val="nil"/>
              <w:bottom w:val="single" w:sz="6" w:space="0" w:color="auto"/>
              <w:right w:val="nil"/>
            </w:tcBorders>
            <w:vAlign w:val="bottom"/>
          </w:tcPr>
          <w:p w:rsidR="00C917DA" w:rsidRPr="00D00722" w:rsidRDefault="00916C83" w:rsidP="003C359E">
            <w:pPr>
              <w:autoSpaceDE w:val="0"/>
              <w:autoSpaceDN w:val="0"/>
              <w:adjustRightInd w:val="0"/>
              <w:spacing w:line="230" w:lineRule="auto"/>
              <w:jc w:val="right"/>
              <w:rPr>
                <w:rFonts w:ascii="Arial" w:hAnsi="Arial" w:cs="Arial"/>
                <w:b/>
                <w:bCs/>
                <w:color w:val="000000"/>
                <w:sz w:val="18"/>
                <w:szCs w:val="18"/>
              </w:rPr>
            </w:pPr>
            <w:r w:rsidRPr="00D00722">
              <w:rPr>
                <w:rFonts w:ascii="Arial" w:hAnsi="Arial" w:cs="Arial"/>
                <w:b/>
                <w:bCs/>
                <w:color w:val="000000"/>
                <w:sz w:val="18"/>
                <w:szCs w:val="18"/>
              </w:rPr>
              <w:t>Geçmiş yıllar</w:t>
            </w:r>
          </w:p>
          <w:p w:rsidR="00916C83" w:rsidRPr="00D00722" w:rsidRDefault="00916C83" w:rsidP="003C359E">
            <w:pPr>
              <w:autoSpaceDE w:val="0"/>
              <w:autoSpaceDN w:val="0"/>
              <w:adjustRightInd w:val="0"/>
              <w:spacing w:line="230" w:lineRule="auto"/>
              <w:jc w:val="right"/>
              <w:rPr>
                <w:rFonts w:ascii="Arial" w:hAnsi="Arial" w:cs="Arial"/>
                <w:b/>
                <w:bCs/>
                <w:color w:val="000000"/>
                <w:sz w:val="18"/>
                <w:szCs w:val="18"/>
              </w:rPr>
            </w:pPr>
            <w:r w:rsidRPr="00D00722">
              <w:rPr>
                <w:rFonts w:ascii="Arial" w:hAnsi="Arial" w:cs="Arial"/>
                <w:b/>
                <w:bCs/>
                <w:color w:val="000000"/>
                <w:sz w:val="18"/>
                <w:szCs w:val="18"/>
              </w:rPr>
              <w:t>kar/(zararları)</w:t>
            </w:r>
          </w:p>
        </w:tc>
        <w:tc>
          <w:tcPr>
            <w:tcW w:w="1464" w:type="dxa"/>
            <w:tcBorders>
              <w:top w:val="single" w:sz="6" w:space="0" w:color="auto"/>
              <w:left w:val="nil"/>
              <w:bottom w:val="single" w:sz="6" w:space="0" w:color="auto"/>
              <w:right w:val="nil"/>
            </w:tcBorders>
            <w:vAlign w:val="bottom"/>
          </w:tcPr>
          <w:p w:rsidR="00916C83" w:rsidRPr="00D00722" w:rsidRDefault="00916C83" w:rsidP="003C359E">
            <w:pPr>
              <w:autoSpaceDE w:val="0"/>
              <w:autoSpaceDN w:val="0"/>
              <w:adjustRightInd w:val="0"/>
              <w:spacing w:line="230" w:lineRule="auto"/>
              <w:jc w:val="right"/>
              <w:rPr>
                <w:rFonts w:ascii="Arial" w:hAnsi="Arial" w:cs="Arial"/>
                <w:b/>
                <w:bCs/>
                <w:color w:val="000000"/>
                <w:sz w:val="18"/>
                <w:szCs w:val="18"/>
              </w:rPr>
            </w:pPr>
            <w:r w:rsidRPr="00D00722">
              <w:rPr>
                <w:rFonts w:ascii="Arial" w:hAnsi="Arial" w:cs="Arial"/>
                <w:b/>
                <w:bCs/>
                <w:color w:val="000000"/>
                <w:sz w:val="18"/>
                <w:szCs w:val="18"/>
              </w:rPr>
              <w:t>Özsermaye</w:t>
            </w:r>
          </w:p>
        </w:tc>
      </w:tr>
      <w:tr w:rsidR="00916C83" w:rsidRPr="00D00722" w:rsidTr="00981BEF">
        <w:trPr>
          <w:trHeight w:val="113"/>
        </w:trPr>
        <w:tc>
          <w:tcPr>
            <w:tcW w:w="4253" w:type="dxa"/>
            <w:tcBorders>
              <w:top w:val="nil"/>
              <w:left w:val="nil"/>
              <w:bottom w:val="nil"/>
              <w:right w:val="nil"/>
            </w:tcBorders>
            <w:vAlign w:val="bottom"/>
          </w:tcPr>
          <w:p w:rsidR="00916C83" w:rsidRPr="00D00722" w:rsidRDefault="00916C83" w:rsidP="003C359E">
            <w:pPr>
              <w:autoSpaceDE w:val="0"/>
              <w:autoSpaceDN w:val="0"/>
              <w:adjustRightInd w:val="0"/>
              <w:spacing w:line="230" w:lineRule="auto"/>
              <w:ind w:left="-78" w:hanging="30"/>
              <w:rPr>
                <w:rFonts w:ascii="Arial" w:hAnsi="Arial" w:cs="Arial"/>
                <w:b/>
                <w:color w:val="000000"/>
                <w:sz w:val="18"/>
                <w:szCs w:val="18"/>
              </w:rPr>
            </w:pPr>
          </w:p>
        </w:tc>
        <w:tc>
          <w:tcPr>
            <w:tcW w:w="850" w:type="dxa"/>
            <w:tcBorders>
              <w:top w:val="nil"/>
              <w:left w:val="nil"/>
              <w:bottom w:val="nil"/>
              <w:right w:val="nil"/>
            </w:tcBorders>
            <w:vAlign w:val="bottom"/>
          </w:tcPr>
          <w:p w:rsidR="00916C83" w:rsidRPr="00D00722" w:rsidRDefault="00916C83" w:rsidP="003C359E">
            <w:pPr>
              <w:autoSpaceDE w:val="0"/>
              <w:autoSpaceDN w:val="0"/>
              <w:adjustRightInd w:val="0"/>
              <w:spacing w:line="230" w:lineRule="auto"/>
              <w:jc w:val="right"/>
              <w:rPr>
                <w:rFonts w:ascii="Arial" w:hAnsi="Arial" w:cs="Arial"/>
                <w:color w:val="000000"/>
                <w:sz w:val="18"/>
                <w:szCs w:val="18"/>
              </w:rPr>
            </w:pPr>
          </w:p>
        </w:tc>
        <w:tc>
          <w:tcPr>
            <w:tcW w:w="1134" w:type="dxa"/>
            <w:tcBorders>
              <w:top w:val="nil"/>
              <w:left w:val="nil"/>
              <w:bottom w:val="nil"/>
              <w:right w:val="nil"/>
            </w:tcBorders>
            <w:vAlign w:val="bottom"/>
          </w:tcPr>
          <w:p w:rsidR="00916C83" w:rsidRPr="00D00722" w:rsidRDefault="00916C83" w:rsidP="003C359E">
            <w:pPr>
              <w:autoSpaceDE w:val="0"/>
              <w:autoSpaceDN w:val="0"/>
              <w:adjustRightInd w:val="0"/>
              <w:spacing w:line="230" w:lineRule="auto"/>
              <w:jc w:val="right"/>
              <w:rPr>
                <w:rFonts w:ascii="Arial" w:hAnsi="Arial" w:cs="Arial"/>
                <w:color w:val="000000"/>
                <w:sz w:val="18"/>
                <w:szCs w:val="18"/>
              </w:rPr>
            </w:pPr>
          </w:p>
        </w:tc>
        <w:tc>
          <w:tcPr>
            <w:tcW w:w="1276" w:type="dxa"/>
            <w:tcBorders>
              <w:top w:val="nil"/>
              <w:left w:val="nil"/>
              <w:bottom w:val="nil"/>
              <w:right w:val="nil"/>
            </w:tcBorders>
            <w:vAlign w:val="bottom"/>
          </w:tcPr>
          <w:p w:rsidR="00916C83" w:rsidRPr="00D00722" w:rsidRDefault="00916C83" w:rsidP="003C359E">
            <w:pPr>
              <w:autoSpaceDE w:val="0"/>
              <w:autoSpaceDN w:val="0"/>
              <w:adjustRightInd w:val="0"/>
              <w:spacing w:line="230" w:lineRule="auto"/>
              <w:jc w:val="right"/>
              <w:rPr>
                <w:rFonts w:ascii="Arial" w:hAnsi="Arial" w:cs="Arial"/>
                <w:color w:val="000000"/>
                <w:sz w:val="18"/>
                <w:szCs w:val="18"/>
              </w:rPr>
            </w:pPr>
          </w:p>
        </w:tc>
        <w:tc>
          <w:tcPr>
            <w:tcW w:w="1843" w:type="dxa"/>
            <w:tcBorders>
              <w:top w:val="nil"/>
              <w:left w:val="nil"/>
              <w:bottom w:val="nil"/>
              <w:right w:val="nil"/>
            </w:tcBorders>
            <w:vAlign w:val="bottom"/>
          </w:tcPr>
          <w:p w:rsidR="00916C83" w:rsidRPr="00D00722" w:rsidRDefault="00916C83" w:rsidP="003C359E">
            <w:pPr>
              <w:autoSpaceDE w:val="0"/>
              <w:autoSpaceDN w:val="0"/>
              <w:adjustRightInd w:val="0"/>
              <w:spacing w:line="230" w:lineRule="auto"/>
              <w:jc w:val="right"/>
              <w:rPr>
                <w:rFonts w:ascii="Arial" w:hAnsi="Arial" w:cs="Arial"/>
                <w:color w:val="000000"/>
                <w:sz w:val="18"/>
                <w:szCs w:val="18"/>
              </w:rPr>
            </w:pPr>
          </w:p>
        </w:tc>
        <w:tc>
          <w:tcPr>
            <w:tcW w:w="1647" w:type="dxa"/>
            <w:tcBorders>
              <w:top w:val="nil"/>
              <w:left w:val="nil"/>
              <w:bottom w:val="nil"/>
              <w:right w:val="nil"/>
            </w:tcBorders>
            <w:vAlign w:val="bottom"/>
          </w:tcPr>
          <w:p w:rsidR="00916C83" w:rsidRPr="00D00722" w:rsidRDefault="00916C83" w:rsidP="003C359E">
            <w:pPr>
              <w:autoSpaceDE w:val="0"/>
              <w:autoSpaceDN w:val="0"/>
              <w:adjustRightInd w:val="0"/>
              <w:spacing w:line="230" w:lineRule="auto"/>
              <w:jc w:val="right"/>
              <w:rPr>
                <w:rFonts w:ascii="Arial" w:hAnsi="Arial" w:cs="Arial"/>
                <w:color w:val="000000"/>
                <w:sz w:val="18"/>
                <w:szCs w:val="18"/>
              </w:rPr>
            </w:pPr>
          </w:p>
        </w:tc>
        <w:tc>
          <w:tcPr>
            <w:tcW w:w="1567" w:type="dxa"/>
            <w:tcBorders>
              <w:top w:val="nil"/>
              <w:left w:val="nil"/>
              <w:bottom w:val="nil"/>
              <w:right w:val="nil"/>
            </w:tcBorders>
            <w:vAlign w:val="bottom"/>
          </w:tcPr>
          <w:p w:rsidR="00916C83" w:rsidRPr="00D00722" w:rsidRDefault="00916C83" w:rsidP="003C359E">
            <w:pPr>
              <w:autoSpaceDE w:val="0"/>
              <w:autoSpaceDN w:val="0"/>
              <w:adjustRightInd w:val="0"/>
              <w:spacing w:line="230" w:lineRule="auto"/>
              <w:jc w:val="right"/>
              <w:rPr>
                <w:rFonts w:ascii="Arial" w:hAnsi="Arial" w:cs="Arial"/>
                <w:color w:val="000000"/>
                <w:sz w:val="18"/>
                <w:szCs w:val="18"/>
              </w:rPr>
            </w:pPr>
          </w:p>
        </w:tc>
        <w:tc>
          <w:tcPr>
            <w:tcW w:w="1464" w:type="dxa"/>
            <w:tcBorders>
              <w:top w:val="nil"/>
              <w:left w:val="nil"/>
              <w:bottom w:val="nil"/>
              <w:right w:val="nil"/>
            </w:tcBorders>
            <w:vAlign w:val="bottom"/>
          </w:tcPr>
          <w:p w:rsidR="00916C83" w:rsidRPr="00D00722" w:rsidRDefault="00916C83" w:rsidP="003C359E">
            <w:pPr>
              <w:autoSpaceDE w:val="0"/>
              <w:autoSpaceDN w:val="0"/>
              <w:adjustRightInd w:val="0"/>
              <w:spacing w:line="230" w:lineRule="auto"/>
              <w:jc w:val="right"/>
              <w:rPr>
                <w:rFonts w:ascii="Arial" w:hAnsi="Arial" w:cs="Arial"/>
                <w:color w:val="000000"/>
                <w:sz w:val="18"/>
                <w:szCs w:val="18"/>
              </w:rPr>
            </w:pPr>
          </w:p>
        </w:tc>
      </w:tr>
      <w:tr w:rsidR="007C2F6C" w:rsidRPr="00D00722" w:rsidTr="00981BEF">
        <w:trPr>
          <w:trHeight w:val="113"/>
        </w:trPr>
        <w:tc>
          <w:tcPr>
            <w:tcW w:w="4253" w:type="dxa"/>
            <w:tcBorders>
              <w:top w:val="single" w:sz="6" w:space="0" w:color="auto"/>
              <w:left w:val="nil"/>
              <w:bottom w:val="single" w:sz="6" w:space="0" w:color="auto"/>
              <w:right w:val="nil"/>
            </w:tcBorders>
            <w:vAlign w:val="bottom"/>
          </w:tcPr>
          <w:p w:rsidR="007C2F6C" w:rsidRPr="00D00722" w:rsidRDefault="007C2F6C" w:rsidP="005A70C2">
            <w:pPr>
              <w:autoSpaceDE w:val="0"/>
              <w:autoSpaceDN w:val="0"/>
              <w:adjustRightInd w:val="0"/>
              <w:spacing w:line="230" w:lineRule="auto"/>
              <w:ind w:left="-78" w:hanging="30"/>
              <w:rPr>
                <w:rFonts w:ascii="Arial" w:eastAsia="Calibri" w:hAnsi="Arial" w:cs="Arial"/>
                <w:b/>
                <w:color w:val="000000"/>
                <w:sz w:val="18"/>
                <w:szCs w:val="18"/>
                <w:lang w:val="tr-TR"/>
              </w:rPr>
            </w:pPr>
            <w:r w:rsidRPr="00D00722">
              <w:rPr>
                <w:rFonts w:ascii="Arial" w:hAnsi="Arial" w:cs="Arial"/>
                <w:b/>
                <w:color w:val="000000"/>
                <w:sz w:val="18"/>
                <w:szCs w:val="18"/>
              </w:rPr>
              <w:t xml:space="preserve">1 Ocak </w:t>
            </w:r>
            <w:r w:rsidR="009E6AD4" w:rsidRPr="00D00722">
              <w:rPr>
                <w:rFonts w:ascii="Arial" w:hAnsi="Arial" w:cs="Arial"/>
                <w:b/>
                <w:color w:val="000000"/>
                <w:sz w:val="18"/>
                <w:szCs w:val="18"/>
              </w:rPr>
              <w:t>201</w:t>
            </w:r>
            <w:r w:rsidR="005A70C2" w:rsidRPr="00D00722">
              <w:rPr>
                <w:rFonts w:ascii="Arial" w:hAnsi="Arial" w:cs="Arial"/>
                <w:b/>
                <w:color w:val="000000"/>
                <w:sz w:val="18"/>
                <w:szCs w:val="18"/>
              </w:rPr>
              <w:t>4</w:t>
            </w:r>
            <w:r w:rsidRPr="00D00722">
              <w:rPr>
                <w:rFonts w:ascii="Arial" w:hAnsi="Arial" w:cs="Arial"/>
                <w:b/>
                <w:color w:val="000000"/>
                <w:sz w:val="18"/>
                <w:szCs w:val="18"/>
              </w:rPr>
              <w:t xml:space="preserve"> itibariyle bakiye</w:t>
            </w:r>
          </w:p>
        </w:tc>
        <w:tc>
          <w:tcPr>
            <w:tcW w:w="850" w:type="dxa"/>
            <w:tcBorders>
              <w:top w:val="single" w:sz="6" w:space="0" w:color="auto"/>
              <w:left w:val="nil"/>
              <w:bottom w:val="single" w:sz="6" w:space="0" w:color="auto"/>
              <w:right w:val="nil"/>
            </w:tcBorders>
            <w:vAlign w:val="bottom"/>
          </w:tcPr>
          <w:p w:rsidR="007C2F6C" w:rsidRPr="00D00722" w:rsidRDefault="007C2F6C" w:rsidP="003C359E">
            <w:pPr>
              <w:autoSpaceDE w:val="0"/>
              <w:autoSpaceDN w:val="0"/>
              <w:adjustRightInd w:val="0"/>
              <w:spacing w:line="230" w:lineRule="auto"/>
              <w:jc w:val="right"/>
              <w:rPr>
                <w:rFonts w:ascii="Arial" w:hAnsi="Arial" w:cs="Arial"/>
                <w:color w:val="000000"/>
                <w:sz w:val="18"/>
                <w:szCs w:val="18"/>
              </w:rPr>
            </w:pPr>
          </w:p>
        </w:tc>
        <w:tc>
          <w:tcPr>
            <w:tcW w:w="1134" w:type="dxa"/>
            <w:tcBorders>
              <w:top w:val="single" w:sz="6" w:space="0" w:color="auto"/>
              <w:left w:val="nil"/>
              <w:bottom w:val="single" w:sz="6" w:space="0" w:color="auto"/>
              <w:right w:val="nil"/>
            </w:tcBorders>
            <w:vAlign w:val="bottom"/>
          </w:tcPr>
          <w:p w:rsidR="007C2F6C" w:rsidRPr="00D00722" w:rsidRDefault="00401093" w:rsidP="003C359E">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hAnsi="Arial" w:cs="Arial"/>
                <w:b/>
                <w:color w:val="000000"/>
                <w:sz w:val="18"/>
                <w:szCs w:val="18"/>
              </w:rPr>
              <w:t>1.700.000</w:t>
            </w:r>
          </w:p>
        </w:tc>
        <w:tc>
          <w:tcPr>
            <w:tcW w:w="1276" w:type="dxa"/>
            <w:tcBorders>
              <w:top w:val="single" w:sz="6" w:space="0" w:color="auto"/>
              <w:left w:val="nil"/>
              <w:bottom w:val="single" w:sz="6" w:space="0" w:color="auto"/>
              <w:right w:val="nil"/>
            </w:tcBorders>
            <w:vAlign w:val="bottom"/>
          </w:tcPr>
          <w:p w:rsidR="007C2F6C" w:rsidRPr="00D00722" w:rsidRDefault="00401093" w:rsidP="003C359E">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hAnsi="Arial" w:cs="Arial"/>
                <w:b/>
                <w:color w:val="000000"/>
                <w:sz w:val="18"/>
                <w:szCs w:val="18"/>
              </w:rPr>
              <w:t>133.130</w:t>
            </w:r>
          </w:p>
        </w:tc>
        <w:tc>
          <w:tcPr>
            <w:tcW w:w="1843" w:type="dxa"/>
            <w:tcBorders>
              <w:top w:val="single" w:sz="6" w:space="0" w:color="auto"/>
              <w:left w:val="nil"/>
              <w:bottom w:val="single" w:sz="6" w:space="0" w:color="auto"/>
              <w:right w:val="nil"/>
            </w:tcBorders>
            <w:vAlign w:val="bottom"/>
          </w:tcPr>
          <w:p w:rsidR="007C2F6C" w:rsidRPr="00D00722" w:rsidRDefault="00401093" w:rsidP="003C359E">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hAnsi="Arial" w:cs="Arial"/>
                <w:b/>
                <w:color w:val="000000"/>
                <w:sz w:val="18"/>
                <w:szCs w:val="18"/>
              </w:rPr>
              <w:t>44.772</w:t>
            </w:r>
          </w:p>
        </w:tc>
        <w:tc>
          <w:tcPr>
            <w:tcW w:w="1647" w:type="dxa"/>
            <w:tcBorders>
              <w:top w:val="single" w:sz="6" w:space="0" w:color="auto"/>
              <w:left w:val="nil"/>
              <w:bottom w:val="single" w:sz="6" w:space="0" w:color="auto"/>
              <w:right w:val="nil"/>
            </w:tcBorders>
            <w:vAlign w:val="bottom"/>
          </w:tcPr>
          <w:p w:rsidR="007C2F6C" w:rsidRPr="00D00722" w:rsidRDefault="00401093" w:rsidP="005A70C2">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hAnsi="Arial" w:cs="Arial"/>
                <w:b/>
                <w:color w:val="000000"/>
                <w:sz w:val="18"/>
                <w:szCs w:val="18"/>
              </w:rPr>
              <w:t>(</w:t>
            </w:r>
            <w:r w:rsidR="005A70C2" w:rsidRPr="00D00722">
              <w:rPr>
                <w:rFonts w:ascii="Arial" w:hAnsi="Arial" w:cs="Arial"/>
                <w:b/>
                <w:color w:val="000000"/>
                <w:sz w:val="18"/>
                <w:szCs w:val="18"/>
              </w:rPr>
              <w:t>353</w:t>
            </w:r>
            <w:r w:rsidRPr="00D00722">
              <w:rPr>
                <w:rFonts w:ascii="Arial" w:hAnsi="Arial" w:cs="Arial"/>
                <w:b/>
                <w:color w:val="000000"/>
                <w:sz w:val="18"/>
                <w:szCs w:val="18"/>
              </w:rPr>
              <w:t>.</w:t>
            </w:r>
            <w:r w:rsidR="005A70C2" w:rsidRPr="00D00722">
              <w:rPr>
                <w:rFonts w:ascii="Arial" w:hAnsi="Arial" w:cs="Arial"/>
                <w:b/>
                <w:color w:val="000000"/>
                <w:sz w:val="18"/>
                <w:szCs w:val="18"/>
              </w:rPr>
              <w:t>940</w:t>
            </w:r>
            <w:r w:rsidRPr="00D00722">
              <w:rPr>
                <w:rFonts w:ascii="Arial" w:hAnsi="Arial" w:cs="Arial"/>
                <w:b/>
                <w:color w:val="000000"/>
                <w:sz w:val="18"/>
                <w:szCs w:val="18"/>
              </w:rPr>
              <w:t>)</w:t>
            </w:r>
          </w:p>
        </w:tc>
        <w:tc>
          <w:tcPr>
            <w:tcW w:w="1567" w:type="dxa"/>
            <w:tcBorders>
              <w:top w:val="single" w:sz="6" w:space="0" w:color="auto"/>
              <w:left w:val="nil"/>
              <w:bottom w:val="single" w:sz="6" w:space="0" w:color="auto"/>
              <w:right w:val="nil"/>
            </w:tcBorders>
            <w:vAlign w:val="bottom"/>
          </w:tcPr>
          <w:p w:rsidR="007C2F6C" w:rsidRPr="00D00722" w:rsidRDefault="005A70C2" w:rsidP="005A70C2">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hAnsi="Arial" w:cs="Arial"/>
                <w:b/>
                <w:color w:val="000000"/>
                <w:sz w:val="18"/>
                <w:szCs w:val="18"/>
              </w:rPr>
              <w:t>(316</w:t>
            </w:r>
            <w:r w:rsidR="00401093" w:rsidRPr="00D00722">
              <w:rPr>
                <w:rFonts w:ascii="Arial" w:hAnsi="Arial" w:cs="Arial"/>
                <w:b/>
                <w:color w:val="000000"/>
                <w:sz w:val="18"/>
                <w:szCs w:val="18"/>
              </w:rPr>
              <w:t>.</w:t>
            </w:r>
            <w:r w:rsidRPr="00D00722">
              <w:rPr>
                <w:rFonts w:ascii="Arial" w:hAnsi="Arial" w:cs="Arial"/>
                <w:b/>
                <w:color w:val="000000"/>
                <w:sz w:val="18"/>
                <w:szCs w:val="18"/>
              </w:rPr>
              <w:t>912)</w:t>
            </w:r>
          </w:p>
        </w:tc>
        <w:tc>
          <w:tcPr>
            <w:tcW w:w="1464" w:type="dxa"/>
            <w:tcBorders>
              <w:top w:val="single" w:sz="6" w:space="0" w:color="auto"/>
              <w:left w:val="nil"/>
              <w:bottom w:val="single" w:sz="6" w:space="0" w:color="auto"/>
              <w:right w:val="nil"/>
            </w:tcBorders>
            <w:vAlign w:val="bottom"/>
          </w:tcPr>
          <w:p w:rsidR="007C2F6C" w:rsidRPr="00D00722" w:rsidRDefault="00401093" w:rsidP="005A70C2">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hAnsi="Arial" w:cs="Arial"/>
                <w:b/>
                <w:color w:val="000000"/>
                <w:sz w:val="18"/>
                <w:szCs w:val="18"/>
              </w:rPr>
              <w:t>1.2</w:t>
            </w:r>
            <w:r w:rsidR="005A70C2" w:rsidRPr="00D00722">
              <w:rPr>
                <w:rFonts w:ascii="Arial" w:hAnsi="Arial" w:cs="Arial"/>
                <w:b/>
                <w:color w:val="000000"/>
                <w:sz w:val="18"/>
                <w:szCs w:val="18"/>
              </w:rPr>
              <w:t>07</w:t>
            </w:r>
            <w:r w:rsidRPr="00D00722">
              <w:rPr>
                <w:rFonts w:ascii="Arial" w:hAnsi="Arial" w:cs="Arial"/>
                <w:b/>
                <w:color w:val="000000"/>
                <w:sz w:val="18"/>
                <w:szCs w:val="18"/>
              </w:rPr>
              <w:t>.</w:t>
            </w:r>
            <w:r w:rsidR="005A70C2" w:rsidRPr="00D00722">
              <w:rPr>
                <w:rFonts w:ascii="Arial" w:hAnsi="Arial" w:cs="Arial"/>
                <w:b/>
                <w:color w:val="000000"/>
                <w:sz w:val="18"/>
                <w:szCs w:val="18"/>
              </w:rPr>
              <w:t>050</w:t>
            </w:r>
          </w:p>
        </w:tc>
      </w:tr>
      <w:tr w:rsidR="00916C83" w:rsidRPr="00D00722" w:rsidTr="00981BEF">
        <w:trPr>
          <w:trHeight w:val="113"/>
        </w:trPr>
        <w:tc>
          <w:tcPr>
            <w:tcW w:w="4253" w:type="dxa"/>
            <w:tcBorders>
              <w:top w:val="nil"/>
              <w:left w:val="nil"/>
              <w:bottom w:val="nil"/>
              <w:right w:val="nil"/>
            </w:tcBorders>
            <w:vAlign w:val="bottom"/>
          </w:tcPr>
          <w:p w:rsidR="00916C83" w:rsidRPr="00D00722" w:rsidRDefault="0008272A" w:rsidP="00231D79">
            <w:pPr>
              <w:autoSpaceDE w:val="0"/>
              <w:autoSpaceDN w:val="0"/>
              <w:adjustRightInd w:val="0"/>
              <w:spacing w:line="230" w:lineRule="auto"/>
              <w:ind w:left="-78" w:hanging="30"/>
              <w:rPr>
                <w:rFonts w:ascii="Arial" w:hAnsi="Arial" w:cs="Arial"/>
                <w:color w:val="000000"/>
                <w:sz w:val="18"/>
                <w:szCs w:val="18"/>
              </w:rPr>
            </w:pPr>
            <w:r w:rsidRPr="00D00722">
              <w:rPr>
                <w:rFonts w:ascii="Arial" w:hAnsi="Arial" w:cs="Arial"/>
                <w:color w:val="000000"/>
                <w:sz w:val="18"/>
                <w:szCs w:val="18"/>
              </w:rPr>
              <w:t>N</w:t>
            </w:r>
            <w:r w:rsidR="00231D79" w:rsidRPr="00D00722">
              <w:rPr>
                <w:rFonts w:ascii="Arial" w:hAnsi="Arial" w:cs="Arial"/>
                <w:color w:val="000000"/>
                <w:sz w:val="18"/>
                <w:szCs w:val="18"/>
              </w:rPr>
              <w:t>akit  ilaveler (**)</w:t>
            </w:r>
          </w:p>
        </w:tc>
        <w:tc>
          <w:tcPr>
            <w:tcW w:w="850" w:type="dxa"/>
            <w:tcBorders>
              <w:top w:val="nil"/>
              <w:left w:val="nil"/>
              <w:bottom w:val="nil"/>
              <w:right w:val="nil"/>
            </w:tcBorders>
            <w:vAlign w:val="bottom"/>
          </w:tcPr>
          <w:p w:rsidR="00916C83" w:rsidRPr="00D00722" w:rsidRDefault="00916C83" w:rsidP="003C359E">
            <w:pPr>
              <w:autoSpaceDE w:val="0"/>
              <w:autoSpaceDN w:val="0"/>
              <w:adjustRightInd w:val="0"/>
              <w:spacing w:line="230" w:lineRule="auto"/>
              <w:jc w:val="right"/>
              <w:rPr>
                <w:rFonts w:ascii="Arial" w:hAnsi="Arial" w:cs="Arial"/>
                <w:color w:val="000000"/>
                <w:sz w:val="18"/>
                <w:szCs w:val="18"/>
              </w:rPr>
            </w:pPr>
          </w:p>
        </w:tc>
        <w:tc>
          <w:tcPr>
            <w:tcW w:w="1134" w:type="dxa"/>
            <w:tcBorders>
              <w:top w:val="nil"/>
              <w:left w:val="nil"/>
              <w:bottom w:val="nil"/>
              <w:right w:val="nil"/>
            </w:tcBorders>
            <w:vAlign w:val="bottom"/>
          </w:tcPr>
          <w:p w:rsidR="00916C83" w:rsidRPr="00D00722" w:rsidRDefault="00231D79" w:rsidP="003C359E">
            <w:pPr>
              <w:autoSpaceDE w:val="0"/>
              <w:autoSpaceDN w:val="0"/>
              <w:adjustRightInd w:val="0"/>
              <w:spacing w:line="230" w:lineRule="auto"/>
              <w:jc w:val="right"/>
              <w:rPr>
                <w:rFonts w:ascii="Arial" w:hAnsi="Arial" w:cs="Arial"/>
                <w:b/>
                <w:color w:val="000000"/>
                <w:sz w:val="18"/>
                <w:szCs w:val="18"/>
              </w:rPr>
            </w:pPr>
            <w:r w:rsidRPr="00D00722">
              <w:rPr>
                <w:rFonts w:ascii="Arial" w:hAnsi="Arial" w:cs="Arial"/>
                <w:b/>
                <w:color w:val="000000"/>
                <w:sz w:val="18"/>
                <w:szCs w:val="18"/>
              </w:rPr>
              <w:t>366.275-</w:t>
            </w:r>
          </w:p>
        </w:tc>
        <w:tc>
          <w:tcPr>
            <w:tcW w:w="1276" w:type="dxa"/>
            <w:tcBorders>
              <w:top w:val="nil"/>
              <w:left w:val="nil"/>
              <w:bottom w:val="nil"/>
              <w:right w:val="nil"/>
            </w:tcBorders>
            <w:vAlign w:val="bottom"/>
          </w:tcPr>
          <w:p w:rsidR="00916C83" w:rsidRPr="00D00722" w:rsidRDefault="002836AB" w:rsidP="003C359E">
            <w:pPr>
              <w:autoSpaceDE w:val="0"/>
              <w:autoSpaceDN w:val="0"/>
              <w:adjustRightInd w:val="0"/>
              <w:spacing w:line="230" w:lineRule="auto"/>
              <w:jc w:val="right"/>
              <w:rPr>
                <w:rFonts w:ascii="Arial" w:hAnsi="Arial" w:cs="Arial"/>
                <w:b/>
                <w:color w:val="000000"/>
                <w:sz w:val="18"/>
                <w:szCs w:val="18"/>
              </w:rPr>
            </w:pPr>
            <w:r w:rsidRPr="00D00722">
              <w:rPr>
                <w:rFonts w:ascii="Arial" w:hAnsi="Arial" w:cs="Arial"/>
                <w:b/>
                <w:color w:val="000000"/>
                <w:sz w:val="18"/>
                <w:szCs w:val="18"/>
              </w:rPr>
              <w:t>-</w:t>
            </w:r>
          </w:p>
        </w:tc>
        <w:tc>
          <w:tcPr>
            <w:tcW w:w="1843" w:type="dxa"/>
            <w:tcBorders>
              <w:top w:val="nil"/>
              <w:left w:val="nil"/>
              <w:bottom w:val="nil"/>
              <w:right w:val="nil"/>
            </w:tcBorders>
            <w:vAlign w:val="bottom"/>
          </w:tcPr>
          <w:p w:rsidR="00916C83" w:rsidRPr="00D00722" w:rsidRDefault="002836AB" w:rsidP="003C359E">
            <w:pPr>
              <w:autoSpaceDE w:val="0"/>
              <w:autoSpaceDN w:val="0"/>
              <w:adjustRightInd w:val="0"/>
              <w:spacing w:line="230" w:lineRule="auto"/>
              <w:jc w:val="right"/>
              <w:rPr>
                <w:rFonts w:ascii="Arial" w:hAnsi="Arial" w:cs="Arial"/>
                <w:b/>
                <w:color w:val="000000"/>
                <w:sz w:val="18"/>
                <w:szCs w:val="18"/>
              </w:rPr>
            </w:pPr>
            <w:r w:rsidRPr="00D00722">
              <w:rPr>
                <w:rFonts w:ascii="Arial" w:hAnsi="Arial" w:cs="Arial"/>
                <w:b/>
                <w:color w:val="000000"/>
                <w:sz w:val="18"/>
                <w:szCs w:val="18"/>
              </w:rPr>
              <w:t>-</w:t>
            </w:r>
          </w:p>
        </w:tc>
        <w:tc>
          <w:tcPr>
            <w:tcW w:w="1647" w:type="dxa"/>
            <w:tcBorders>
              <w:top w:val="nil"/>
              <w:left w:val="nil"/>
              <w:bottom w:val="nil"/>
              <w:right w:val="nil"/>
            </w:tcBorders>
            <w:vAlign w:val="bottom"/>
          </w:tcPr>
          <w:p w:rsidR="00916C83" w:rsidRPr="00D00722" w:rsidRDefault="002836AB" w:rsidP="003C359E">
            <w:pPr>
              <w:autoSpaceDE w:val="0"/>
              <w:autoSpaceDN w:val="0"/>
              <w:adjustRightInd w:val="0"/>
              <w:spacing w:line="230" w:lineRule="auto"/>
              <w:jc w:val="right"/>
              <w:rPr>
                <w:rFonts w:ascii="Arial" w:hAnsi="Arial" w:cs="Arial"/>
                <w:b/>
                <w:color w:val="000000"/>
                <w:sz w:val="18"/>
                <w:szCs w:val="18"/>
              </w:rPr>
            </w:pPr>
            <w:r w:rsidRPr="00D00722">
              <w:rPr>
                <w:rFonts w:ascii="Arial" w:hAnsi="Arial" w:cs="Arial"/>
                <w:b/>
                <w:color w:val="000000"/>
                <w:sz w:val="18"/>
                <w:szCs w:val="18"/>
              </w:rPr>
              <w:t>-</w:t>
            </w:r>
          </w:p>
        </w:tc>
        <w:tc>
          <w:tcPr>
            <w:tcW w:w="1567" w:type="dxa"/>
            <w:tcBorders>
              <w:top w:val="nil"/>
              <w:left w:val="nil"/>
              <w:bottom w:val="nil"/>
              <w:right w:val="nil"/>
            </w:tcBorders>
            <w:vAlign w:val="bottom"/>
          </w:tcPr>
          <w:p w:rsidR="00916C83" w:rsidRPr="00D00722" w:rsidRDefault="00916C83" w:rsidP="002836AB">
            <w:pPr>
              <w:autoSpaceDE w:val="0"/>
              <w:autoSpaceDN w:val="0"/>
              <w:adjustRightInd w:val="0"/>
              <w:spacing w:line="230" w:lineRule="auto"/>
              <w:jc w:val="right"/>
              <w:rPr>
                <w:rFonts w:ascii="Arial" w:hAnsi="Arial" w:cs="Arial"/>
                <w:b/>
                <w:color w:val="000000"/>
                <w:sz w:val="18"/>
                <w:szCs w:val="18"/>
              </w:rPr>
            </w:pPr>
          </w:p>
        </w:tc>
        <w:tc>
          <w:tcPr>
            <w:tcW w:w="1464" w:type="dxa"/>
            <w:tcBorders>
              <w:top w:val="nil"/>
              <w:left w:val="nil"/>
              <w:bottom w:val="nil"/>
              <w:right w:val="nil"/>
            </w:tcBorders>
            <w:vAlign w:val="bottom"/>
          </w:tcPr>
          <w:p w:rsidR="00916C83" w:rsidRPr="00D00722" w:rsidRDefault="00231D79" w:rsidP="003C359E">
            <w:pPr>
              <w:autoSpaceDE w:val="0"/>
              <w:autoSpaceDN w:val="0"/>
              <w:adjustRightInd w:val="0"/>
              <w:spacing w:line="230" w:lineRule="auto"/>
              <w:jc w:val="right"/>
              <w:rPr>
                <w:rFonts w:ascii="Arial" w:hAnsi="Arial" w:cs="Arial"/>
                <w:b/>
                <w:color w:val="000000"/>
                <w:sz w:val="18"/>
                <w:szCs w:val="18"/>
              </w:rPr>
            </w:pPr>
            <w:r w:rsidRPr="00D00722">
              <w:rPr>
                <w:rFonts w:ascii="Arial" w:hAnsi="Arial" w:cs="Arial"/>
                <w:b/>
                <w:color w:val="000000"/>
                <w:sz w:val="18"/>
                <w:szCs w:val="18"/>
              </w:rPr>
              <w:t>366.275</w:t>
            </w:r>
            <w:r w:rsidR="0008272A" w:rsidRPr="00D00722">
              <w:rPr>
                <w:rFonts w:ascii="Arial" w:hAnsi="Arial" w:cs="Arial"/>
                <w:b/>
                <w:color w:val="000000"/>
                <w:sz w:val="18"/>
                <w:szCs w:val="18"/>
              </w:rPr>
              <w:t>-</w:t>
            </w:r>
          </w:p>
        </w:tc>
      </w:tr>
      <w:tr w:rsidR="002836AB" w:rsidRPr="00D00722" w:rsidTr="00981BEF">
        <w:trPr>
          <w:trHeight w:val="113"/>
        </w:trPr>
        <w:tc>
          <w:tcPr>
            <w:tcW w:w="4253" w:type="dxa"/>
            <w:tcBorders>
              <w:top w:val="nil"/>
              <w:left w:val="nil"/>
              <w:bottom w:val="nil"/>
              <w:right w:val="nil"/>
            </w:tcBorders>
            <w:vAlign w:val="bottom"/>
          </w:tcPr>
          <w:p w:rsidR="002836AB" w:rsidRPr="00D00722" w:rsidRDefault="002836AB" w:rsidP="003C359E">
            <w:pPr>
              <w:autoSpaceDE w:val="0"/>
              <w:autoSpaceDN w:val="0"/>
              <w:adjustRightInd w:val="0"/>
              <w:spacing w:line="230" w:lineRule="auto"/>
              <w:ind w:left="-78" w:hanging="30"/>
              <w:rPr>
                <w:rFonts w:ascii="Arial" w:eastAsia="Calibri" w:hAnsi="Arial" w:cs="Arial"/>
                <w:color w:val="000000"/>
                <w:sz w:val="18"/>
                <w:szCs w:val="18"/>
                <w:lang w:val="tr-TR"/>
              </w:rPr>
            </w:pPr>
            <w:r w:rsidRPr="00D00722">
              <w:rPr>
                <w:rFonts w:ascii="Arial" w:hAnsi="Arial" w:cs="Arial"/>
                <w:color w:val="000000"/>
                <w:sz w:val="18"/>
                <w:szCs w:val="18"/>
              </w:rPr>
              <w:t xml:space="preserve">Geçmiş yıl zararlarına nakit ilaveler </w:t>
            </w:r>
          </w:p>
        </w:tc>
        <w:tc>
          <w:tcPr>
            <w:tcW w:w="850" w:type="dxa"/>
            <w:tcBorders>
              <w:top w:val="nil"/>
              <w:left w:val="nil"/>
              <w:bottom w:val="nil"/>
              <w:right w:val="nil"/>
            </w:tcBorders>
            <w:vAlign w:val="bottom"/>
          </w:tcPr>
          <w:p w:rsidR="002836AB" w:rsidRPr="00D00722" w:rsidRDefault="002836AB" w:rsidP="003C359E">
            <w:pPr>
              <w:autoSpaceDE w:val="0"/>
              <w:autoSpaceDN w:val="0"/>
              <w:adjustRightInd w:val="0"/>
              <w:spacing w:line="230" w:lineRule="auto"/>
              <w:jc w:val="right"/>
              <w:rPr>
                <w:rFonts w:ascii="Arial" w:hAnsi="Arial" w:cs="Arial"/>
                <w:color w:val="000000"/>
                <w:sz w:val="18"/>
                <w:szCs w:val="18"/>
              </w:rPr>
            </w:pPr>
          </w:p>
        </w:tc>
        <w:tc>
          <w:tcPr>
            <w:tcW w:w="1134" w:type="dxa"/>
            <w:tcBorders>
              <w:top w:val="nil"/>
              <w:left w:val="nil"/>
              <w:bottom w:val="nil"/>
              <w:right w:val="nil"/>
            </w:tcBorders>
          </w:tcPr>
          <w:p w:rsidR="002836AB" w:rsidRPr="00D00722" w:rsidRDefault="002836AB" w:rsidP="0008272A">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hAnsi="Arial" w:cs="Arial"/>
                <w:b/>
                <w:color w:val="000000"/>
                <w:sz w:val="18"/>
                <w:szCs w:val="18"/>
              </w:rPr>
              <w:t>-</w:t>
            </w:r>
          </w:p>
        </w:tc>
        <w:tc>
          <w:tcPr>
            <w:tcW w:w="1276" w:type="dxa"/>
            <w:tcBorders>
              <w:top w:val="nil"/>
              <w:left w:val="nil"/>
              <w:bottom w:val="nil"/>
              <w:right w:val="nil"/>
            </w:tcBorders>
          </w:tcPr>
          <w:p w:rsidR="002836AB" w:rsidRPr="00D00722" w:rsidRDefault="002836AB" w:rsidP="003C359E">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hAnsi="Arial" w:cs="Arial"/>
                <w:b/>
                <w:color w:val="000000"/>
                <w:sz w:val="18"/>
                <w:szCs w:val="18"/>
              </w:rPr>
              <w:t>-</w:t>
            </w:r>
          </w:p>
        </w:tc>
        <w:tc>
          <w:tcPr>
            <w:tcW w:w="1843" w:type="dxa"/>
            <w:tcBorders>
              <w:top w:val="nil"/>
              <w:left w:val="nil"/>
              <w:bottom w:val="nil"/>
              <w:right w:val="nil"/>
            </w:tcBorders>
          </w:tcPr>
          <w:p w:rsidR="002836AB" w:rsidRPr="00D00722" w:rsidRDefault="002836AB" w:rsidP="003C359E">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hAnsi="Arial" w:cs="Arial"/>
                <w:b/>
                <w:color w:val="000000"/>
                <w:sz w:val="18"/>
                <w:szCs w:val="18"/>
              </w:rPr>
              <w:t>-</w:t>
            </w:r>
          </w:p>
        </w:tc>
        <w:tc>
          <w:tcPr>
            <w:tcW w:w="1647" w:type="dxa"/>
            <w:tcBorders>
              <w:top w:val="nil"/>
              <w:left w:val="nil"/>
              <w:bottom w:val="nil"/>
              <w:right w:val="nil"/>
            </w:tcBorders>
          </w:tcPr>
          <w:p w:rsidR="002836AB" w:rsidRPr="00D00722" w:rsidRDefault="002836AB" w:rsidP="002B5FEF">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hAnsi="Arial" w:cs="Arial"/>
                <w:b/>
                <w:color w:val="000000"/>
                <w:sz w:val="18"/>
                <w:szCs w:val="18"/>
              </w:rPr>
              <w:t>353.940</w:t>
            </w:r>
          </w:p>
        </w:tc>
        <w:tc>
          <w:tcPr>
            <w:tcW w:w="1567" w:type="dxa"/>
            <w:tcBorders>
              <w:top w:val="nil"/>
              <w:left w:val="nil"/>
              <w:bottom w:val="nil"/>
              <w:right w:val="nil"/>
            </w:tcBorders>
          </w:tcPr>
          <w:p w:rsidR="002836AB" w:rsidRPr="00D00722" w:rsidRDefault="002836AB" w:rsidP="002B5FEF">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hAnsi="Arial" w:cs="Arial"/>
                <w:b/>
                <w:color w:val="000000"/>
                <w:sz w:val="18"/>
                <w:szCs w:val="18"/>
              </w:rPr>
              <w:t>(353.940)</w:t>
            </w:r>
          </w:p>
        </w:tc>
        <w:tc>
          <w:tcPr>
            <w:tcW w:w="1464" w:type="dxa"/>
            <w:tcBorders>
              <w:top w:val="nil"/>
              <w:left w:val="nil"/>
              <w:bottom w:val="nil"/>
              <w:right w:val="nil"/>
            </w:tcBorders>
          </w:tcPr>
          <w:p w:rsidR="002836AB" w:rsidRPr="00D00722" w:rsidRDefault="002836AB" w:rsidP="0008272A">
            <w:pPr>
              <w:autoSpaceDE w:val="0"/>
              <w:autoSpaceDN w:val="0"/>
              <w:adjustRightInd w:val="0"/>
              <w:spacing w:line="230" w:lineRule="auto"/>
              <w:jc w:val="right"/>
              <w:rPr>
                <w:rFonts w:ascii="Arial" w:eastAsia="Calibri" w:hAnsi="Arial" w:cs="Arial"/>
                <w:b/>
                <w:color w:val="000000"/>
                <w:sz w:val="18"/>
                <w:szCs w:val="18"/>
                <w:lang w:val="tr-TR"/>
              </w:rPr>
            </w:pPr>
          </w:p>
        </w:tc>
      </w:tr>
      <w:tr w:rsidR="002836AB" w:rsidRPr="00D00722" w:rsidTr="00981BEF">
        <w:trPr>
          <w:trHeight w:val="113"/>
        </w:trPr>
        <w:tc>
          <w:tcPr>
            <w:tcW w:w="4253" w:type="dxa"/>
            <w:tcBorders>
              <w:top w:val="nil"/>
              <w:left w:val="nil"/>
              <w:bottom w:val="nil"/>
              <w:right w:val="nil"/>
            </w:tcBorders>
            <w:vAlign w:val="bottom"/>
          </w:tcPr>
          <w:p w:rsidR="002836AB" w:rsidRPr="00D00722" w:rsidRDefault="002836AB" w:rsidP="003C359E">
            <w:pPr>
              <w:autoSpaceDE w:val="0"/>
              <w:autoSpaceDN w:val="0"/>
              <w:adjustRightInd w:val="0"/>
              <w:spacing w:line="230" w:lineRule="auto"/>
              <w:ind w:left="-78" w:hanging="30"/>
              <w:rPr>
                <w:rFonts w:ascii="Arial" w:eastAsia="Calibri" w:hAnsi="Arial" w:cs="Arial"/>
                <w:color w:val="000000"/>
                <w:sz w:val="18"/>
                <w:szCs w:val="18"/>
                <w:lang w:val="tr-TR"/>
              </w:rPr>
            </w:pPr>
            <w:r w:rsidRPr="00D00722">
              <w:rPr>
                <w:rFonts w:ascii="Arial" w:hAnsi="Arial" w:cs="Arial"/>
                <w:color w:val="000000"/>
                <w:sz w:val="18"/>
                <w:szCs w:val="18"/>
              </w:rPr>
              <w:t>Geçmiş yıl karlarına transfer</w:t>
            </w:r>
          </w:p>
        </w:tc>
        <w:tc>
          <w:tcPr>
            <w:tcW w:w="850" w:type="dxa"/>
            <w:tcBorders>
              <w:top w:val="nil"/>
              <w:left w:val="nil"/>
              <w:bottom w:val="nil"/>
              <w:right w:val="nil"/>
            </w:tcBorders>
            <w:vAlign w:val="bottom"/>
          </w:tcPr>
          <w:p w:rsidR="002836AB" w:rsidRPr="00D00722" w:rsidRDefault="002836AB" w:rsidP="003C359E">
            <w:pPr>
              <w:autoSpaceDE w:val="0"/>
              <w:autoSpaceDN w:val="0"/>
              <w:adjustRightInd w:val="0"/>
              <w:spacing w:line="230" w:lineRule="auto"/>
              <w:jc w:val="right"/>
              <w:rPr>
                <w:rFonts w:ascii="Arial" w:hAnsi="Arial" w:cs="Arial"/>
                <w:color w:val="000000"/>
                <w:sz w:val="18"/>
                <w:szCs w:val="18"/>
              </w:rPr>
            </w:pPr>
          </w:p>
        </w:tc>
        <w:tc>
          <w:tcPr>
            <w:tcW w:w="1134" w:type="dxa"/>
            <w:tcBorders>
              <w:top w:val="nil"/>
              <w:left w:val="nil"/>
              <w:bottom w:val="nil"/>
              <w:right w:val="nil"/>
            </w:tcBorders>
          </w:tcPr>
          <w:p w:rsidR="002836AB" w:rsidRPr="00D00722" w:rsidRDefault="002836AB" w:rsidP="003C359E">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hAnsi="Arial" w:cs="Arial"/>
                <w:b/>
                <w:color w:val="000000"/>
                <w:sz w:val="18"/>
                <w:szCs w:val="18"/>
              </w:rPr>
              <w:t>-</w:t>
            </w:r>
          </w:p>
        </w:tc>
        <w:tc>
          <w:tcPr>
            <w:tcW w:w="1276" w:type="dxa"/>
            <w:tcBorders>
              <w:top w:val="nil"/>
              <w:left w:val="nil"/>
              <w:bottom w:val="nil"/>
              <w:right w:val="nil"/>
            </w:tcBorders>
          </w:tcPr>
          <w:p w:rsidR="002836AB" w:rsidRPr="00D00722" w:rsidRDefault="002836AB" w:rsidP="003C359E">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hAnsi="Arial" w:cs="Arial"/>
                <w:b/>
                <w:color w:val="000000"/>
                <w:sz w:val="18"/>
                <w:szCs w:val="18"/>
              </w:rPr>
              <w:t>-</w:t>
            </w:r>
          </w:p>
        </w:tc>
        <w:tc>
          <w:tcPr>
            <w:tcW w:w="1843" w:type="dxa"/>
            <w:tcBorders>
              <w:top w:val="nil"/>
              <w:left w:val="nil"/>
              <w:bottom w:val="nil"/>
              <w:right w:val="nil"/>
            </w:tcBorders>
          </w:tcPr>
          <w:p w:rsidR="002836AB" w:rsidRPr="00D00722" w:rsidRDefault="002836AB" w:rsidP="003C359E">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hAnsi="Arial" w:cs="Arial"/>
                <w:b/>
                <w:color w:val="000000"/>
                <w:sz w:val="18"/>
                <w:szCs w:val="18"/>
              </w:rPr>
              <w:t>-</w:t>
            </w:r>
          </w:p>
        </w:tc>
        <w:tc>
          <w:tcPr>
            <w:tcW w:w="1647" w:type="dxa"/>
            <w:tcBorders>
              <w:top w:val="nil"/>
              <w:left w:val="nil"/>
              <w:bottom w:val="nil"/>
              <w:right w:val="nil"/>
            </w:tcBorders>
          </w:tcPr>
          <w:p w:rsidR="002836AB" w:rsidRPr="00D00722" w:rsidRDefault="002836AB" w:rsidP="003C359E">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eastAsia="Calibri" w:hAnsi="Arial" w:cs="Arial"/>
                <w:b/>
                <w:color w:val="000000"/>
                <w:sz w:val="18"/>
                <w:szCs w:val="18"/>
                <w:lang w:val="tr-TR"/>
              </w:rPr>
              <w:t>-</w:t>
            </w:r>
          </w:p>
        </w:tc>
        <w:tc>
          <w:tcPr>
            <w:tcW w:w="1567" w:type="dxa"/>
            <w:tcBorders>
              <w:top w:val="nil"/>
              <w:left w:val="nil"/>
              <w:bottom w:val="nil"/>
              <w:right w:val="nil"/>
            </w:tcBorders>
          </w:tcPr>
          <w:p w:rsidR="002836AB" w:rsidRPr="00D00722" w:rsidRDefault="002836AB" w:rsidP="003C359E">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eastAsia="Calibri" w:hAnsi="Arial" w:cs="Arial"/>
                <w:b/>
                <w:color w:val="000000"/>
                <w:sz w:val="18"/>
                <w:szCs w:val="18"/>
                <w:lang w:val="tr-TR"/>
              </w:rPr>
              <w:t>-</w:t>
            </w:r>
          </w:p>
        </w:tc>
        <w:tc>
          <w:tcPr>
            <w:tcW w:w="1464" w:type="dxa"/>
            <w:tcBorders>
              <w:top w:val="nil"/>
              <w:left w:val="nil"/>
              <w:bottom w:val="nil"/>
              <w:right w:val="nil"/>
            </w:tcBorders>
          </w:tcPr>
          <w:p w:rsidR="002836AB" w:rsidRPr="00D00722" w:rsidRDefault="002836AB" w:rsidP="003C359E">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hAnsi="Arial" w:cs="Arial"/>
                <w:b/>
                <w:color w:val="000000"/>
                <w:sz w:val="18"/>
                <w:szCs w:val="18"/>
              </w:rPr>
              <w:t>-</w:t>
            </w:r>
          </w:p>
        </w:tc>
      </w:tr>
      <w:tr w:rsidR="002836AB" w:rsidRPr="00D00722" w:rsidTr="00981BEF">
        <w:trPr>
          <w:trHeight w:val="113"/>
        </w:trPr>
        <w:tc>
          <w:tcPr>
            <w:tcW w:w="4253" w:type="dxa"/>
            <w:tcBorders>
              <w:top w:val="nil"/>
              <w:left w:val="nil"/>
              <w:bottom w:val="nil"/>
              <w:right w:val="nil"/>
            </w:tcBorders>
            <w:vAlign w:val="bottom"/>
          </w:tcPr>
          <w:p w:rsidR="002836AB" w:rsidRPr="00D00722" w:rsidRDefault="002836AB" w:rsidP="003C359E">
            <w:pPr>
              <w:autoSpaceDE w:val="0"/>
              <w:autoSpaceDN w:val="0"/>
              <w:adjustRightInd w:val="0"/>
              <w:spacing w:line="230" w:lineRule="auto"/>
              <w:ind w:left="-78" w:hanging="30"/>
              <w:rPr>
                <w:rFonts w:ascii="Arial" w:eastAsia="Calibri" w:hAnsi="Arial" w:cs="Arial"/>
                <w:color w:val="000000"/>
                <w:sz w:val="18"/>
                <w:szCs w:val="18"/>
                <w:lang w:val="tr-TR"/>
              </w:rPr>
            </w:pPr>
            <w:r w:rsidRPr="00D00722">
              <w:rPr>
                <w:rFonts w:ascii="Arial" w:hAnsi="Arial" w:cs="Arial"/>
                <w:color w:val="000000"/>
                <w:sz w:val="18"/>
                <w:szCs w:val="18"/>
              </w:rPr>
              <w:t>Yedeklere aktarılan tutarlar</w:t>
            </w:r>
          </w:p>
        </w:tc>
        <w:tc>
          <w:tcPr>
            <w:tcW w:w="850" w:type="dxa"/>
            <w:tcBorders>
              <w:top w:val="nil"/>
              <w:left w:val="nil"/>
              <w:bottom w:val="nil"/>
              <w:right w:val="nil"/>
            </w:tcBorders>
            <w:vAlign w:val="bottom"/>
          </w:tcPr>
          <w:p w:rsidR="002836AB" w:rsidRPr="00D00722" w:rsidRDefault="002836AB" w:rsidP="003C359E">
            <w:pPr>
              <w:autoSpaceDE w:val="0"/>
              <w:autoSpaceDN w:val="0"/>
              <w:adjustRightInd w:val="0"/>
              <w:spacing w:line="230" w:lineRule="auto"/>
              <w:jc w:val="right"/>
              <w:rPr>
                <w:rFonts w:ascii="Arial" w:hAnsi="Arial" w:cs="Arial"/>
                <w:color w:val="000000"/>
                <w:sz w:val="18"/>
                <w:szCs w:val="18"/>
              </w:rPr>
            </w:pPr>
          </w:p>
        </w:tc>
        <w:tc>
          <w:tcPr>
            <w:tcW w:w="1134" w:type="dxa"/>
            <w:tcBorders>
              <w:top w:val="nil"/>
              <w:left w:val="nil"/>
              <w:bottom w:val="nil"/>
              <w:right w:val="nil"/>
            </w:tcBorders>
          </w:tcPr>
          <w:p w:rsidR="002836AB" w:rsidRPr="00D00722" w:rsidRDefault="002836AB" w:rsidP="003C359E">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hAnsi="Arial" w:cs="Arial"/>
                <w:b/>
                <w:color w:val="000000"/>
                <w:sz w:val="18"/>
                <w:szCs w:val="18"/>
              </w:rPr>
              <w:t>-</w:t>
            </w:r>
          </w:p>
        </w:tc>
        <w:tc>
          <w:tcPr>
            <w:tcW w:w="1276" w:type="dxa"/>
            <w:tcBorders>
              <w:top w:val="nil"/>
              <w:left w:val="nil"/>
              <w:bottom w:val="nil"/>
              <w:right w:val="nil"/>
            </w:tcBorders>
          </w:tcPr>
          <w:p w:rsidR="002836AB" w:rsidRPr="00D00722" w:rsidRDefault="002836AB" w:rsidP="003C359E">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hAnsi="Arial" w:cs="Arial"/>
                <w:b/>
                <w:color w:val="000000"/>
                <w:sz w:val="18"/>
                <w:szCs w:val="18"/>
              </w:rPr>
              <w:t>-</w:t>
            </w:r>
          </w:p>
        </w:tc>
        <w:tc>
          <w:tcPr>
            <w:tcW w:w="1843" w:type="dxa"/>
            <w:tcBorders>
              <w:top w:val="nil"/>
              <w:left w:val="nil"/>
              <w:bottom w:val="nil"/>
              <w:right w:val="nil"/>
            </w:tcBorders>
          </w:tcPr>
          <w:p w:rsidR="002836AB" w:rsidRPr="00D00722" w:rsidRDefault="002836AB" w:rsidP="003C359E">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hAnsi="Arial" w:cs="Arial"/>
                <w:b/>
                <w:color w:val="000000"/>
                <w:sz w:val="18"/>
                <w:szCs w:val="18"/>
              </w:rPr>
              <w:t>-</w:t>
            </w:r>
          </w:p>
        </w:tc>
        <w:tc>
          <w:tcPr>
            <w:tcW w:w="1647" w:type="dxa"/>
            <w:tcBorders>
              <w:top w:val="nil"/>
              <w:left w:val="nil"/>
              <w:bottom w:val="nil"/>
              <w:right w:val="nil"/>
            </w:tcBorders>
          </w:tcPr>
          <w:p w:rsidR="002836AB" w:rsidRPr="00D00722" w:rsidRDefault="002836AB" w:rsidP="003C359E">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eastAsia="Calibri" w:hAnsi="Arial" w:cs="Arial"/>
                <w:b/>
                <w:color w:val="000000"/>
                <w:sz w:val="18"/>
                <w:szCs w:val="18"/>
                <w:lang w:val="tr-TR"/>
              </w:rPr>
              <w:t>-</w:t>
            </w:r>
          </w:p>
        </w:tc>
        <w:tc>
          <w:tcPr>
            <w:tcW w:w="1567" w:type="dxa"/>
            <w:tcBorders>
              <w:top w:val="nil"/>
              <w:left w:val="nil"/>
              <w:bottom w:val="nil"/>
              <w:right w:val="nil"/>
            </w:tcBorders>
          </w:tcPr>
          <w:p w:rsidR="002836AB" w:rsidRPr="00D00722" w:rsidRDefault="002836AB" w:rsidP="003C359E">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eastAsia="Calibri" w:hAnsi="Arial" w:cs="Arial"/>
                <w:b/>
                <w:color w:val="000000"/>
                <w:sz w:val="18"/>
                <w:szCs w:val="18"/>
                <w:lang w:val="tr-TR"/>
              </w:rPr>
              <w:t>-</w:t>
            </w:r>
          </w:p>
        </w:tc>
        <w:tc>
          <w:tcPr>
            <w:tcW w:w="1464" w:type="dxa"/>
            <w:tcBorders>
              <w:top w:val="nil"/>
              <w:left w:val="nil"/>
              <w:bottom w:val="nil"/>
              <w:right w:val="nil"/>
            </w:tcBorders>
          </w:tcPr>
          <w:p w:rsidR="002836AB" w:rsidRPr="00D00722" w:rsidRDefault="002836AB" w:rsidP="003C359E">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hAnsi="Arial" w:cs="Arial"/>
                <w:b/>
                <w:color w:val="000000"/>
                <w:sz w:val="18"/>
                <w:szCs w:val="18"/>
              </w:rPr>
              <w:t>-</w:t>
            </w:r>
          </w:p>
        </w:tc>
      </w:tr>
      <w:tr w:rsidR="002836AB" w:rsidRPr="00D00722" w:rsidTr="00981BEF">
        <w:trPr>
          <w:trHeight w:val="113"/>
        </w:trPr>
        <w:tc>
          <w:tcPr>
            <w:tcW w:w="4253" w:type="dxa"/>
            <w:tcBorders>
              <w:top w:val="nil"/>
              <w:left w:val="nil"/>
              <w:bottom w:val="nil"/>
              <w:right w:val="nil"/>
            </w:tcBorders>
            <w:vAlign w:val="bottom"/>
          </w:tcPr>
          <w:p w:rsidR="002836AB" w:rsidRPr="00D00722" w:rsidRDefault="002836AB" w:rsidP="003C359E">
            <w:pPr>
              <w:autoSpaceDE w:val="0"/>
              <w:autoSpaceDN w:val="0"/>
              <w:adjustRightInd w:val="0"/>
              <w:spacing w:line="230" w:lineRule="auto"/>
              <w:ind w:left="-78" w:hanging="30"/>
              <w:rPr>
                <w:rFonts w:ascii="Arial" w:eastAsia="Calibri" w:hAnsi="Arial" w:cs="Arial"/>
                <w:color w:val="000000"/>
                <w:sz w:val="18"/>
                <w:szCs w:val="18"/>
                <w:lang w:val="tr-TR"/>
              </w:rPr>
            </w:pPr>
            <w:r w:rsidRPr="00D00722">
              <w:rPr>
                <w:rFonts w:ascii="Arial" w:hAnsi="Arial" w:cs="Arial"/>
                <w:color w:val="000000"/>
                <w:sz w:val="18"/>
                <w:szCs w:val="18"/>
              </w:rPr>
              <w:t>Toplam kapsamlı gelir / (gider)</w:t>
            </w:r>
          </w:p>
        </w:tc>
        <w:tc>
          <w:tcPr>
            <w:tcW w:w="850" w:type="dxa"/>
            <w:tcBorders>
              <w:top w:val="nil"/>
              <w:left w:val="nil"/>
              <w:bottom w:val="nil"/>
              <w:right w:val="nil"/>
            </w:tcBorders>
            <w:vAlign w:val="bottom"/>
          </w:tcPr>
          <w:p w:rsidR="002836AB" w:rsidRPr="00D00722" w:rsidRDefault="002836AB" w:rsidP="003C359E">
            <w:pPr>
              <w:autoSpaceDE w:val="0"/>
              <w:autoSpaceDN w:val="0"/>
              <w:adjustRightInd w:val="0"/>
              <w:spacing w:line="230" w:lineRule="auto"/>
              <w:jc w:val="right"/>
              <w:rPr>
                <w:rFonts w:ascii="Arial" w:hAnsi="Arial" w:cs="Arial"/>
                <w:color w:val="000000"/>
                <w:sz w:val="18"/>
                <w:szCs w:val="18"/>
              </w:rPr>
            </w:pPr>
          </w:p>
        </w:tc>
        <w:tc>
          <w:tcPr>
            <w:tcW w:w="1134" w:type="dxa"/>
            <w:tcBorders>
              <w:top w:val="nil"/>
              <w:left w:val="nil"/>
              <w:bottom w:val="nil"/>
              <w:right w:val="nil"/>
            </w:tcBorders>
          </w:tcPr>
          <w:p w:rsidR="002836AB" w:rsidRPr="00D00722" w:rsidRDefault="002836AB" w:rsidP="003C359E">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hAnsi="Arial" w:cs="Arial"/>
                <w:b/>
                <w:color w:val="000000"/>
                <w:sz w:val="18"/>
                <w:szCs w:val="18"/>
              </w:rPr>
              <w:t>-</w:t>
            </w:r>
          </w:p>
        </w:tc>
        <w:tc>
          <w:tcPr>
            <w:tcW w:w="1276" w:type="dxa"/>
            <w:tcBorders>
              <w:top w:val="nil"/>
              <w:left w:val="nil"/>
              <w:bottom w:val="nil"/>
              <w:right w:val="nil"/>
            </w:tcBorders>
          </w:tcPr>
          <w:p w:rsidR="002836AB" w:rsidRPr="00D00722" w:rsidRDefault="002836AB" w:rsidP="003C359E">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hAnsi="Arial" w:cs="Arial"/>
                <w:b/>
                <w:color w:val="000000"/>
                <w:sz w:val="18"/>
                <w:szCs w:val="18"/>
              </w:rPr>
              <w:t>-</w:t>
            </w:r>
          </w:p>
        </w:tc>
        <w:tc>
          <w:tcPr>
            <w:tcW w:w="1843" w:type="dxa"/>
            <w:tcBorders>
              <w:top w:val="nil"/>
              <w:left w:val="nil"/>
              <w:bottom w:val="nil"/>
              <w:right w:val="nil"/>
            </w:tcBorders>
          </w:tcPr>
          <w:p w:rsidR="002836AB" w:rsidRPr="00D00722" w:rsidRDefault="002836AB" w:rsidP="003C359E">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hAnsi="Arial" w:cs="Arial"/>
                <w:b/>
                <w:color w:val="000000"/>
                <w:sz w:val="18"/>
                <w:szCs w:val="18"/>
              </w:rPr>
              <w:t>-</w:t>
            </w:r>
          </w:p>
        </w:tc>
        <w:tc>
          <w:tcPr>
            <w:tcW w:w="1647" w:type="dxa"/>
            <w:tcBorders>
              <w:top w:val="nil"/>
              <w:left w:val="nil"/>
              <w:bottom w:val="nil"/>
              <w:right w:val="nil"/>
            </w:tcBorders>
          </w:tcPr>
          <w:p w:rsidR="002836AB" w:rsidRPr="00D00722" w:rsidRDefault="002836AB" w:rsidP="0008272A">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hAnsi="Arial" w:cs="Arial"/>
                <w:b/>
                <w:color w:val="000000"/>
                <w:sz w:val="18"/>
                <w:szCs w:val="18"/>
              </w:rPr>
              <w:t>(232.</w:t>
            </w:r>
            <w:r w:rsidR="0008272A" w:rsidRPr="00D00722">
              <w:rPr>
                <w:rFonts w:ascii="Arial" w:hAnsi="Arial" w:cs="Arial"/>
                <w:b/>
                <w:color w:val="000000"/>
                <w:sz w:val="18"/>
                <w:szCs w:val="18"/>
              </w:rPr>
              <w:t>026</w:t>
            </w:r>
            <w:r w:rsidRPr="00D00722">
              <w:rPr>
                <w:rFonts w:ascii="Arial" w:hAnsi="Arial" w:cs="Arial"/>
                <w:b/>
                <w:color w:val="000000"/>
                <w:sz w:val="18"/>
                <w:szCs w:val="18"/>
              </w:rPr>
              <w:t>)</w:t>
            </w:r>
          </w:p>
        </w:tc>
        <w:tc>
          <w:tcPr>
            <w:tcW w:w="1567" w:type="dxa"/>
            <w:tcBorders>
              <w:top w:val="nil"/>
              <w:left w:val="nil"/>
              <w:bottom w:val="nil"/>
              <w:right w:val="nil"/>
            </w:tcBorders>
          </w:tcPr>
          <w:p w:rsidR="002836AB" w:rsidRPr="00D00722" w:rsidRDefault="002836AB" w:rsidP="002836AB">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hAnsi="Arial" w:cs="Arial"/>
                <w:b/>
                <w:color w:val="000000"/>
                <w:sz w:val="18"/>
                <w:szCs w:val="18"/>
              </w:rPr>
              <w:t>-</w:t>
            </w:r>
          </w:p>
        </w:tc>
        <w:tc>
          <w:tcPr>
            <w:tcW w:w="1464" w:type="dxa"/>
            <w:tcBorders>
              <w:top w:val="nil"/>
              <w:left w:val="nil"/>
              <w:bottom w:val="nil"/>
              <w:right w:val="nil"/>
            </w:tcBorders>
          </w:tcPr>
          <w:p w:rsidR="002836AB" w:rsidRPr="00D00722" w:rsidRDefault="002836AB" w:rsidP="00231D79">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eastAsia="Calibri" w:hAnsi="Arial" w:cs="Arial"/>
                <w:b/>
                <w:color w:val="000000"/>
                <w:sz w:val="18"/>
                <w:szCs w:val="18"/>
                <w:lang w:val="tr-TR"/>
              </w:rPr>
              <w:t>(232.0</w:t>
            </w:r>
            <w:r w:rsidR="00231D79" w:rsidRPr="00D00722">
              <w:rPr>
                <w:rFonts w:ascii="Arial" w:eastAsia="Calibri" w:hAnsi="Arial" w:cs="Arial"/>
                <w:b/>
                <w:color w:val="000000"/>
                <w:sz w:val="18"/>
                <w:szCs w:val="18"/>
                <w:lang w:val="tr-TR"/>
              </w:rPr>
              <w:t>26</w:t>
            </w:r>
            <w:r w:rsidRPr="00D00722">
              <w:rPr>
                <w:rFonts w:ascii="Arial" w:eastAsia="Calibri" w:hAnsi="Arial" w:cs="Arial"/>
                <w:b/>
                <w:color w:val="000000"/>
                <w:sz w:val="18"/>
                <w:szCs w:val="18"/>
                <w:lang w:val="tr-TR"/>
              </w:rPr>
              <w:t>)</w:t>
            </w:r>
          </w:p>
        </w:tc>
      </w:tr>
      <w:tr w:rsidR="002836AB" w:rsidRPr="00D00722" w:rsidTr="00981BEF">
        <w:trPr>
          <w:trHeight w:val="113"/>
        </w:trPr>
        <w:tc>
          <w:tcPr>
            <w:tcW w:w="4253" w:type="dxa"/>
            <w:tcBorders>
              <w:top w:val="nil"/>
              <w:left w:val="nil"/>
              <w:bottom w:val="nil"/>
              <w:right w:val="nil"/>
            </w:tcBorders>
            <w:vAlign w:val="bottom"/>
          </w:tcPr>
          <w:p w:rsidR="002836AB" w:rsidRPr="00D00722" w:rsidRDefault="002836AB" w:rsidP="00ED6F5D">
            <w:pPr>
              <w:autoSpaceDE w:val="0"/>
              <w:autoSpaceDN w:val="0"/>
              <w:adjustRightInd w:val="0"/>
              <w:spacing w:line="230" w:lineRule="auto"/>
              <w:ind w:left="-78" w:hanging="30"/>
              <w:rPr>
                <w:rFonts w:ascii="Arial" w:eastAsia="Calibri" w:hAnsi="Arial" w:cs="Arial"/>
                <w:color w:val="000000"/>
                <w:sz w:val="18"/>
                <w:szCs w:val="18"/>
                <w:lang w:val="tr-TR"/>
              </w:rPr>
            </w:pPr>
            <w:r w:rsidRPr="00D00722">
              <w:rPr>
                <w:rFonts w:ascii="Arial" w:hAnsi="Arial" w:cs="Arial"/>
                <w:color w:val="000000"/>
                <w:sz w:val="18"/>
                <w:szCs w:val="18"/>
              </w:rPr>
              <w:t>Sermaye artırımı taahhütleri(*)</w:t>
            </w:r>
          </w:p>
        </w:tc>
        <w:tc>
          <w:tcPr>
            <w:tcW w:w="850" w:type="dxa"/>
            <w:tcBorders>
              <w:top w:val="nil"/>
              <w:left w:val="nil"/>
              <w:bottom w:val="nil"/>
              <w:right w:val="nil"/>
            </w:tcBorders>
            <w:vAlign w:val="bottom"/>
          </w:tcPr>
          <w:p w:rsidR="002836AB" w:rsidRPr="00D00722" w:rsidRDefault="002836AB" w:rsidP="003C359E">
            <w:pPr>
              <w:autoSpaceDE w:val="0"/>
              <w:autoSpaceDN w:val="0"/>
              <w:adjustRightInd w:val="0"/>
              <w:spacing w:line="230" w:lineRule="auto"/>
              <w:jc w:val="right"/>
              <w:rPr>
                <w:rFonts w:ascii="Arial" w:hAnsi="Arial" w:cs="Arial"/>
                <w:color w:val="000000"/>
                <w:sz w:val="18"/>
                <w:szCs w:val="18"/>
              </w:rPr>
            </w:pPr>
          </w:p>
        </w:tc>
        <w:tc>
          <w:tcPr>
            <w:tcW w:w="1134" w:type="dxa"/>
            <w:tcBorders>
              <w:top w:val="nil"/>
              <w:left w:val="nil"/>
              <w:bottom w:val="nil"/>
              <w:right w:val="nil"/>
            </w:tcBorders>
          </w:tcPr>
          <w:p w:rsidR="002836AB" w:rsidRPr="00D00722" w:rsidRDefault="00231D79" w:rsidP="002836AB">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eastAsia="Calibri" w:hAnsi="Arial" w:cs="Arial"/>
                <w:b/>
                <w:color w:val="000000"/>
                <w:sz w:val="18"/>
                <w:szCs w:val="18"/>
                <w:lang w:val="tr-TR"/>
              </w:rPr>
              <w:t>290.225</w:t>
            </w:r>
            <w:r w:rsidR="002836AB" w:rsidRPr="00D00722">
              <w:rPr>
                <w:rFonts w:ascii="Arial" w:eastAsia="Calibri" w:hAnsi="Arial" w:cs="Arial"/>
                <w:b/>
                <w:color w:val="000000"/>
                <w:sz w:val="18"/>
                <w:szCs w:val="18"/>
                <w:lang w:val="tr-TR"/>
              </w:rPr>
              <w:t>-</w:t>
            </w:r>
          </w:p>
        </w:tc>
        <w:tc>
          <w:tcPr>
            <w:tcW w:w="1276" w:type="dxa"/>
            <w:tcBorders>
              <w:top w:val="nil"/>
              <w:left w:val="nil"/>
              <w:bottom w:val="nil"/>
              <w:right w:val="nil"/>
            </w:tcBorders>
          </w:tcPr>
          <w:p w:rsidR="002836AB" w:rsidRPr="00D00722" w:rsidRDefault="002836AB" w:rsidP="003C359E">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hAnsi="Arial" w:cs="Arial"/>
                <w:b/>
                <w:color w:val="000000"/>
                <w:sz w:val="18"/>
                <w:szCs w:val="18"/>
              </w:rPr>
              <w:t>-</w:t>
            </w:r>
          </w:p>
        </w:tc>
        <w:tc>
          <w:tcPr>
            <w:tcW w:w="1843" w:type="dxa"/>
            <w:tcBorders>
              <w:top w:val="nil"/>
              <w:left w:val="nil"/>
              <w:bottom w:val="nil"/>
              <w:right w:val="nil"/>
            </w:tcBorders>
          </w:tcPr>
          <w:p w:rsidR="002836AB" w:rsidRPr="00D00722" w:rsidRDefault="002836AB" w:rsidP="003C359E">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hAnsi="Arial" w:cs="Arial"/>
                <w:b/>
                <w:color w:val="000000"/>
                <w:sz w:val="18"/>
                <w:szCs w:val="18"/>
              </w:rPr>
              <w:t>-</w:t>
            </w:r>
          </w:p>
        </w:tc>
        <w:tc>
          <w:tcPr>
            <w:tcW w:w="1647" w:type="dxa"/>
            <w:tcBorders>
              <w:top w:val="nil"/>
              <w:left w:val="nil"/>
              <w:bottom w:val="nil"/>
              <w:right w:val="nil"/>
            </w:tcBorders>
          </w:tcPr>
          <w:p w:rsidR="002836AB" w:rsidRPr="00D00722" w:rsidRDefault="002836AB" w:rsidP="003C359E">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hAnsi="Arial" w:cs="Arial"/>
                <w:b/>
                <w:color w:val="000000"/>
                <w:sz w:val="18"/>
                <w:szCs w:val="18"/>
              </w:rPr>
              <w:t>-</w:t>
            </w:r>
          </w:p>
        </w:tc>
        <w:tc>
          <w:tcPr>
            <w:tcW w:w="1567" w:type="dxa"/>
            <w:tcBorders>
              <w:top w:val="nil"/>
              <w:left w:val="nil"/>
              <w:bottom w:val="nil"/>
              <w:right w:val="nil"/>
            </w:tcBorders>
          </w:tcPr>
          <w:p w:rsidR="002836AB" w:rsidRPr="00D00722" w:rsidRDefault="00231D79" w:rsidP="00231D79">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eastAsia="Calibri" w:hAnsi="Arial" w:cs="Arial"/>
                <w:b/>
                <w:color w:val="000000"/>
                <w:sz w:val="18"/>
                <w:szCs w:val="18"/>
                <w:lang w:val="tr-TR"/>
              </w:rPr>
              <w:t>(290.225)</w:t>
            </w:r>
          </w:p>
        </w:tc>
        <w:tc>
          <w:tcPr>
            <w:tcW w:w="1464" w:type="dxa"/>
            <w:tcBorders>
              <w:top w:val="nil"/>
              <w:left w:val="nil"/>
              <w:bottom w:val="nil"/>
              <w:right w:val="nil"/>
            </w:tcBorders>
          </w:tcPr>
          <w:p w:rsidR="002836AB" w:rsidRPr="00D00722" w:rsidRDefault="002836AB" w:rsidP="003C359E">
            <w:pPr>
              <w:autoSpaceDE w:val="0"/>
              <w:autoSpaceDN w:val="0"/>
              <w:adjustRightInd w:val="0"/>
              <w:spacing w:line="230" w:lineRule="auto"/>
              <w:jc w:val="right"/>
              <w:rPr>
                <w:rFonts w:ascii="Arial" w:eastAsia="Calibri" w:hAnsi="Arial" w:cs="Arial"/>
                <w:b/>
                <w:color w:val="000000"/>
                <w:sz w:val="18"/>
                <w:szCs w:val="18"/>
                <w:lang w:val="tr-TR"/>
              </w:rPr>
            </w:pPr>
          </w:p>
        </w:tc>
      </w:tr>
      <w:tr w:rsidR="002836AB" w:rsidRPr="00D00722" w:rsidTr="00981BEF">
        <w:trPr>
          <w:trHeight w:val="113"/>
        </w:trPr>
        <w:tc>
          <w:tcPr>
            <w:tcW w:w="4253" w:type="dxa"/>
            <w:tcBorders>
              <w:top w:val="nil"/>
              <w:left w:val="nil"/>
              <w:bottom w:val="nil"/>
              <w:right w:val="nil"/>
            </w:tcBorders>
            <w:vAlign w:val="bottom"/>
          </w:tcPr>
          <w:p w:rsidR="002836AB" w:rsidRPr="00D00722" w:rsidRDefault="002836AB" w:rsidP="003C359E">
            <w:pPr>
              <w:autoSpaceDE w:val="0"/>
              <w:autoSpaceDN w:val="0"/>
              <w:adjustRightInd w:val="0"/>
              <w:spacing w:line="230" w:lineRule="auto"/>
              <w:ind w:left="-78" w:hanging="30"/>
              <w:rPr>
                <w:rFonts w:ascii="Arial" w:hAnsi="Arial" w:cs="Arial"/>
                <w:color w:val="000000"/>
                <w:sz w:val="18"/>
                <w:szCs w:val="18"/>
              </w:rPr>
            </w:pPr>
          </w:p>
        </w:tc>
        <w:tc>
          <w:tcPr>
            <w:tcW w:w="850" w:type="dxa"/>
            <w:tcBorders>
              <w:top w:val="nil"/>
              <w:left w:val="nil"/>
              <w:bottom w:val="nil"/>
              <w:right w:val="nil"/>
            </w:tcBorders>
            <w:vAlign w:val="bottom"/>
          </w:tcPr>
          <w:p w:rsidR="002836AB" w:rsidRPr="00D00722" w:rsidRDefault="002836AB" w:rsidP="003C359E">
            <w:pPr>
              <w:autoSpaceDE w:val="0"/>
              <w:autoSpaceDN w:val="0"/>
              <w:adjustRightInd w:val="0"/>
              <w:spacing w:line="230" w:lineRule="auto"/>
              <w:jc w:val="right"/>
              <w:rPr>
                <w:rFonts w:ascii="Arial" w:hAnsi="Arial" w:cs="Arial"/>
                <w:color w:val="000000"/>
                <w:sz w:val="18"/>
                <w:szCs w:val="18"/>
              </w:rPr>
            </w:pPr>
          </w:p>
        </w:tc>
        <w:tc>
          <w:tcPr>
            <w:tcW w:w="1134" w:type="dxa"/>
            <w:tcBorders>
              <w:top w:val="nil"/>
              <w:left w:val="nil"/>
              <w:bottom w:val="nil"/>
              <w:right w:val="nil"/>
            </w:tcBorders>
            <w:vAlign w:val="bottom"/>
          </w:tcPr>
          <w:p w:rsidR="002836AB" w:rsidRPr="00D00722" w:rsidRDefault="002836AB" w:rsidP="003C359E">
            <w:pPr>
              <w:autoSpaceDE w:val="0"/>
              <w:autoSpaceDN w:val="0"/>
              <w:adjustRightInd w:val="0"/>
              <w:spacing w:line="230" w:lineRule="auto"/>
              <w:jc w:val="right"/>
              <w:rPr>
                <w:rFonts w:ascii="Arial" w:hAnsi="Arial" w:cs="Arial"/>
                <w:b/>
                <w:color w:val="000000"/>
                <w:sz w:val="18"/>
                <w:szCs w:val="18"/>
              </w:rPr>
            </w:pPr>
            <w:r w:rsidRPr="00D00722">
              <w:rPr>
                <w:rFonts w:ascii="Arial" w:hAnsi="Arial" w:cs="Arial"/>
                <w:b/>
                <w:color w:val="000000"/>
                <w:sz w:val="18"/>
                <w:szCs w:val="18"/>
              </w:rPr>
              <w:t>-</w:t>
            </w:r>
          </w:p>
        </w:tc>
        <w:tc>
          <w:tcPr>
            <w:tcW w:w="1276" w:type="dxa"/>
            <w:tcBorders>
              <w:top w:val="nil"/>
              <w:left w:val="nil"/>
              <w:bottom w:val="nil"/>
              <w:right w:val="nil"/>
            </w:tcBorders>
            <w:vAlign w:val="bottom"/>
          </w:tcPr>
          <w:p w:rsidR="002836AB" w:rsidRPr="00D00722" w:rsidRDefault="002836AB" w:rsidP="003C359E">
            <w:pPr>
              <w:autoSpaceDE w:val="0"/>
              <w:autoSpaceDN w:val="0"/>
              <w:adjustRightInd w:val="0"/>
              <w:spacing w:line="230" w:lineRule="auto"/>
              <w:jc w:val="right"/>
              <w:rPr>
                <w:rFonts w:ascii="Arial" w:hAnsi="Arial" w:cs="Arial"/>
                <w:b/>
                <w:color w:val="000000"/>
                <w:sz w:val="18"/>
                <w:szCs w:val="18"/>
              </w:rPr>
            </w:pPr>
            <w:r w:rsidRPr="00D00722">
              <w:rPr>
                <w:rFonts w:ascii="Arial" w:hAnsi="Arial" w:cs="Arial"/>
                <w:b/>
                <w:color w:val="000000"/>
                <w:sz w:val="18"/>
                <w:szCs w:val="18"/>
              </w:rPr>
              <w:t>-</w:t>
            </w:r>
          </w:p>
        </w:tc>
        <w:tc>
          <w:tcPr>
            <w:tcW w:w="1843" w:type="dxa"/>
            <w:tcBorders>
              <w:top w:val="nil"/>
              <w:left w:val="nil"/>
              <w:bottom w:val="nil"/>
              <w:right w:val="nil"/>
            </w:tcBorders>
            <w:vAlign w:val="bottom"/>
          </w:tcPr>
          <w:p w:rsidR="002836AB" w:rsidRPr="00D00722" w:rsidRDefault="002836AB" w:rsidP="003C359E">
            <w:pPr>
              <w:autoSpaceDE w:val="0"/>
              <w:autoSpaceDN w:val="0"/>
              <w:adjustRightInd w:val="0"/>
              <w:spacing w:line="230" w:lineRule="auto"/>
              <w:jc w:val="right"/>
              <w:rPr>
                <w:rFonts w:ascii="Arial" w:hAnsi="Arial" w:cs="Arial"/>
                <w:b/>
                <w:color w:val="000000"/>
                <w:sz w:val="18"/>
                <w:szCs w:val="18"/>
              </w:rPr>
            </w:pPr>
          </w:p>
        </w:tc>
        <w:tc>
          <w:tcPr>
            <w:tcW w:w="1647" w:type="dxa"/>
            <w:tcBorders>
              <w:top w:val="nil"/>
              <w:left w:val="nil"/>
              <w:bottom w:val="nil"/>
              <w:right w:val="nil"/>
            </w:tcBorders>
            <w:vAlign w:val="bottom"/>
          </w:tcPr>
          <w:p w:rsidR="002836AB" w:rsidRPr="00D00722" w:rsidRDefault="002836AB" w:rsidP="003C359E">
            <w:pPr>
              <w:autoSpaceDE w:val="0"/>
              <w:autoSpaceDN w:val="0"/>
              <w:adjustRightInd w:val="0"/>
              <w:spacing w:line="230" w:lineRule="auto"/>
              <w:jc w:val="right"/>
              <w:rPr>
                <w:rFonts w:ascii="Arial" w:hAnsi="Arial" w:cs="Arial"/>
                <w:b/>
                <w:color w:val="000000"/>
                <w:sz w:val="18"/>
                <w:szCs w:val="18"/>
              </w:rPr>
            </w:pPr>
            <w:r w:rsidRPr="00D00722">
              <w:rPr>
                <w:rFonts w:ascii="Arial" w:hAnsi="Arial" w:cs="Arial"/>
                <w:b/>
                <w:color w:val="000000"/>
                <w:sz w:val="18"/>
                <w:szCs w:val="18"/>
              </w:rPr>
              <w:t>-</w:t>
            </w:r>
          </w:p>
        </w:tc>
        <w:tc>
          <w:tcPr>
            <w:tcW w:w="1567" w:type="dxa"/>
            <w:tcBorders>
              <w:top w:val="nil"/>
              <w:left w:val="nil"/>
              <w:bottom w:val="nil"/>
              <w:right w:val="nil"/>
            </w:tcBorders>
            <w:vAlign w:val="bottom"/>
          </w:tcPr>
          <w:p w:rsidR="002836AB" w:rsidRPr="00D00722" w:rsidRDefault="002836AB" w:rsidP="003C359E">
            <w:pPr>
              <w:autoSpaceDE w:val="0"/>
              <w:autoSpaceDN w:val="0"/>
              <w:adjustRightInd w:val="0"/>
              <w:spacing w:line="230" w:lineRule="auto"/>
              <w:jc w:val="right"/>
              <w:rPr>
                <w:rFonts w:ascii="Arial" w:hAnsi="Arial" w:cs="Arial"/>
                <w:b/>
                <w:color w:val="000000"/>
                <w:sz w:val="18"/>
                <w:szCs w:val="18"/>
              </w:rPr>
            </w:pPr>
            <w:r w:rsidRPr="00D00722">
              <w:rPr>
                <w:rFonts w:ascii="Arial" w:hAnsi="Arial" w:cs="Arial"/>
                <w:b/>
                <w:color w:val="000000"/>
                <w:sz w:val="18"/>
                <w:szCs w:val="18"/>
              </w:rPr>
              <w:t>-</w:t>
            </w:r>
          </w:p>
        </w:tc>
        <w:tc>
          <w:tcPr>
            <w:tcW w:w="1464" w:type="dxa"/>
            <w:tcBorders>
              <w:top w:val="nil"/>
              <w:left w:val="nil"/>
              <w:bottom w:val="nil"/>
              <w:right w:val="nil"/>
            </w:tcBorders>
            <w:vAlign w:val="bottom"/>
          </w:tcPr>
          <w:p w:rsidR="002836AB" w:rsidRPr="00D00722" w:rsidRDefault="002836AB" w:rsidP="003C359E">
            <w:pPr>
              <w:autoSpaceDE w:val="0"/>
              <w:autoSpaceDN w:val="0"/>
              <w:adjustRightInd w:val="0"/>
              <w:spacing w:line="230" w:lineRule="auto"/>
              <w:jc w:val="right"/>
              <w:rPr>
                <w:rFonts w:ascii="Arial" w:hAnsi="Arial" w:cs="Arial"/>
                <w:b/>
                <w:color w:val="000000"/>
                <w:sz w:val="18"/>
                <w:szCs w:val="18"/>
              </w:rPr>
            </w:pPr>
          </w:p>
        </w:tc>
      </w:tr>
      <w:tr w:rsidR="002836AB" w:rsidRPr="00D00722" w:rsidTr="00981BEF">
        <w:trPr>
          <w:trHeight w:val="113"/>
        </w:trPr>
        <w:tc>
          <w:tcPr>
            <w:tcW w:w="4253" w:type="dxa"/>
            <w:tcBorders>
              <w:top w:val="single" w:sz="6" w:space="0" w:color="auto"/>
              <w:left w:val="nil"/>
              <w:bottom w:val="single" w:sz="6" w:space="0" w:color="auto"/>
              <w:right w:val="nil"/>
            </w:tcBorders>
            <w:vAlign w:val="bottom"/>
          </w:tcPr>
          <w:p w:rsidR="002836AB" w:rsidRPr="00D00722" w:rsidRDefault="002836AB" w:rsidP="00ED6F5D">
            <w:pPr>
              <w:autoSpaceDE w:val="0"/>
              <w:autoSpaceDN w:val="0"/>
              <w:adjustRightInd w:val="0"/>
              <w:spacing w:line="230" w:lineRule="auto"/>
              <w:ind w:left="-78" w:hanging="30"/>
              <w:rPr>
                <w:rFonts w:ascii="Arial" w:eastAsia="Calibri" w:hAnsi="Arial" w:cs="Arial"/>
                <w:b/>
                <w:color w:val="000000"/>
                <w:sz w:val="18"/>
                <w:szCs w:val="18"/>
                <w:lang w:val="tr-TR"/>
              </w:rPr>
            </w:pPr>
            <w:r w:rsidRPr="00D00722">
              <w:rPr>
                <w:rFonts w:ascii="Arial" w:hAnsi="Arial" w:cs="Arial"/>
                <w:b/>
                <w:color w:val="000000"/>
                <w:sz w:val="18"/>
                <w:szCs w:val="18"/>
              </w:rPr>
              <w:t xml:space="preserve">31 </w:t>
            </w:r>
            <w:r w:rsidR="00ED6F5D" w:rsidRPr="00D00722">
              <w:rPr>
                <w:rFonts w:ascii="Arial" w:hAnsi="Arial" w:cs="Arial"/>
                <w:b/>
                <w:color w:val="000000"/>
                <w:sz w:val="18"/>
                <w:szCs w:val="18"/>
              </w:rPr>
              <w:t>Mart</w:t>
            </w:r>
            <w:r w:rsidRPr="00D00722">
              <w:rPr>
                <w:rFonts w:ascii="Arial" w:hAnsi="Arial" w:cs="Arial"/>
                <w:b/>
                <w:color w:val="000000"/>
                <w:sz w:val="18"/>
                <w:szCs w:val="18"/>
              </w:rPr>
              <w:t xml:space="preserve"> 201</w:t>
            </w:r>
            <w:r w:rsidR="00ED6F5D" w:rsidRPr="00D00722">
              <w:rPr>
                <w:rFonts w:ascii="Arial" w:hAnsi="Arial" w:cs="Arial"/>
                <w:b/>
                <w:color w:val="000000"/>
                <w:sz w:val="18"/>
                <w:szCs w:val="18"/>
              </w:rPr>
              <w:t>4</w:t>
            </w:r>
            <w:r w:rsidRPr="00D00722">
              <w:rPr>
                <w:rFonts w:ascii="Arial" w:hAnsi="Arial" w:cs="Arial"/>
                <w:b/>
                <w:color w:val="000000"/>
                <w:sz w:val="18"/>
                <w:szCs w:val="18"/>
              </w:rPr>
              <w:t xml:space="preserve"> itibariyle bakiye</w:t>
            </w:r>
          </w:p>
        </w:tc>
        <w:tc>
          <w:tcPr>
            <w:tcW w:w="850" w:type="dxa"/>
            <w:tcBorders>
              <w:top w:val="single" w:sz="6" w:space="0" w:color="auto"/>
              <w:left w:val="nil"/>
              <w:bottom w:val="single" w:sz="6" w:space="0" w:color="auto"/>
              <w:right w:val="nil"/>
            </w:tcBorders>
            <w:vAlign w:val="bottom"/>
          </w:tcPr>
          <w:p w:rsidR="002836AB" w:rsidRPr="00D00722" w:rsidRDefault="002836AB" w:rsidP="003C359E">
            <w:pPr>
              <w:autoSpaceDE w:val="0"/>
              <w:autoSpaceDN w:val="0"/>
              <w:adjustRightInd w:val="0"/>
              <w:spacing w:line="230" w:lineRule="auto"/>
              <w:jc w:val="right"/>
              <w:rPr>
                <w:rFonts w:ascii="Arial" w:eastAsia="Calibri" w:hAnsi="Arial" w:cs="Arial"/>
                <w:color w:val="000000"/>
                <w:sz w:val="18"/>
                <w:szCs w:val="18"/>
                <w:lang w:val="tr-TR"/>
              </w:rPr>
            </w:pPr>
            <w:r w:rsidRPr="00D00722">
              <w:rPr>
                <w:rFonts w:ascii="Arial" w:hAnsi="Arial" w:cs="Arial"/>
                <w:color w:val="000000"/>
                <w:sz w:val="18"/>
                <w:szCs w:val="18"/>
              </w:rPr>
              <w:t>15</w:t>
            </w:r>
          </w:p>
        </w:tc>
        <w:tc>
          <w:tcPr>
            <w:tcW w:w="1134" w:type="dxa"/>
            <w:tcBorders>
              <w:top w:val="single" w:sz="6" w:space="0" w:color="auto"/>
              <w:left w:val="nil"/>
              <w:bottom w:val="single" w:sz="6" w:space="0" w:color="auto"/>
              <w:right w:val="nil"/>
            </w:tcBorders>
          </w:tcPr>
          <w:p w:rsidR="002836AB" w:rsidRPr="00D00722" w:rsidRDefault="002836AB" w:rsidP="002836AB">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hAnsi="Arial" w:cs="Arial"/>
                <w:b/>
                <w:color w:val="000000"/>
                <w:sz w:val="18"/>
                <w:szCs w:val="18"/>
              </w:rPr>
              <w:t>2.356.500</w:t>
            </w:r>
          </w:p>
        </w:tc>
        <w:tc>
          <w:tcPr>
            <w:tcW w:w="1276" w:type="dxa"/>
            <w:tcBorders>
              <w:top w:val="single" w:sz="6" w:space="0" w:color="auto"/>
              <w:left w:val="nil"/>
              <w:bottom w:val="single" w:sz="6" w:space="0" w:color="auto"/>
              <w:right w:val="nil"/>
            </w:tcBorders>
          </w:tcPr>
          <w:p w:rsidR="002836AB" w:rsidRPr="00D00722" w:rsidRDefault="002836AB" w:rsidP="003C359E">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hAnsi="Arial" w:cs="Arial"/>
                <w:b/>
                <w:color w:val="000000"/>
                <w:sz w:val="18"/>
                <w:szCs w:val="18"/>
              </w:rPr>
              <w:t>133.130</w:t>
            </w:r>
          </w:p>
        </w:tc>
        <w:tc>
          <w:tcPr>
            <w:tcW w:w="1843" w:type="dxa"/>
            <w:tcBorders>
              <w:top w:val="single" w:sz="6" w:space="0" w:color="auto"/>
              <w:left w:val="nil"/>
              <w:bottom w:val="single" w:sz="6" w:space="0" w:color="auto"/>
              <w:right w:val="nil"/>
            </w:tcBorders>
          </w:tcPr>
          <w:p w:rsidR="002836AB" w:rsidRPr="00D00722" w:rsidRDefault="002836AB" w:rsidP="003C359E">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hAnsi="Arial" w:cs="Arial"/>
                <w:b/>
                <w:color w:val="000000"/>
                <w:sz w:val="18"/>
                <w:szCs w:val="18"/>
              </w:rPr>
              <w:t>44.772</w:t>
            </w:r>
          </w:p>
        </w:tc>
        <w:tc>
          <w:tcPr>
            <w:tcW w:w="1647" w:type="dxa"/>
            <w:tcBorders>
              <w:top w:val="single" w:sz="6" w:space="0" w:color="auto"/>
              <w:left w:val="nil"/>
              <w:bottom w:val="single" w:sz="6" w:space="0" w:color="auto"/>
              <w:right w:val="nil"/>
            </w:tcBorders>
          </w:tcPr>
          <w:p w:rsidR="002836AB" w:rsidRPr="00D00722" w:rsidRDefault="002836AB" w:rsidP="0008272A">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hAnsi="Arial" w:cs="Arial"/>
                <w:b/>
                <w:color w:val="000000"/>
                <w:sz w:val="18"/>
                <w:szCs w:val="18"/>
              </w:rPr>
              <w:t>(232.0</w:t>
            </w:r>
            <w:r w:rsidR="0008272A" w:rsidRPr="00D00722">
              <w:rPr>
                <w:rFonts w:ascii="Arial" w:hAnsi="Arial" w:cs="Arial"/>
                <w:b/>
                <w:color w:val="000000"/>
                <w:sz w:val="18"/>
                <w:szCs w:val="18"/>
              </w:rPr>
              <w:t>26</w:t>
            </w:r>
            <w:r w:rsidRPr="00D00722">
              <w:rPr>
                <w:rFonts w:ascii="Arial" w:hAnsi="Arial" w:cs="Arial"/>
                <w:b/>
                <w:color w:val="000000"/>
                <w:sz w:val="18"/>
                <w:szCs w:val="18"/>
              </w:rPr>
              <w:t>)</w:t>
            </w:r>
          </w:p>
        </w:tc>
        <w:tc>
          <w:tcPr>
            <w:tcW w:w="1567" w:type="dxa"/>
            <w:tcBorders>
              <w:top w:val="single" w:sz="6" w:space="0" w:color="auto"/>
              <w:left w:val="nil"/>
              <w:bottom w:val="single" w:sz="6" w:space="0" w:color="auto"/>
              <w:right w:val="nil"/>
            </w:tcBorders>
          </w:tcPr>
          <w:p w:rsidR="002836AB" w:rsidRPr="00D00722" w:rsidRDefault="002836AB" w:rsidP="002836AB">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hAnsi="Arial" w:cs="Arial"/>
                <w:b/>
                <w:color w:val="000000"/>
                <w:sz w:val="18"/>
                <w:szCs w:val="18"/>
              </w:rPr>
              <w:t>(961.077)</w:t>
            </w:r>
          </w:p>
        </w:tc>
        <w:tc>
          <w:tcPr>
            <w:tcW w:w="1464" w:type="dxa"/>
            <w:tcBorders>
              <w:top w:val="single" w:sz="6" w:space="0" w:color="auto"/>
              <w:left w:val="nil"/>
              <w:bottom w:val="single" w:sz="6" w:space="0" w:color="auto"/>
              <w:right w:val="nil"/>
            </w:tcBorders>
          </w:tcPr>
          <w:p w:rsidR="002836AB" w:rsidRPr="00D00722" w:rsidRDefault="002836AB" w:rsidP="0008272A">
            <w:pPr>
              <w:autoSpaceDE w:val="0"/>
              <w:autoSpaceDN w:val="0"/>
              <w:adjustRightInd w:val="0"/>
              <w:spacing w:line="230" w:lineRule="auto"/>
              <w:jc w:val="right"/>
              <w:rPr>
                <w:rFonts w:ascii="Arial" w:eastAsia="Calibri" w:hAnsi="Arial" w:cs="Arial"/>
                <w:b/>
                <w:color w:val="000000"/>
                <w:sz w:val="18"/>
                <w:szCs w:val="18"/>
                <w:lang w:val="tr-TR"/>
              </w:rPr>
            </w:pPr>
            <w:r w:rsidRPr="00D00722">
              <w:rPr>
                <w:rFonts w:ascii="Arial" w:hAnsi="Arial" w:cs="Arial"/>
                <w:b/>
                <w:color w:val="000000"/>
                <w:sz w:val="18"/>
                <w:szCs w:val="18"/>
              </w:rPr>
              <w:t>1.</w:t>
            </w:r>
            <w:r w:rsidR="0008272A" w:rsidRPr="00D00722">
              <w:rPr>
                <w:rFonts w:ascii="Arial" w:hAnsi="Arial" w:cs="Arial"/>
                <w:b/>
                <w:color w:val="000000"/>
                <w:sz w:val="18"/>
                <w:szCs w:val="18"/>
              </w:rPr>
              <w:t>341</w:t>
            </w:r>
            <w:r w:rsidRPr="00D00722">
              <w:rPr>
                <w:rFonts w:ascii="Arial" w:hAnsi="Arial" w:cs="Arial"/>
                <w:b/>
                <w:color w:val="000000"/>
                <w:sz w:val="18"/>
                <w:szCs w:val="18"/>
              </w:rPr>
              <w:t>.</w:t>
            </w:r>
            <w:r w:rsidR="0008272A" w:rsidRPr="00D00722">
              <w:rPr>
                <w:rFonts w:ascii="Arial" w:hAnsi="Arial" w:cs="Arial"/>
                <w:b/>
                <w:color w:val="000000"/>
                <w:sz w:val="18"/>
                <w:szCs w:val="18"/>
              </w:rPr>
              <w:t>299</w:t>
            </w:r>
          </w:p>
        </w:tc>
      </w:tr>
    </w:tbl>
    <w:p w:rsidR="00916C83" w:rsidRPr="00D00722" w:rsidRDefault="00916C83" w:rsidP="003C359E">
      <w:pPr>
        <w:spacing w:line="230" w:lineRule="auto"/>
        <w:rPr>
          <w:rFonts w:ascii="Arial" w:hAnsi="Arial" w:cs="Arial"/>
          <w:lang w:val="tr-TR"/>
        </w:rPr>
      </w:pPr>
    </w:p>
    <w:p w:rsidR="00384D12" w:rsidRPr="00D00722" w:rsidRDefault="00ED6F5D" w:rsidP="003C359E">
      <w:pPr>
        <w:spacing w:line="230" w:lineRule="auto"/>
        <w:ind w:left="567" w:hanging="567"/>
        <w:rPr>
          <w:rFonts w:ascii="Arial" w:hAnsi="Arial" w:cs="Arial"/>
          <w:sz w:val="16"/>
          <w:szCs w:val="16"/>
          <w:lang w:val="tr-TR"/>
        </w:rPr>
      </w:pPr>
      <w:r w:rsidRPr="00D00722">
        <w:rPr>
          <w:rFonts w:ascii="Arial" w:hAnsi="Arial" w:cs="Arial"/>
          <w:sz w:val="16"/>
          <w:szCs w:val="16"/>
          <w:lang w:val="tr-TR"/>
        </w:rPr>
        <w:t xml:space="preserve"> </w:t>
      </w:r>
      <w:r w:rsidR="00231D79" w:rsidRPr="00D00722">
        <w:rPr>
          <w:rFonts w:ascii="Arial" w:hAnsi="Arial" w:cs="Arial"/>
          <w:sz w:val="16"/>
          <w:szCs w:val="16"/>
          <w:lang w:val="tr-TR"/>
        </w:rPr>
        <w:t>(*</w:t>
      </w:r>
      <w:r w:rsidR="00FF3E19" w:rsidRPr="00D00722">
        <w:rPr>
          <w:rFonts w:ascii="Arial" w:hAnsi="Arial" w:cs="Arial"/>
          <w:sz w:val="16"/>
          <w:szCs w:val="16"/>
          <w:lang w:val="tr-TR"/>
        </w:rPr>
        <w:t xml:space="preserve">) </w:t>
      </w:r>
      <w:r w:rsidR="00FF3E19" w:rsidRPr="00D00722">
        <w:rPr>
          <w:rFonts w:ascii="Arial" w:hAnsi="Arial" w:cs="Arial"/>
          <w:sz w:val="16"/>
          <w:szCs w:val="16"/>
          <w:lang w:val="tr-TR"/>
        </w:rPr>
        <w:tab/>
        <w:t>30.09.2013 tarih ve 2013/10 sayılı Yönetim Kurulu kararına istinaden Şirket’in sermayesi 1.700.000 TL</w:t>
      </w:r>
      <w:r w:rsidR="00931CD2" w:rsidRPr="00D00722">
        <w:rPr>
          <w:rFonts w:ascii="Arial" w:hAnsi="Arial" w:cs="Arial"/>
          <w:sz w:val="16"/>
          <w:szCs w:val="16"/>
          <w:lang w:val="tr-TR"/>
        </w:rPr>
        <w:t xml:space="preserve">’den 3.000.000 TL’ye çıkarılmıştır. Bu kapsamda önceki sermayeyi teşkil eden 1.700.000 TL’nin tamamı pay sahipleri tarafından muvazaadan ari olarak nakden ödenmiştir. Arttırılan 1.300.000 TL pay sahipleri tarafından payları oranında muvazaadan ari olarak nakden ve tamamen taahhüt edilmiştir. Nakit artışların ¼ oranındaki kısmı peşinen ve nakden ödenmiş olup, kalanı en geç 24 ay içinde ödenecektir. Sermaye Piyasası Kurulu’nun </w:t>
      </w:r>
      <w:r w:rsidR="00C719BE" w:rsidRPr="00D00722">
        <w:rPr>
          <w:rFonts w:ascii="Arial" w:hAnsi="Arial" w:cs="Arial"/>
          <w:sz w:val="16"/>
          <w:szCs w:val="16"/>
          <w:lang w:val="tr-TR"/>
        </w:rPr>
        <w:t>24.12.2013 tarihli yazısına istinaden, sermaye artırım talebi; esas sözleşme değişikliğinin görüşüleceği genel kurul toplantısında Gümrük ve Ticaret Bakanlığı tarafından yayınlanan 25.01.2013 tarih ve 548 sayılı Genelge’de yer alan esaslar çerçevesinde, bütün pay sahiplerinin temsil edilmeleri ve sermaye artırımına ilişkin kararın oybirliğiyle alınması şartıyla olumlu karşılanmıştır.</w:t>
      </w:r>
      <w:r w:rsidR="009218FE" w:rsidRPr="00D00722">
        <w:rPr>
          <w:rFonts w:ascii="Arial" w:hAnsi="Arial" w:cs="Arial"/>
          <w:sz w:val="16"/>
          <w:szCs w:val="16"/>
          <w:lang w:val="tr-TR"/>
        </w:rPr>
        <w:t xml:space="preserve"> </w:t>
      </w:r>
      <w:r w:rsidR="00603B22" w:rsidRPr="00D00722">
        <w:rPr>
          <w:rFonts w:ascii="Arial" w:hAnsi="Arial" w:cs="Arial"/>
          <w:sz w:val="16"/>
          <w:szCs w:val="16"/>
          <w:lang w:val="tr-TR"/>
        </w:rPr>
        <w:t xml:space="preserve">Bu sermaye artırımına istinaden Şirket’in hissedarları tarafından 30.09.2013 tarihinde 6102 Türk Ticaret Kanunu’nun hükmü gereğince Şirket adına Yapı ve Kredi Bankası A.Ş tarafından özel bir </w:t>
      </w:r>
      <w:r w:rsidR="00A617AE" w:rsidRPr="00D00722">
        <w:rPr>
          <w:rFonts w:ascii="Arial" w:hAnsi="Arial" w:cs="Arial"/>
          <w:sz w:val="16"/>
          <w:szCs w:val="16"/>
          <w:lang w:val="tr-TR"/>
        </w:rPr>
        <w:t xml:space="preserve">hesap açılması talep edilmiştir </w:t>
      </w:r>
      <w:r w:rsidR="00603B22" w:rsidRPr="00D00722">
        <w:rPr>
          <w:rFonts w:ascii="Arial" w:hAnsi="Arial" w:cs="Arial"/>
          <w:sz w:val="16"/>
          <w:szCs w:val="16"/>
          <w:lang w:val="tr-TR"/>
        </w:rPr>
        <w:t>ve banka tarafından 290.225 TL “Sermaye artırımına ilişkin taahhüt edilen sermaye payı” açıklaması ile bloke edilmiştir</w:t>
      </w:r>
      <w:r w:rsidR="00D85C0D" w:rsidRPr="00D00722">
        <w:rPr>
          <w:rFonts w:ascii="Arial" w:hAnsi="Arial" w:cs="Arial"/>
          <w:sz w:val="16"/>
          <w:szCs w:val="16"/>
          <w:lang w:val="tr-TR"/>
        </w:rPr>
        <w:t>, Şirket’in finansal tablolarında geçmiş yıllar kar/zararlarına eklenmiştir.</w:t>
      </w:r>
    </w:p>
    <w:p w:rsidR="00231D79" w:rsidRPr="00D00722" w:rsidRDefault="00231D79" w:rsidP="003C359E">
      <w:pPr>
        <w:spacing w:line="230" w:lineRule="auto"/>
        <w:ind w:left="567" w:hanging="567"/>
        <w:rPr>
          <w:rFonts w:ascii="Arial" w:hAnsi="Arial" w:cs="Arial"/>
          <w:sz w:val="16"/>
          <w:szCs w:val="16"/>
          <w:lang w:val="tr-TR"/>
        </w:rPr>
      </w:pPr>
    </w:p>
    <w:p w:rsidR="00F15811" w:rsidRPr="00D00722" w:rsidRDefault="00E965D7" w:rsidP="003C359E">
      <w:pPr>
        <w:spacing w:line="230" w:lineRule="auto"/>
        <w:ind w:left="567" w:hanging="567"/>
        <w:rPr>
          <w:rFonts w:ascii="Arial" w:hAnsi="Arial" w:cs="Arial"/>
          <w:sz w:val="16"/>
          <w:szCs w:val="16"/>
          <w:lang w:val="tr-TR"/>
        </w:rPr>
      </w:pPr>
      <w:r w:rsidRPr="00D00722">
        <w:rPr>
          <w:rFonts w:ascii="Arial" w:hAnsi="Arial" w:cs="Arial"/>
          <w:sz w:val="16"/>
          <w:szCs w:val="16"/>
          <w:lang w:val="tr-TR"/>
        </w:rPr>
        <w:t>(**</w:t>
      </w:r>
      <w:r w:rsidR="00231D79" w:rsidRPr="00D00722">
        <w:rPr>
          <w:rFonts w:ascii="Arial" w:hAnsi="Arial" w:cs="Arial"/>
          <w:sz w:val="16"/>
          <w:szCs w:val="16"/>
          <w:lang w:val="tr-TR"/>
        </w:rPr>
        <w:t>)        Şirket ortak</w:t>
      </w:r>
      <w:r w:rsidRPr="00D00722">
        <w:rPr>
          <w:rFonts w:ascii="Arial" w:hAnsi="Arial" w:cs="Arial"/>
          <w:sz w:val="16"/>
          <w:szCs w:val="16"/>
          <w:lang w:val="tr-TR"/>
        </w:rPr>
        <w:t>ları taahhüt ettikleri sermaye tutarları için şirket adına Yapı Kredi Bankası A.Ş. de açılan  bloke hesabına Ata Yatırıım Menkul Kıymetler A.Ş. 290.225.-TL Ata Holding A.Ş.63.050.-TL ve %1 i temsil eden diğer ortaklar 13.000.-TL yi yatırmışlardır. Sermaye artırımı tescil kararı ile bu tutarların toplamı olan 366.275.-TL 04/06/2014 tarihinde blokeden çözülmüş sermayeye eklenmiştir.</w:t>
      </w:r>
    </w:p>
    <w:p w:rsidR="00231D79" w:rsidRPr="00D00722" w:rsidRDefault="00231D79" w:rsidP="003C359E">
      <w:pPr>
        <w:spacing w:line="230" w:lineRule="auto"/>
        <w:ind w:left="567" w:hanging="567"/>
        <w:rPr>
          <w:rFonts w:ascii="Arial" w:hAnsi="Arial" w:cs="Arial"/>
          <w:sz w:val="16"/>
          <w:szCs w:val="16"/>
          <w:lang w:val="tr-TR"/>
        </w:rPr>
      </w:pPr>
    </w:p>
    <w:p w:rsidR="00231D79" w:rsidRPr="00D00722" w:rsidRDefault="00231D79" w:rsidP="003C359E">
      <w:pPr>
        <w:spacing w:line="230" w:lineRule="auto"/>
        <w:ind w:left="567" w:hanging="567"/>
        <w:rPr>
          <w:rFonts w:ascii="Arial" w:hAnsi="Arial" w:cs="Arial"/>
          <w:sz w:val="16"/>
          <w:szCs w:val="16"/>
          <w:lang w:val="tr-TR"/>
        </w:rPr>
        <w:sectPr w:rsidR="00231D79" w:rsidRPr="00D00722" w:rsidSect="003C359E">
          <w:headerReference w:type="default" r:id="rId11"/>
          <w:pgSz w:w="16834" w:h="11907" w:orient="landscape" w:code="9"/>
          <w:pgMar w:top="1418" w:right="1418" w:bottom="1418" w:left="1418" w:header="709" w:footer="703" w:gutter="0"/>
          <w:cols w:space="708"/>
          <w:docGrid w:linePitch="272"/>
        </w:sectPr>
      </w:pPr>
    </w:p>
    <w:p w:rsidR="003F3E42" w:rsidRPr="00D00722" w:rsidRDefault="003F3E42" w:rsidP="003C359E">
      <w:pPr>
        <w:ind w:left="567" w:hanging="567"/>
        <w:rPr>
          <w:rFonts w:ascii="Arial" w:hAnsi="Arial" w:cs="Arial"/>
          <w:lang w:val="tr-TR"/>
        </w:rPr>
      </w:pPr>
    </w:p>
    <w:tbl>
      <w:tblPr>
        <w:tblW w:w="9072" w:type="dxa"/>
        <w:tblInd w:w="108" w:type="dxa"/>
        <w:tblLayout w:type="fixed"/>
        <w:tblLook w:val="0000"/>
      </w:tblPr>
      <w:tblGrid>
        <w:gridCol w:w="5245"/>
        <w:gridCol w:w="851"/>
        <w:gridCol w:w="1417"/>
        <w:gridCol w:w="1559"/>
      </w:tblGrid>
      <w:tr w:rsidR="00384D12" w:rsidRPr="00D00722" w:rsidTr="00C917DA">
        <w:trPr>
          <w:trHeight w:val="113"/>
        </w:trPr>
        <w:tc>
          <w:tcPr>
            <w:tcW w:w="5245" w:type="dxa"/>
            <w:tcBorders>
              <w:top w:val="single" w:sz="2" w:space="0" w:color="000000"/>
              <w:bottom w:val="single" w:sz="2" w:space="0" w:color="000000"/>
            </w:tcBorders>
          </w:tcPr>
          <w:p w:rsidR="00384D12" w:rsidRPr="00D00722" w:rsidRDefault="00384D12" w:rsidP="00C917DA">
            <w:pPr>
              <w:autoSpaceDE w:val="0"/>
              <w:autoSpaceDN w:val="0"/>
              <w:adjustRightInd w:val="0"/>
              <w:ind w:right="-108" w:hanging="108"/>
              <w:rPr>
                <w:rFonts w:ascii="Arial" w:hAnsi="Arial" w:cs="Arial"/>
                <w:color w:val="000000"/>
                <w:sz w:val="18"/>
                <w:szCs w:val="16"/>
              </w:rPr>
            </w:pPr>
          </w:p>
        </w:tc>
        <w:tc>
          <w:tcPr>
            <w:tcW w:w="851" w:type="dxa"/>
            <w:tcBorders>
              <w:top w:val="single" w:sz="2" w:space="0" w:color="000000"/>
              <w:bottom w:val="single" w:sz="2" w:space="0" w:color="000000"/>
            </w:tcBorders>
            <w:vAlign w:val="bottom"/>
          </w:tcPr>
          <w:p w:rsidR="00384D12" w:rsidRPr="00D00722" w:rsidRDefault="00384D12" w:rsidP="00C917DA">
            <w:pPr>
              <w:autoSpaceDE w:val="0"/>
              <w:autoSpaceDN w:val="0"/>
              <w:adjustRightInd w:val="0"/>
              <w:jc w:val="right"/>
              <w:rPr>
                <w:rFonts w:ascii="Arial" w:hAnsi="Arial" w:cs="Arial"/>
                <w:b/>
                <w:bCs/>
                <w:color w:val="000000"/>
                <w:sz w:val="18"/>
                <w:szCs w:val="16"/>
              </w:rPr>
            </w:pPr>
          </w:p>
        </w:tc>
        <w:tc>
          <w:tcPr>
            <w:tcW w:w="1417" w:type="dxa"/>
            <w:tcBorders>
              <w:top w:val="single" w:sz="2" w:space="0" w:color="000000"/>
              <w:bottom w:val="single" w:sz="2" w:space="0" w:color="000000"/>
            </w:tcBorders>
            <w:vAlign w:val="bottom"/>
          </w:tcPr>
          <w:p w:rsidR="00C917DA" w:rsidRPr="00D00722" w:rsidRDefault="00384D12" w:rsidP="00C917DA">
            <w:pPr>
              <w:autoSpaceDE w:val="0"/>
              <w:autoSpaceDN w:val="0"/>
              <w:adjustRightInd w:val="0"/>
              <w:jc w:val="right"/>
              <w:rPr>
                <w:rFonts w:ascii="Arial" w:hAnsi="Arial" w:cs="Arial"/>
                <w:b/>
                <w:bCs/>
                <w:color w:val="000000"/>
                <w:sz w:val="18"/>
                <w:szCs w:val="16"/>
              </w:rPr>
            </w:pPr>
            <w:r w:rsidRPr="00D00722">
              <w:rPr>
                <w:rFonts w:ascii="Arial" w:hAnsi="Arial" w:cs="Arial"/>
                <w:b/>
                <w:bCs/>
                <w:color w:val="000000"/>
                <w:sz w:val="18"/>
                <w:szCs w:val="16"/>
              </w:rPr>
              <w:t xml:space="preserve">Bağımsız </w:t>
            </w:r>
          </w:p>
          <w:p w:rsidR="00384D12" w:rsidRPr="00D00722" w:rsidRDefault="00384D12" w:rsidP="003F557C">
            <w:pPr>
              <w:autoSpaceDE w:val="0"/>
              <w:autoSpaceDN w:val="0"/>
              <w:adjustRightInd w:val="0"/>
              <w:jc w:val="right"/>
              <w:rPr>
                <w:rFonts w:ascii="Arial" w:hAnsi="Arial" w:cs="Arial"/>
                <w:b/>
                <w:bCs/>
                <w:color w:val="000000"/>
                <w:sz w:val="18"/>
                <w:szCs w:val="16"/>
              </w:rPr>
            </w:pPr>
            <w:r w:rsidRPr="00D00722">
              <w:rPr>
                <w:rFonts w:ascii="Arial" w:hAnsi="Arial" w:cs="Arial"/>
                <w:b/>
                <w:bCs/>
                <w:color w:val="000000"/>
                <w:sz w:val="18"/>
                <w:szCs w:val="16"/>
              </w:rPr>
              <w:t>denetimden geçm</w:t>
            </w:r>
            <w:r w:rsidR="003F557C" w:rsidRPr="00D00722">
              <w:rPr>
                <w:rFonts w:ascii="Arial" w:hAnsi="Arial" w:cs="Arial"/>
                <w:b/>
                <w:bCs/>
                <w:color w:val="000000"/>
                <w:sz w:val="18"/>
                <w:szCs w:val="16"/>
              </w:rPr>
              <w:t>emiş</w:t>
            </w:r>
          </w:p>
        </w:tc>
        <w:tc>
          <w:tcPr>
            <w:tcW w:w="1559" w:type="dxa"/>
            <w:tcBorders>
              <w:top w:val="single" w:sz="2" w:space="0" w:color="000000"/>
              <w:bottom w:val="single" w:sz="2" w:space="0" w:color="000000"/>
            </w:tcBorders>
            <w:vAlign w:val="bottom"/>
          </w:tcPr>
          <w:p w:rsidR="00384D12" w:rsidRPr="00D00722" w:rsidRDefault="008909C9" w:rsidP="003F557C">
            <w:pPr>
              <w:autoSpaceDE w:val="0"/>
              <w:autoSpaceDN w:val="0"/>
              <w:adjustRightInd w:val="0"/>
              <w:jc w:val="right"/>
              <w:rPr>
                <w:rFonts w:ascii="Arial" w:hAnsi="Arial" w:cs="Arial"/>
                <w:bCs/>
                <w:color w:val="000000"/>
                <w:sz w:val="18"/>
                <w:szCs w:val="16"/>
              </w:rPr>
            </w:pPr>
            <w:r w:rsidRPr="00D00722">
              <w:rPr>
                <w:rFonts w:ascii="Arial" w:hAnsi="Arial" w:cs="Arial"/>
                <w:color w:val="000000"/>
                <w:sz w:val="18"/>
                <w:szCs w:val="16"/>
              </w:rPr>
              <w:t>Bağımsız denetimden geçm</w:t>
            </w:r>
            <w:r w:rsidR="003F557C" w:rsidRPr="00D00722">
              <w:rPr>
                <w:rFonts w:ascii="Arial" w:hAnsi="Arial" w:cs="Arial"/>
                <w:color w:val="000000"/>
                <w:sz w:val="18"/>
                <w:szCs w:val="16"/>
              </w:rPr>
              <w:t>emi</w:t>
            </w:r>
            <w:r w:rsidRPr="00D00722">
              <w:rPr>
                <w:rFonts w:ascii="Arial" w:hAnsi="Arial" w:cs="Arial"/>
                <w:color w:val="000000"/>
                <w:sz w:val="18"/>
                <w:szCs w:val="16"/>
              </w:rPr>
              <w:t>ş</w:t>
            </w:r>
          </w:p>
        </w:tc>
      </w:tr>
      <w:tr w:rsidR="00384D12" w:rsidRPr="00D00722" w:rsidTr="00C917DA">
        <w:trPr>
          <w:trHeight w:val="113"/>
        </w:trPr>
        <w:tc>
          <w:tcPr>
            <w:tcW w:w="5245" w:type="dxa"/>
            <w:tcBorders>
              <w:top w:val="single" w:sz="2" w:space="0" w:color="000000"/>
              <w:bottom w:val="single" w:sz="2" w:space="0" w:color="000000"/>
            </w:tcBorders>
          </w:tcPr>
          <w:p w:rsidR="00384D12" w:rsidRPr="00D00722" w:rsidRDefault="00384D12" w:rsidP="00C917DA">
            <w:pPr>
              <w:autoSpaceDE w:val="0"/>
              <w:autoSpaceDN w:val="0"/>
              <w:adjustRightInd w:val="0"/>
              <w:ind w:right="-108" w:hanging="108"/>
              <w:rPr>
                <w:rFonts w:ascii="Arial" w:hAnsi="Arial" w:cs="Arial"/>
                <w:color w:val="000000"/>
                <w:sz w:val="18"/>
                <w:szCs w:val="16"/>
              </w:rPr>
            </w:pPr>
          </w:p>
        </w:tc>
        <w:tc>
          <w:tcPr>
            <w:tcW w:w="851" w:type="dxa"/>
            <w:tcBorders>
              <w:top w:val="single" w:sz="2" w:space="0" w:color="000000"/>
              <w:bottom w:val="single" w:sz="2" w:space="0" w:color="000000"/>
            </w:tcBorders>
            <w:vAlign w:val="bottom"/>
          </w:tcPr>
          <w:p w:rsidR="00384D12" w:rsidRPr="00D00722" w:rsidRDefault="00A27292" w:rsidP="00C917DA">
            <w:pPr>
              <w:autoSpaceDE w:val="0"/>
              <w:autoSpaceDN w:val="0"/>
              <w:adjustRightInd w:val="0"/>
              <w:jc w:val="right"/>
              <w:rPr>
                <w:rFonts w:ascii="Arial" w:hAnsi="Arial" w:cs="Arial"/>
                <w:b/>
                <w:bCs/>
                <w:color w:val="000000"/>
                <w:sz w:val="18"/>
                <w:szCs w:val="16"/>
              </w:rPr>
            </w:pPr>
            <w:r w:rsidRPr="00D00722">
              <w:rPr>
                <w:rFonts w:ascii="Arial" w:hAnsi="Arial" w:cs="Arial"/>
                <w:b/>
                <w:bCs/>
                <w:color w:val="000000"/>
                <w:sz w:val="18"/>
                <w:szCs w:val="16"/>
              </w:rPr>
              <w:t>Dipnot</w:t>
            </w:r>
          </w:p>
        </w:tc>
        <w:tc>
          <w:tcPr>
            <w:tcW w:w="1417" w:type="dxa"/>
            <w:tcBorders>
              <w:top w:val="single" w:sz="2" w:space="0" w:color="000000"/>
              <w:bottom w:val="single" w:sz="2" w:space="0" w:color="000000"/>
            </w:tcBorders>
            <w:vAlign w:val="bottom"/>
          </w:tcPr>
          <w:p w:rsidR="00C917DA" w:rsidRPr="00D00722" w:rsidRDefault="00384D12" w:rsidP="00C917DA">
            <w:pPr>
              <w:autoSpaceDE w:val="0"/>
              <w:autoSpaceDN w:val="0"/>
              <w:adjustRightInd w:val="0"/>
              <w:jc w:val="right"/>
              <w:rPr>
                <w:rFonts w:ascii="Arial" w:hAnsi="Arial" w:cs="Arial"/>
                <w:b/>
                <w:bCs/>
                <w:color w:val="000000"/>
                <w:sz w:val="18"/>
                <w:szCs w:val="16"/>
              </w:rPr>
            </w:pPr>
            <w:r w:rsidRPr="00D00722">
              <w:rPr>
                <w:rFonts w:ascii="Arial" w:hAnsi="Arial" w:cs="Arial"/>
                <w:b/>
                <w:bCs/>
                <w:color w:val="000000"/>
                <w:sz w:val="18"/>
                <w:szCs w:val="16"/>
              </w:rPr>
              <w:t xml:space="preserve">1 Ocak- </w:t>
            </w:r>
          </w:p>
          <w:p w:rsidR="00384D12" w:rsidRPr="00D00722" w:rsidRDefault="00384D12" w:rsidP="003F557C">
            <w:pPr>
              <w:autoSpaceDE w:val="0"/>
              <w:autoSpaceDN w:val="0"/>
              <w:adjustRightInd w:val="0"/>
              <w:jc w:val="right"/>
              <w:rPr>
                <w:rFonts w:ascii="Arial" w:hAnsi="Arial" w:cs="Arial"/>
                <w:b/>
                <w:bCs/>
                <w:color w:val="000000"/>
                <w:sz w:val="18"/>
                <w:szCs w:val="16"/>
              </w:rPr>
            </w:pPr>
            <w:r w:rsidRPr="00D00722">
              <w:rPr>
                <w:rFonts w:ascii="Arial" w:hAnsi="Arial" w:cs="Arial"/>
                <w:b/>
                <w:bCs/>
                <w:color w:val="000000"/>
                <w:sz w:val="18"/>
                <w:szCs w:val="16"/>
              </w:rPr>
              <w:t xml:space="preserve">31 </w:t>
            </w:r>
            <w:r w:rsidR="003F557C" w:rsidRPr="00D00722">
              <w:rPr>
                <w:rFonts w:ascii="Arial" w:hAnsi="Arial" w:cs="Arial"/>
                <w:b/>
                <w:bCs/>
                <w:color w:val="000000"/>
                <w:sz w:val="18"/>
                <w:szCs w:val="16"/>
              </w:rPr>
              <w:t>Mart</w:t>
            </w:r>
            <w:r w:rsidRPr="00D00722">
              <w:rPr>
                <w:rFonts w:ascii="Arial" w:hAnsi="Arial" w:cs="Arial"/>
                <w:b/>
                <w:bCs/>
                <w:color w:val="000000"/>
                <w:sz w:val="18"/>
                <w:szCs w:val="16"/>
              </w:rPr>
              <w:t xml:space="preserve"> </w:t>
            </w:r>
            <w:r w:rsidR="00350F68" w:rsidRPr="00D00722">
              <w:rPr>
                <w:rFonts w:ascii="Arial" w:hAnsi="Arial" w:cs="Arial"/>
                <w:b/>
                <w:bCs/>
                <w:color w:val="000000"/>
                <w:sz w:val="18"/>
                <w:szCs w:val="16"/>
              </w:rPr>
              <w:t>201</w:t>
            </w:r>
            <w:r w:rsidR="003F557C" w:rsidRPr="00D00722">
              <w:rPr>
                <w:rFonts w:ascii="Arial" w:hAnsi="Arial" w:cs="Arial"/>
                <w:b/>
                <w:bCs/>
                <w:color w:val="000000"/>
                <w:sz w:val="18"/>
                <w:szCs w:val="16"/>
              </w:rPr>
              <w:t>4</w:t>
            </w:r>
          </w:p>
        </w:tc>
        <w:tc>
          <w:tcPr>
            <w:tcW w:w="1559" w:type="dxa"/>
            <w:tcBorders>
              <w:top w:val="single" w:sz="2" w:space="0" w:color="000000"/>
              <w:bottom w:val="single" w:sz="2" w:space="0" w:color="000000"/>
            </w:tcBorders>
            <w:vAlign w:val="bottom"/>
          </w:tcPr>
          <w:p w:rsidR="00C917DA" w:rsidRPr="00D00722" w:rsidRDefault="00384D12" w:rsidP="00C917DA">
            <w:pPr>
              <w:autoSpaceDE w:val="0"/>
              <w:autoSpaceDN w:val="0"/>
              <w:adjustRightInd w:val="0"/>
              <w:jc w:val="right"/>
              <w:rPr>
                <w:rFonts w:ascii="Arial" w:hAnsi="Arial" w:cs="Arial"/>
                <w:color w:val="000000"/>
                <w:sz w:val="18"/>
                <w:szCs w:val="16"/>
              </w:rPr>
            </w:pPr>
            <w:r w:rsidRPr="00D00722">
              <w:rPr>
                <w:rFonts w:ascii="Arial" w:hAnsi="Arial" w:cs="Arial"/>
                <w:color w:val="000000"/>
                <w:sz w:val="18"/>
                <w:szCs w:val="16"/>
              </w:rPr>
              <w:t>1 Ocak-</w:t>
            </w:r>
          </w:p>
          <w:p w:rsidR="00384D12" w:rsidRPr="00D00722" w:rsidRDefault="00384D12" w:rsidP="003F557C">
            <w:pPr>
              <w:autoSpaceDE w:val="0"/>
              <w:autoSpaceDN w:val="0"/>
              <w:adjustRightInd w:val="0"/>
              <w:jc w:val="right"/>
              <w:rPr>
                <w:rFonts w:ascii="Arial" w:hAnsi="Arial" w:cs="Arial"/>
                <w:color w:val="000000"/>
                <w:sz w:val="18"/>
                <w:szCs w:val="16"/>
              </w:rPr>
            </w:pPr>
            <w:r w:rsidRPr="00D00722">
              <w:rPr>
                <w:rFonts w:ascii="Arial" w:hAnsi="Arial" w:cs="Arial"/>
                <w:color w:val="000000"/>
                <w:sz w:val="18"/>
                <w:szCs w:val="16"/>
              </w:rPr>
              <w:t xml:space="preserve">31 </w:t>
            </w:r>
            <w:r w:rsidR="003F557C" w:rsidRPr="00D00722">
              <w:rPr>
                <w:rFonts w:ascii="Arial" w:hAnsi="Arial" w:cs="Arial"/>
                <w:color w:val="000000"/>
                <w:sz w:val="18"/>
                <w:szCs w:val="16"/>
              </w:rPr>
              <w:t xml:space="preserve">Mart </w:t>
            </w:r>
            <w:r w:rsidR="00350F68" w:rsidRPr="00D00722">
              <w:rPr>
                <w:rFonts w:ascii="Arial" w:hAnsi="Arial" w:cs="Arial"/>
                <w:color w:val="000000"/>
                <w:sz w:val="18"/>
                <w:szCs w:val="16"/>
              </w:rPr>
              <w:t>201</w:t>
            </w:r>
            <w:r w:rsidR="003F557C" w:rsidRPr="00D00722">
              <w:rPr>
                <w:rFonts w:ascii="Arial" w:hAnsi="Arial" w:cs="Arial"/>
                <w:color w:val="000000"/>
                <w:sz w:val="18"/>
                <w:szCs w:val="16"/>
              </w:rPr>
              <w:t>3</w:t>
            </w:r>
          </w:p>
        </w:tc>
      </w:tr>
      <w:tr w:rsidR="00384D12" w:rsidRPr="00D00722" w:rsidTr="00C917DA">
        <w:trPr>
          <w:trHeight w:val="113"/>
        </w:trPr>
        <w:tc>
          <w:tcPr>
            <w:tcW w:w="5245" w:type="dxa"/>
            <w:tcBorders>
              <w:top w:val="single" w:sz="2" w:space="0" w:color="000000"/>
            </w:tcBorders>
          </w:tcPr>
          <w:p w:rsidR="00384D12" w:rsidRPr="00D00722" w:rsidRDefault="00384D12" w:rsidP="00C917DA">
            <w:pPr>
              <w:autoSpaceDE w:val="0"/>
              <w:autoSpaceDN w:val="0"/>
              <w:adjustRightInd w:val="0"/>
              <w:ind w:right="-108" w:hanging="108"/>
              <w:rPr>
                <w:rFonts w:ascii="Arial" w:hAnsi="Arial" w:cs="Arial"/>
                <w:color w:val="000000"/>
                <w:sz w:val="18"/>
                <w:szCs w:val="16"/>
              </w:rPr>
            </w:pPr>
          </w:p>
        </w:tc>
        <w:tc>
          <w:tcPr>
            <w:tcW w:w="851" w:type="dxa"/>
            <w:tcBorders>
              <w:top w:val="single" w:sz="2" w:space="0" w:color="000000"/>
            </w:tcBorders>
            <w:vAlign w:val="bottom"/>
          </w:tcPr>
          <w:p w:rsidR="00384D12" w:rsidRPr="00D00722" w:rsidRDefault="00384D12" w:rsidP="00C917DA">
            <w:pPr>
              <w:autoSpaceDE w:val="0"/>
              <w:autoSpaceDN w:val="0"/>
              <w:adjustRightInd w:val="0"/>
              <w:jc w:val="right"/>
              <w:rPr>
                <w:rFonts w:ascii="Arial" w:hAnsi="Arial" w:cs="Arial"/>
                <w:b/>
                <w:bCs/>
                <w:color w:val="000000"/>
                <w:sz w:val="18"/>
                <w:szCs w:val="16"/>
              </w:rPr>
            </w:pPr>
          </w:p>
        </w:tc>
        <w:tc>
          <w:tcPr>
            <w:tcW w:w="1417" w:type="dxa"/>
            <w:tcBorders>
              <w:top w:val="single" w:sz="2" w:space="0" w:color="000000"/>
            </w:tcBorders>
            <w:vAlign w:val="bottom"/>
          </w:tcPr>
          <w:p w:rsidR="00384D12" w:rsidRPr="00D00722" w:rsidRDefault="00384D12" w:rsidP="00C917DA">
            <w:pPr>
              <w:autoSpaceDE w:val="0"/>
              <w:autoSpaceDN w:val="0"/>
              <w:adjustRightInd w:val="0"/>
              <w:jc w:val="right"/>
              <w:rPr>
                <w:rFonts w:ascii="Arial" w:hAnsi="Arial" w:cs="Arial"/>
                <w:b/>
                <w:bCs/>
                <w:color w:val="000000"/>
                <w:sz w:val="18"/>
                <w:szCs w:val="16"/>
              </w:rPr>
            </w:pPr>
          </w:p>
        </w:tc>
        <w:tc>
          <w:tcPr>
            <w:tcW w:w="1559" w:type="dxa"/>
            <w:tcBorders>
              <w:top w:val="single" w:sz="2" w:space="0" w:color="000000"/>
            </w:tcBorders>
            <w:vAlign w:val="bottom"/>
          </w:tcPr>
          <w:p w:rsidR="00384D12" w:rsidRPr="00D00722" w:rsidRDefault="00384D12" w:rsidP="00C917DA">
            <w:pPr>
              <w:autoSpaceDE w:val="0"/>
              <w:autoSpaceDN w:val="0"/>
              <w:adjustRightInd w:val="0"/>
              <w:jc w:val="right"/>
              <w:rPr>
                <w:rFonts w:ascii="Arial" w:hAnsi="Arial" w:cs="Arial"/>
                <w:color w:val="000000"/>
                <w:sz w:val="18"/>
                <w:szCs w:val="16"/>
              </w:rPr>
            </w:pPr>
          </w:p>
        </w:tc>
      </w:tr>
      <w:tr w:rsidR="00384D12" w:rsidRPr="00D00722" w:rsidTr="00C917DA">
        <w:trPr>
          <w:trHeight w:val="113"/>
        </w:trPr>
        <w:tc>
          <w:tcPr>
            <w:tcW w:w="5245" w:type="dxa"/>
          </w:tcPr>
          <w:p w:rsidR="00384D12" w:rsidRPr="00D00722" w:rsidRDefault="00384D12" w:rsidP="00C917DA">
            <w:pPr>
              <w:autoSpaceDE w:val="0"/>
              <w:autoSpaceDN w:val="0"/>
              <w:adjustRightInd w:val="0"/>
              <w:ind w:right="-108" w:hanging="108"/>
              <w:rPr>
                <w:rFonts w:ascii="Arial" w:hAnsi="Arial" w:cs="Arial"/>
                <w:b/>
                <w:color w:val="000000"/>
                <w:sz w:val="18"/>
                <w:szCs w:val="16"/>
              </w:rPr>
            </w:pPr>
            <w:r w:rsidRPr="00D00722">
              <w:rPr>
                <w:rFonts w:ascii="Arial" w:hAnsi="Arial" w:cs="Arial"/>
                <w:b/>
                <w:color w:val="000000"/>
                <w:sz w:val="18"/>
                <w:szCs w:val="16"/>
              </w:rPr>
              <w:t>İşletme faaliyetlerinden</w:t>
            </w:r>
            <w:r w:rsidR="00FF1135" w:rsidRPr="00D00722">
              <w:rPr>
                <w:rFonts w:ascii="Arial" w:hAnsi="Arial" w:cs="Arial"/>
                <w:b/>
                <w:color w:val="000000"/>
                <w:sz w:val="18"/>
                <w:szCs w:val="16"/>
              </w:rPr>
              <w:t xml:space="preserve"> nakit akışları</w:t>
            </w:r>
          </w:p>
        </w:tc>
        <w:tc>
          <w:tcPr>
            <w:tcW w:w="851" w:type="dxa"/>
            <w:vAlign w:val="bottom"/>
          </w:tcPr>
          <w:p w:rsidR="00384D12" w:rsidRPr="00D00722" w:rsidRDefault="00384D12" w:rsidP="00C917DA">
            <w:pPr>
              <w:autoSpaceDE w:val="0"/>
              <w:autoSpaceDN w:val="0"/>
              <w:adjustRightInd w:val="0"/>
              <w:jc w:val="right"/>
              <w:rPr>
                <w:rFonts w:ascii="Arial" w:hAnsi="Arial" w:cs="Arial"/>
                <w:color w:val="000000"/>
                <w:sz w:val="18"/>
                <w:szCs w:val="16"/>
              </w:rPr>
            </w:pPr>
          </w:p>
        </w:tc>
        <w:tc>
          <w:tcPr>
            <w:tcW w:w="1417" w:type="dxa"/>
            <w:vAlign w:val="bottom"/>
          </w:tcPr>
          <w:p w:rsidR="00384D12" w:rsidRPr="00D00722" w:rsidRDefault="00384D12" w:rsidP="00C917DA">
            <w:pPr>
              <w:autoSpaceDE w:val="0"/>
              <w:autoSpaceDN w:val="0"/>
              <w:adjustRightInd w:val="0"/>
              <w:jc w:val="right"/>
              <w:rPr>
                <w:rFonts w:ascii="Arial" w:hAnsi="Arial" w:cs="Arial"/>
                <w:b/>
                <w:bCs/>
                <w:color w:val="000000"/>
                <w:sz w:val="18"/>
                <w:szCs w:val="16"/>
              </w:rPr>
            </w:pPr>
          </w:p>
        </w:tc>
        <w:tc>
          <w:tcPr>
            <w:tcW w:w="1559" w:type="dxa"/>
            <w:vAlign w:val="bottom"/>
          </w:tcPr>
          <w:p w:rsidR="00384D12" w:rsidRPr="00D00722" w:rsidRDefault="00384D12" w:rsidP="00C917DA">
            <w:pPr>
              <w:autoSpaceDE w:val="0"/>
              <w:autoSpaceDN w:val="0"/>
              <w:adjustRightInd w:val="0"/>
              <w:jc w:val="right"/>
              <w:rPr>
                <w:rFonts w:ascii="Arial" w:hAnsi="Arial" w:cs="Arial"/>
                <w:bCs/>
                <w:color w:val="000000"/>
                <w:sz w:val="18"/>
                <w:szCs w:val="16"/>
              </w:rPr>
            </w:pPr>
          </w:p>
        </w:tc>
      </w:tr>
      <w:tr w:rsidR="00384D12" w:rsidRPr="00D00722" w:rsidTr="00C917DA">
        <w:trPr>
          <w:trHeight w:val="113"/>
        </w:trPr>
        <w:tc>
          <w:tcPr>
            <w:tcW w:w="5245" w:type="dxa"/>
          </w:tcPr>
          <w:p w:rsidR="00384D12" w:rsidRPr="00D00722" w:rsidRDefault="00384D12" w:rsidP="00C917DA">
            <w:pPr>
              <w:autoSpaceDE w:val="0"/>
              <w:autoSpaceDN w:val="0"/>
              <w:adjustRightInd w:val="0"/>
              <w:ind w:right="-108" w:hanging="108"/>
              <w:rPr>
                <w:rFonts w:ascii="Arial" w:hAnsi="Arial" w:cs="Arial"/>
                <w:color w:val="000000"/>
                <w:sz w:val="18"/>
                <w:szCs w:val="16"/>
              </w:rPr>
            </w:pPr>
          </w:p>
        </w:tc>
        <w:tc>
          <w:tcPr>
            <w:tcW w:w="851" w:type="dxa"/>
            <w:vAlign w:val="bottom"/>
          </w:tcPr>
          <w:p w:rsidR="00384D12" w:rsidRPr="00D00722" w:rsidRDefault="00384D12" w:rsidP="00C917DA">
            <w:pPr>
              <w:autoSpaceDE w:val="0"/>
              <w:autoSpaceDN w:val="0"/>
              <w:adjustRightInd w:val="0"/>
              <w:jc w:val="right"/>
              <w:rPr>
                <w:rFonts w:ascii="Arial" w:hAnsi="Arial" w:cs="Arial"/>
                <w:color w:val="000000"/>
                <w:sz w:val="18"/>
                <w:szCs w:val="16"/>
              </w:rPr>
            </w:pPr>
          </w:p>
        </w:tc>
        <w:tc>
          <w:tcPr>
            <w:tcW w:w="1417" w:type="dxa"/>
            <w:vAlign w:val="bottom"/>
          </w:tcPr>
          <w:p w:rsidR="00384D12" w:rsidRPr="00D00722" w:rsidRDefault="00384D12" w:rsidP="00C917DA">
            <w:pPr>
              <w:autoSpaceDE w:val="0"/>
              <w:autoSpaceDN w:val="0"/>
              <w:adjustRightInd w:val="0"/>
              <w:jc w:val="right"/>
              <w:rPr>
                <w:rFonts w:ascii="Arial" w:hAnsi="Arial" w:cs="Arial"/>
                <w:b/>
                <w:bCs/>
                <w:color w:val="000000"/>
                <w:sz w:val="18"/>
                <w:szCs w:val="16"/>
              </w:rPr>
            </w:pPr>
          </w:p>
        </w:tc>
        <w:tc>
          <w:tcPr>
            <w:tcW w:w="1559" w:type="dxa"/>
            <w:vAlign w:val="bottom"/>
          </w:tcPr>
          <w:p w:rsidR="00384D12" w:rsidRPr="00D00722" w:rsidRDefault="00384D12" w:rsidP="00C917DA">
            <w:pPr>
              <w:autoSpaceDE w:val="0"/>
              <w:autoSpaceDN w:val="0"/>
              <w:adjustRightInd w:val="0"/>
              <w:jc w:val="right"/>
              <w:rPr>
                <w:rFonts w:ascii="Arial" w:hAnsi="Arial" w:cs="Arial"/>
                <w:color w:val="000000"/>
                <w:sz w:val="18"/>
                <w:szCs w:val="16"/>
              </w:rPr>
            </w:pPr>
          </w:p>
        </w:tc>
      </w:tr>
      <w:tr w:rsidR="009E6AD4" w:rsidRPr="00D00722" w:rsidTr="00C917DA">
        <w:trPr>
          <w:trHeight w:val="113"/>
        </w:trPr>
        <w:tc>
          <w:tcPr>
            <w:tcW w:w="5245" w:type="dxa"/>
          </w:tcPr>
          <w:p w:rsidR="009E6AD4" w:rsidRPr="00D00722" w:rsidRDefault="00FF1135" w:rsidP="00C917DA">
            <w:pPr>
              <w:autoSpaceDE w:val="0"/>
              <w:autoSpaceDN w:val="0"/>
              <w:adjustRightInd w:val="0"/>
              <w:ind w:right="-108" w:hanging="108"/>
              <w:rPr>
                <w:rFonts w:ascii="Arial" w:hAnsi="Arial" w:cs="Arial"/>
                <w:bCs/>
                <w:color w:val="000000"/>
                <w:sz w:val="18"/>
                <w:szCs w:val="16"/>
              </w:rPr>
            </w:pPr>
            <w:r w:rsidRPr="00D00722">
              <w:rPr>
                <w:rFonts w:ascii="Arial" w:hAnsi="Arial" w:cs="Arial"/>
                <w:bCs/>
                <w:color w:val="000000"/>
                <w:sz w:val="18"/>
                <w:szCs w:val="16"/>
              </w:rPr>
              <w:t>Dönem zararı</w:t>
            </w:r>
          </w:p>
        </w:tc>
        <w:tc>
          <w:tcPr>
            <w:tcW w:w="851" w:type="dxa"/>
            <w:vAlign w:val="bottom"/>
          </w:tcPr>
          <w:p w:rsidR="009E6AD4" w:rsidRPr="00D00722" w:rsidRDefault="009E6AD4" w:rsidP="00C917DA">
            <w:pPr>
              <w:autoSpaceDE w:val="0"/>
              <w:autoSpaceDN w:val="0"/>
              <w:adjustRightInd w:val="0"/>
              <w:jc w:val="right"/>
              <w:rPr>
                <w:rFonts w:ascii="Arial" w:hAnsi="Arial" w:cs="Arial"/>
                <w:color w:val="000000"/>
                <w:sz w:val="18"/>
                <w:szCs w:val="16"/>
              </w:rPr>
            </w:pPr>
          </w:p>
        </w:tc>
        <w:tc>
          <w:tcPr>
            <w:tcW w:w="1417" w:type="dxa"/>
            <w:vAlign w:val="bottom"/>
          </w:tcPr>
          <w:p w:rsidR="009E6AD4" w:rsidRPr="00D00722" w:rsidRDefault="00ED6F5D" w:rsidP="004F665A">
            <w:pPr>
              <w:autoSpaceDE w:val="0"/>
              <w:autoSpaceDN w:val="0"/>
              <w:adjustRightInd w:val="0"/>
              <w:jc w:val="right"/>
              <w:rPr>
                <w:rFonts w:ascii="Arial" w:hAnsi="Arial" w:cs="Arial"/>
                <w:b/>
                <w:bCs/>
                <w:color w:val="000000"/>
                <w:sz w:val="18"/>
                <w:szCs w:val="16"/>
              </w:rPr>
            </w:pPr>
            <w:r w:rsidRPr="00D00722">
              <w:rPr>
                <w:rFonts w:ascii="Arial" w:hAnsi="Arial" w:cs="Arial"/>
                <w:b/>
                <w:bCs/>
                <w:color w:val="000000"/>
                <w:sz w:val="18"/>
                <w:szCs w:val="16"/>
              </w:rPr>
              <w:t>(232.0</w:t>
            </w:r>
            <w:r w:rsidR="004F665A" w:rsidRPr="00D00722">
              <w:rPr>
                <w:rFonts w:ascii="Arial" w:hAnsi="Arial" w:cs="Arial"/>
                <w:b/>
                <w:bCs/>
                <w:color w:val="000000"/>
                <w:sz w:val="18"/>
                <w:szCs w:val="16"/>
              </w:rPr>
              <w:t>26</w:t>
            </w:r>
            <w:r w:rsidRPr="00D00722">
              <w:rPr>
                <w:rFonts w:ascii="Arial" w:hAnsi="Arial" w:cs="Arial"/>
                <w:b/>
                <w:bCs/>
                <w:color w:val="000000"/>
                <w:sz w:val="18"/>
                <w:szCs w:val="16"/>
              </w:rPr>
              <w:t>)</w:t>
            </w:r>
          </w:p>
        </w:tc>
        <w:tc>
          <w:tcPr>
            <w:tcW w:w="1559" w:type="dxa"/>
            <w:vAlign w:val="bottom"/>
          </w:tcPr>
          <w:p w:rsidR="009E6AD4" w:rsidRPr="00D00722" w:rsidRDefault="009E6AD4" w:rsidP="003F557C">
            <w:pPr>
              <w:autoSpaceDE w:val="0"/>
              <w:autoSpaceDN w:val="0"/>
              <w:adjustRightInd w:val="0"/>
              <w:jc w:val="right"/>
              <w:rPr>
                <w:rFonts w:ascii="Arial" w:hAnsi="Arial" w:cs="Arial"/>
                <w:bCs/>
                <w:color w:val="000000"/>
                <w:sz w:val="18"/>
                <w:szCs w:val="16"/>
              </w:rPr>
            </w:pPr>
            <w:r w:rsidRPr="00D00722">
              <w:rPr>
                <w:rFonts w:ascii="Arial" w:hAnsi="Arial" w:cs="Arial"/>
                <w:bCs/>
                <w:color w:val="000000"/>
                <w:sz w:val="18"/>
                <w:szCs w:val="16"/>
              </w:rPr>
              <w:t>(</w:t>
            </w:r>
            <w:r w:rsidR="003F557C" w:rsidRPr="00D00722">
              <w:rPr>
                <w:rFonts w:ascii="Arial" w:hAnsi="Arial" w:cs="Arial"/>
                <w:bCs/>
                <w:color w:val="000000"/>
                <w:sz w:val="18"/>
                <w:szCs w:val="16"/>
              </w:rPr>
              <w:t>30</w:t>
            </w:r>
            <w:r w:rsidRPr="00D00722">
              <w:rPr>
                <w:rFonts w:ascii="Arial" w:hAnsi="Arial" w:cs="Arial"/>
                <w:bCs/>
                <w:color w:val="000000"/>
                <w:sz w:val="18"/>
                <w:szCs w:val="16"/>
              </w:rPr>
              <w:t>.</w:t>
            </w:r>
            <w:r w:rsidR="003F557C" w:rsidRPr="00D00722">
              <w:rPr>
                <w:rFonts w:ascii="Arial" w:hAnsi="Arial" w:cs="Arial"/>
                <w:bCs/>
                <w:color w:val="000000"/>
                <w:sz w:val="18"/>
                <w:szCs w:val="16"/>
              </w:rPr>
              <w:t>013</w:t>
            </w:r>
            <w:r w:rsidRPr="00D00722">
              <w:rPr>
                <w:rFonts w:ascii="Arial" w:hAnsi="Arial" w:cs="Arial"/>
                <w:bCs/>
                <w:color w:val="000000"/>
                <w:sz w:val="18"/>
                <w:szCs w:val="16"/>
              </w:rPr>
              <w:t>)</w:t>
            </w:r>
          </w:p>
        </w:tc>
      </w:tr>
      <w:tr w:rsidR="009E6AD4" w:rsidRPr="00D00722" w:rsidTr="00C917DA">
        <w:trPr>
          <w:trHeight w:val="113"/>
        </w:trPr>
        <w:tc>
          <w:tcPr>
            <w:tcW w:w="5245" w:type="dxa"/>
          </w:tcPr>
          <w:p w:rsidR="009E6AD4" w:rsidRPr="00D00722" w:rsidRDefault="009E6AD4" w:rsidP="00C917DA">
            <w:pPr>
              <w:autoSpaceDE w:val="0"/>
              <w:autoSpaceDN w:val="0"/>
              <w:adjustRightInd w:val="0"/>
              <w:ind w:right="-108" w:hanging="108"/>
              <w:rPr>
                <w:rFonts w:ascii="Arial" w:hAnsi="Arial" w:cs="Arial"/>
                <w:color w:val="000000"/>
                <w:sz w:val="18"/>
                <w:szCs w:val="16"/>
              </w:rPr>
            </w:pPr>
          </w:p>
        </w:tc>
        <w:tc>
          <w:tcPr>
            <w:tcW w:w="851" w:type="dxa"/>
            <w:vAlign w:val="bottom"/>
          </w:tcPr>
          <w:p w:rsidR="009E6AD4" w:rsidRPr="00D00722" w:rsidRDefault="009E6AD4" w:rsidP="00C917DA">
            <w:pPr>
              <w:autoSpaceDE w:val="0"/>
              <w:autoSpaceDN w:val="0"/>
              <w:adjustRightInd w:val="0"/>
              <w:jc w:val="right"/>
              <w:rPr>
                <w:rFonts w:ascii="Arial" w:hAnsi="Arial" w:cs="Arial"/>
                <w:color w:val="000000"/>
                <w:sz w:val="18"/>
                <w:szCs w:val="16"/>
              </w:rPr>
            </w:pPr>
          </w:p>
        </w:tc>
        <w:tc>
          <w:tcPr>
            <w:tcW w:w="1417" w:type="dxa"/>
            <w:vAlign w:val="bottom"/>
          </w:tcPr>
          <w:p w:rsidR="009E6AD4" w:rsidRPr="00D00722" w:rsidRDefault="009E6AD4" w:rsidP="00C917DA">
            <w:pPr>
              <w:autoSpaceDE w:val="0"/>
              <w:autoSpaceDN w:val="0"/>
              <w:adjustRightInd w:val="0"/>
              <w:jc w:val="right"/>
              <w:rPr>
                <w:rFonts w:ascii="Arial" w:hAnsi="Arial" w:cs="Arial"/>
                <w:b/>
                <w:bCs/>
                <w:color w:val="000000"/>
                <w:sz w:val="18"/>
                <w:szCs w:val="16"/>
              </w:rPr>
            </w:pPr>
          </w:p>
        </w:tc>
        <w:tc>
          <w:tcPr>
            <w:tcW w:w="1559" w:type="dxa"/>
            <w:vAlign w:val="bottom"/>
          </w:tcPr>
          <w:p w:rsidR="009E6AD4" w:rsidRPr="00D00722" w:rsidRDefault="009E6AD4" w:rsidP="009E6AD4">
            <w:pPr>
              <w:autoSpaceDE w:val="0"/>
              <w:autoSpaceDN w:val="0"/>
              <w:adjustRightInd w:val="0"/>
              <w:jc w:val="right"/>
              <w:rPr>
                <w:rFonts w:ascii="Arial" w:hAnsi="Arial" w:cs="Arial"/>
                <w:bCs/>
                <w:color w:val="000000"/>
                <w:sz w:val="18"/>
                <w:szCs w:val="16"/>
              </w:rPr>
            </w:pPr>
          </w:p>
        </w:tc>
      </w:tr>
      <w:tr w:rsidR="009E6AD4" w:rsidRPr="00D00722" w:rsidTr="00C917DA">
        <w:trPr>
          <w:trHeight w:val="113"/>
        </w:trPr>
        <w:tc>
          <w:tcPr>
            <w:tcW w:w="5245" w:type="dxa"/>
          </w:tcPr>
          <w:p w:rsidR="009E6AD4" w:rsidRPr="00D00722" w:rsidRDefault="00FF1135" w:rsidP="00FF1135">
            <w:pPr>
              <w:autoSpaceDE w:val="0"/>
              <w:autoSpaceDN w:val="0"/>
              <w:adjustRightInd w:val="0"/>
              <w:ind w:right="-108" w:hanging="108"/>
              <w:rPr>
                <w:rFonts w:ascii="Arial" w:hAnsi="Arial" w:cs="Arial"/>
                <w:color w:val="000000"/>
                <w:sz w:val="18"/>
                <w:szCs w:val="16"/>
              </w:rPr>
            </w:pPr>
            <w:r w:rsidRPr="00D00722">
              <w:rPr>
                <w:rFonts w:ascii="Arial" w:hAnsi="Arial" w:cs="Arial"/>
                <w:b/>
                <w:bCs/>
                <w:color w:val="000000"/>
                <w:sz w:val="18"/>
                <w:szCs w:val="16"/>
              </w:rPr>
              <w:t xml:space="preserve">Dönem net zararı mutabakatı ile ilgili </w:t>
            </w:r>
            <w:r w:rsidR="009E6AD4" w:rsidRPr="00D00722">
              <w:rPr>
                <w:rFonts w:ascii="Arial" w:hAnsi="Arial" w:cs="Arial"/>
                <w:b/>
                <w:bCs/>
                <w:color w:val="000000"/>
                <w:sz w:val="18"/>
                <w:szCs w:val="16"/>
              </w:rPr>
              <w:t>düzeltmeler</w:t>
            </w:r>
          </w:p>
        </w:tc>
        <w:tc>
          <w:tcPr>
            <w:tcW w:w="851" w:type="dxa"/>
            <w:vAlign w:val="bottom"/>
          </w:tcPr>
          <w:p w:rsidR="009E6AD4" w:rsidRPr="00D00722" w:rsidRDefault="009E6AD4" w:rsidP="00C917DA">
            <w:pPr>
              <w:autoSpaceDE w:val="0"/>
              <w:autoSpaceDN w:val="0"/>
              <w:adjustRightInd w:val="0"/>
              <w:jc w:val="right"/>
              <w:rPr>
                <w:rFonts w:ascii="Arial" w:hAnsi="Arial" w:cs="Arial"/>
                <w:color w:val="000000"/>
                <w:sz w:val="18"/>
                <w:szCs w:val="16"/>
              </w:rPr>
            </w:pPr>
          </w:p>
        </w:tc>
        <w:tc>
          <w:tcPr>
            <w:tcW w:w="1417" w:type="dxa"/>
            <w:vAlign w:val="bottom"/>
          </w:tcPr>
          <w:p w:rsidR="009E6AD4" w:rsidRPr="00D00722" w:rsidRDefault="009E6AD4" w:rsidP="00C917DA">
            <w:pPr>
              <w:autoSpaceDE w:val="0"/>
              <w:autoSpaceDN w:val="0"/>
              <w:adjustRightInd w:val="0"/>
              <w:jc w:val="right"/>
              <w:rPr>
                <w:rFonts w:ascii="Arial" w:hAnsi="Arial" w:cs="Arial"/>
                <w:b/>
                <w:bCs/>
                <w:color w:val="000000"/>
                <w:sz w:val="18"/>
                <w:szCs w:val="16"/>
              </w:rPr>
            </w:pPr>
          </w:p>
        </w:tc>
        <w:tc>
          <w:tcPr>
            <w:tcW w:w="1559" w:type="dxa"/>
            <w:vAlign w:val="bottom"/>
          </w:tcPr>
          <w:p w:rsidR="009E6AD4" w:rsidRPr="00D00722" w:rsidRDefault="009E6AD4" w:rsidP="009E6AD4">
            <w:pPr>
              <w:autoSpaceDE w:val="0"/>
              <w:autoSpaceDN w:val="0"/>
              <w:adjustRightInd w:val="0"/>
              <w:jc w:val="right"/>
              <w:rPr>
                <w:rFonts w:ascii="Arial" w:hAnsi="Arial" w:cs="Arial"/>
                <w:bCs/>
                <w:color w:val="000000"/>
                <w:sz w:val="18"/>
                <w:szCs w:val="16"/>
              </w:rPr>
            </w:pPr>
          </w:p>
        </w:tc>
      </w:tr>
      <w:tr w:rsidR="009E6AD4" w:rsidRPr="00D00722" w:rsidTr="00C917DA">
        <w:trPr>
          <w:trHeight w:val="113"/>
        </w:trPr>
        <w:tc>
          <w:tcPr>
            <w:tcW w:w="5245" w:type="dxa"/>
          </w:tcPr>
          <w:p w:rsidR="009E6AD4" w:rsidRPr="00D00722" w:rsidRDefault="009E6AD4" w:rsidP="00C917DA">
            <w:pPr>
              <w:autoSpaceDE w:val="0"/>
              <w:autoSpaceDN w:val="0"/>
              <w:adjustRightInd w:val="0"/>
              <w:ind w:right="-108" w:hanging="108"/>
              <w:rPr>
                <w:rFonts w:ascii="Arial" w:hAnsi="Arial" w:cs="Arial"/>
                <w:color w:val="000000"/>
                <w:sz w:val="18"/>
                <w:szCs w:val="16"/>
              </w:rPr>
            </w:pPr>
          </w:p>
        </w:tc>
        <w:tc>
          <w:tcPr>
            <w:tcW w:w="851" w:type="dxa"/>
            <w:vAlign w:val="bottom"/>
          </w:tcPr>
          <w:p w:rsidR="009E6AD4" w:rsidRPr="00D00722" w:rsidRDefault="009E6AD4" w:rsidP="00C917DA">
            <w:pPr>
              <w:autoSpaceDE w:val="0"/>
              <w:autoSpaceDN w:val="0"/>
              <w:adjustRightInd w:val="0"/>
              <w:jc w:val="right"/>
              <w:rPr>
                <w:rFonts w:ascii="Arial" w:hAnsi="Arial" w:cs="Arial"/>
                <w:color w:val="000000"/>
                <w:sz w:val="18"/>
                <w:szCs w:val="16"/>
              </w:rPr>
            </w:pPr>
          </w:p>
        </w:tc>
        <w:tc>
          <w:tcPr>
            <w:tcW w:w="1417" w:type="dxa"/>
            <w:vAlign w:val="bottom"/>
          </w:tcPr>
          <w:p w:rsidR="009E6AD4" w:rsidRPr="00D00722" w:rsidRDefault="009E6AD4" w:rsidP="00C917DA">
            <w:pPr>
              <w:autoSpaceDE w:val="0"/>
              <w:autoSpaceDN w:val="0"/>
              <w:adjustRightInd w:val="0"/>
              <w:jc w:val="right"/>
              <w:rPr>
                <w:rFonts w:ascii="Arial" w:hAnsi="Arial" w:cs="Arial"/>
                <w:b/>
                <w:bCs/>
                <w:color w:val="000000"/>
                <w:sz w:val="18"/>
                <w:szCs w:val="16"/>
              </w:rPr>
            </w:pPr>
          </w:p>
        </w:tc>
        <w:tc>
          <w:tcPr>
            <w:tcW w:w="1559" w:type="dxa"/>
            <w:vAlign w:val="bottom"/>
          </w:tcPr>
          <w:p w:rsidR="009E6AD4" w:rsidRPr="00D00722" w:rsidRDefault="009E6AD4" w:rsidP="009E6AD4">
            <w:pPr>
              <w:autoSpaceDE w:val="0"/>
              <w:autoSpaceDN w:val="0"/>
              <w:adjustRightInd w:val="0"/>
              <w:jc w:val="right"/>
              <w:rPr>
                <w:rFonts w:ascii="Arial" w:hAnsi="Arial" w:cs="Arial"/>
                <w:bCs/>
                <w:color w:val="000000"/>
                <w:sz w:val="18"/>
                <w:szCs w:val="16"/>
              </w:rPr>
            </w:pPr>
          </w:p>
        </w:tc>
      </w:tr>
      <w:tr w:rsidR="009E6AD4" w:rsidRPr="00D00722" w:rsidTr="00C917DA">
        <w:trPr>
          <w:trHeight w:val="113"/>
        </w:trPr>
        <w:tc>
          <w:tcPr>
            <w:tcW w:w="5245" w:type="dxa"/>
          </w:tcPr>
          <w:p w:rsidR="009E6AD4" w:rsidRPr="00D00722" w:rsidRDefault="00FF1135" w:rsidP="00C917DA">
            <w:pPr>
              <w:autoSpaceDE w:val="0"/>
              <w:autoSpaceDN w:val="0"/>
              <w:adjustRightInd w:val="0"/>
              <w:ind w:right="-108" w:hanging="108"/>
              <w:rPr>
                <w:rFonts w:ascii="Arial" w:hAnsi="Arial" w:cs="Arial"/>
                <w:color w:val="000000"/>
                <w:sz w:val="18"/>
                <w:szCs w:val="16"/>
              </w:rPr>
            </w:pPr>
            <w:r w:rsidRPr="00D00722">
              <w:rPr>
                <w:rFonts w:ascii="Arial" w:hAnsi="Arial" w:cs="Arial"/>
                <w:color w:val="000000"/>
                <w:sz w:val="18"/>
                <w:szCs w:val="16"/>
              </w:rPr>
              <w:t>Amortisman ve itfa payları</w:t>
            </w:r>
          </w:p>
        </w:tc>
        <w:tc>
          <w:tcPr>
            <w:tcW w:w="851" w:type="dxa"/>
            <w:vAlign w:val="bottom"/>
          </w:tcPr>
          <w:p w:rsidR="009E6AD4" w:rsidRPr="00D00722" w:rsidRDefault="00E15D5E" w:rsidP="00C917DA">
            <w:pPr>
              <w:autoSpaceDE w:val="0"/>
              <w:autoSpaceDN w:val="0"/>
              <w:adjustRightInd w:val="0"/>
              <w:jc w:val="right"/>
              <w:rPr>
                <w:rFonts w:ascii="Arial" w:hAnsi="Arial" w:cs="Arial"/>
                <w:color w:val="000000"/>
                <w:sz w:val="18"/>
                <w:szCs w:val="16"/>
              </w:rPr>
            </w:pPr>
            <w:r w:rsidRPr="00D00722">
              <w:rPr>
                <w:rFonts w:ascii="Arial" w:hAnsi="Arial" w:cs="Arial"/>
                <w:color w:val="000000"/>
                <w:sz w:val="18"/>
                <w:szCs w:val="16"/>
              </w:rPr>
              <w:t>10, 11</w:t>
            </w:r>
          </w:p>
        </w:tc>
        <w:tc>
          <w:tcPr>
            <w:tcW w:w="1417" w:type="dxa"/>
            <w:vAlign w:val="bottom"/>
          </w:tcPr>
          <w:p w:rsidR="009E6AD4" w:rsidRPr="00D00722" w:rsidRDefault="00FF1BDE" w:rsidP="00FF1BDE">
            <w:pPr>
              <w:autoSpaceDE w:val="0"/>
              <w:autoSpaceDN w:val="0"/>
              <w:adjustRightInd w:val="0"/>
              <w:jc w:val="right"/>
              <w:rPr>
                <w:rFonts w:ascii="Arial" w:hAnsi="Arial" w:cs="Arial"/>
                <w:b/>
                <w:bCs/>
                <w:color w:val="000000"/>
                <w:sz w:val="18"/>
                <w:szCs w:val="16"/>
              </w:rPr>
            </w:pPr>
            <w:r w:rsidRPr="00D00722">
              <w:rPr>
                <w:rFonts w:ascii="Arial" w:hAnsi="Arial" w:cs="Arial"/>
                <w:b/>
                <w:bCs/>
                <w:color w:val="000000"/>
                <w:sz w:val="18"/>
                <w:szCs w:val="16"/>
              </w:rPr>
              <w:t>6.180</w:t>
            </w:r>
          </w:p>
        </w:tc>
        <w:tc>
          <w:tcPr>
            <w:tcW w:w="1559" w:type="dxa"/>
            <w:vAlign w:val="bottom"/>
          </w:tcPr>
          <w:p w:rsidR="009E6AD4" w:rsidRPr="00D00722" w:rsidRDefault="00E15D5E" w:rsidP="003F557C">
            <w:pPr>
              <w:autoSpaceDE w:val="0"/>
              <w:autoSpaceDN w:val="0"/>
              <w:adjustRightInd w:val="0"/>
              <w:jc w:val="right"/>
              <w:rPr>
                <w:rFonts w:ascii="Arial" w:hAnsi="Arial" w:cs="Arial"/>
                <w:bCs/>
                <w:color w:val="000000"/>
                <w:sz w:val="18"/>
                <w:szCs w:val="16"/>
              </w:rPr>
            </w:pPr>
            <w:r w:rsidRPr="00D00722">
              <w:rPr>
                <w:rFonts w:ascii="Arial" w:hAnsi="Arial" w:cs="Arial"/>
                <w:bCs/>
                <w:color w:val="000000"/>
                <w:sz w:val="18"/>
                <w:szCs w:val="16"/>
              </w:rPr>
              <w:t>5.</w:t>
            </w:r>
            <w:r w:rsidR="003F557C" w:rsidRPr="00D00722">
              <w:rPr>
                <w:rFonts w:ascii="Arial" w:hAnsi="Arial" w:cs="Arial"/>
                <w:bCs/>
                <w:color w:val="000000"/>
                <w:sz w:val="18"/>
                <w:szCs w:val="16"/>
              </w:rPr>
              <w:t>105</w:t>
            </w:r>
          </w:p>
        </w:tc>
      </w:tr>
      <w:tr w:rsidR="009E6AD4" w:rsidRPr="00D00722" w:rsidTr="00C917DA">
        <w:trPr>
          <w:trHeight w:val="113"/>
        </w:trPr>
        <w:tc>
          <w:tcPr>
            <w:tcW w:w="5245" w:type="dxa"/>
          </w:tcPr>
          <w:p w:rsidR="009E6AD4" w:rsidRPr="00D00722" w:rsidRDefault="00FF1135" w:rsidP="00C917DA">
            <w:pPr>
              <w:autoSpaceDE w:val="0"/>
              <w:autoSpaceDN w:val="0"/>
              <w:adjustRightInd w:val="0"/>
              <w:ind w:right="-108" w:hanging="108"/>
              <w:rPr>
                <w:rFonts w:ascii="Arial" w:hAnsi="Arial" w:cs="Arial"/>
                <w:color w:val="000000"/>
                <w:sz w:val="18"/>
                <w:szCs w:val="16"/>
              </w:rPr>
            </w:pPr>
            <w:r w:rsidRPr="00D00722">
              <w:rPr>
                <w:rFonts w:ascii="Arial" w:hAnsi="Arial" w:cs="Arial"/>
                <w:color w:val="000000"/>
                <w:sz w:val="18"/>
                <w:szCs w:val="16"/>
              </w:rPr>
              <w:t>Kıdem tazminatı karşılığındaki artış/ (azalış)</w:t>
            </w:r>
          </w:p>
        </w:tc>
        <w:tc>
          <w:tcPr>
            <w:tcW w:w="851" w:type="dxa"/>
            <w:vAlign w:val="bottom"/>
          </w:tcPr>
          <w:p w:rsidR="009E6AD4" w:rsidRPr="00D00722" w:rsidRDefault="00E15D5E" w:rsidP="00C917DA">
            <w:pPr>
              <w:autoSpaceDE w:val="0"/>
              <w:autoSpaceDN w:val="0"/>
              <w:adjustRightInd w:val="0"/>
              <w:jc w:val="right"/>
              <w:rPr>
                <w:rFonts w:ascii="Arial" w:hAnsi="Arial" w:cs="Arial"/>
                <w:color w:val="000000"/>
                <w:sz w:val="18"/>
                <w:szCs w:val="16"/>
              </w:rPr>
            </w:pPr>
            <w:r w:rsidRPr="00D00722">
              <w:rPr>
                <w:rFonts w:ascii="Arial" w:hAnsi="Arial" w:cs="Arial"/>
                <w:color w:val="000000"/>
                <w:sz w:val="18"/>
                <w:szCs w:val="16"/>
              </w:rPr>
              <w:t>13</w:t>
            </w:r>
          </w:p>
        </w:tc>
        <w:tc>
          <w:tcPr>
            <w:tcW w:w="1417" w:type="dxa"/>
            <w:vAlign w:val="bottom"/>
          </w:tcPr>
          <w:p w:rsidR="009E6AD4" w:rsidRPr="00D00722" w:rsidRDefault="00025119" w:rsidP="00C917DA">
            <w:pPr>
              <w:autoSpaceDE w:val="0"/>
              <w:autoSpaceDN w:val="0"/>
              <w:adjustRightInd w:val="0"/>
              <w:jc w:val="right"/>
              <w:rPr>
                <w:rFonts w:ascii="Arial" w:hAnsi="Arial" w:cs="Arial"/>
                <w:b/>
                <w:bCs/>
                <w:color w:val="000000"/>
                <w:sz w:val="18"/>
                <w:szCs w:val="16"/>
              </w:rPr>
            </w:pPr>
            <w:r w:rsidRPr="00D00722">
              <w:rPr>
                <w:rFonts w:ascii="Arial" w:hAnsi="Arial" w:cs="Arial"/>
                <w:b/>
                <w:bCs/>
                <w:color w:val="000000"/>
                <w:sz w:val="18"/>
                <w:szCs w:val="16"/>
              </w:rPr>
              <w:t>13.299</w:t>
            </w:r>
          </w:p>
        </w:tc>
        <w:tc>
          <w:tcPr>
            <w:tcW w:w="1559" w:type="dxa"/>
            <w:vAlign w:val="bottom"/>
          </w:tcPr>
          <w:p w:rsidR="009E6AD4" w:rsidRPr="00D00722" w:rsidRDefault="003F557C" w:rsidP="003F557C">
            <w:pPr>
              <w:autoSpaceDE w:val="0"/>
              <w:autoSpaceDN w:val="0"/>
              <w:adjustRightInd w:val="0"/>
              <w:jc w:val="right"/>
              <w:rPr>
                <w:rFonts w:ascii="Arial" w:hAnsi="Arial" w:cs="Arial"/>
                <w:bCs/>
                <w:color w:val="000000"/>
                <w:sz w:val="18"/>
                <w:szCs w:val="16"/>
              </w:rPr>
            </w:pPr>
            <w:r w:rsidRPr="00D00722">
              <w:rPr>
                <w:rFonts w:ascii="Arial" w:hAnsi="Arial" w:cs="Arial"/>
                <w:bCs/>
                <w:color w:val="000000"/>
                <w:sz w:val="18"/>
                <w:szCs w:val="16"/>
              </w:rPr>
              <w:t>10</w:t>
            </w:r>
            <w:r w:rsidR="00E15D5E" w:rsidRPr="00D00722">
              <w:rPr>
                <w:rFonts w:ascii="Arial" w:hAnsi="Arial" w:cs="Arial"/>
                <w:bCs/>
                <w:color w:val="000000"/>
                <w:sz w:val="18"/>
                <w:szCs w:val="16"/>
              </w:rPr>
              <w:t>.</w:t>
            </w:r>
            <w:r w:rsidRPr="00D00722">
              <w:rPr>
                <w:rFonts w:ascii="Arial" w:hAnsi="Arial" w:cs="Arial"/>
                <w:bCs/>
                <w:color w:val="000000"/>
                <w:sz w:val="18"/>
                <w:szCs w:val="16"/>
              </w:rPr>
              <w:t>153</w:t>
            </w:r>
          </w:p>
        </w:tc>
      </w:tr>
      <w:tr w:rsidR="009E6AD4" w:rsidRPr="00D00722" w:rsidTr="00C917DA">
        <w:trPr>
          <w:trHeight w:val="113"/>
        </w:trPr>
        <w:tc>
          <w:tcPr>
            <w:tcW w:w="5245" w:type="dxa"/>
          </w:tcPr>
          <w:p w:rsidR="009E6AD4" w:rsidRPr="00D00722" w:rsidRDefault="00AB121E" w:rsidP="00C917DA">
            <w:pPr>
              <w:autoSpaceDE w:val="0"/>
              <w:autoSpaceDN w:val="0"/>
              <w:adjustRightInd w:val="0"/>
              <w:ind w:right="-108" w:hanging="108"/>
              <w:rPr>
                <w:rFonts w:ascii="Arial" w:hAnsi="Arial" w:cs="Arial"/>
                <w:color w:val="000000"/>
                <w:sz w:val="18"/>
                <w:szCs w:val="16"/>
              </w:rPr>
            </w:pPr>
            <w:r w:rsidRPr="00D00722">
              <w:rPr>
                <w:rFonts w:ascii="Arial" w:hAnsi="Arial" w:cs="Arial"/>
                <w:color w:val="000000"/>
                <w:sz w:val="18"/>
                <w:szCs w:val="16"/>
              </w:rPr>
              <w:t>Ku</w:t>
            </w:r>
            <w:r w:rsidR="00FF1135" w:rsidRPr="00D00722">
              <w:rPr>
                <w:rFonts w:ascii="Arial" w:hAnsi="Arial" w:cs="Arial"/>
                <w:color w:val="000000"/>
                <w:sz w:val="18"/>
                <w:szCs w:val="16"/>
              </w:rPr>
              <w:t>llanılmamış izin karşılğındaki artış/ (azalış)</w:t>
            </w:r>
          </w:p>
        </w:tc>
        <w:tc>
          <w:tcPr>
            <w:tcW w:w="851" w:type="dxa"/>
            <w:vAlign w:val="bottom"/>
          </w:tcPr>
          <w:p w:rsidR="009E6AD4" w:rsidRPr="00D00722" w:rsidRDefault="00E15D5E" w:rsidP="00C917DA">
            <w:pPr>
              <w:autoSpaceDE w:val="0"/>
              <w:autoSpaceDN w:val="0"/>
              <w:adjustRightInd w:val="0"/>
              <w:jc w:val="right"/>
              <w:rPr>
                <w:rFonts w:ascii="Arial" w:hAnsi="Arial" w:cs="Arial"/>
                <w:color w:val="000000"/>
                <w:sz w:val="18"/>
                <w:szCs w:val="16"/>
              </w:rPr>
            </w:pPr>
            <w:r w:rsidRPr="00D00722">
              <w:rPr>
                <w:rFonts w:ascii="Arial" w:hAnsi="Arial" w:cs="Arial"/>
                <w:color w:val="000000"/>
                <w:sz w:val="18"/>
                <w:szCs w:val="16"/>
              </w:rPr>
              <w:t>13</w:t>
            </w:r>
          </w:p>
        </w:tc>
        <w:tc>
          <w:tcPr>
            <w:tcW w:w="1417" w:type="dxa"/>
            <w:vAlign w:val="bottom"/>
          </w:tcPr>
          <w:p w:rsidR="009E6AD4" w:rsidRPr="00D00722" w:rsidRDefault="00025119" w:rsidP="00C917DA">
            <w:pPr>
              <w:autoSpaceDE w:val="0"/>
              <w:autoSpaceDN w:val="0"/>
              <w:adjustRightInd w:val="0"/>
              <w:jc w:val="right"/>
              <w:rPr>
                <w:rFonts w:ascii="Arial" w:hAnsi="Arial" w:cs="Arial"/>
                <w:b/>
                <w:bCs/>
                <w:color w:val="000000"/>
                <w:sz w:val="18"/>
                <w:szCs w:val="16"/>
              </w:rPr>
            </w:pPr>
            <w:r w:rsidRPr="00D00722">
              <w:rPr>
                <w:rFonts w:ascii="Arial" w:hAnsi="Arial" w:cs="Arial"/>
                <w:b/>
                <w:bCs/>
                <w:color w:val="000000"/>
                <w:sz w:val="18"/>
                <w:szCs w:val="16"/>
              </w:rPr>
              <w:t>2.785</w:t>
            </w:r>
          </w:p>
        </w:tc>
        <w:tc>
          <w:tcPr>
            <w:tcW w:w="1559" w:type="dxa"/>
            <w:vAlign w:val="bottom"/>
          </w:tcPr>
          <w:p w:rsidR="009E6AD4" w:rsidRPr="00D00722" w:rsidRDefault="003F557C" w:rsidP="003F557C">
            <w:pPr>
              <w:autoSpaceDE w:val="0"/>
              <w:autoSpaceDN w:val="0"/>
              <w:adjustRightInd w:val="0"/>
              <w:jc w:val="right"/>
              <w:rPr>
                <w:rFonts w:ascii="Arial" w:hAnsi="Arial" w:cs="Arial"/>
                <w:bCs/>
                <w:color w:val="000000"/>
                <w:sz w:val="18"/>
                <w:szCs w:val="16"/>
              </w:rPr>
            </w:pPr>
            <w:r w:rsidRPr="00D00722">
              <w:rPr>
                <w:rFonts w:ascii="Arial" w:hAnsi="Arial" w:cs="Arial"/>
                <w:bCs/>
                <w:color w:val="000000"/>
                <w:sz w:val="18"/>
                <w:szCs w:val="16"/>
              </w:rPr>
              <w:t>2</w:t>
            </w:r>
            <w:r w:rsidR="00E15D5E" w:rsidRPr="00D00722">
              <w:rPr>
                <w:rFonts w:ascii="Arial" w:hAnsi="Arial" w:cs="Arial"/>
                <w:bCs/>
                <w:color w:val="000000"/>
                <w:sz w:val="18"/>
                <w:szCs w:val="16"/>
              </w:rPr>
              <w:t>.</w:t>
            </w:r>
            <w:r w:rsidRPr="00D00722">
              <w:rPr>
                <w:rFonts w:ascii="Arial" w:hAnsi="Arial" w:cs="Arial"/>
                <w:bCs/>
                <w:color w:val="000000"/>
                <w:sz w:val="18"/>
                <w:szCs w:val="16"/>
              </w:rPr>
              <w:t>337</w:t>
            </w:r>
          </w:p>
        </w:tc>
      </w:tr>
      <w:tr w:rsidR="009E6AD4" w:rsidRPr="00D00722" w:rsidTr="00C917DA">
        <w:trPr>
          <w:trHeight w:val="113"/>
        </w:trPr>
        <w:tc>
          <w:tcPr>
            <w:tcW w:w="5245" w:type="dxa"/>
          </w:tcPr>
          <w:p w:rsidR="009E6AD4" w:rsidRPr="00D00722" w:rsidRDefault="00E15D5E" w:rsidP="00C917DA">
            <w:pPr>
              <w:autoSpaceDE w:val="0"/>
              <w:autoSpaceDN w:val="0"/>
              <w:adjustRightInd w:val="0"/>
              <w:ind w:right="-108" w:hanging="108"/>
              <w:rPr>
                <w:rFonts w:ascii="Arial" w:hAnsi="Arial" w:cs="Arial"/>
                <w:color w:val="000000"/>
                <w:sz w:val="18"/>
                <w:szCs w:val="16"/>
              </w:rPr>
            </w:pPr>
            <w:r w:rsidRPr="00D00722">
              <w:rPr>
                <w:rFonts w:ascii="Arial" w:hAnsi="Arial" w:cs="Arial"/>
                <w:color w:val="000000"/>
                <w:sz w:val="18"/>
                <w:szCs w:val="16"/>
              </w:rPr>
              <w:t>Faiz geliri</w:t>
            </w:r>
          </w:p>
        </w:tc>
        <w:tc>
          <w:tcPr>
            <w:tcW w:w="851" w:type="dxa"/>
            <w:vAlign w:val="bottom"/>
          </w:tcPr>
          <w:p w:rsidR="009E6AD4" w:rsidRPr="00D00722" w:rsidRDefault="00E15D5E" w:rsidP="00C917DA">
            <w:pPr>
              <w:autoSpaceDE w:val="0"/>
              <w:autoSpaceDN w:val="0"/>
              <w:adjustRightInd w:val="0"/>
              <w:jc w:val="right"/>
              <w:rPr>
                <w:rFonts w:ascii="Arial" w:hAnsi="Arial" w:cs="Arial"/>
                <w:color w:val="000000"/>
                <w:sz w:val="18"/>
                <w:szCs w:val="16"/>
              </w:rPr>
            </w:pPr>
            <w:r w:rsidRPr="00D00722">
              <w:rPr>
                <w:rFonts w:ascii="Arial" w:hAnsi="Arial" w:cs="Arial"/>
                <w:color w:val="000000"/>
                <w:sz w:val="18"/>
                <w:szCs w:val="16"/>
              </w:rPr>
              <w:t>4</w:t>
            </w:r>
          </w:p>
        </w:tc>
        <w:tc>
          <w:tcPr>
            <w:tcW w:w="1417" w:type="dxa"/>
            <w:vAlign w:val="bottom"/>
          </w:tcPr>
          <w:p w:rsidR="009E6AD4" w:rsidRPr="00D00722" w:rsidRDefault="00025119" w:rsidP="00C917DA">
            <w:pPr>
              <w:autoSpaceDE w:val="0"/>
              <w:autoSpaceDN w:val="0"/>
              <w:adjustRightInd w:val="0"/>
              <w:jc w:val="right"/>
              <w:rPr>
                <w:rFonts w:ascii="Arial" w:hAnsi="Arial" w:cs="Arial"/>
                <w:b/>
                <w:bCs/>
                <w:color w:val="000000"/>
                <w:sz w:val="18"/>
                <w:szCs w:val="16"/>
              </w:rPr>
            </w:pPr>
            <w:r w:rsidRPr="00D00722">
              <w:rPr>
                <w:rFonts w:ascii="Arial" w:hAnsi="Arial" w:cs="Arial"/>
                <w:b/>
                <w:bCs/>
                <w:color w:val="000000"/>
                <w:sz w:val="18"/>
                <w:szCs w:val="16"/>
              </w:rPr>
              <w:t>(2.504)</w:t>
            </w:r>
          </w:p>
        </w:tc>
        <w:tc>
          <w:tcPr>
            <w:tcW w:w="1559" w:type="dxa"/>
            <w:vAlign w:val="bottom"/>
          </w:tcPr>
          <w:p w:rsidR="009E6AD4" w:rsidRPr="00D00722" w:rsidRDefault="003F557C" w:rsidP="003F557C">
            <w:pPr>
              <w:autoSpaceDE w:val="0"/>
              <w:autoSpaceDN w:val="0"/>
              <w:adjustRightInd w:val="0"/>
              <w:jc w:val="right"/>
              <w:rPr>
                <w:rFonts w:ascii="Arial" w:hAnsi="Arial" w:cs="Arial"/>
                <w:bCs/>
                <w:color w:val="000000"/>
                <w:sz w:val="18"/>
                <w:szCs w:val="16"/>
              </w:rPr>
            </w:pPr>
            <w:r w:rsidRPr="00D00722">
              <w:rPr>
                <w:rFonts w:ascii="Arial" w:hAnsi="Arial" w:cs="Arial"/>
                <w:bCs/>
                <w:color w:val="000000"/>
                <w:sz w:val="18"/>
                <w:szCs w:val="16"/>
              </w:rPr>
              <w:t>511</w:t>
            </w:r>
          </w:p>
        </w:tc>
      </w:tr>
      <w:tr w:rsidR="009E6AD4" w:rsidRPr="00D00722" w:rsidTr="00C917DA">
        <w:trPr>
          <w:trHeight w:val="113"/>
        </w:trPr>
        <w:tc>
          <w:tcPr>
            <w:tcW w:w="5245" w:type="dxa"/>
          </w:tcPr>
          <w:p w:rsidR="009E6AD4" w:rsidRPr="00D00722" w:rsidRDefault="00E15D5E" w:rsidP="00C917DA">
            <w:pPr>
              <w:autoSpaceDE w:val="0"/>
              <w:autoSpaceDN w:val="0"/>
              <w:adjustRightInd w:val="0"/>
              <w:ind w:right="-108" w:hanging="108"/>
              <w:rPr>
                <w:rFonts w:ascii="Arial" w:hAnsi="Arial" w:cs="Arial"/>
                <w:color w:val="000000"/>
                <w:sz w:val="18"/>
                <w:szCs w:val="16"/>
              </w:rPr>
            </w:pPr>
            <w:r w:rsidRPr="00D00722">
              <w:rPr>
                <w:rFonts w:ascii="Arial" w:hAnsi="Arial" w:cs="Arial"/>
                <w:color w:val="000000"/>
                <w:sz w:val="18"/>
                <w:szCs w:val="16"/>
              </w:rPr>
              <w:t>Vergi geliri/ (gideri) ile ilgili düzeltmeler</w:t>
            </w:r>
          </w:p>
        </w:tc>
        <w:tc>
          <w:tcPr>
            <w:tcW w:w="851" w:type="dxa"/>
            <w:vAlign w:val="bottom"/>
          </w:tcPr>
          <w:p w:rsidR="009E6AD4" w:rsidRPr="00D00722" w:rsidRDefault="00E15D5E" w:rsidP="00C917DA">
            <w:pPr>
              <w:autoSpaceDE w:val="0"/>
              <w:autoSpaceDN w:val="0"/>
              <w:adjustRightInd w:val="0"/>
              <w:jc w:val="right"/>
              <w:rPr>
                <w:rFonts w:ascii="Arial" w:hAnsi="Arial" w:cs="Arial"/>
                <w:color w:val="000000"/>
                <w:sz w:val="18"/>
                <w:szCs w:val="16"/>
              </w:rPr>
            </w:pPr>
            <w:r w:rsidRPr="00D00722">
              <w:rPr>
                <w:rFonts w:ascii="Arial" w:hAnsi="Arial" w:cs="Arial"/>
                <w:color w:val="000000"/>
                <w:sz w:val="18"/>
                <w:szCs w:val="16"/>
              </w:rPr>
              <w:t>21</w:t>
            </w:r>
          </w:p>
        </w:tc>
        <w:tc>
          <w:tcPr>
            <w:tcW w:w="1417" w:type="dxa"/>
            <w:vAlign w:val="bottom"/>
          </w:tcPr>
          <w:p w:rsidR="009E6AD4" w:rsidRPr="00D00722" w:rsidRDefault="00025119" w:rsidP="00FF1BDE">
            <w:pPr>
              <w:autoSpaceDE w:val="0"/>
              <w:autoSpaceDN w:val="0"/>
              <w:adjustRightInd w:val="0"/>
              <w:jc w:val="right"/>
              <w:rPr>
                <w:rFonts w:ascii="Arial" w:hAnsi="Arial" w:cs="Arial"/>
                <w:b/>
                <w:bCs/>
                <w:color w:val="000000"/>
                <w:sz w:val="18"/>
                <w:szCs w:val="16"/>
              </w:rPr>
            </w:pPr>
            <w:r w:rsidRPr="00D00722">
              <w:rPr>
                <w:rFonts w:ascii="Arial" w:hAnsi="Arial" w:cs="Arial"/>
                <w:b/>
                <w:bCs/>
                <w:color w:val="000000"/>
                <w:sz w:val="18"/>
                <w:szCs w:val="16"/>
              </w:rPr>
              <w:t>(57.</w:t>
            </w:r>
            <w:r w:rsidR="00FF1BDE" w:rsidRPr="00D00722">
              <w:rPr>
                <w:rFonts w:ascii="Arial" w:hAnsi="Arial" w:cs="Arial"/>
                <w:b/>
                <w:bCs/>
                <w:color w:val="000000"/>
                <w:sz w:val="18"/>
                <w:szCs w:val="16"/>
              </w:rPr>
              <w:t>801</w:t>
            </w:r>
            <w:r w:rsidRPr="00D00722">
              <w:rPr>
                <w:rFonts w:ascii="Arial" w:hAnsi="Arial" w:cs="Arial"/>
                <w:b/>
                <w:bCs/>
                <w:color w:val="000000"/>
                <w:sz w:val="18"/>
                <w:szCs w:val="16"/>
              </w:rPr>
              <w:t>)</w:t>
            </w:r>
          </w:p>
        </w:tc>
        <w:tc>
          <w:tcPr>
            <w:tcW w:w="1559" w:type="dxa"/>
            <w:vAlign w:val="bottom"/>
          </w:tcPr>
          <w:p w:rsidR="009E6AD4" w:rsidRPr="00D00722" w:rsidRDefault="003F557C" w:rsidP="003F557C">
            <w:pPr>
              <w:autoSpaceDE w:val="0"/>
              <w:autoSpaceDN w:val="0"/>
              <w:adjustRightInd w:val="0"/>
              <w:jc w:val="right"/>
              <w:rPr>
                <w:rFonts w:ascii="Arial" w:hAnsi="Arial" w:cs="Arial"/>
                <w:bCs/>
                <w:color w:val="000000"/>
                <w:sz w:val="18"/>
                <w:szCs w:val="16"/>
              </w:rPr>
            </w:pPr>
            <w:r w:rsidRPr="00D00722">
              <w:rPr>
                <w:rFonts w:ascii="Arial" w:hAnsi="Arial" w:cs="Arial"/>
                <w:bCs/>
                <w:color w:val="000000"/>
                <w:sz w:val="18"/>
                <w:szCs w:val="16"/>
              </w:rPr>
              <w:t>(4.842)</w:t>
            </w:r>
          </w:p>
        </w:tc>
      </w:tr>
      <w:tr w:rsidR="009E6AD4" w:rsidRPr="00D00722" w:rsidTr="00C917DA">
        <w:trPr>
          <w:trHeight w:val="113"/>
        </w:trPr>
        <w:tc>
          <w:tcPr>
            <w:tcW w:w="5245" w:type="dxa"/>
          </w:tcPr>
          <w:p w:rsidR="009E6AD4" w:rsidRPr="00D00722" w:rsidRDefault="00E15D5E" w:rsidP="00C917DA">
            <w:pPr>
              <w:autoSpaceDE w:val="0"/>
              <w:autoSpaceDN w:val="0"/>
              <w:adjustRightInd w:val="0"/>
              <w:ind w:right="-108" w:hanging="108"/>
              <w:rPr>
                <w:rFonts w:ascii="Arial" w:hAnsi="Arial" w:cs="Arial"/>
                <w:color w:val="000000"/>
                <w:sz w:val="18"/>
                <w:szCs w:val="16"/>
              </w:rPr>
            </w:pPr>
            <w:r w:rsidRPr="00D00722">
              <w:rPr>
                <w:rFonts w:ascii="Arial" w:hAnsi="Arial" w:cs="Arial"/>
                <w:color w:val="000000"/>
                <w:sz w:val="18"/>
                <w:szCs w:val="16"/>
              </w:rPr>
              <w:t>Gerçeğe uygun değer kayıp/kazançları ile ilgili düzeltmeler</w:t>
            </w:r>
          </w:p>
        </w:tc>
        <w:tc>
          <w:tcPr>
            <w:tcW w:w="851" w:type="dxa"/>
            <w:vAlign w:val="bottom"/>
          </w:tcPr>
          <w:p w:rsidR="009E6AD4" w:rsidRPr="00D00722" w:rsidRDefault="00E15D5E" w:rsidP="00C917DA">
            <w:pPr>
              <w:autoSpaceDE w:val="0"/>
              <w:autoSpaceDN w:val="0"/>
              <w:adjustRightInd w:val="0"/>
              <w:jc w:val="right"/>
              <w:rPr>
                <w:rFonts w:ascii="Arial" w:hAnsi="Arial" w:cs="Arial"/>
                <w:color w:val="000000"/>
                <w:sz w:val="18"/>
                <w:szCs w:val="16"/>
              </w:rPr>
            </w:pPr>
            <w:r w:rsidRPr="00D00722">
              <w:rPr>
                <w:rFonts w:ascii="Arial" w:hAnsi="Arial" w:cs="Arial"/>
                <w:color w:val="000000"/>
                <w:sz w:val="18"/>
                <w:szCs w:val="16"/>
              </w:rPr>
              <w:t>5</w:t>
            </w:r>
          </w:p>
        </w:tc>
        <w:tc>
          <w:tcPr>
            <w:tcW w:w="1417" w:type="dxa"/>
            <w:vAlign w:val="bottom"/>
          </w:tcPr>
          <w:p w:rsidR="009E6AD4" w:rsidRPr="00D00722" w:rsidRDefault="00FF1BDE" w:rsidP="00D1116C">
            <w:pPr>
              <w:autoSpaceDE w:val="0"/>
              <w:autoSpaceDN w:val="0"/>
              <w:adjustRightInd w:val="0"/>
              <w:jc w:val="right"/>
              <w:rPr>
                <w:rFonts w:ascii="Arial" w:hAnsi="Arial" w:cs="Arial"/>
                <w:b/>
                <w:bCs/>
                <w:color w:val="000000"/>
                <w:sz w:val="18"/>
                <w:szCs w:val="16"/>
              </w:rPr>
            </w:pPr>
            <w:r w:rsidRPr="00D00722">
              <w:rPr>
                <w:rFonts w:ascii="Arial" w:hAnsi="Arial" w:cs="Arial"/>
                <w:b/>
                <w:bCs/>
                <w:color w:val="000000"/>
                <w:sz w:val="18"/>
                <w:szCs w:val="16"/>
              </w:rPr>
              <w:t>(4.584)</w:t>
            </w:r>
          </w:p>
        </w:tc>
        <w:tc>
          <w:tcPr>
            <w:tcW w:w="1559" w:type="dxa"/>
            <w:vAlign w:val="bottom"/>
          </w:tcPr>
          <w:p w:rsidR="009E6AD4" w:rsidRPr="00D00722" w:rsidRDefault="003F557C" w:rsidP="003F557C">
            <w:pPr>
              <w:autoSpaceDE w:val="0"/>
              <w:autoSpaceDN w:val="0"/>
              <w:adjustRightInd w:val="0"/>
              <w:jc w:val="right"/>
              <w:rPr>
                <w:rFonts w:ascii="Arial" w:hAnsi="Arial" w:cs="Arial"/>
                <w:bCs/>
                <w:color w:val="000000"/>
                <w:sz w:val="18"/>
                <w:szCs w:val="16"/>
              </w:rPr>
            </w:pPr>
            <w:r w:rsidRPr="00D00722">
              <w:rPr>
                <w:rFonts w:ascii="Arial" w:hAnsi="Arial" w:cs="Arial"/>
                <w:bCs/>
                <w:color w:val="000000"/>
                <w:sz w:val="18"/>
                <w:szCs w:val="16"/>
              </w:rPr>
              <w:t>-</w:t>
            </w:r>
          </w:p>
        </w:tc>
      </w:tr>
      <w:tr w:rsidR="009E6AD4" w:rsidRPr="00D00722" w:rsidTr="00963D76">
        <w:trPr>
          <w:trHeight w:val="113"/>
        </w:trPr>
        <w:tc>
          <w:tcPr>
            <w:tcW w:w="5245" w:type="dxa"/>
          </w:tcPr>
          <w:p w:rsidR="009E6AD4" w:rsidRPr="00D00722" w:rsidRDefault="009E6AD4" w:rsidP="00C917DA">
            <w:pPr>
              <w:autoSpaceDE w:val="0"/>
              <w:autoSpaceDN w:val="0"/>
              <w:adjustRightInd w:val="0"/>
              <w:ind w:right="-108" w:hanging="108"/>
              <w:rPr>
                <w:rFonts w:ascii="Arial" w:hAnsi="Arial" w:cs="Arial"/>
                <w:color w:val="000000"/>
                <w:sz w:val="18"/>
                <w:szCs w:val="16"/>
              </w:rPr>
            </w:pPr>
          </w:p>
        </w:tc>
        <w:tc>
          <w:tcPr>
            <w:tcW w:w="851" w:type="dxa"/>
            <w:vAlign w:val="bottom"/>
          </w:tcPr>
          <w:p w:rsidR="009E6AD4" w:rsidRPr="00D00722" w:rsidRDefault="009E6AD4" w:rsidP="00C917DA">
            <w:pPr>
              <w:autoSpaceDE w:val="0"/>
              <w:autoSpaceDN w:val="0"/>
              <w:adjustRightInd w:val="0"/>
              <w:jc w:val="right"/>
              <w:rPr>
                <w:rFonts w:ascii="Arial" w:hAnsi="Arial" w:cs="Arial"/>
                <w:color w:val="000000"/>
                <w:sz w:val="18"/>
                <w:szCs w:val="16"/>
              </w:rPr>
            </w:pPr>
          </w:p>
        </w:tc>
        <w:tc>
          <w:tcPr>
            <w:tcW w:w="1417" w:type="dxa"/>
            <w:vAlign w:val="bottom"/>
          </w:tcPr>
          <w:p w:rsidR="009E6AD4" w:rsidRPr="00D00722" w:rsidRDefault="009E6AD4" w:rsidP="00C917DA">
            <w:pPr>
              <w:autoSpaceDE w:val="0"/>
              <w:autoSpaceDN w:val="0"/>
              <w:adjustRightInd w:val="0"/>
              <w:jc w:val="right"/>
              <w:rPr>
                <w:rFonts w:ascii="Arial" w:hAnsi="Arial" w:cs="Arial"/>
                <w:b/>
                <w:bCs/>
                <w:color w:val="000000"/>
                <w:sz w:val="18"/>
                <w:szCs w:val="16"/>
              </w:rPr>
            </w:pPr>
          </w:p>
        </w:tc>
        <w:tc>
          <w:tcPr>
            <w:tcW w:w="1559" w:type="dxa"/>
            <w:vAlign w:val="bottom"/>
          </w:tcPr>
          <w:p w:rsidR="009E6AD4" w:rsidRPr="00D00722" w:rsidRDefault="009E6AD4" w:rsidP="009E6AD4">
            <w:pPr>
              <w:autoSpaceDE w:val="0"/>
              <w:autoSpaceDN w:val="0"/>
              <w:adjustRightInd w:val="0"/>
              <w:jc w:val="right"/>
              <w:rPr>
                <w:rFonts w:ascii="Arial" w:hAnsi="Arial" w:cs="Arial"/>
                <w:bCs/>
                <w:color w:val="000000"/>
                <w:sz w:val="18"/>
                <w:szCs w:val="16"/>
              </w:rPr>
            </w:pPr>
          </w:p>
        </w:tc>
      </w:tr>
      <w:tr w:rsidR="009E6AD4" w:rsidRPr="00D00722" w:rsidTr="00963D76">
        <w:trPr>
          <w:trHeight w:val="113"/>
        </w:trPr>
        <w:tc>
          <w:tcPr>
            <w:tcW w:w="5245" w:type="dxa"/>
          </w:tcPr>
          <w:p w:rsidR="009E6AD4" w:rsidRPr="00D00722" w:rsidRDefault="009E6AD4" w:rsidP="00C917DA">
            <w:pPr>
              <w:autoSpaceDE w:val="0"/>
              <w:autoSpaceDN w:val="0"/>
              <w:adjustRightInd w:val="0"/>
              <w:ind w:right="-108" w:hanging="108"/>
              <w:rPr>
                <w:rFonts w:ascii="Arial" w:hAnsi="Arial" w:cs="Arial"/>
                <w:b/>
                <w:bCs/>
                <w:color w:val="000000"/>
                <w:sz w:val="18"/>
                <w:szCs w:val="16"/>
              </w:rPr>
            </w:pPr>
            <w:r w:rsidRPr="00D00722">
              <w:rPr>
                <w:rFonts w:ascii="Arial" w:hAnsi="Arial" w:cs="Arial"/>
                <w:b/>
                <w:bCs/>
                <w:color w:val="000000"/>
                <w:sz w:val="18"/>
                <w:szCs w:val="16"/>
              </w:rPr>
              <w:t>İşletme sermayesinde</w:t>
            </w:r>
            <w:r w:rsidR="00963D76" w:rsidRPr="00D00722">
              <w:rPr>
                <w:rFonts w:ascii="Arial" w:hAnsi="Arial" w:cs="Arial"/>
                <w:b/>
                <w:bCs/>
                <w:color w:val="000000"/>
                <w:sz w:val="18"/>
                <w:szCs w:val="16"/>
              </w:rPr>
              <w:t xml:space="preserve"> gerçekleşen değişimler</w:t>
            </w:r>
          </w:p>
        </w:tc>
        <w:tc>
          <w:tcPr>
            <w:tcW w:w="851" w:type="dxa"/>
            <w:vAlign w:val="bottom"/>
          </w:tcPr>
          <w:p w:rsidR="009E6AD4" w:rsidRPr="00D00722" w:rsidRDefault="009E6AD4" w:rsidP="00C917DA">
            <w:pPr>
              <w:autoSpaceDE w:val="0"/>
              <w:autoSpaceDN w:val="0"/>
              <w:adjustRightInd w:val="0"/>
              <w:jc w:val="right"/>
              <w:rPr>
                <w:rFonts w:ascii="Arial" w:hAnsi="Arial" w:cs="Arial"/>
                <w:b/>
                <w:bCs/>
                <w:color w:val="000000"/>
                <w:sz w:val="18"/>
                <w:szCs w:val="16"/>
              </w:rPr>
            </w:pPr>
          </w:p>
        </w:tc>
        <w:tc>
          <w:tcPr>
            <w:tcW w:w="1417" w:type="dxa"/>
            <w:vAlign w:val="bottom"/>
          </w:tcPr>
          <w:p w:rsidR="009E6AD4" w:rsidRPr="00D00722" w:rsidRDefault="009E6AD4" w:rsidP="00E755E9">
            <w:pPr>
              <w:autoSpaceDE w:val="0"/>
              <w:autoSpaceDN w:val="0"/>
              <w:adjustRightInd w:val="0"/>
              <w:jc w:val="right"/>
              <w:rPr>
                <w:rFonts w:ascii="Arial" w:hAnsi="Arial" w:cs="Arial"/>
                <w:b/>
                <w:bCs/>
                <w:color w:val="000000"/>
                <w:sz w:val="18"/>
                <w:szCs w:val="16"/>
              </w:rPr>
            </w:pPr>
          </w:p>
        </w:tc>
        <w:tc>
          <w:tcPr>
            <w:tcW w:w="1559" w:type="dxa"/>
            <w:vAlign w:val="bottom"/>
          </w:tcPr>
          <w:p w:rsidR="009E6AD4" w:rsidRPr="00D00722" w:rsidRDefault="009E6AD4" w:rsidP="009E6AD4">
            <w:pPr>
              <w:autoSpaceDE w:val="0"/>
              <w:autoSpaceDN w:val="0"/>
              <w:adjustRightInd w:val="0"/>
              <w:jc w:val="right"/>
              <w:rPr>
                <w:rFonts w:ascii="Arial" w:hAnsi="Arial" w:cs="Arial"/>
                <w:bCs/>
                <w:color w:val="000000"/>
                <w:sz w:val="18"/>
                <w:szCs w:val="16"/>
              </w:rPr>
            </w:pPr>
          </w:p>
        </w:tc>
      </w:tr>
      <w:tr w:rsidR="009E6AD4" w:rsidRPr="00D00722" w:rsidTr="00963D76">
        <w:trPr>
          <w:trHeight w:val="113"/>
        </w:trPr>
        <w:tc>
          <w:tcPr>
            <w:tcW w:w="5245" w:type="dxa"/>
          </w:tcPr>
          <w:p w:rsidR="009E6AD4" w:rsidRPr="00D00722" w:rsidRDefault="009E6AD4" w:rsidP="00C917DA">
            <w:pPr>
              <w:autoSpaceDE w:val="0"/>
              <w:autoSpaceDN w:val="0"/>
              <w:adjustRightInd w:val="0"/>
              <w:ind w:right="-108" w:hanging="108"/>
              <w:rPr>
                <w:rFonts w:ascii="Arial" w:hAnsi="Arial" w:cs="Arial"/>
                <w:b/>
                <w:bCs/>
                <w:color w:val="000000"/>
                <w:sz w:val="18"/>
                <w:szCs w:val="16"/>
              </w:rPr>
            </w:pPr>
          </w:p>
        </w:tc>
        <w:tc>
          <w:tcPr>
            <w:tcW w:w="851" w:type="dxa"/>
            <w:vAlign w:val="bottom"/>
          </w:tcPr>
          <w:p w:rsidR="009E6AD4" w:rsidRPr="00D00722" w:rsidRDefault="009E6AD4" w:rsidP="00C917DA">
            <w:pPr>
              <w:autoSpaceDE w:val="0"/>
              <w:autoSpaceDN w:val="0"/>
              <w:adjustRightInd w:val="0"/>
              <w:jc w:val="right"/>
              <w:rPr>
                <w:rFonts w:ascii="Arial" w:hAnsi="Arial" w:cs="Arial"/>
                <w:b/>
                <w:bCs/>
                <w:color w:val="000000"/>
                <w:sz w:val="18"/>
                <w:szCs w:val="16"/>
              </w:rPr>
            </w:pPr>
          </w:p>
        </w:tc>
        <w:tc>
          <w:tcPr>
            <w:tcW w:w="1417" w:type="dxa"/>
            <w:vAlign w:val="bottom"/>
          </w:tcPr>
          <w:p w:rsidR="009E6AD4" w:rsidRPr="00D00722" w:rsidRDefault="009E6AD4" w:rsidP="00C917DA">
            <w:pPr>
              <w:autoSpaceDE w:val="0"/>
              <w:autoSpaceDN w:val="0"/>
              <w:adjustRightInd w:val="0"/>
              <w:jc w:val="right"/>
              <w:rPr>
                <w:rFonts w:ascii="Arial" w:hAnsi="Arial" w:cs="Arial"/>
                <w:b/>
                <w:bCs/>
                <w:color w:val="000000"/>
                <w:sz w:val="18"/>
                <w:szCs w:val="16"/>
              </w:rPr>
            </w:pPr>
          </w:p>
        </w:tc>
        <w:tc>
          <w:tcPr>
            <w:tcW w:w="1559" w:type="dxa"/>
            <w:vAlign w:val="bottom"/>
          </w:tcPr>
          <w:p w:rsidR="009E6AD4" w:rsidRPr="00D00722" w:rsidRDefault="009E6AD4" w:rsidP="009E6AD4">
            <w:pPr>
              <w:autoSpaceDE w:val="0"/>
              <w:autoSpaceDN w:val="0"/>
              <w:adjustRightInd w:val="0"/>
              <w:jc w:val="right"/>
              <w:rPr>
                <w:rFonts w:ascii="Arial" w:hAnsi="Arial" w:cs="Arial"/>
                <w:bCs/>
                <w:color w:val="000000"/>
                <w:sz w:val="18"/>
                <w:szCs w:val="16"/>
              </w:rPr>
            </w:pPr>
          </w:p>
        </w:tc>
      </w:tr>
      <w:tr w:rsidR="009E6AD4" w:rsidRPr="00D00722" w:rsidTr="00C917DA">
        <w:trPr>
          <w:trHeight w:val="113"/>
        </w:trPr>
        <w:tc>
          <w:tcPr>
            <w:tcW w:w="5245" w:type="dxa"/>
          </w:tcPr>
          <w:p w:rsidR="009E6AD4" w:rsidRPr="00D00722" w:rsidRDefault="009E6AD4" w:rsidP="00E755E9">
            <w:pPr>
              <w:autoSpaceDE w:val="0"/>
              <w:autoSpaceDN w:val="0"/>
              <w:adjustRightInd w:val="0"/>
              <w:ind w:right="-108" w:hanging="108"/>
              <w:rPr>
                <w:rFonts w:ascii="Arial" w:hAnsi="Arial" w:cs="Arial"/>
                <w:color w:val="000000"/>
                <w:sz w:val="18"/>
                <w:szCs w:val="16"/>
              </w:rPr>
            </w:pPr>
            <w:r w:rsidRPr="00D00722">
              <w:rPr>
                <w:rFonts w:ascii="Arial" w:hAnsi="Arial" w:cs="Arial"/>
                <w:color w:val="000000"/>
                <w:sz w:val="18"/>
                <w:szCs w:val="16"/>
              </w:rPr>
              <w:t>Tica</w:t>
            </w:r>
            <w:r w:rsidR="00546C09" w:rsidRPr="00D00722">
              <w:rPr>
                <w:rFonts w:ascii="Arial" w:hAnsi="Arial" w:cs="Arial"/>
                <w:color w:val="000000"/>
                <w:sz w:val="18"/>
                <w:szCs w:val="16"/>
              </w:rPr>
              <w:t>ri alacaklardaki değişim</w:t>
            </w:r>
          </w:p>
        </w:tc>
        <w:tc>
          <w:tcPr>
            <w:tcW w:w="851" w:type="dxa"/>
            <w:vAlign w:val="bottom"/>
          </w:tcPr>
          <w:p w:rsidR="009E6AD4" w:rsidRPr="00D00722" w:rsidRDefault="009E6AD4" w:rsidP="00C917DA">
            <w:pPr>
              <w:autoSpaceDE w:val="0"/>
              <w:autoSpaceDN w:val="0"/>
              <w:adjustRightInd w:val="0"/>
              <w:jc w:val="right"/>
              <w:rPr>
                <w:rFonts w:ascii="Arial" w:hAnsi="Arial" w:cs="Arial"/>
                <w:color w:val="000000"/>
                <w:sz w:val="18"/>
                <w:szCs w:val="16"/>
              </w:rPr>
            </w:pPr>
          </w:p>
        </w:tc>
        <w:tc>
          <w:tcPr>
            <w:tcW w:w="1417" w:type="dxa"/>
            <w:vAlign w:val="bottom"/>
          </w:tcPr>
          <w:p w:rsidR="009E6AD4" w:rsidRPr="00D00722" w:rsidRDefault="00204280" w:rsidP="00C917DA">
            <w:pPr>
              <w:autoSpaceDE w:val="0"/>
              <w:autoSpaceDN w:val="0"/>
              <w:adjustRightInd w:val="0"/>
              <w:jc w:val="right"/>
              <w:rPr>
                <w:rFonts w:ascii="Arial" w:hAnsi="Arial" w:cs="Arial"/>
                <w:b/>
                <w:bCs/>
                <w:color w:val="000000"/>
                <w:sz w:val="18"/>
                <w:szCs w:val="16"/>
              </w:rPr>
            </w:pPr>
            <w:r w:rsidRPr="00D00722">
              <w:rPr>
                <w:rFonts w:ascii="Arial" w:hAnsi="Arial" w:cs="Arial"/>
                <w:b/>
                <w:bCs/>
                <w:color w:val="000000"/>
                <w:sz w:val="18"/>
                <w:szCs w:val="16"/>
              </w:rPr>
              <w:t>(3.500)</w:t>
            </w:r>
          </w:p>
        </w:tc>
        <w:tc>
          <w:tcPr>
            <w:tcW w:w="1559" w:type="dxa"/>
            <w:vAlign w:val="bottom"/>
          </w:tcPr>
          <w:p w:rsidR="009E6AD4" w:rsidRPr="00D00722" w:rsidRDefault="002D55BD" w:rsidP="002D55BD">
            <w:pPr>
              <w:autoSpaceDE w:val="0"/>
              <w:autoSpaceDN w:val="0"/>
              <w:adjustRightInd w:val="0"/>
              <w:jc w:val="right"/>
              <w:rPr>
                <w:rFonts w:ascii="Arial" w:hAnsi="Arial" w:cs="Arial"/>
                <w:bCs/>
                <w:color w:val="000000"/>
                <w:sz w:val="18"/>
                <w:szCs w:val="16"/>
              </w:rPr>
            </w:pPr>
            <w:r w:rsidRPr="00D00722">
              <w:rPr>
                <w:rFonts w:ascii="Arial" w:hAnsi="Arial" w:cs="Arial"/>
                <w:bCs/>
                <w:color w:val="000000"/>
                <w:sz w:val="18"/>
                <w:szCs w:val="16"/>
              </w:rPr>
              <w:t>(202.206)</w:t>
            </w:r>
          </w:p>
        </w:tc>
      </w:tr>
      <w:tr w:rsidR="009E6AD4" w:rsidRPr="00D00722" w:rsidTr="00C917DA">
        <w:trPr>
          <w:trHeight w:val="113"/>
        </w:trPr>
        <w:tc>
          <w:tcPr>
            <w:tcW w:w="5245" w:type="dxa"/>
          </w:tcPr>
          <w:p w:rsidR="009E6AD4" w:rsidRPr="00D00722" w:rsidRDefault="00546C09" w:rsidP="00E755E9">
            <w:pPr>
              <w:autoSpaceDE w:val="0"/>
              <w:autoSpaceDN w:val="0"/>
              <w:adjustRightInd w:val="0"/>
              <w:ind w:right="-108" w:hanging="108"/>
              <w:rPr>
                <w:rFonts w:ascii="Arial" w:hAnsi="Arial" w:cs="Arial"/>
                <w:color w:val="000000"/>
                <w:sz w:val="18"/>
                <w:szCs w:val="16"/>
              </w:rPr>
            </w:pPr>
            <w:r w:rsidRPr="00D00722">
              <w:rPr>
                <w:rFonts w:ascii="Arial" w:hAnsi="Arial" w:cs="Arial"/>
                <w:color w:val="000000"/>
                <w:sz w:val="18"/>
                <w:szCs w:val="16"/>
              </w:rPr>
              <w:t>Faaliyetlerle ilgili diğer alacaklardaki (artış)/ azalış</w:t>
            </w:r>
          </w:p>
        </w:tc>
        <w:tc>
          <w:tcPr>
            <w:tcW w:w="851" w:type="dxa"/>
            <w:vAlign w:val="bottom"/>
          </w:tcPr>
          <w:p w:rsidR="009E6AD4" w:rsidRPr="00D00722" w:rsidRDefault="009E6AD4" w:rsidP="00C917DA">
            <w:pPr>
              <w:autoSpaceDE w:val="0"/>
              <w:autoSpaceDN w:val="0"/>
              <w:adjustRightInd w:val="0"/>
              <w:jc w:val="right"/>
              <w:rPr>
                <w:rFonts w:ascii="Arial" w:hAnsi="Arial" w:cs="Arial"/>
                <w:color w:val="000000"/>
                <w:sz w:val="18"/>
                <w:szCs w:val="16"/>
              </w:rPr>
            </w:pPr>
          </w:p>
        </w:tc>
        <w:tc>
          <w:tcPr>
            <w:tcW w:w="1417" w:type="dxa"/>
            <w:vAlign w:val="bottom"/>
          </w:tcPr>
          <w:p w:rsidR="009E6AD4" w:rsidRPr="00D00722" w:rsidRDefault="00204280" w:rsidP="00340FFE">
            <w:pPr>
              <w:autoSpaceDE w:val="0"/>
              <w:autoSpaceDN w:val="0"/>
              <w:adjustRightInd w:val="0"/>
              <w:jc w:val="right"/>
              <w:rPr>
                <w:rFonts w:ascii="Arial" w:hAnsi="Arial" w:cs="Arial"/>
                <w:b/>
                <w:bCs/>
                <w:color w:val="000000"/>
                <w:sz w:val="18"/>
                <w:szCs w:val="16"/>
              </w:rPr>
            </w:pPr>
            <w:r w:rsidRPr="00D00722">
              <w:rPr>
                <w:rFonts w:ascii="Arial" w:hAnsi="Arial" w:cs="Arial"/>
                <w:b/>
                <w:bCs/>
                <w:color w:val="000000"/>
                <w:sz w:val="18"/>
                <w:szCs w:val="16"/>
              </w:rPr>
              <w:t>(36.263)</w:t>
            </w:r>
          </w:p>
        </w:tc>
        <w:tc>
          <w:tcPr>
            <w:tcW w:w="1559" w:type="dxa"/>
            <w:vAlign w:val="bottom"/>
          </w:tcPr>
          <w:p w:rsidR="009E6AD4" w:rsidRPr="00D00722" w:rsidRDefault="002D55BD" w:rsidP="009E6AD4">
            <w:pPr>
              <w:autoSpaceDE w:val="0"/>
              <w:autoSpaceDN w:val="0"/>
              <w:adjustRightInd w:val="0"/>
              <w:jc w:val="right"/>
              <w:rPr>
                <w:rFonts w:ascii="Arial" w:hAnsi="Arial" w:cs="Arial"/>
                <w:bCs/>
                <w:color w:val="000000"/>
                <w:sz w:val="18"/>
                <w:szCs w:val="16"/>
              </w:rPr>
            </w:pPr>
            <w:r w:rsidRPr="00D00722">
              <w:rPr>
                <w:rFonts w:ascii="Arial" w:hAnsi="Arial" w:cs="Arial"/>
                <w:bCs/>
                <w:color w:val="000000"/>
                <w:sz w:val="18"/>
                <w:szCs w:val="16"/>
              </w:rPr>
              <w:t>(32.670)</w:t>
            </w:r>
          </w:p>
        </w:tc>
      </w:tr>
      <w:tr w:rsidR="009E6AD4" w:rsidRPr="00D00722" w:rsidTr="00C917DA">
        <w:trPr>
          <w:trHeight w:val="113"/>
        </w:trPr>
        <w:tc>
          <w:tcPr>
            <w:tcW w:w="5245" w:type="dxa"/>
          </w:tcPr>
          <w:p w:rsidR="009E6AD4" w:rsidRPr="00D00722" w:rsidRDefault="009E6AD4" w:rsidP="00C917DA">
            <w:pPr>
              <w:autoSpaceDE w:val="0"/>
              <w:autoSpaceDN w:val="0"/>
              <w:adjustRightInd w:val="0"/>
              <w:ind w:right="-108" w:hanging="108"/>
              <w:rPr>
                <w:rFonts w:ascii="Arial" w:hAnsi="Arial" w:cs="Arial"/>
                <w:color w:val="000000"/>
                <w:sz w:val="18"/>
                <w:szCs w:val="16"/>
              </w:rPr>
            </w:pPr>
            <w:r w:rsidRPr="00D00722">
              <w:rPr>
                <w:rFonts w:ascii="Arial" w:hAnsi="Arial" w:cs="Arial"/>
                <w:color w:val="000000"/>
                <w:sz w:val="18"/>
                <w:szCs w:val="16"/>
              </w:rPr>
              <w:t>Ticari borçlard</w:t>
            </w:r>
            <w:r w:rsidR="00546C09" w:rsidRPr="00D00722">
              <w:rPr>
                <w:rFonts w:ascii="Arial" w:hAnsi="Arial" w:cs="Arial"/>
                <w:color w:val="000000"/>
                <w:sz w:val="18"/>
                <w:szCs w:val="16"/>
              </w:rPr>
              <w:t>aki değişim</w:t>
            </w:r>
          </w:p>
        </w:tc>
        <w:tc>
          <w:tcPr>
            <w:tcW w:w="851" w:type="dxa"/>
            <w:vAlign w:val="bottom"/>
          </w:tcPr>
          <w:p w:rsidR="009E6AD4" w:rsidRPr="00D00722" w:rsidRDefault="009E6AD4" w:rsidP="00C917DA">
            <w:pPr>
              <w:autoSpaceDE w:val="0"/>
              <w:autoSpaceDN w:val="0"/>
              <w:adjustRightInd w:val="0"/>
              <w:jc w:val="right"/>
              <w:rPr>
                <w:rFonts w:ascii="Arial" w:hAnsi="Arial" w:cs="Arial"/>
                <w:color w:val="000000"/>
                <w:sz w:val="18"/>
                <w:szCs w:val="16"/>
              </w:rPr>
            </w:pPr>
          </w:p>
        </w:tc>
        <w:tc>
          <w:tcPr>
            <w:tcW w:w="1417" w:type="dxa"/>
            <w:vAlign w:val="bottom"/>
          </w:tcPr>
          <w:p w:rsidR="009E6AD4" w:rsidRPr="00D00722" w:rsidRDefault="00204280" w:rsidP="00C917DA">
            <w:pPr>
              <w:autoSpaceDE w:val="0"/>
              <w:autoSpaceDN w:val="0"/>
              <w:adjustRightInd w:val="0"/>
              <w:jc w:val="right"/>
              <w:rPr>
                <w:rFonts w:ascii="Arial" w:hAnsi="Arial" w:cs="Arial"/>
                <w:b/>
                <w:bCs/>
                <w:color w:val="000000"/>
                <w:sz w:val="18"/>
                <w:szCs w:val="16"/>
              </w:rPr>
            </w:pPr>
            <w:r w:rsidRPr="00D00722">
              <w:rPr>
                <w:rFonts w:ascii="Arial" w:hAnsi="Arial" w:cs="Arial"/>
                <w:b/>
                <w:bCs/>
                <w:color w:val="000000"/>
                <w:sz w:val="18"/>
                <w:szCs w:val="16"/>
              </w:rPr>
              <w:t>(29.947)</w:t>
            </w:r>
          </w:p>
        </w:tc>
        <w:tc>
          <w:tcPr>
            <w:tcW w:w="1559" w:type="dxa"/>
            <w:vAlign w:val="bottom"/>
          </w:tcPr>
          <w:p w:rsidR="009E6AD4" w:rsidRPr="00D00722" w:rsidRDefault="002D55BD" w:rsidP="009E6AD4">
            <w:pPr>
              <w:autoSpaceDE w:val="0"/>
              <w:autoSpaceDN w:val="0"/>
              <w:adjustRightInd w:val="0"/>
              <w:jc w:val="right"/>
              <w:rPr>
                <w:rFonts w:ascii="Arial" w:hAnsi="Arial" w:cs="Arial"/>
                <w:bCs/>
                <w:color w:val="000000"/>
                <w:sz w:val="18"/>
                <w:szCs w:val="16"/>
              </w:rPr>
            </w:pPr>
            <w:r w:rsidRPr="00D00722">
              <w:rPr>
                <w:rFonts w:ascii="Arial" w:hAnsi="Arial" w:cs="Arial"/>
                <w:bCs/>
                <w:color w:val="000000"/>
                <w:sz w:val="18"/>
                <w:szCs w:val="16"/>
              </w:rPr>
              <w:t>6.921</w:t>
            </w:r>
          </w:p>
        </w:tc>
      </w:tr>
      <w:tr w:rsidR="009E6AD4" w:rsidRPr="00D00722" w:rsidTr="00C917DA">
        <w:trPr>
          <w:trHeight w:val="113"/>
        </w:trPr>
        <w:tc>
          <w:tcPr>
            <w:tcW w:w="5245" w:type="dxa"/>
          </w:tcPr>
          <w:p w:rsidR="009E6AD4" w:rsidRPr="00D00722" w:rsidRDefault="00546C09" w:rsidP="00C917DA">
            <w:pPr>
              <w:autoSpaceDE w:val="0"/>
              <w:autoSpaceDN w:val="0"/>
              <w:adjustRightInd w:val="0"/>
              <w:ind w:right="-108" w:hanging="108"/>
              <w:rPr>
                <w:rFonts w:ascii="Arial" w:hAnsi="Arial" w:cs="Arial"/>
                <w:color w:val="000000"/>
                <w:sz w:val="18"/>
                <w:szCs w:val="16"/>
              </w:rPr>
            </w:pPr>
            <w:r w:rsidRPr="00D00722">
              <w:rPr>
                <w:rFonts w:ascii="Arial" w:hAnsi="Arial" w:cs="Arial"/>
                <w:color w:val="000000"/>
                <w:sz w:val="18"/>
                <w:szCs w:val="16"/>
              </w:rPr>
              <w:t>Faaliyetlerle ilgili diğer borçlardaki artış/ (azalış)</w:t>
            </w:r>
          </w:p>
        </w:tc>
        <w:tc>
          <w:tcPr>
            <w:tcW w:w="851" w:type="dxa"/>
            <w:vAlign w:val="bottom"/>
          </w:tcPr>
          <w:p w:rsidR="009E6AD4" w:rsidRPr="00D00722" w:rsidRDefault="009E6AD4" w:rsidP="00C917DA">
            <w:pPr>
              <w:autoSpaceDE w:val="0"/>
              <w:autoSpaceDN w:val="0"/>
              <w:adjustRightInd w:val="0"/>
              <w:jc w:val="right"/>
              <w:rPr>
                <w:rFonts w:ascii="Arial" w:hAnsi="Arial" w:cs="Arial"/>
                <w:color w:val="000000"/>
                <w:sz w:val="18"/>
                <w:szCs w:val="16"/>
              </w:rPr>
            </w:pPr>
          </w:p>
        </w:tc>
        <w:tc>
          <w:tcPr>
            <w:tcW w:w="1417" w:type="dxa"/>
            <w:vAlign w:val="bottom"/>
          </w:tcPr>
          <w:p w:rsidR="009E6AD4" w:rsidRPr="00D00722" w:rsidRDefault="00204280" w:rsidP="00FF1BDE">
            <w:pPr>
              <w:autoSpaceDE w:val="0"/>
              <w:autoSpaceDN w:val="0"/>
              <w:adjustRightInd w:val="0"/>
              <w:jc w:val="right"/>
              <w:rPr>
                <w:rFonts w:ascii="Arial" w:hAnsi="Arial" w:cs="Arial"/>
                <w:b/>
                <w:bCs/>
                <w:color w:val="000000"/>
                <w:sz w:val="18"/>
                <w:szCs w:val="16"/>
              </w:rPr>
            </w:pPr>
            <w:r w:rsidRPr="00D00722">
              <w:rPr>
                <w:rFonts w:ascii="Arial" w:hAnsi="Arial" w:cs="Arial"/>
                <w:b/>
                <w:bCs/>
                <w:color w:val="000000"/>
                <w:sz w:val="18"/>
                <w:szCs w:val="16"/>
              </w:rPr>
              <w:t>(5.79</w:t>
            </w:r>
            <w:r w:rsidR="00FF1BDE" w:rsidRPr="00D00722">
              <w:rPr>
                <w:rFonts w:ascii="Arial" w:hAnsi="Arial" w:cs="Arial"/>
                <w:b/>
                <w:bCs/>
                <w:color w:val="000000"/>
                <w:sz w:val="18"/>
                <w:szCs w:val="16"/>
              </w:rPr>
              <w:t>7</w:t>
            </w:r>
            <w:r w:rsidRPr="00D00722">
              <w:rPr>
                <w:rFonts w:ascii="Arial" w:hAnsi="Arial" w:cs="Arial"/>
                <w:b/>
                <w:bCs/>
                <w:color w:val="000000"/>
                <w:sz w:val="18"/>
                <w:szCs w:val="16"/>
              </w:rPr>
              <w:t>)</w:t>
            </w:r>
          </w:p>
        </w:tc>
        <w:tc>
          <w:tcPr>
            <w:tcW w:w="1559" w:type="dxa"/>
            <w:vAlign w:val="bottom"/>
          </w:tcPr>
          <w:p w:rsidR="009E6AD4" w:rsidRPr="00D00722" w:rsidRDefault="002D55BD" w:rsidP="009E6AD4">
            <w:pPr>
              <w:autoSpaceDE w:val="0"/>
              <w:autoSpaceDN w:val="0"/>
              <w:adjustRightInd w:val="0"/>
              <w:jc w:val="right"/>
              <w:rPr>
                <w:rFonts w:ascii="Arial" w:hAnsi="Arial" w:cs="Arial"/>
                <w:bCs/>
                <w:color w:val="000000"/>
                <w:sz w:val="18"/>
                <w:szCs w:val="16"/>
              </w:rPr>
            </w:pPr>
            <w:r w:rsidRPr="00D00722">
              <w:rPr>
                <w:rFonts w:ascii="Arial" w:hAnsi="Arial" w:cs="Arial"/>
                <w:bCs/>
                <w:color w:val="000000"/>
                <w:sz w:val="18"/>
                <w:szCs w:val="16"/>
              </w:rPr>
              <w:t>(1.021)</w:t>
            </w:r>
          </w:p>
        </w:tc>
      </w:tr>
      <w:tr w:rsidR="009E6AD4" w:rsidRPr="00D00722" w:rsidTr="00C917DA">
        <w:trPr>
          <w:trHeight w:val="113"/>
        </w:trPr>
        <w:tc>
          <w:tcPr>
            <w:tcW w:w="5245" w:type="dxa"/>
            <w:tcBorders>
              <w:bottom w:val="single" w:sz="2" w:space="0" w:color="000000"/>
            </w:tcBorders>
          </w:tcPr>
          <w:p w:rsidR="009E6AD4" w:rsidRPr="00D00722" w:rsidRDefault="009E6AD4" w:rsidP="00C917DA">
            <w:pPr>
              <w:autoSpaceDE w:val="0"/>
              <w:autoSpaceDN w:val="0"/>
              <w:adjustRightInd w:val="0"/>
              <w:ind w:right="-108" w:hanging="108"/>
              <w:rPr>
                <w:rFonts w:ascii="Arial" w:hAnsi="Arial" w:cs="Arial"/>
                <w:color w:val="000000"/>
                <w:sz w:val="18"/>
                <w:szCs w:val="16"/>
              </w:rPr>
            </w:pPr>
          </w:p>
        </w:tc>
        <w:tc>
          <w:tcPr>
            <w:tcW w:w="851" w:type="dxa"/>
            <w:tcBorders>
              <w:bottom w:val="single" w:sz="2" w:space="0" w:color="000000"/>
            </w:tcBorders>
            <w:vAlign w:val="bottom"/>
          </w:tcPr>
          <w:p w:rsidR="009E6AD4" w:rsidRPr="00D00722" w:rsidRDefault="009E6AD4" w:rsidP="00C917DA">
            <w:pPr>
              <w:autoSpaceDE w:val="0"/>
              <w:autoSpaceDN w:val="0"/>
              <w:adjustRightInd w:val="0"/>
              <w:jc w:val="right"/>
              <w:rPr>
                <w:rFonts w:ascii="Arial" w:hAnsi="Arial" w:cs="Arial"/>
                <w:color w:val="000000"/>
                <w:sz w:val="18"/>
                <w:szCs w:val="16"/>
              </w:rPr>
            </w:pPr>
          </w:p>
        </w:tc>
        <w:tc>
          <w:tcPr>
            <w:tcW w:w="1417" w:type="dxa"/>
            <w:tcBorders>
              <w:bottom w:val="single" w:sz="2" w:space="0" w:color="000000"/>
            </w:tcBorders>
            <w:vAlign w:val="bottom"/>
          </w:tcPr>
          <w:p w:rsidR="009E6AD4" w:rsidRPr="00D00722" w:rsidRDefault="009E6AD4" w:rsidP="00C917DA">
            <w:pPr>
              <w:autoSpaceDE w:val="0"/>
              <w:autoSpaceDN w:val="0"/>
              <w:adjustRightInd w:val="0"/>
              <w:jc w:val="right"/>
              <w:rPr>
                <w:rFonts w:ascii="Arial" w:hAnsi="Arial" w:cs="Arial"/>
                <w:b/>
                <w:bCs/>
                <w:color w:val="000000"/>
                <w:sz w:val="18"/>
                <w:szCs w:val="16"/>
              </w:rPr>
            </w:pPr>
          </w:p>
        </w:tc>
        <w:tc>
          <w:tcPr>
            <w:tcW w:w="1559" w:type="dxa"/>
            <w:tcBorders>
              <w:bottom w:val="single" w:sz="2" w:space="0" w:color="000000"/>
            </w:tcBorders>
            <w:vAlign w:val="bottom"/>
          </w:tcPr>
          <w:p w:rsidR="009E6AD4" w:rsidRPr="00D00722" w:rsidRDefault="009E6AD4" w:rsidP="009E6AD4">
            <w:pPr>
              <w:autoSpaceDE w:val="0"/>
              <w:autoSpaceDN w:val="0"/>
              <w:adjustRightInd w:val="0"/>
              <w:jc w:val="right"/>
              <w:rPr>
                <w:rFonts w:ascii="Arial" w:hAnsi="Arial" w:cs="Arial"/>
                <w:bCs/>
                <w:color w:val="000000"/>
                <w:sz w:val="18"/>
                <w:szCs w:val="16"/>
              </w:rPr>
            </w:pPr>
          </w:p>
        </w:tc>
      </w:tr>
      <w:tr w:rsidR="009E6AD4" w:rsidRPr="00D00722" w:rsidTr="00C917DA">
        <w:trPr>
          <w:trHeight w:val="113"/>
        </w:trPr>
        <w:tc>
          <w:tcPr>
            <w:tcW w:w="5245" w:type="dxa"/>
            <w:tcBorders>
              <w:top w:val="single" w:sz="2" w:space="0" w:color="000000"/>
              <w:bottom w:val="single" w:sz="2" w:space="0" w:color="000000"/>
            </w:tcBorders>
          </w:tcPr>
          <w:p w:rsidR="009E6AD4" w:rsidRPr="00D00722" w:rsidRDefault="009E6AD4" w:rsidP="00C917DA">
            <w:pPr>
              <w:autoSpaceDE w:val="0"/>
              <w:autoSpaceDN w:val="0"/>
              <w:adjustRightInd w:val="0"/>
              <w:ind w:right="-108" w:hanging="108"/>
              <w:rPr>
                <w:rFonts w:ascii="Arial" w:hAnsi="Arial" w:cs="Arial"/>
                <w:b/>
                <w:bCs/>
                <w:color w:val="000000"/>
                <w:sz w:val="18"/>
                <w:szCs w:val="16"/>
              </w:rPr>
            </w:pPr>
          </w:p>
        </w:tc>
        <w:tc>
          <w:tcPr>
            <w:tcW w:w="851" w:type="dxa"/>
            <w:tcBorders>
              <w:top w:val="single" w:sz="2" w:space="0" w:color="000000"/>
              <w:bottom w:val="single" w:sz="2" w:space="0" w:color="000000"/>
            </w:tcBorders>
            <w:vAlign w:val="bottom"/>
          </w:tcPr>
          <w:p w:rsidR="009E6AD4" w:rsidRPr="00D00722" w:rsidRDefault="009E6AD4" w:rsidP="00C917DA">
            <w:pPr>
              <w:autoSpaceDE w:val="0"/>
              <w:autoSpaceDN w:val="0"/>
              <w:adjustRightInd w:val="0"/>
              <w:jc w:val="right"/>
              <w:rPr>
                <w:rFonts w:ascii="Arial" w:hAnsi="Arial" w:cs="Arial"/>
                <w:color w:val="000000"/>
                <w:sz w:val="18"/>
                <w:szCs w:val="16"/>
              </w:rPr>
            </w:pPr>
          </w:p>
        </w:tc>
        <w:tc>
          <w:tcPr>
            <w:tcW w:w="1417" w:type="dxa"/>
            <w:tcBorders>
              <w:top w:val="single" w:sz="2" w:space="0" w:color="000000"/>
              <w:bottom w:val="single" w:sz="2" w:space="0" w:color="000000"/>
            </w:tcBorders>
            <w:vAlign w:val="bottom"/>
          </w:tcPr>
          <w:p w:rsidR="009E6AD4" w:rsidRPr="00D00722" w:rsidRDefault="00204280" w:rsidP="00C917DA">
            <w:pPr>
              <w:autoSpaceDE w:val="0"/>
              <w:autoSpaceDN w:val="0"/>
              <w:adjustRightInd w:val="0"/>
              <w:jc w:val="right"/>
              <w:rPr>
                <w:rFonts w:ascii="Arial" w:hAnsi="Arial" w:cs="Arial"/>
                <w:b/>
                <w:bCs/>
                <w:color w:val="000000"/>
                <w:sz w:val="18"/>
                <w:szCs w:val="16"/>
              </w:rPr>
            </w:pPr>
            <w:r w:rsidRPr="00D00722">
              <w:rPr>
                <w:rFonts w:ascii="Arial" w:hAnsi="Arial" w:cs="Arial"/>
                <w:b/>
                <w:bCs/>
                <w:color w:val="000000"/>
                <w:sz w:val="18"/>
                <w:szCs w:val="16"/>
              </w:rPr>
              <w:t>(350.158)</w:t>
            </w:r>
          </w:p>
        </w:tc>
        <w:tc>
          <w:tcPr>
            <w:tcW w:w="1559" w:type="dxa"/>
            <w:tcBorders>
              <w:top w:val="single" w:sz="2" w:space="0" w:color="000000"/>
              <w:bottom w:val="single" w:sz="2" w:space="0" w:color="000000"/>
            </w:tcBorders>
            <w:vAlign w:val="bottom"/>
          </w:tcPr>
          <w:p w:rsidR="009E6AD4" w:rsidRPr="00D00722" w:rsidRDefault="009E6AD4" w:rsidP="002D55BD">
            <w:pPr>
              <w:autoSpaceDE w:val="0"/>
              <w:autoSpaceDN w:val="0"/>
              <w:adjustRightInd w:val="0"/>
              <w:jc w:val="right"/>
              <w:rPr>
                <w:rFonts w:ascii="Arial" w:hAnsi="Arial" w:cs="Arial"/>
                <w:bCs/>
                <w:color w:val="000000"/>
                <w:sz w:val="18"/>
                <w:szCs w:val="16"/>
              </w:rPr>
            </w:pPr>
            <w:r w:rsidRPr="00D00722">
              <w:rPr>
                <w:rFonts w:ascii="Arial" w:hAnsi="Arial" w:cs="Arial"/>
                <w:bCs/>
                <w:color w:val="000000"/>
                <w:sz w:val="18"/>
                <w:szCs w:val="16"/>
              </w:rPr>
              <w:t>(</w:t>
            </w:r>
            <w:r w:rsidR="002D55BD" w:rsidRPr="00D00722">
              <w:rPr>
                <w:rFonts w:ascii="Arial" w:hAnsi="Arial" w:cs="Arial"/>
                <w:bCs/>
                <w:color w:val="000000"/>
                <w:sz w:val="18"/>
                <w:szCs w:val="16"/>
              </w:rPr>
              <w:t>246</w:t>
            </w:r>
            <w:r w:rsidRPr="00D00722">
              <w:rPr>
                <w:rFonts w:ascii="Arial" w:hAnsi="Arial" w:cs="Arial"/>
                <w:bCs/>
                <w:color w:val="000000"/>
                <w:sz w:val="18"/>
                <w:szCs w:val="16"/>
              </w:rPr>
              <w:t>.</w:t>
            </w:r>
            <w:r w:rsidR="002D55BD" w:rsidRPr="00D00722">
              <w:rPr>
                <w:rFonts w:ascii="Arial" w:hAnsi="Arial" w:cs="Arial"/>
                <w:bCs/>
                <w:color w:val="000000"/>
                <w:sz w:val="18"/>
                <w:szCs w:val="16"/>
              </w:rPr>
              <w:t>171</w:t>
            </w:r>
            <w:r w:rsidRPr="00D00722">
              <w:rPr>
                <w:rFonts w:ascii="Arial" w:hAnsi="Arial" w:cs="Arial"/>
                <w:bCs/>
                <w:color w:val="000000"/>
                <w:sz w:val="18"/>
                <w:szCs w:val="16"/>
              </w:rPr>
              <w:t>)</w:t>
            </w:r>
          </w:p>
        </w:tc>
      </w:tr>
      <w:tr w:rsidR="009E6AD4" w:rsidRPr="00D00722" w:rsidTr="00C917DA">
        <w:trPr>
          <w:trHeight w:val="113"/>
        </w:trPr>
        <w:tc>
          <w:tcPr>
            <w:tcW w:w="5245" w:type="dxa"/>
            <w:tcBorders>
              <w:top w:val="single" w:sz="2" w:space="0" w:color="000000"/>
            </w:tcBorders>
          </w:tcPr>
          <w:p w:rsidR="009E6AD4" w:rsidRPr="00D00722" w:rsidRDefault="009E6AD4" w:rsidP="00C917DA">
            <w:pPr>
              <w:autoSpaceDE w:val="0"/>
              <w:autoSpaceDN w:val="0"/>
              <w:adjustRightInd w:val="0"/>
              <w:ind w:right="-108" w:hanging="108"/>
              <w:rPr>
                <w:rFonts w:ascii="Arial" w:hAnsi="Arial" w:cs="Arial"/>
                <w:b/>
                <w:bCs/>
                <w:color w:val="000000"/>
                <w:sz w:val="18"/>
                <w:szCs w:val="16"/>
              </w:rPr>
            </w:pPr>
          </w:p>
        </w:tc>
        <w:tc>
          <w:tcPr>
            <w:tcW w:w="851" w:type="dxa"/>
            <w:tcBorders>
              <w:top w:val="single" w:sz="2" w:space="0" w:color="000000"/>
            </w:tcBorders>
            <w:vAlign w:val="bottom"/>
          </w:tcPr>
          <w:p w:rsidR="009E6AD4" w:rsidRPr="00D00722" w:rsidRDefault="009E6AD4" w:rsidP="00C917DA">
            <w:pPr>
              <w:autoSpaceDE w:val="0"/>
              <w:autoSpaceDN w:val="0"/>
              <w:adjustRightInd w:val="0"/>
              <w:jc w:val="right"/>
              <w:rPr>
                <w:rFonts w:ascii="Arial" w:hAnsi="Arial" w:cs="Arial"/>
                <w:color w:val="000000"/>
                <w:sz w:val="18"/>
                <w:szCs w:val="16"/>
              </w:rPr>
            </w:pPr>
          </w:p>
        </w:tc>
        <w:tc>
          <w:tcPr>
            <w:tcW w:w="1417" w:type="dxa"/>
            <w:tcBorders>
              <w:top w:val="single" w:sz="2" w:space="0" w:color="000000"/>
            </w:tcBorders>
            <w:vAlign w:val="bottom"/>
          </w:tcPr>
          <w:p w:rsidR="009E6AD4" w:rsidRPr="00D00722" w:rsidRDefault="009E6AD4" w:rsidP="00C917DA">
            <w:pPr>
              <w:autoSpaceDE w:val="0"/>
              <w:autoSpaceDN w:val="0"/>
              <w:adjustRightInd w:val="0"/>
              <w:jc w:val="right"/>
              <w:rPr>
                <w:rFonts w:ascii="Arial" w:hAnsi="Arial" w:cs="Arial"/>
                <w:b/>
                <w:bCs/>
                <w:color w:val="000000"/>
                <w:sz w:val="18"/>
                <w:szCs w:val="16"/>
              </w:rPr>
            </w:pPr>
          </w:p>
        </w:tc>
        <w:tc>
          <w:tcPr>
            <w:tcW w:w="1559" w:type="dxa"/>
            <w:tcBorders>
              <w:top w:val="single" w:sz="2" w:space="0" w:color="000000"/>
            </w:tcBorders>
            <w:vAlign w:val="bottom"/>
          </w:tcPr>
          <w:p w:rsidR="009E6AD4" w:rsidRPr="00D00722" w:rsidRDefault="009E6AD4" w:rsidP="009E6AD4">
            <w:pPr>
              <w:autoSpaceDE w:val="0"/>
              <w:autoSpaceDN w:val="0"/>
              <w:adjustRightInd w:val="0"/>
              <w:jc w:val="right"/>
              <w:rPr>
                <w:rFonts w:ascii="Arial" w:hAnsi="Arial" w:cs="Arial"/>
                <w:bCs/>
                <w:color w:val="000000"/>
                <w:sz w:val="18"/>
                <w:szCs w:val="16"/>
              </w:rPr>
            </w:pPr>
          </w:p>
        </w:tc>
      </w:tr>
      <w:tr w:rsidR="009E6AD4" w:rsidRPr="00D00722" w:rsidTr="00C917DA">
        <w:trPr>
          <w:trHeight w:val="113"/>
        </w:trPr>
        <w:tc>
          <w:tcPr>
            <w:tcW w:w="5245" w:type="dxa"/>
          </w:tcPr>
          <w:p w:rsidR="009E6AD4" w:rsidRPr="00D00722" w:rsidRDefault="009E6AD4" w:rsidP="00C917DA">
            <w:pPr>
              <w:autoSpaceDE w:val="0"/>
              <w:autoSpaceDN w:val="0"/>
              <w:adjustRightInd w:val="0"/>
              <w:ind w:right="-108" w:hanging="108"/>
              <w:rPr>
                <w:rFonts w:ascii="Arial" w:hAnsi="Arial" w:cs="Arial"/>
                <w:b/>
                <w:color w:val="000000"/>
                <w:sz w:val="18"/>
                <w:szCs w:val="16"/>
              </w:rPr>
            </w:pPr>
            <w:r w:rsidRPr="00D00722">
              <w:rPr>
                <w:rFonts w:ascii="Arial" w:hAnsi="Arial" w:cs="Arial"/>
                <w:b/>
                <w:color w:val="000000"/>
                <w:sz w:val="18"/>
                <w:szCs w:val="16"/>
              </w:rPr>
              <w:t>Yatırım faaliyet</w:t>
            </w:r>
            <w:r w:rsidR="00546C09" w:rsidRPr="00D00722">
              <w:rPr>
                <w:rFonts w:ascii="Arial" w:hAnsi="Arial" w:cs="Arial"/>
                <w:b/>
                <w:color w:val="000000"/>
                <w:sz w:val="18"/>
                <w:szCs w:val="16"/>
              </w:rPr>
              <w:t>lerinden kaynaklanan nakit akışları</w:t>
            </w:r>
          </w:p>
        </w:tc>
        <w:tc>
          <w:tcPr>
            <w:tcW w:w="851" w:type="dxa"/>
            <w:vAlign w:val="bottom"/>
          </w:tcPr>
          <w:p w:rsidR="009E6AD4" w:rsidRPr="00D00722" w:rsidRDefault="009E6AD4" w:rsidP="00C917DA">
            <w:pPr>
              <w:autoSpaceDE w:val="0"/>
              <w:autoSpaceDN w:val="0"/>
              <w:adjustRightInd w:val="0"/>
              <w:jc w:val="right"/>
              <w:rPr>
                <w:rFonts w:ascii="Arial" w:hAnsi="Arial" w:cs="Arial"/>
                <w:color w:val="000000"/>
                <w:sz w:val="18"/>
                <w:szCs w:val="16"/>
              </w:rPr>
            </w:pPr>
          </w:p>
        </w:tc>
        <w:tc>
          <w:tcPr>
            <w:tcW w:w="1417" w:type="dxa"/>
            <w:vAlign w:val="bottom"/>
          </w:tcPr>
          <w:p w:rsidR="009E6AD4" w:rsidRPr="00D00722" w:rsidRDefault="009E6AD4" w:rsidP="00C917DA">
            <w:pPr>
              <w:autoSpaceDE w:val="0"/>
              <w:autoSpaceDN w:val="0"/>
              <w:adjustRightInd w:val="0"/>
              <w:jc w:val="right"/>
              <w:rPr>
                <w:rFonts w:ascii="Arial" w:hAnsi="Arial" w:cs="Arial"/>
                <w:b/>
                <w:bCs/>
                <w:color w:val="000000"/>
                <w:sz w:val="18"/>
                <w:szCs w:val="16"/>
              </w:rPr>
            </w:pPr>
          </w:p>
        </w:tc>
        <w:tc>
          <w:tcPr>
            <w:tcW w:w="1559" w:type="dxa"/>
            <w:vAlign w:val="bottom"/>
          </w:tcPr>
          <w:p w:rsidR="009E6AD4" w:rsidRPr="00D00722" w:rsidRDefault="009E6AD4" w:rsidP="009E6AD4">
            <w:pPr>
              <w:autoSpaceDE w:val="0"/>
              <w:autoSpaceDN w:val="0"/>
              <w:adjustRightInd w:val="0"/>
              <w:jc w:val="right"/>
              <w:rPr>
                <w:rFonts w:ascii="Arial" w:hAnsi="Arial" w:cs="Arial"/>
                <w:bCs/>
                <w:color w:val="000000"/>
                <w:sz w:val="18"/>
                <w:szCs w:val="16"/>
              </w:rPr>
            </w:pPr>
          </w:p>
        </w:tc>
      </w:tr>
      <w:tr w:rsidR="009E6AD4" w:rsidRPr="00D00722" w:rsidTr="00C917DA">
        <w:trPr>
          <w:trHeight w:val="113"/>
        </w:trPr>
        <w:tc>
          <w:tcPr>
            <w:tcW w:w="5245" w:type="dxa"/>
          </w:tcPr>
          <w:p w:rsidR="009E6AD4" w:rsidRPr="00D00722" w:rsidRDefault="009E6AD4" w:rsidP="00C917DA">
            <w:pPr>
              <w:autoSpaceDE w:val="0"/>
              <w:autoSpaceDN w:val="0"/>
              <w:adjustRightInd w:val="0"/>
              <w:ind w:right="-108" w:hanging="108"/>
              <w:rPr>
                <w:rFonts w:ascii="Arial" w:hAnsi="Arial" w:cs="Arial"/>
                <w:color w:val="000000"/>
                <w:sz w:val="18"/>
                <w:szCs w:val="16"/>
              </w:rPr>
            </w:pPr>
          </w:p>
        </w:tc>
        <w:tc>
          <w:tcPr>
            <w:tcW w:w="851" w:type="dxa"/>
            <w:vAlign w:val="bottom"/>
          </w:tcPr>
          <w:p w:rsidR="009E6AD4" w:rsidRPr="00D00722" w:rsidRDefault="009E6AD4" w:rsidP="00C917DA">
            <w:pPr>
              <w:autoSpaceDE w:val="0"/>
              <w:autoSpaceDN w:val="0"/>
              <w:adjustRightInd w:val="0"/>
              <w:jc w:val="right"/>
              <w:rPr>
                <w:rFonts w:ascii="Arial" w:hAnsi="Arial" w:cs="Arial"/>
                <w:color w:val="000000"/>
                <w:sz w:val="18"/>
                <w:szCs w:val="16"/>
              </w:rPr>
            </w:pPr>
          </w:p>
        </w:tc>
        <w:tc>
          <w:tcPr>
            <w:tcW w:w="1417" w:type="dxa"/>
            <w:vAlign w:val="bottom"/>
          </w:tcPr>
          <w:p w:rsidR="009E6AD4" w:rsidRPr="00D00722" w:rsidRDefault="009E6AD4" w:rsidP="00C917DA">
            <w:pPr>
              <w:autoSpaceDE w:val="0"/>
              <w:autoSpaceDN w:val="0"/>
              <w:adjustRightInd w:val="0"/>
              <w:jc w:val="right"/>
              <w:rPr>
                <w:rFonts w:ascii="Arial" w:hAnsi="Arial" w:cs="Arial"/>
                <w:b/>
                <w:bCs/>
                <w:color w:val="000000"/>
                <w:sz w:val="18"/>
                <w:szCs w:val="16"/>
              </w:rPr>
            </w:pPr>
          </w:p>
        </w:tc>
        <w:tc>
          <w:tcPr>
            <w:tcW w:w="1559" w:type="dxa"/>
            <w:vAlign w:val="bottom"/>
          </w:tcPr>
          <w:p w:rsidR="009E6AD4" w:rsidRPr="00D00722" w:rsidRDefault="009E6AD4" w:rsidP="009E6AD4">
            <w:pPr>
              <w:autoSpaceDE w:val="0"/>
              <w:autoSpaceDN w:val="0"/>
              <w:adjustRightInd w:val="0"/>
              <w:jc w:val="right"/>
              <w:rPr>
                <w:rFonts w:ascii="Arial" w:hAnsi="Arial" w:cs="Arial"/>
                <w:bCs/>
                <w:color w:val="000000"/>
                <w:sz w:val="18"/>
                <w:szCs w:val="16"/>
              </w:rPr>
            </w:pPr>
          </w:p>
        </w:tc>
      </w:tr>
      <w:tr w:rsidR="009E6AD4" w:rsidRPr="00D00722" w:rsidTr="00C917DA">
        <w:trPr>
          <w:trHeight w:val="113"/>
        </w:trPr>
        <w:tc>
          <w:tcPr>
            <w:tcW w:w="5245" w:type="dxa"/>
          </w:tcPr>
          <w:p w:rsidR="009E6AD4" w:rsidRPr="00D00722" w:rsidRDefault="009E6AD4" w:rsidP="00C917DA">
            <w:pPr>
              <w:autoSpaceDE w:val="0"/>
              <w:autoSpaceDN w:val="0"/>
              <w:adjustRightInd w:val="0"/>
              <w:ind w:right="-108" w:hanging="108"/>
              <w:rPr>
                <w:rFonts w:ascii="Arial" w:hAnsi="Arial" w:cs="Arial"/>
                <w:color w:val="000000"/>
                <w:sz w:val="18"/>
                <w:szCs w:val="16"/>
              </w:rPr>
            </w:pPr>
            <w:r w:rsidRPr="00D00722">
              <w:rPr>
                <w:rFonts w:ascii="Arial" w:hAnsi="Arial" w:cs="Arial"/>
                <w:color w:val="000000"/>
                <w:sz w:val="18"/>
                <w:szCs w:val="16"/>
              </w:rPr>
              <w:t>Finansal yatırımlardaki değişim</w:t>
            </w:r>
          </w:p>
        </w:tc>
        <w:tc>
          <w:tcPr>
            <w:tcW w:w="851" w:type="dxa"/>
            <w:vAlign w:val="bottom"/>
          </w:tcPr>
          <w:p w:rsidR="009E6AD4" w:rsidRPr="00D00722" w:rsidRDefault="009E6AD4" w:rsidP="00C917DA">
            <w:pPr>
              <w:autoSpaceDE w:val="0"/>
              <w:autoSpaceDN w:val="0"/>
              <w:adjustRightInd w:val="0"/>
              <w:jc w:val="right"/>
              <w:rPr>
                <w:rFonts w:ascii="Arial" w:hAnsi="Arial" w:cs="Arial"/>
                <w:color w:val="000000"/>
                <w:sz w:val="18"/>
                <w:szCs w:val="16"/>
              </w:rPr>
            </w:pPr>
          </w:p>
        </w:tc>
        <w:tc>
          <w:tcPr>
            <w:tcW w:w="1417" w:type="dxa"/>
            <w:vAlign w:val="bottom"/>
          </w:tcPr>
          <w:p w:rsidR="009E6AD4" w:rsidRPr="00D00722" w:rsidRDefault="00204280" w:rsidP="00FF1BDE">
            <w:pPr>
              <w:autoSpaceDE w:val="0"/>
              <w:autoSpaceDN w:val="0"/>
              <w:adjustRightInd w:val="0"/>
              <w:jc w:val="right"/>
              <w:rPr>
                <w:rFonts w:ascii="Arial" w:hAnsi="Arial" w:cs="Arial"/>
                <w:b/>
                <w:bCs/>
                <w:color w:val="000000"/>
                <w:sz w:val="18"/>
                <w:szCs w:val="16"/>
              </w:rPr>
            </w:pPr>
            <w:r w:rsidRPr="00D00722">
              <w:rPr>
                <w:rFonts w:ascii="Arial" w:hAnsi="Arial" w:cs="Arial"/>
                <w:b/>
                <w:bCs/>
                <w:color w:val="000000"/>
                <w:sz w:val="18"/>
                <w:szCs w:val="16"/>
              </w:rPr>
              <w:t>9.16</w:t>
            </w:r>
            <w:r w:rsidR="00FF1BDE" w:rsidRPr="00D00722">
              <w:rPr>
                <w:rFonts w:ascii="Arial" w:hAnsi="Arial" w:cs="Arial"/>
                <w:b/>
                <w:bCs/>
                <w:color w:val="000000"/>
                <w:sz w:val="18"/>
                <w:szCs w:val="16"/>
              </w:rPr>
              <w:t>8</w:t>
            </w:r>
          </w:p>
        </w:tc>
        <w:tc>
          <w:tcPr>
            <w:tcW w:w="1559" w:type="dxa"/>
            <w:vAlign w:val="bottom"/>
          </w:tcPr>
          <w:p w:rsidR="009E6AD4" w:rsidRPr="00D00722" w:rsidRDefault="002D55BD" w:rsidP="009E6AD4">
            <w:pPr>
              <w:autoSpaceDE w:val="0"/>
              <w:autoSpaceDN w:val="0"/>
              <w:adjustRightInd w:val="0"/>
              <w:jc w:val="right"/>
              <w:rPr>
                <w:rFonts w:ascii="Arial" w:hAnsi="Arial" w:cs="Arial"/>
                <w:bCs/>
                <w:color w:val="000000"/>
                <w:sz w:val="18"/>
                <w:szCs w:val="16"/>
              </w:rPr>
            </w:pPr>
            <w:r w:rsidRPr="00D00722">
              <w:rPr>
                <w:rFonts w:ascii="Arial" w:hAnsi="Arial" w:cs="Arial"/>
                <w:bCs/>
                <w:color w:val="000000"/>
                <w:sz w:val="18"/>
                <w:szCs w:val="16"/>
              </w:rPr>
              <w:t>2.469</w:t>
            </w:r>
          </w:p>
        </w:tc>
      </w:tr>
      <w:tr w:rsidR="009E6AD4" w:rsidRPr="00D00722" w:rsidTr="00C917DA">
        <w:trPr>
          <w:trHeight w:val="113"/>
        </w:trPr>
        <w:tc>
          <w:tcPr>
            <w:tcW w:w="5245" w:type="dxa"/>
          </w:tcPr>
          <w:p w:rsidR="009E6AD4" w:rsidRPr="00D00722" w:rsidRDefault="009E6AD4" w:rsidP="00C917DA">
            <w:pPr>
              <w:autoSpaceDE w:val="0"/>
              <w:autoSpaceDN w:val="0"/>
              <w:adjustRightInd w:val="0"/>
              <w:ind w:right="-108" w:hanging="108"/>
              <w:rPr>
                <w:rFonts w:ascii="Arial" w:hAnsi="Arial" w:cs="Arial"/>
                <w:color w:val="000000"/>
                <w:sz w:val="18"/>
                <w:szCs w:val="16"/>
              </w:rPr>
            </w:pPr>
            <w:r w:rsidRPr="00D00722">
              <w:rPr>
                <w:rFonts w:ascii="Arial" w:hAnsi="Arial" w:cs="Arial"/>
                <w:color w:val="000000"/>
                <w:sz w:val="18"/>
                <w:szCs w:val="16"/>
              </w:rPr>
              <w:t xml:space="preserve">Maddi </w:t>
            </w:r>
            <w:r w:rsidR="00546C09" w:rsidRPr="00D00722">
              <w:rPr>
                <w:rFonts w:ascii="Arial" w:hAnsi="Arial" w:cs="Arial"/>
                <w:color w:val="000000"/>
                <w:sz w:val="18"/>
                <w:szCs w:val="16"/>
              </w:rPr>
              <w:t xml:space="preserve">ve maddi olmayan </w:t>
            </w:r>
            <w:r w:rsidRPr="00D00722">
              <w:rPr>
                <w:rFonts w:ascii="Arial" w:hAnsi="Arial" w:cs="Arial"/>
                <w:color w:val="000000"/>
                <w:sz w:val="18"/>
                <w:szCs w:val="16"/>
              </w:rPr>
              <w:t>dura</w:t>
            </w:r>
            <w:r w:rsidR="00546C09" w:rsidRPr="00D00722">
              <w:rPr>
                <w:rFonts w:ascii="Arial" w:hAnsi="Arial" w:cs="Arial"/>
                <w:color w:val="000000"/>
                <w:sz w:val="18"/>
                <w:szCs w:val="16"/>
              </w:rPr>
              <w:t>n varlık satın alımı</w:t>
            </w:r>
          </w:p>
        </w:tc>
        <w:tc>
          <w:tcPr>
            <w:tcW w:w="851" w:type="dxa"/>
            <w:vAlign w:val="bottom"/>
          </w:tcPr>
          <w:p w:rsidR="009E6AD4" w:rsidRPr="00D00722" w:rsidRDefault="009E6AD4" w:rsidP="00C917DA">
            <w:pPr>
              <w:autoSpaceDE w:val="0"/>
              <w:autoSpaceDN w:val="0"/>
              <w:adjustRightInd w:val="0"/>
              <w:jc w:val="right"/>
              <w:rPr>
                <w:rFonts w:ascii="Arial" w:hAnsi="Arial" w:cs="Arial"/>
                <w:color w:val="000000"/>
                <w:sz w:val="18"/>
                <w:szCs w:val="16"/>
              </w:rPr>
            </w:pPr>
          </w:p>
        </w:tc>
        <w:tc>
          <w:tcPr>
            <w:tcW w:w="1417" w:type="dxa"/>
            <w:vAlign w:val="bottom"/>
          </w:tcPr>
          <w:p w:rsidR="009E6AD4" w:rsidRPr="00D00722" w:rsidRDefault="00204280" w:rsidP="00C917DA">
            <w:pPr>
              <w:autoSpaceDE w:val="0"/>
              <w:autoSpaceDN w:val="0"/>
              <w:adjustRightInd w:val="0"/>
              <w:jc w:val="right"/>
              <w:rPr>
                <w:rFonts w:ascii="Arial" w:hAnsi="Arial" w:cs="Arial"/>
                <w:b/>
                <w:bCs/>
                <w:color w:val="000000"/>
                <w:sz w:val="18"/>
                <w:szCs w:val="16"/>
              </w:rPr>
            </w:pPr>
            <w:r w:rsidRPr="00D00722">
              <w:rPr>
                <w:rFonts w:ascii="Arial" w:hAnsi="Arial" w:cs="Arial"/>
                <w:b/>
                <w:bCs/>
                <w:color w:val="000000"/>
                <w:sz w:val="18"/>
                <w:szCs w:val="16"/>
              </w:rPr>
              <w:t>(951)</w:t>
            </w:r>
          </w:p>
        </w:tc>
        <w:tc>
          <w:tcPr>
            <w:tcW w:w="1559" w:type="dxa"/>
            <w:vAlign w:val="bottom"/>
          </w:tcPr>
          <w:p w:rsidR="009E6AD4" w:rsidRPr="00D00722" w:rsidRDefault="009E6AD4" w:rsidP="009E6AD4">
            <w:pPr>
              <w:autoSpaceDE w:val="0"/>
              <w:autoSpaceDN w:val="0"/>
              <w:adjustRightInd w:val="0"/>
              <w:jc w:val="right"/>
              <w:rPr>
                <w:rFonts w:ascii="Arial" w:hAnsi="Arial" w:cs="Arial"/>
                <w:bCs/>
                <w:color w:val="000000"/>
                <w:sz w:val="18"/>
                <w:szCs w:val="16"/>
              </w:rPr>
            </w:pPr>
          </w:p>
        </w:tc>
      </w:tr>
      <w:tr w:rsidR="009E6AD4" w:rsidRPr="00D00722" w:rsidTr="00C917DA">
        <w:trPr>
          <w:trHeight w:val="113"/>
        </w:trPr>
        <w:tc>
          <w:tcPr>
            <w:tcW w:w="5245" w:type="dxa"/>
            <w:tcBorders>
              <w:bottom w:val="single" w:sz="2" w:space="0" w:color="000000"/>
            </w:tcBorders>
          </w:tcPr>
          <w:p w:rsidR="009E6AD4" w:rsidRPr="00D00722" w:rsidRDefault="009E6AD4" w:rsidP="00C917DA">
            <w:pPr>
              <w:autoSpaceDE w:val="0"/>
              <w:autoSpaceDN w:val="0"/>
              <w:adjustRightInd w:val="0"/>
              <w:ind w:right="-108" w:hanging="108"/>
              <w:rPr>
                <w:rFonts w:ascii="Arial" w:hAnsi="Arial" w:cs="Arial"/>
                <w:color w:val="000000"/>
                <w:sz w:val="18"/>
                <w:szCs w:val="16"/>
              </w:rPr>
            </w:pPr>
          </w:p>
        </w:tc>
        <w:tc>
          <w:tcPr>
            <w:tcW w:w="851" w:type="dxa"/>
            <w:tcBorders>
              <w:bottom w:val="single" w:sz="2" w:space="0" w:color="000000"/>
            </w:tcBorders>
            <w:vAlign w:val="bottom"/>
          </w:tcPr>
          <w:p w:rsidR="009E6AD4" w:rsidRPr="00D00722" w:rsidRDefault="009E6AD4" w:rsidP="00C917DA">
            <w:pPr>
              <w:autoSpaceDE w:val="0"/>
              <w:autoSpaceDN w:val="0"/>
              <w:adjustRightInd w:val="0"/>
              <w:jc w:val="right"/>
              <w:rPr>
                <w:rFonts w:ascii="Arial" w:hAnsi="Arial" w:cs="Arial"/>
                <w:color w:val="000000"/>
                <w:sz w:val="18"/>
                <w:szCs w:val="16"/>
              </w:rPr>
            </w:pPr>
          </w:p>
        </w:tc>
        <w:tc>
          <w:tcPr>
            <w:tcW w:w="1417" w:type="dxa"/>
            <w:tcBorders>
              <w:bottom w:val="single" w:sz="2" w:space="0" w:color="000000"/>
            </w:tcBorders>
            <w:vAlign w:val="bottom"/>
          </w:tcPr>
          <w:p w:rsidR="009E6AD4" w:rsidRPr="00D00722" w:rsidRDefault="009E6AD4" w:rsidP="00C917DA">
            <w:pPr>
              <w:autoSpaceDE w:val="0"/>
              <w:autoSpaceDN w:val="0"/>
              <w:adjustRightInd w:val="0"/>
              <w:jc w:val="right"/>
              <w:rPr>
                <w:rFonts w:ascii="Arial" w:hAnsi="Arial" w:cs="Arial"/>
                <w:b/>
                <w:bCs/>
                <w:color w:val="000000"/>
                <w:sz w:val="18"/>
                <w:szCs w:val="16"/>
              </w:rPr>
            </w:pPr>
          </w:p>
        </w:tc>
        <w:tc>
          <w:tcPr>
            <w:tcW w:w="1559" w:type="dxa"/>
            <w:tcBorders>
              <w:bottom w:val="single" w:sz="2" w:space="0" w:color="000000"/>
            </w:tcBorders>
            <w:vAlign w:val="bottom"/>
          </w:tcPr>
          <w:p w:rsidR="009E6AD4" w:rsidRPr="00D00722" w:rsidRDefault="009E6AD4" w:rsidP="009E6AD4">
            <w:pPr>
              <w:autoSpaceDE w:val="0"/>
              <w:autoSpaceDN w:val="0"/>
              <w:adjustRightInd w:val="0"/>
              <w:jc w:val="right"/>
              <w:rPr>
                <w:rFonts w:ascii="Arial" w:hAnsi="Arial" w:cs="Arial"/>
                <w:bCs/>
                <w:color w:val="000000"/>
                <w:sz w:val="18"/>
                <w:szCs w:val="16"/>
              </w:rPr>
            </w:pPr>
          </w:p>
        </w:tc>
      </w:tr>
      <w:tr w:rsidR="009E6AD4" w:rsidRPr="00D00722" w:rsidTr="00C917DA">
        <w:trPr>
          <w:trHeight w:val="113"/>
        </w:trPr>
        <w:tc>
          <w:tcPr>
            <w:tcW w:w="5245" w:type="dxa"/>
            <w:tcBorders>
              <w:top w:val="single" w:sz="2" w:space="0" w:color="000000"/>
              <w:bottom w:val="single" w:sz="2" w:space="0" w:color="000000"/>
            </w:tcBorders>
          </w:tcPr>
          <w:p w:rsidR="009E6AD4" w:rsidRPr="00D00722" w:rsidRDefault="009E6AD4" w:rsidP="00C917DA">
            <w:pPr>
              <w:autoSpaceDE w:val="0"/>
              <w:autoSpaceDN w:val="0"/>
              <w:adjustRightInd w:val="0"/>
              <w:ind w:right="-108" w:hanging="108"/>
              <w:rPr>
                <w:rFonts w:ascii="Arial" w:hAnsi="Arial" w:cs="Arial"/>
                <w:b/>
                <w:bCs/>
                <w:color w:val="000000"/>
                <w:sz w:val="18"/>
                <w:szCs w:val="16"/>
              </w:rPr>
            </w:pPr>
          </w:p>
        </w:tc>
        <w:tc>
          <w:tcPr>
            <w:tcW w:w="851" w:type="dxa"/>
            <w:tcBorders>
              <w:top w:val="single" w:sz="2" w:space="0" w:color="000000"/>
              <w:bottom w:val="single" w:sz="2" w:space="0" w:color="000000"/>
            </w:tcBorders>
            <w:vAlign w:val="bottom"/>
          </w:tcPr>
          <w:p w:rsidR="009E6AD4" w:rsidRPr="00D00722" w:rsidRDefault="009E6AD4" w:rsidP="00C917DA">
            <w:pPr>
              <w:autoSpaceDE w:val="0"/>
              <w:autoSpaceDN w:val="0"/>
              <w:adjustRightInd w:val="0"/>
              <w:jc w:val="right"/>
              <w:rPr>
                <w:rFonts w:ascii="Arial" w:hAnsi="Arial" w:cs="Arial"/>
                <w:b/>
                <w:bCs/>
                <w:color w:val="000000"/>
                <w:sz w:val="18"/>
                <w:szCs w:val="16"/>
              </w:rPr>
            </w:pPr>
          </w:p>
        </w:tc>
        <w:tc>
          <w:tcPr>
            <w:tcW w:w="1417" w:type="dxa"/>
            <w:tcBorders>
              <w:top w:val="single" w:sz="2" w:space="0" w:color="000000"/>
              <w:bottom w:val="single" w:sz="2" w:space="0" w:color="000000"/>
            </w:tcBorders>
            <w:vAlign w:val="bottom"/>
          </w:tcPr>
          <w:p w:rsidR="009E6AD4" w:rsidRPr="00D00722" w:rsidRDefault="00204280" w:rsidP="00FF1BDE">
            <w:pPr>
              <w:autoSpaceDE w:val="0"/>
              <w:autoSpaceDN w:val="0"/>
              <w:adjustRightInd w:val="0"/>
              <w:jc w:val="right"/>
              <w:rPr>
                <w:rFonts w:ascii="Arial" w:hAnsi="Arial" w:cs="Arial"/>
                <w:b/>
                <w:bCs/>
                <w:color w:val="000000"/>
                <w:sz w:val="18"/>
                <w:szCs w:val="16"/>
              </w:rPr>
            </w:pPr>
            <w:r w:rsidRPr="00D00722">
              <w:rPr>
                <w:rFonts w:ascii="Arial" w:hAnsi="Arial" w:cs="Arial"/>
                <w:b/>
                <w:bCs/>
                <w:color w:val="000000"/>
                <w:sz w:val="18"/>
                <w:szCs w:val="16"/>
              </w:rPr>
              <w:t>8.21</w:t>
            </w:r>
            <w:r w:rsidR="00FF1BDE" w:rsidRPr="00D00722">
              <w:rPr>
                <w:rFonts w:ascii="Arial" w:hAnsi="Arial" w:cs="Arial"/>
                <w:b/>
                <w:bCs/>
                <w:color w:val="000000"/>
                <w:sz w:val="18"/>
                <w:szCs w:val="16"/>
              </w:rPr>
              <w:t>7</w:t>
            </w:r>
          </w:p>
        </w:tc>
        <w:tc>
          <w:tcPr>
            <w:tcW w:w="1559" w:type="dxa"/>
            <w:tcBorders>
              <w:top w:val="single" w:sz="2" w:space="0" w:color="000000"/>
              <w:bottom w:val="single" w:sz="2" w:space="0" w:color="000000"/>
            </w:tcBorders>
            <w:vAlign w:val="bottom"/>
          </w:tcPr>
          <w:p w:rsidR="009E6AD4" w:rsidRPr="00D00722" w:rsidRDefault="009E6AD4" w:rsidP="002D55BD">
            <w:pPr>
              <w:autoSpaceDE w:val="0"/>
              <w:autoSpaceDN w:val="0"/>
              <w:adjustRightInd w:val="0"/>
              <w:jc w:val="right"/>
              <w:rPr>
                <w:rFonts w:ascii="Arial" w:hAnsi="Arial" w:cs="Arial"/>
                <w:bCs/>
                <w:color w:val="000000"/>
                <w:sz w:val="18"/>
                <w:szCs w:val="16"/>
              </w:rPr>
            </w:pPr>
            <w:r w:rsidRPr="00D00722">
              <w:rPr>
                <w:rFonts w:ascii="Arial" w:hAnsi="Arial" w:cs="Arial"/>
                <w:bCs/>
                <w:color w:val="000000"/>
                <w:sz w:val="18"/>
                <w:szCs w:val="16"/>
              </w:rPr>
              <w:t>(</w:t>
            </w:r>
            <w:r w:rsidR="002D55BD" w:rsidRPr="00D00722">
              <w:rPr>
                <w:rFonts w:ascii="Arial" w:hAnsi="Arial" w:cs="Arial"/>
                <w:bCs/>
                <w:color w:val="000000"/>
                <w:sz w:val="18"/>
                <w:szCs w:val="16"/>
              </w:rPr>
              <w:t>243.702</w:t>
            </w:r>
            <w:r w:rsidRPr="00D00722">
              <w:rPr>
                <w:rFonts w:ascii="Arial" w:hAnsi="Arial" w:cs="Arial"/>
                <w:bCs/>
                <w:color w:val="000000"/>
                <w:sz w:val="18"/>
                <w:szCs w:val="16"/>
              </w:rPr>
              <w:t>)</w:t>
            </w:r>
          </w:p>
        </w:tc>
      </w:tr>
      <w:tr w:rsidR="009E6AD4" w:rsidRPr="00D00722" w:rsidTr="00C917DA">
        <w:trPr>
          <w:trHeight w:val="113"/>
        </w:trPr>
        <w:tc>
          <w:tcPr>
            <w:tcW w:w="5245" w:type="dxa"/>
            <w:tcBorders>
              <w:top w:val="single" w:sz="2" w:space="0" w:color="000000"/>
            </w:tcBorders>
          </w:tcPr>
          <w:p w:rsidR="009E6AD4" w:rsidRPr="00D00722" w:rsidRDefault="009E6AD4" w:rsidP="00C917DA">
            <w:pPr>
              <w:autoSpaceDE w:val="0"/>
              <w:autoSpaceDN w:val="0"/>
              <w:adjustRightInd w:val="0"/>
              <w:ind w:right="-108" w:hanging="108"/>
              <w:rPr>
                <w:rFonts w:ascii="Arial" w:hAnsi="Arial" w:cs="Arial"/>
                <w:color w:val="000000"/>
                <w:sz w:val="18"/>
                <w:szCs w:val="16"/>
              </w:rPr>
            </w:pPr>
          </w:p>
        </w:tc>
        <w:tc>
          <w:tcPr>
            <w:tcW w:w="851" w:type="dxa"/>
            <w:tcBorders>
              <w:top w:val="single" w:sz="2" w:space="0" w:color="000000"/>
            </w:tcBorders>
            <w:vAlign w:val="bottom"/>
          </w:tcPr>
          <w:p w:rsidR="009E6AD4" w:rsidRPr="00D00722" w:rsidRDefault="009E6AD4" w:rsidP="00C917DA">
            <w:pPr>
              <w:autoSpaceDE w:val="0"/>
              <w:autoSpaceDN w:val="0"/>
              <w:adjustRightInd w:val="0"/>
              <w:jc w:val="right"/>
              <w:rPr>
                <w:rFonts w:ascii="Arial" w:hAnsi="Arial" w:cs="Arial"/>
                <w:color w:val="000000"/>
                <w:sz w:val="18"/>
                <w:szCs w:val="16"/>
              </w:rPr>
            </w:pPr>
          </w:p>
        </w:tc>
        <w:tc>
          <w:tcPr>
            <w:tcW w:w="1417" w:type="dxa"/>
            <w:tcBorders>
              <w:top w:val="single" w:sz="2" w:space="0" w:color="000000"/>
            </w:tcBorders>
            <w:vAlign w:val="bottom"/>
          </w:tcPr>
          <w:p w:rsidR="009E6AD4" w:rsidRPr="00D00722" w:rsidRDefault="009E6AD4" w:rsidP="00C917DA">
            <w:pPr>
              <w:autoSpaceDE w:val="0"/>
              <w:autoSpaceDN w:val="0"/>
              <w:adjustRightInd w:val="0"/>
              <w:jc w:val="right"/>
              <w:rPr>
                <w:rFonts w:ascii="Arial" w:hAnsi="Arial" w:cs="Arial"/>
                <w:b/>
                <w:bCs/>
                <w:color w:val="000000"/>
                <w:sz w:val="18"/>
                <w:szCs w:val="16"/>
              </w:rPr>
            </w:pPr>
          </w:p>
        </w:tc>
        <w:tc>
          <w:tcPr>
            <w:tcW w:w="1559" w:type="dxa"/>
            <w:tcBorders>
              <w:top w:val="single" w:sz="2" w:space="0" w:color="000000"/>
            </w:tcBorders>
            <w:vAlign w:val="bottom"/>
          </w:tcPr>
          <w:p w:rsidR="009E6AD4" w:rsidRPr="00D00722" w:rsidRDefault="009E6AD4" w:rsidP="009E6AD4">
            <w:pPr>
              <w:autoSpaceDE w:val="0"/>
              <w:autoSpaceDN w:val="0"/>
              <w:adjustRightInd w:val="0"/>
              <w:jc w:val="right"/>
              <w:rPr>
                <w:rFonts w:ascii="Arial" w:hAnsi="Arial" w:cs="Arial"/>
                <w:bCs/>
                <w:color w:val="000000"/>
                <w:sz w:val="18"/>
                <w:szCs w:val="16"/>
              </w:rPr>
            </w:pPr>
          </w:p>
        </w:tc>
      </w:tr>
      <w:tr w:rsidR="009E6AD4" w:rsidRPr="00D00722" w:rsidTr="00C917DA">
        <w:trPr>
          <w:trHeight w:val="113"/>
        </w:trPr>
        <w:tc>
          <w:tcPr>
            <w:tcW w:w="5245" w:type="dxa"/>
          </w:tcPr>
          <w:p w:rsidR="009E6AD4" w:rsidRPr="00D00722" w:rsidRDefault="009E6AD4" w:rsidP="00C917DA">
            <w:pPr>
              <w:autoSpaceDE w:val="0"/>
              <w:autoSpaceDN w:val="0"/>
              <w:adjustRightInd w:val="0"/>
              <w:ind w:right="-108" w:hanging="108"/>
              <w:rPr>
                <w:rFonts w:ascii="Arial" w:hAnsi="Arial" w:cs="Arial"/>
                <w:b/>
                <w:color w:val="000000"/>
                <w:sz w:val="18"/>
                <w:szCs w:val="16"/>
              </w:rPr>
            </w:pPr>
            <w:r w:rsidRPr="00D00722">
              <w:rPr>
                <w:rFonts w:ascii="Arial" w:hAnsi="Arial" w:cs="Arial"/>
                <w:b/>
                <w:color w:val="000000"/>
                <w:sz w:val="18"/>
                <w:szCs w:val="16"/>
              </w:rPr>
              <w:t>Finansman faaliyet</w:t>
            </w:r>
            <w:r w:rsidR="00546C09" w:rsidRPr="00D00722">
              <w:rPr>
                <w:rFonts w:ascii="Arial" w:hAnsi="Arial" w:cs="Arial"/>
                <w:b/>
                <w:color w:val="000000"/>
                <w:sz w:val="18"/>
                <w:szCs w:val="16"/>
              </w:rPr>
              <w:t>lerinden kaynaklanan nakit akışları</w:t>
            </w:r>
          </w:p>
        </w:tc>
        <w:tc>
          <w:tcPr>
            <w:tcW w:w="851" w:type="dxa"/>
            <w:vAlign w:val="bottom"/>
          </w:tcPr>
          <w:p w:rsidR="009E6AD4" w:rsidRPr="00D00722" w:rsidRDefault="009E6AD4" w:rsidP="00C917DA">
            <w:pPr>
              <w:autoSpaceDE w:val="0"/>
              <w:autoSpaceDN w:val="0"/>
              <w:adjustRightInd w:val="0"/>
              <w:jc w:val="right"/>
              <w:rPr>
                <w:rFonts w:ascii="Arial" w:hAnsi="Arial" w:cs="Arial"/>
                <w:color w:val="000000"/>
                <w:sz w:val="18"/>
                <w:szCs w:val="16"/>
              </w:rPr>
            </w:pPr>
          </w:p>
        </w:tc>
        <w:tc>
          <w:tcPr>
            <w:tcW w:w="1417" w:type="dxa"/>
            <w:vAlign w:val="bottom"/>
          </w:tcPr>
          <w:p w:rsidR="009E6AD4" w:rsidRPr="00D00722" w:rsidRDefault="009E6AD4" w:rsidP="00C917DA">
            <w:pPr>
              <w:autoSpaceDE w:val="0"/>
              <w:autoSpaceDN w:val="0"/>
              <w:adjustRightInd w:val="0"/>
              <w:jc w:val="right"/>
              <w:rPr>
                <w:rFonts w:ascii="Arial" w:hAnsi="Arial" w:cs="Arial"/>
                <w:b/>
                <w:bCs/>
                <w:color w:val="000000"/>
                <w:sz w:val="18"/>
                <w:szCs w:val="16"/>
              </w:rPr>
            </w:pPr>
          </w:p>
        </w:tc>
        <w:tc>
          <w:tcPr>
            <w:tcW w:w="1559" w:type="dxa"/>
            <w:vAlign w:val="bottom"/>
          </w:tcPr>
          <w:p w:rsidR="009E6AD4" w:rsidRPr="00D00722" w:rsidRDefault="009E6AD4" w:rsidP="009E6AD4">
            <w:pPr>
              <w:autoSpaceDE w:val="0"/>
              <w:autoSpaceDN w:val="0"/>
              <w:adjustRightInd w:val="0"/>
              <w:jc w:val="right"/>
              <w:rPr>
                <w:rFonts w:ascii="Arial" w:hAnsi="Arial" w:cs="Arial"/>
                <w:bCs/>
                <w:color w:val="000000"/>
                <w:sz w:val="18"/>
                <w:szCs w:val="16"/>
              </w:rPr>
            </w:pPr>
          </w:p>
        </w:tc>
      </w:tr>
      <w:tr w:rsidR="00546C09" w:rsidRPr="00D00722" w:rsidTr="00C917DA">
        <w:trPr>
          <w:trHeight w:val="113"/>
        </w:trPr>
        <w:tc>
          <w:tcPr>
            <w:tcW w:w="5245" w:type="dxa"/>
          </w:tcPr>
          <w:p w:rsidR="00546C09" w:rsidRPr="00D00722" w:rsidRDefault="00546C09" w:rsidP="00C917DA">
            <w:pPr>
              <w:autoSpaceDE w:val="0"/>
              <w:autoSpaceDN w:val="0"/>
              <w:adjustRightInd w:val="0"/>
              <w:ind w:right="-108" w:hanging="108"/>
              <w:rPr>
                <w:rFonts w:ascii="Arial" w:hAnsi="Arial" w:cs="Arial"/>
                <w:color w:val="000000"/>
                <w:sz w:val="18"/>
                <w:szCs w:val="16"/>
              </w:rPr>
            </w:pPr>
          </w:p>
        </w:tc>
        <w:tc>
          <w:tcPr>
            <w:tcW w:w="851" w:type="dxa"/>
            <w:vAlign w:val="bottom"/>
          </w:tcPr>
          <w:p w:rsidR="00546C09" w:rsidRPr="00D00722" w:rsidRDefault="00546C09" w:rsidP="00C917DA">
            <w:pPr>
              <w:autoSpaceDE w:val="0"/>
              <w:autoSpaceDN w:val="0"/>
              <w:adjustRightInd w:val="0"/>
              <w:jc w:val="right"/>
              <w:rPr>
                <w:rFonts w:ascii="Arial" w:hAnsi="Arial" w:cs="Arial"/>
                <w:color w:val="000000"/>
                <w:sz w:val="18"/>
                <w:szCs w:val="16"/>
              </w:rPr>
            </w:pPr>
          </w:p>
        </w:tc>
        <w:tc>
          <w:tcPr>
            <w:tcW w:w="1417" w:type="dxa"/>
            <w:vAlign w:val="bottom"/>
          </w:tcPr>
          <w:p w:rsidR="00546C09" w:rsidRPr="00D00722" w:rsidRDefault="00546C09" w:rsidP="00C917DA">
            <w:pPr>
              <w:autoSpaceDE w:val="0"/>
              <w:autoSpaceDN w:val="0"/>
              <w:adjustRightInd w:val="0"/>
              <w:jc w:val="right"/>
              <w:rPr>
                <w:rFonts w:ascii="Arial" w:hAnsi="Arial" w:cs="Arial"/>
                <w:b/>
                <w:bCs/>
                <w:color w:val="000000"/>
                <w:sz w:val="18"/>
                <w:szCs w:val="16"/>
              </w:rPr>
            </w:pPr>
          </w:p>
        </w:tc>
        <w:tc>
          <w:tcPr>
            <w:tcW w:w="1559" w:type="dxa"/>
            <w:vAlign w:val="bottom"/>
          </w:tcPr>
          <w:p w:rsidR="00546C09" w:rsidRPr="00D00722" w:rsidRDefault="00546C09" w:rsidP="009E6AD4">
            <w:pPr>
              <w:autoSpaceDE w:val="0"/>
              <w:autoSpaceDN w:val="0"/>
              <w:adjustRightInd w:val="0"/>
              <w:jc w:val="right"/>
              <w:rPr>
                <w:rFonts w:ascii="Arial" w:hAnsi="Arial" w:cs="Arial"/>
                <w:bCs/>
                <w:color w:val="000000"/>
                <w:sz w:val="18"/>
                <w:szCs w:val="16"/>
              </w:rPr>
            </w:pPr>
          </w:p>
        </w:tc>
      </w:tr>
      <w:tr w:rsidR="009E6AD4" w:rsidRPr="00D00722" w:rsidTr="00C917DA">
        <w:trPr>
          <w:trHeight w:val="113"/>
        </w:trPr>
        <w:tc>
          <w:tcPr>
            <w:tcW w:w="5245" w:type="dxa"/>
          </w:tcPr>
          <w:p w:rsidR="009E6AD4" w:rsidRPr="00D00722" w:rsidRDefault="009E6AD4" w:rsidP="00C917DA">
            <w:pPr>
              <w:autoSpaceDE w:val="0"/>
              <w:autoSpaceDN w:val="0"/>
              <w:adjustRightInd w:val="0"/>
              <w:ind w:right="-108" w:hanging="108"/>
              <w:rPr>
                <w:rFonts w:ascii="Arial" w:hAnsi="Arial" w:cs="Arial"/>
                <w:color w:val="000000"/>
                <w:sz w:val="18"/>
                <w:szCs w:val="16"/>
              </w:rPr>
            </w:pPr>
            <w:r w:rsidRPr="00D00722">
              <w:rPr>
                <w:rFonts w:ascii="Arial" w:hAnsi="Arial" w:cs="Arial"/>
                <w:color w:val="000000"/>
                <w:sz w:val="18"/>
                <w:szCs w:val="16"/>
              </w:rPr>
              <w:t>Sermaye arttırımı</w:t>
            </w:r>
            <w:r w:rsidR="00546C09" w:rsidRPr="00D00722">
              <w:rPr>
                <w:rFonts w:ascii="Arial" w:hAnsi="Arial" w:cs="Arial"/>
                <w:color w:val="000000"/>
                <w:sz w:val="18"/>
                <w:szCs w:val="16"/>
              </w:rPr>
              <w:t xml:space="preserve"> taahhütleri</w:t>
            </w:r>
          </w:p>
        </w:tc>
        <w:tc>
          <w:tcPr>
            <w:tcW w:w="851" w:type="dxa"/>
            <w:vAlign w:val="bottom"/>
          </w:tcPr>
          <w:p w:rsidR="009E6AD4" w:rsidRPr="00D00722" w:rsidRDefault="009E6AD4" w:rsidP="00C917DA">
            <w:pPr>
              <w:autoSpaceDE w:val="0"/>
              <w:autoSpaceDN w:val="0"/>
              <w:adjustRightInd w:val="0"/>
              <w:jc w:val="right"/>
              <w:rPr>
                <w:rFonts w:ascii="Arial" w:hAnsi="Arial" w:cs="Arial"/>
                <w:color w:val="000000"/>
                <w:sz w:val="18"/>
                <w:szCs w:val="16"/>
              </w:rPr>
            </w:pPr>
          </w:p>
        </w:tc>
        <w:tc>
          <w:tcPr>
            <w:tcW w:w="1417" w:type="dxa"/>
            <w:vAlign w:val="bottom"/>
          </w:tcPr>
          <w:p w:rsidR="009E6AD4" w:rsidRPr="00D00722" w:rsidRDefault="009E6AD4" w:rsidP="00C917DA">
            <w:pPr>
              <w:autoSpaceDE w:val="0"/>
              <w:autoSpaceDN w:val="0"/>
              <w:adjustRightInd w:val="0"/>
              <w:jc w:val="right"/>
              <w:rPr>
                <w:rFonts w:ascii="Arial" w:hAnsi="Arial" w:cs="Arial"/>
                <w:b/>
                <w:bCs/>
                <w:color w:val="000000"/>
                <w:sz w:val="18"/>
                <w:szCs w:val="16"/>
              </w:rPr>
            </w:pPr>
          </w:p>
        </w:tc>
        <w:tc>
          <w:tcPr>
            <w:tcW w:w="1559" w:type="dxa"/>
            <w:vAlign w:val="bottom"/>
          </w:tcPr>
          <w:p w:rsidR="009E6AD4" w:rsidRPr="00D00722" w:rsidRDefault="009E6AD4" w:rsidP="009E6AD4">
            <w:pPr>
              <w:autoSpaceDE w:val="0"/>
              <w:autoSpaceDN w:val="0"/>
              <w:adjustRightInd w:val="0"/>
              <w:jc w:val="right"/>
              <w:rPr>
                <w:rFonts w:ascii="Arial" w:hAnsi="Arial" w:cs="Arial"/>
                <w:bCs/>
                <w:color w:val="000000"/>
                <w:sz w:val="18"/>
                <w:szCs w:val="16"/>
              </w:rPr>
            </w:pPr>
            <w:r w:rsidRPr="00D00722">
              <w:rPr>
                <w:rFonts w:ascii="Arial" w:hAnsi="Arial" w:cs="Arial"/>
                <w:bCs/>
                <w:color w:val="000000"/>
                <w:sz w:val="18"/>
                <w:szCs w:val="16"/>
              </w:rPr>
              <w:t>-</w:t>
            </w:r>
          </w:p>
        </w:tc>
      </w:tr>
      <w:tr w:rsidR="009E6AD4" w:rsidRPr="00D00722" w:rsidTr="00C917DA">
        <w:trPr>
          <w:trHeight w:val="113"/>
        </w:trPr>
        <w:tc>
          <w:tcPr>
            <w:tcW w:w="5245" w:type="dxa"/>
          </w:tcPr>
          <w:p w:rsidR="009E6AD4" w:rsidRPr="00D00722" w:rsidRDefault="009E6AD4" w:rsidP="00C917DA">
            <w:pPr>
              <w:autoSpaceDE w:val="0"/>
              <w:autoSpaceDN w:val="0"/>
              <w:adjustRightInd w:val="0"/>
              <w:ind w:right="-108" w:hanging="108"/>
              <w:rPr>
                <w:rFonts w:ascii="Arial" w:hAnsi="Arial" w:cs="Arial"/>
                <w:color w:val="000000"/>
                <w:sz w:val="18"/>
                <w:szCs w:val="16"/>
              </w:rPr>
            </w:pPr>
            <w:r w:rsidRPr="00D00722">
              <w:rPr>
                <w:rFonts w:ascii="Arial" w:hAnsi="Arial" w:cs="Arial"/>
                <w:color w:val="000000"/>
                <w:sz w:val="18"/>
                <w:szCs w:val="16"/>
              </w:rPr>
              <w:t>Geçmiş yıllar kar/ (zararlarına) nakit ilaveler</w:t>
            </w:r>
          </w:p>
        </w:tc>
        <w:tc>
          <w:tcPr>
            <w:tcW w:w="851" w:type="dxa"/>
            <w:vAlign w:val="bottom"/>
          </w:tcPr>
          <w:p w:rsidR="009E6AD4" w:rsidRPr="00D00722" w:rsidRDefault="009E6AD4" w:rsidP="00C917DA">
            <w:pPr>
              <w:autoSpaceDE w:val="0"/>
              <w:autoSpaceDN w:val="0"/>
              <w:adjustRightInd w:val="0"/>
              <w:jc w:val="right"/>
              <w:rPr>
                <w:rFonts w:ascii="Arial" w:hAnsi="Arial" w:cs="Arial"/>
                <w:color w:val="000000"/>
                <w:sz w:val="18"/>
                <w:szCs w:val="16"/>
              </w:rPr>
            </w:pPr>
          </w:p>
        </w:tc>
        <w:tc>
          <w:tcPr>
            <w:tcW w:w="1417" w:type="dxa"/>
            <w:vAlign w:val="bottom"/>
          </w:tcPr>
          <w:p w:rsidR="009E6AD4" w:rsidRPr="00D00722" w:rsidRDefault="00204280" w:rsidP="00C917DA">
            <w:pPr>
              <w:autoSpaceDE w:val="0"/>
              <w:autoSpaceDN w:val="0"/>
              <w:adjustRightInd w:val="0"/>
              <w:jc w:val="right"/>
              <w:rPr>
                <w:rFonts w:ascii="Arial" w:hAnsi="Arial" w:cs="Arial"/>
                <w:b/>
                <w:bCs/>
                <w:color w:val="000000"/>
                <w:sz w:val="18"/>
                <w:szCs w:val="16"/>
              </w:rPr>
            </w:pPr>
            <w:r w:rsidRPr="00D00722">
              <w:rPr>
                <w:rFonts w:ascii="Arial" w:hAnsi="Arial" w:cs="Arial"/>
                <w:b/>
                <w:bCs/>
                <w:color w:val="000000"/>
                <w:sz w:val="18"/>
                <w:szCs w:val="16"/>
              </w:rPr>
              <w:t>366.275</w:t>
            </w:r>
          </w:p>
        </w:tc>
        <w:tc>
          <w:tcPr>
            <w:tcW w:w="1559" w:type="dxa"/>
            <w:vAlign w:val="bottom"/>
          </w:tcPr>
          <w:p w:rsidR="009E6AD4" w:rsidRPr="00D00722" w:rsidRDefault="002D55BD" w:rsidP="009E6AD4">
            <w:pPr>
              <w:autoSpaceDE w:val="0"/>
              <w:autoSpaceDN w:val="0"/>
              <w:adjustRightInd w:val="0"/>
              <w:jc w:val="right"/>
              <w:rPr>
                <w:rFonts w:ascii="Arial" w:hAnsi="Arial" w:cs="Arial"/>
                <w:bCs/>
                <w:color w:val="000000"/>
                <w:sz w:val="18"/>
                <w:szCs w:val="16"/>
              </w:rPr>
            </w:pPr>
            <w:r w:rsidRPr="00D00722">
              <w:rPr>
                <w:rFonts w:ascii="Arial" w:hAnsi="Arial" w:cs="Arial"/>
                <w:bCs/>
                <w:color w:val="000000"/>
                <w:sz w:val="18"/>
                <w:szCs w:val="16"/>
              </w:rPr>
              <w:t>-</w:t>
            </w:r>
          </w:p>
        </w:tc>
      </w:tr>
      <w:tr w:rsidR="009E6AD4" w:rsidRPr="00D00722" w:rsidTr="00C917DA">
        <w:trPr>
          <w:trHeight w:val="113"/>
        </w:trPr>
        <w:tc>
          <w:tcPr>
            <w:tcW w:w="5245" w:type="dxa"/>
            <w:tcBorders>
              <w:bottom w:val="single" w:sz="2" w:space="0" w:color="000000"/>
            </w:tcBorders>
          </w:tcPr>
          <w:p w:rsidR="009E6AD4" w:rsidRPr="00D00722" w:rsidRDefault="009E6AD4" w:rsidP="00C917DA">
            <w:pPr>
              <w:autoSpaceDE w:val="0"/>
              <w:autoSpaceDN w:val="0"/>
              <w:adjustRightInd w:val="0"/>
              <w:ind w:right="-108" w:hanging="108"/>
              <w:rPr>
                <w:rFonts w:ascii="Arial" w:hAnsi="Arial" w:cs="Arial"/>
                <w:color w:val="000000"/>
                <w:sz w:val="18"/>
                <w:szCs w:val="16"/>
              </w:rPr>
            </w:pPr>
          </w:p>
        </w:tc>
        <w:tc>
          <w:tcPr>
            <w:tcW w:w="851" w:type="dxa"/>
            <w:tcBorders>
              <w:bottom w:val="single" w:sz="2" w:space="0" w:color="000000"/>
            </w:tcBorders>
            <w:vAlign w:val="bottom"/>
          </w:tcPr>
          <w:p w:rsidR="009E6AD4" w:rsidRPr="00D00722" w:rsidRDefault="009E6AD4" w:rsidP="00C917DA">
            <w:pPr>
              <w:autoSpaceDE w:val="0"/>
              <w:autoSpaceDN w:val="0"/>
              <w:adjustRightInd w:val="0"/>
              <w:jc w:val="right"/>
              <w:rPr>
                <w:rFonts w:ascii="Arial" w:hAnsi="Arial" w:cs="Arial"/>
                <w:color w:val="000000"/>
                <w:sz w:val="18"/>
                <w:szCs w:val="16"/>
              </w:rPr>
            </w:pPr>
          </w:p>
        </w:tc>
        <w:tc>
          <w:tcPr>
            <w:tcW w:w="1417" w:type="dxa"/>
            <w:tcBorders>
              <w:bottom w:val="single" w:sz="2" w:space="0" w:color="000000"/>
            </w:tcBorders>
            <w:vAlign w:val="bottom"/>
          </w:tcPr>
          <w:p w:rsidR="009E6AD4" w:rsidRPr="00D00722" w:rsidRDefault="009E6AD4" w:rsidP="00C917DA">
            <w:pPr>
              <w:autoSpaceDE w:val="0"/>
              <w:autoSpaceDN w:val="0"/>
              <w:adjustRightInd w:val="0"/>
              <w:jc w:val="right"/>
              <w:rPr>
                <w:rFonts w:ascii="Arial" w:hAnsi="Arial" w:cs="Arial"/>
                <w:b/>
                <w:bCs/>
                <w:color w:val="000000"/>
                <w:sz w:val="18"/>
                <w:szCs w:val="16"/>
              </w:rPr>
            </w:pPr>
          </w:p>
        </w:tc>
        <w:tc>
          <w:tcPr>
            <w:tcW w:w="1559" w:type="dxa"/>
            <w:tcBorders>
              <w:bottom w:val="single" w:sz="2" w:space="0" w:color="000000"/>
            </w:tcBorders>
            <w:vAlign w:val="bottom"/>
          </w:tcPr>
          <w:p w:rsidR="009E6AD4" w:rsidRPr="00D00722" w:rsidRDefault="009E6AD4" w:rsidP="009E6AD4">
            <w:pPr>
              <w:autoSpaceDE w:val="0"/>
              <w:autoSpaceDN w:val="0"/>
              <w:adjustRightInd w:val="0"/>
              <w:jc w:val="right"/>
              <w:rPr>
                <w:rFonts w:ascii="Arial" w:hAnsi="Arial" w:cs="Arial"/>
                <w:bCs/>
                <w:color w:val="000000"/>
                <w:sz w:val="18"/>
                <w:szCs w:val="16"/>
              </w:rPr>
            </w:pPr>
          </w:p>
        </w:tc>
      </w:tr>
      <w:tr w:rsidR="009E6AD4" w:rsidRPr="00D00722" w:rsidTr="00C917DA">
        <w:trPr>
          <w:trHeight w:val="113"/>
        </w:trPr>
        <w:tc>
          <w:tcPr>
            <w:tcW w:w="5245" w:type="dxa"/>
            <w:tcBorders>
              <w:top w:val="single" w:sz="2" w:space="0" w:color="000000"/>
              <w:bottom w:val="single" w:sz="2" w:space="0" w:color="000000"/>
            </w:tcBorders>
          </w:tcPr>
          <w:p w:rsidR="009E6AD4" w:rsidRPr="00D00722" w:rsidRDefault="009E6AD4" w:rsidP="00C917DA">
            <w:pPr>
              <w:autoSpaceDE w:val="0"/>
              <w:autoSpaceDN w:val="0"/>
              <w:adjustRightInd w:val="0"/>
              <w:ind w:right="-108" w:hanging="108"/>
              <w:rPr>
                <w:rFonts w:ascii="Arial" w:hAnsi="Arial" w:cs="Arial"/>
                <w:b/>
                <w:bCs/>
                <w:color w:val="000000"/>
                <w:sz w:val="18"/>
                <w:szCs w:val="16"/>
              </w:rPr>
            </w:pPr>
          </w:p>
        </w:tc>
        <w:tc>
          <w:tcPr>
            <w:tcW w:w="851" w:type="dxa"/>
            <w:tcBorders>
              <w:top w:val="single" w:sz="2" w:space="0" w:color="000000"/>
              <w:bottom w:val="single" w:sz="2" w:space="0" w:color="000000"/>
            </w:tcBorders>
            <w:vAlign w:val="bottom"/>
          </w:tcPr>
          <w:p w:rsidR="009E6AD4" w:rsidRPr="00D00722" w:rsidRDefault="009E6AD4" w:rsidP="00C917DA">
            <w:pPr>
              <w:autoSpaceDE w:val="0"/>
              <w:autoSpaceDN w:val="0"/>
              <w:adjustRightInd w:val="0"/>
              <w:jc w:val="right"/>
              <w:rPr>
                <w:rFonts w:ascii="Arial" w:hAnsi="Arial" w:cs="Arial"/>
                <w:color w:val="000000"/>
                <w:sz w:val="18"/>
                <w:szCs w:val="16"/>
              </w:rPr>
            </w:pPr>
          </w:p>
        </w:tc>
        <w:tc>
          <w:tcPr>
            <w:tcW w:w="1417" w:type="dxa"/>
            <w:tcBorders>
              <w:top w:val="single" w:sz="2" w:space="0" w:color="000000"/>
              <w:bottom w:val="single" w:sz="2" w:space="0" w:color="000000"/>
            </w:tcBorders>
            <w:vAlign w:val="bottom"/>
          </w:tcPr>
          <w:p w:rsidR="009E6AD4" w:rsidRPr="00D00722" w:rsidRDefault="009E6AD4" w:rsidP="00C917DA">
            <w:pPr>
              <w:autoSpaceDE w:val="0"/>
              <w:autoSpaceDN w:val="0"/>
              <w:adjustRightInd w:val="0"/>
              <w:jc w:val="right"/>
              <w:rPr>
                <w:rFonts w:ascii="Arial" w:hAnsi="Arial" w:cs="Arial"/>
                <w:b/>
                <w:bCs/>
                <w:color w:val="000000"/>
                <w:sz w:val="18"/>
                <w:szCs w:val="16"/>
              </w:rPr>
            </w:pPr>
          </w:p>
        </w:tc>
        <w:tc>
          <w:tcPr>
            <w:tcW w:w="1559" w:type="dxa"/>
            <w:tcBorders>
              <w:top w:val="single" w:sz="2" w:space="0" w:color="000000"/>
              <w:bottom w:val="single" w:sz="2" w:space="0" w:color="000000"/>
            </w:tcBorders>
            <w:vAlign w:val="bottom"/>
          </w:tcPr>
          <w:p w:rsidR="009E6AD4" w:rsidRPr="00D00722" w:rsidRDefault="002D55BD" w:rsidP="009E6AD4">
            <w:pPr>
              <w:autoSpaceDE w:val="0"/>
              <w:autoSpaceDN w:val="0"/>
              <w:adjustRightInd w:val="0"/>
              <w:jc w:val="right"/>
              <w:rPr>
                <w:rFonts w:ascii="Arial" w:hAnsi="Arial" w:cs="Arial"/>
                <w:bCs/>
                <w:color w:val="000000"/>
                <w:sz w:val="18"/>
                <w:szCs w:val="16"/>
              </w:rPr>
            </w:pPr>
            <w:r w:rsidRPr="00D00722">
              <w:rPr>
                <w:rFonts w:ascii="Arial" w:hAnsi="Arial" w:cs="Arial"/>
                <w:bCs/>
                <w:color w:val="000000"/>
                <w:sz w:val="18"/>
                <w:szCs w:val="16"/>
              </w:rPr>
              <w:t>-</w:t>
            </w:r>
          </w:p>
        </w:tc>
      </w:tr>
      <w:tr w:rsidR="009E6AD4" w:rsidRPr="00D00722" w:rsidTr="00C917DA">
        <w:trPr>
          <w:trHeight w:val="113"/>
        </w:trPr>
        <w:tc>
          <w:tcPr>
            <w:tcW w:w="5245" w:type="dxa"/>
            <w:tcBorders>
              <w:top w:val="single" w:sz="2" w:space="0" w:color="000000"/>
              <w:bottom w:val="single" w:sz="2" w:space="0" w:color="000000"/>
            </w:tcBorders>
          </w:tcPr>
          <w:p w:rsidR="009E6AD4" w:rsidRPr="00D00722" w:rsidRDefault="009E6AD4" w:rsidP="00C917DA">
            <w:pPr>
              <w:autoSpaceDE w:val="0"/>
              <w:autoSpaceDN w:val="0"/>
              <w:adjustRightInd w:val="0"/>
              <w:ind w:right="-108" w:hanging="108"/>
              <w:rPr>
                <w:rFonts w:ascii="Arial" w:hAnsi="Arial" w:cs="Arial"/>
                <w:color w:val="000000"/>
                <w:sz w:val="18"/>
                <w:szCs w:val="16"/>
              </w:rPr>
            </w:pPr>
          </w:p>
        </w:tc>
        <w:tc>
          <w:tcPr>
            <w:tcW w:w="851" w:type="dxa"/>
            <w:tcBorders>
              <w:top w:val="single" w:sz="2" w:space="0" w:color="000000"/>
              <w:bottom w:val="single" w:sz="2" w:space="0" w:color="000000"/>
            </w:tcBorders>
            <w:vAlign w:val="bottom"/>
          </w:tcPr>
          <w:p w:rsidR="009E6AD4" w:rsidRPr="00D00722" w:rsidRDefault="009E6AD4" w:rsidP="00C917DA">
            <w:pPr>
              <w:autoSpaceDE w:val="0"/>
              <w:autoSpaceDN w:val="0"/>
              <w:adjustRightInd w:val="0"/>
              <w:jc w:val="right"/>
              <w:rPr>
                <w:rFonts w:ascii="Arial" w:hAnsi="Arial" w:cs="Arial"/>
                <w:color w:val="000000"/>
                <w:sz w:val="18"/>
                <w:szCs w:val="16"/>
              </w:rPr>
            </w:pPr>
          </w:p>
        </w:tc>
        <w:tc>
          <w:tcPr>
            <w:tcW w:w="1417" w:type="dxa"/>
            <w:tcBorders>
              <w:top w:val="single" w:sz="2" w:space="0" w:color="000000"/>
              <w:bottom w:val="single" w:sz="2" w:space="0" w:color="000000"/>
            </w:tcBorders>
            <w:vAlign w:val="bottom"/>
          </w:tcPr>
          <w:p w:rsidR="009E6AD4" w:rsidRPr="00D00722" w:rsidRDefault="009E6AD4" w:rsidP="00C917DA">
            <w:pPr>
              <w:autoSpaceDE w:val="0"/>
              <w:autoSpaceDN w:val="0"/>
              <w:adjustRightInd w:val="0"/>
              <w:jc w:val="right"/>
              <w:rPr>
                <w:rFonts w:ascii="Arial" w:hAnsi="Arial" w:cs="Arial"/>
                <w:b/>
                <w:bCs/>
                <w:color w:val="000000"/>
                <w:sz w:val="18"/>
                <w:szCs w:val="16"/>
              </w:rPr>
            </w:pPr>
          </w:p>
        </w:tc>
        <w:tc>
          <w:tcPr>
            <w:tcW w:w="1559" w:type="dxa"/>
            <w:tcBorders>
              <w:top w:val="single" w:sz="2" w:space="0" w:color="000000"/>
              <w:bottom w:val="single" w:sz="2" w:space="0" w:color="000000"/>
            </w:tcBorders>
            <w:vAlign w:val="bottom"/>
          </w:tcPr>
          <w:p w:rsidR="009E6AD4" w:rsidRPr="00D00722" w:rsidRDefault="009E6AD4" w:rsidP="009E6AD4">
            <w:pPr>
              <w:autoSpaceDE w:val="0"/>
              <w:autoSpaceDN w:val="0"/>
              <w:adjustRightInd w:val="0"/>
              <w:jc w:val="right"/>
              <w:rPr>
                <w:rFonts w:ascii="Arial" w:hAnsi="Arial" w:cs="Arial"/>
                <w:bCs/>
                <w:color w:val="000000"/>
                <w:sz w:val="18"/>
                <w:szCs w:val="16"/>
              </w:rPr>
            </w:pPr>
          </w:p>
        </w:tc>
      </w:tr>
      <w:tr w:rsidR="009E6AD4" w:rsidRPr="00D00722" w:rsidTr="00C917DA">
        <w:trPr>
          <w:trHeight w:val="113"/>
        </w:trPr>
        <w:tc>
          <w:tcPr>
            <w:tcW w:w="5245" w:type="dxa"/>
            <w:tcBorders>
              <w:top w:val="single" w:sz="2" w:space="0" w:color="000000"/>
              <w:bottom w:val="single" w:sz="2" w:space="0" w:color="000000"/>
            </w:tcBorders>
          </w:tcPr>
          <w:p w:rsidR="009E6AD4" w:rsidRPr="00D00722" w:rsidRDefault="009E6AD4" w:rsidP="00C917DA">
            <w:pPr>
              <w:autoSpaceDE w:val="0"/>
              <w:autoSpaceDN w:val="0"/>
              <w:adjustRightInd w:val="0"/>
              <w:ind w:right="-108" w:hanging="108"/>
              <w:rPr>
                <w:rFonts w:ascii="Arial" w:hAnsi="Arial" w:cs="Arial"/>
                <w:b/>
                <w:bCs/>
                <w:color w:val="000000"/>
                <w:sz w:val="18"/>
                <w:szCs w:val="16"/>
              </w:rPr>
            </w:pPr>
            <w:r w:rsidRPr="00D00722">
              <w:rPr>
                <w:rFonts w:ascii="Arial" w:hAnsi="Arial" w:cs="Arial"/>
                <w:b/>
                <w:bCs/>
                <w:color w:val="000000"/>
                <w:sz w:val="18"/>
                <w:szCs w:val="16"/>
              </w:rPr>
              <w:t>Nakit ve nakit benzerlerindeki net değişim</w:t>
            </w:r>
          </w:p>
        </w:tc>
        <w:tc>
          <w:tcPr>
            <w:tcW w:w="851" w:type="dxa"/>
            <w:tcBorders>
              <w:top w:val="single" w:sz="2" w:space="0" w:color="000000"/>
              <w:bottom w:val="single" w:sz="2" w:space="0" w:color="000000"/>
            </w:tcBorders>
            <w:vAlign w:val="bottom"/>
          </w:tcPr>
          <w:p w:rsidR="009E6AD4" w:rsidRPr="00D00722" w:rsidRDefault="009E6AD4" w:rsidP="00C917DA">
            <w:pPr>
              <w:autoSpaceDE w:val="0"/>
              <w:autoSpaceDN w:val="0"/>
              <w:adjustRightInd w:val="0"/>
              <w:jc w:val="right"/>
              <w:rPr>
                <w:rFonts w:ascii="Arial" w:hAnsi="Arial" w:cs="Arial"/>
                <w:color w:val="000000"/>
                <w:sz w:val="18"/>
                <w:szCs w:val="16"/>
              </w:rPr>
            </w:pPr>
          </w:p>
        </w:tc>
        <w:tc>
          <w:tcPr>
            <w:tcW w:w="1417" w:type="dxa"/>
            <w:tcBorders>
              <w:top w:val="single" w:sz="2" w:space="0" w:color="000000"/>
              <w:bottom w:val="single" w:sz="2" w:space="0" w:color="000000"/>
            </w:tcBorders>
            <w:vAlign w:val="bottom"/>
          </w:tcPr>
          <w:p w:rsidR="009E6AD4" w:rsidRPr="00D00722" w:rsidRDefault="00204280" w:rsidP="00FF1BDE">
            <w:pPr>
              <w:autoSpaceDE w:val="0"/>
              <w:autoSpaceDN w:val="0"/>
              <w:adjustRightInd w:val="0"/>
              <w:jc w:val="right"/>
              <w:rPr>
                <w:rFonts w:ascii="Arial" w:hAnsi="Arial" w:cs="Arial"/>
                <w:b/>
                <w:bCs/>
                <w:color w:val="000000"/>
                <w:sz w:val="18"/>
                <w:szCs w:val="16"/>
              </w:rPr>
            </w:pPr>
            <w:r w:rsidRPr="00D00722">
              <w:rPr>
                <w:rFonts w:ascii="Arial" w:hAnsi="Arial" w:cs="Arial"/>
                <w:b/>
                <w:bCs/>
                <w:color w:val="000000"/>
                <w:sz w:val="18"/>
                <w:szCs w:val="16"/>
              </w:rPr>
              <w:t>24.3</w:t>
            </w:r>
            <w:r w:rsidR="00FF1BDE" w:rsidRPr="00D00722">
              <w:rPr>
                <w:rFonts w:ascii="Arial" w:hAnsi="Arial" w:cs="Arial"/>
                <w:b/>
                <w:bCs/>
                <w:color w:val="000000"/>
                <w:sz w:val="18"/>
                <w:szCs w:val="16"/>
              </w:rPr>
              <w:t>34</w:t>
            </w:r>
          </w:p>
        </w:tc>
        <w:tc>
          <w:tcPr>
            <w:tcW w:w="1559" w:type="dxa"/>
            <w:tcBorders>
              <w:top w:val="single" w:sz="2" w:space="0" w:color="000000"/>
              <w:bottom w:val="single" w:sz="2" w:space="0" w:color="000000"/>
            </w:tcBorders>
            <w:vAlign w:val="bottom"/>
          </w:tcPr>
          <w:p w:rsidR="009E6AD4" w:rsidRPr="00D00722" w:rsidRDefault="002D55BD" w:rsidP="002D55BD">
            <w:pPr>
              <w:autoSpaceDE w:val="0"/>
              <w:autoSpaceDN w:val="0"/>
              <w:adjustRightInd w:val="0"/>
              <w:jc w:val="right"/>
              <w:rPr>
                <w:rFonts w:ascii="Arial" w:hAnsi="Arial" w:cs="Arial"/>
                <w:bCs/>
                <w:color w:val="000000"/>
                <w:sz w:val="18"/>
                <w:szCs w:val="16"/>
              </w:rPr>
            </w:pPr>
            <w:r w:rsidRPr="00D00722">
              <w:rPr>
                <w:rFonts w:ascii="Arial" w:hAnsi="Arial" w:cs="Arial"/>
                <w:bCs/>
                <w:color w:val="000000"/>
                <w:sz w:val="18"/>
                <w:szCs w:val="16"/>
              </w:rPr>
              <w:t>(242.702)</w:t>
            </w:r>
          </w:p>
        </w:tc>
      </w:tr>
      <w:tr w:rsidR="009E6AD4" w:rsidRPr="00D00722" w:rsidTr="00C917DA">
        <w:trPr>
          <w:trHeight w:val="113"/>
        </w:trPr>
        <w:tc>
          <w:tcPr>
            <w:tcW w:w="5245" w:type="dxa"/>
            <w:tcBorders>
              <w:top w:val="single" w:sz="2" w:space="0" w:color="000000"/>
              <w:bottom w:val="single" w:sz="2" w:space="0" w:color="000000"/>
            </w:tcBorders>
          </w:tcPr>
          <w:p w:rsidR="009E6AD4" w:rsidRPr="00D00722" w:rsidRDefault="009E6AD4" w:rsidP="00C917DA">
            <w:pPr>
              <w:autoSpaceDE w:val="0"/>
              <w:autoSpaceDN w:val="0"/>
              <w:adjustRightInd w:val="0"/>
              <w:ind w:right="-108" w:hanging="108"/>
              <w:rPr>
                <w:rFonts w:ascii="Arial" w:hAnsi="Arial" w:cs="Arial"/>
                <w:color w:val="000000"/>
                <w:sz w:val="18"/>
                <w:szCs w:val="16"/>
              </w:rPr>
            </w:pPr>
          </w:p>
        </w:tc>
        <w:tc>
          <w:tcPr>
            <w:tcW w:w="851" w:type="dxa"/>
            <w:tcBorders>
              <w:top w:val="single" w:sz="2" w:space="0" w:color="000000"/>
              <w:bottom w:val="single" w:sz="2" w:space="0" w:color="000000"/>
            </w:tcBorders>
            <w:vAlign w:val="bottom"/>
          </w:tcPr>
          <w:p w:rsidR="009E6AD4" w:rsidRPr="00D00722" w:rsidRDefault="009E6AD4" w:rsidP="00C917DA">
            <w:pPr>
              <w:autoSpaceDE w:val="0"/>
              <w:autoSpaceDN w:val="0"/>
              <w:adjustRightInd w:val="0"/>
              <w:jc w:val="right"/>
              <w:rPr>
                <w:rFonts w:ascii="Arial" w:hAnsi="Arial" w:cs="Arial"/>
                <w:color w:val="000000"/>
                <w:sz w:val="18"/>
                <w:szCs w:val="16"/>
              </w:rPr>
            </w:pPr>
          </w:p>
        </w:tc>
        <w:tc>
          <w:tcPr>
            <w:tcW w:w="1417" w:type="dxa"/>
            <w:tcBorders>
              <w:top w:val="single" w:sz="2" w:space="0" w:color="000000"/>
              <w:bottom w:val="single" w:sz="2" w:space="0" w:color="000000"/>
            </w:tcBorders>
            <w:vAlign w:val="bottom"/>
          </w:tcPr>
          <w:p w:rsidR="009E6AD4" w:rsidRPr="00D00722" w:rsidRDefault="009E6AD4" w:rsidP="00C917DA">
            <w:pPr>
              <w:autoSpaceDE w:val="0"/>
              <w:autoSpaceDN w:val="0"/>
              <w:adjustRightInd w:val="0"/>
              <w:jc w:val="right"/>
              <w:rPr>
                <w:rFonts w:ascii="Arial" w:hAnsi="Arial" w:cs="Arial"/>
                <w:b/>
                <w:bCs/>
                <w:color w:val="000000"/>
                <w:sz w:val="18"/>
                <w:szCs w:val="16"/>
              </w:rPr>
            </w:pPr>
          </w:p>
        </w:tc>
        <w:tc>
          <w:tcPr>
            <w:tcW w:w="1559" w:type="dxa"/>
            <w:tcBorders>
              <w:top w:val="single" w:sz="2" w:space="0" w:color="000000"/>
              <w:bottom w:val="single" w:sz="2" w:space="0" w:color="000000"/>
            </w:tcBorders>
            <w:vAlign w:val="bottom"/>
          </w:tcPr>
          <w:p w:rsidR="009E6AD4" w:rsidRPr="00D00722" w:rsidRDefault="009E6AD4" w:rsidP="009E6AD4">
            <w:pPr>
              <w:autoSpaceDE w:val="0"/>
              <w:autoSpaceDN w:val="0"/>
              <w:adjustRightInd w:val="0"/>
              <w:jc w:val="right"/>
              <w:rPr>
                <w:rFonts w:ascii="Arial" w:hAnsi="Arial" w:cs="Arial"/>
                <w:bCs/>
                <w:color w:val="000000"/>
                <w:sz w:val="18"/>
                <w:szCs w:val="16"/>
              </w:rPr>
            </w:pPr>
          </w:p>
        </w:tc>
      </w:tr>
      <w:tr w:rsidR="009E6AD4" w:rsidRPr="00D00722" w:rsidTr="00C917DA">
        <w:trPr>
          <w:trHeight w:val="113"/>
        </w:trPr>
        <w:tc>
          <w:tcPr>
            <w:tcW w:w="5245" w:type="dxa"/>
            <w:tcBorders>
              <w:top w:val="single" w:sz="2" w:space="0" w:color="000000"/>
              <w:bottom w:val="single" w:sz="2" w:space="0" w:color="000000"/>
            </w:tcBorders>
          </w:tcPr>
          <w:p w:rsidR="009E6AD4" w:rsidRPr="00D00722" w:rsidRDefault="00546C09" w:rsidP="00C917DA">
            <w:pPr>
              <w:autoSpaceDE w:val="0"/>
              <w:autoSpaceDN w:val="0"/>
              <w:adjustRightInd w:val="0"/>
              <w:ind w:right="-108" w:hanging="108"/>
              <w:rPr>
                <w:rFonts w:ascii="Arial" w:hAnsi="Arial" w:cs="Arial"/>
                <w:b/>
                <w:bCs/>
                <w:color w:val="000000"/>
                <w:sz w:val="18"/>
                <w:szCs w:val="16"/>
              </w:rPr>
            </w:pPr>
            <w:r w:rsidRPr="00D00722">
              <w:rPr>
                <w:rFonts w:ascii="Arial" w:hAnsi="Arial" w:cs="Arial"/>
                <w:b/>
                <w:bCs/>
                <w:color w:val="000000"/>
                <w:sz w:val="18"/>
                <w:szCs w:val="16"/>
              </w:rPr>
              <w:t>Nakit ve nakit benzeri değerlerin dönem başı bakiyesi</w:t>
            </w:r>
          </w:p>
        </w:tc>
        <w:tc>
          <w:tcPr>
            <w:tcW w:w="851" w:type="dxa"/>
            <w:tcBorders>
              <w:top w:val="single" w:sz="2" w:space="0" w:color="000000"/>
              <w:bottom w:val="single" w:sz="2" w:space="0" w:color="000000"/>
            </w:tcBorders>
            <w:vAlign w:val="bottom"/>
          </w:tcPr>
          <w:p w:rsidR="009E6AD4" w:rsidRPr="00D00722" w:rsidRDefault="009E6AD4" w:rsidP="00C917DA">
            <w:pPr>
              <w:autoSpaceDE w:val="0"/>
              <w:autoSpaceDN w:val="0"/>
              <w:adjustRightInd w:val="0"/>
              <w:jc w:val="right"/>
              <w:rPr>
                <w:rFonts w:ascii="Arial" w:hAnsi="Arial" w:cs="Arial"/>
                <w:color w:val="000000"/>
                <w:sz w:val="18"/>
                <w:szCs w:val="16"/>
              </w:rPr>
            </w:pPr>
            <w:r w:rsidRPr="00D00722">
              <w:rPr>
                <w:rFonts w:ascii="Arial" w:hAnsi="Arial" w:cs="Arial"/>
                <w:color w:val="000000"/>
                <w:sz w:val="18"/>
                <w:szCs w:val="16"/>
              </w:rPr>
              <w:t>4</w:t>
            </w:r>
          </w:p>
        </w:tc>
        <w:tc>
          <w:tcPr>
            <w:tcW w:w="1417" w:type="dxa"/>
            <w:tcBorders>
              <w:top w:val="single" w:sz="2" w:space="0" w:color="000000"/>
              <w:bottom w:val="single" w:sz="2" w:space="0" w:color="000000"/>
            </w:tcBorders>
            <w:vAlign w:val="bottom"/>
          </w:tcPr>
          <w:p w:rsidR="009E6AD4" w:rsidRPr="00D00722" w:rsidRDefault="00204280" w:rsidP="00C917DA">
            <w:pPr>
              <w:autoSpaceDE w:val="0"/>
              <w:autoSpaceDN w:val="0"/>
              <w:adjustRightInd w:val="0"/>
              <w:jc w:val="right"/>
              <w:rPr>
                <w:rFonts w:ascii="Arial" w:hAnsi="Arial" w:cs="Arial"/>
                <w:b/>
                <w:bCs/>
                <w:color w:val="000000"/>
                <w:sz w:val="18"/>
                <w:szCs w:val="16"/>
              </w:rPr>
            </w:pPr>
            <w:r w:rsidRPr="00D00722">
              <w:rPr>
                <w:rFonts w:ascii="Arial" w:hAnsi="Arial" w:cs="Arial"/>
                <w:b/>
                <w:bCs/>
                <w:color w:val="000000"/>
                <w:sz w:val="18"/>
                <w:szCs w:val="16"/>
              </w:rPr>
              <w:t>962.219</w:t>
            </w:r>
          </w:p>
        </w:tc>
        <w:tc>
          <w:tcPr>
            <w:tcW w:w="1559" w:type="dxa"/>
            <w:tcBorders>
              <w:top w:val="single" w:sz="2" w:space="0" w:color="000000"/>
              <w:bottom w:val="single" w:sz="2" w:space="0" w:color="000000"/>
            </w:tcBorders>
            <w:vAlign w:val="bottom"/>
          </w:tcPr>
          <w:p w:rsidR="009E6AD4" w:rsidRPr="00D00722" w:rsidRDefault="002D55BD" w:rsidP="002D55BD">
            <w:pPr>
              <w:autoSpaceDE w:val="0"/>
              <w:autoSpaceDN w:val="0"/>
              <w:adjustRightInd w:val="0"/>
              <w:jc w:val="right"/>
              <w:rPr>
                <w:rFonts w:ascii="Arial" w:hAnsi="Arial" w:cs="Arial"/>
                <w:bCs/>
                <w:color w:val="000000"/>
                <w:sz w:val="18"/>
                <w:szCs w:val="16"/>
              </w:rPr>
            </w:pPr>
            <w:r w:rsidRPr="00D00722">
              <w:rPr>
                <w:rFonts w:ascii="Arial" w:hAnsi="Arial" w:cs="Arial"/>
                <w:bCs/>
                <w:color w:val="000000"/>
                <w:sz w:val="18"/>
                <w:szCs w:val="16"/>
              </w:rPr>
              <w:t>1.072</w:t>
            </w:r>
            <w:r w:rsidR="009E6AD4" w:rsidRPr="00D00722">
              <w:rPr>
                <w:rFonts w:ascii="Arial" w:hAnsi="Arial" w:cs="Arial"/>
                <w:bCs/>
                <w:color w:val="000000"/>
                <w:sz w:val="18"/>
                <w:szCs w:val="16"/>
              </w:rPr>
              <w:t>.</w:t>
            </w:r>
            <w:r w:rsidRPr="00D00722">
              <w:rPr>
                <w:rFonts w:ascii="Arial" w:hAnsi="Arial" w:cs="Arial"/>
                <w:bCs/>
                <w:color w:val="000000"/>
                <w:sz w:val="18"/>
                <w:szCs w:val="16"/>
              </w:rPr>
              <w:t>747</w:t>
            </w:r>
          </w:p>
        </w:tc>
      </w:tr>
      <w:tr w:rsidR="009E6AD4" w:rsidRPr="00D00722" w:rsidTr="00C917DA">
        <w:trPr>
          <w:trHeight w:val="113"/>
        </w:trPr>
        <w:tc>
          <w:tcPr>
            <w:tcW w:w="5245" w:type="dxa"/>
            <w:tcBorders>
              <w:top w:val="single" w:sz="2" w:space="0" w:color="000000"/>
              <w:bottom w:val="single" w:sz="2" w:space="0" w:color="000000"/>
            </w:tcBorders>
          </w:tcPr>
          <w:p w:rsidR="009E6AD4" w:rsidRPr="00D00722" w:rsidRDefault="009E6AD4" w:rsidP="00C917DA">
            <w:pPr>
              <w:autoSpaceDE w:val="0"/>
              <w:autoSpaceDN w:val="0"/>
              <w:adjustRightInd w:val="0"/>
              <w:ind w:right="-108" w:hanging="108"/>
              <w:rPr>
                <w:rFonts w:ascii="Arial" w:hAnsi="Arial" w:cs="Arial"/>
                <w:b/>
                <w:bCs/>
                <w:color w:val="000000"/>
                <w:sz w:val="18"/>
                <w:szCs w:val="16"/>
              </w:rPr>
            </w:pPr>
          </w:p>
        </w:tc>
        <w:tc>
          <w:tcPr>
            <w:tcW w:w="851" w:type="dxa"/>
            <w:tcBorders>
              <w:top w:val="single" w:sz="2" w:space="0" w:color="000000"/>
              <w:bottom w:val="single" w:sz="2" w:space="0" w:color="000000"/>
            </w:tcBorders>
            <w:vAlign w:val="bottom"/>
          </w:tcPr>
          <w:p w:rsidR="009E6AD4" w:rsidRPr="00D00722" w:rsidRDefault="009E6AD4" w:rsidP="00C917DA">
            <w:pPr>
              <w:autoSpaceDE w:val="0"/>
              <w:autoSpaceDN w:val="0"/>
              <w:adjustRightInd w:val="0"/>
              <w:jc w:val="right"/>
              <w:rPr>
                <w:rFonts w:ascii="Arial" w:hAnsi="Arial" w:cs="Arial"/>
                <w:color w:val="000000"/>
                <w:sz w:val="18"/>
                <w:szCs w:val="16"/>
              </w:rPr>
            </w:pPr>
          </w:p>
        </w:tc>
        <w:tc>
          <w:tcPr>
            <w:tcW w:w="1417" w:type="dxa"/>
            <w:tcBorders>
              <w:top w:val="single" w:sz="2" w:space="0" w:color="000000"/>
              <w:bottom w:val="single" w:sz="2" w:space="0" w:color="000000"/>
            </w:tcBorders>
            <w:vAlign w:val="bottom"/>
          </w:tcPr>
          <w:p w:rsidR="009E6AD4" w:rsidRPr="00D00722" w:rsidRDefault="009E6AD4" w:rsidP="00C917DA">
            <w:pPr>
              <w:autoSpaceDE w:val="0"/>
              <w:autoSpaceDN w:val="0"/>
              <w:adjustRightInd w:val="0"/>
              <w:jc w:val="right"/>
              <w:rPr>
                <w:rFonts w:ascii="Arial" w:hAnsi="Arial" w:cs="Arial"/>
                <w:b/>
                <w:bCs/>
                <w:color w:val="000000"/>
                <w:sz w:val="18"/>
                <w:szCs w:val="16"/>
              </w:rPr>
            </w:pPr>
          </w:p>
        </w:tc>
        <w:tc>
          <w:tcPr>
            <w:tcW w:w="1559" w:type="dxa"/>
            <w:tcBorders>
              <w:top w:val="single" w:sz="2" w:space="0" w:color="000000"/>
              <w:bottom w:val="single" w:sz="2" w:space="0" w:color="000000"/>
            </w:tcBorders>
            <w:vAlign w:val="bottom"/>
          </w:tcPr>
          <w:p w:rsidR="009E6AD4" w:rsidRPr="00D00722" w:rsidRDefault="009E6AD4" w:rsidP="009E6AD4">
            <w:pPr>
              <w:autoSpaceDE w:val="0"/>
              <w:autoSpaceDN w:val="0"/>
              <w:adjustRightInd w:val="0"/>
              <w:jc w:val="right"/>
              <w:rPr>
                <w:rFonts w:ascii="Arial" w:hAnsi="Arial" w:cs="Arial"/>
                <w:bCs/>
                <w:color w:val="000000"/>
                <w:sz w:val="18"/>
                <w:szCs w:val="16"/>
              </w:rPr>
            </w:pPr>
          </w:p>
        </w:tc>
      </w:tr>
      <w:tr w:rsidR="009E6AD4" w:rsidRPr="00D00722" w:rsidTr="00C917DA">
        <w:trPr>
          <w:trHeight w:val="113"/>
        </w:trPr>
        <w:tc>
          <w:tcPr>
            <w:tcW w:w="5245" w:type="dxa"/>
            <w:tcBorders>
              <w:top w:val="single" w:sz="2" w:space="0" w:color="000000"/>
              <w:bottom w:val="single" w:sz="2" w:space="0" w:color="000000"/>
            </w:tcBorders>
          </w:tcPr>
          <w:p w:rsidR="009E6AD4" w:rsidRPr="00D00722" w:rsidRDefault="00546C09" w:rsidP="00C917DA">
            <w:pPr>
              <w:autoSpaceDE w:val="0"/>
              <w:autoSpaceDN w:val="0"/>
              <w:adjustRightInd w:val="0"/>
              <w:ind w:right="-108" w:hanging="108"/>
              <w:rPr>
                <w:rFonts w:ascii="Arial" w:hAnsi="Arial" w:cs="Arial"/>
                <w:b/>
                <w:bCs/>
                <w:color w:val="000000"/>
                <w:sz w:val="18"/>
                <w:szCs w:val="16"/>
              </w:rPr>
            </w:pPr>
            <w:r w:rsidRPr="00D00722">
              <w:rPr>
                <w:rFonts w:ascii="Arial" w:hAnsi="Arial" w:cs="Arial"/>
                <w:b/>
                <w:bCs/>
                <w:color w:val="000000"/>
                <w:sz w:val="18"/>
                <w:szCs w:val="16"/>
              </w:rPr>
              <w:t>Nakit ve nakit benzeri değerlerin dönem sonu bakiyesi</w:t>
            </w:r>
          </w:p>
        </w:tc>
        <w:tc>
          <w:tcPr>
            <w:tcW w:w="851" w:type="dxa"/>
            <w:tcBorders>
              <w:top w:val="single" w:sz="2" w:space="0" w:color="000000"/>
              <w:bottom w:val="single" w:sz="2" w:space="0" w:color="000000"/>
            </w:tcBorders>
            <w:vAlign w:val="bottom"/>
          </w:tcPr>
          <w:p w:rsidR="009E6AD4" w:rsidRPr="00D00722" w:rsidRDefault="009E6AD4" w:rsidP="00C917DA">
            <w:pPr>
              <w:autoSpaceDE w:val="0"/>
              <w:autoSpaceDN w:val="0"/>
              <w:adjustRightInd w:val="0"/>
              <w:jc w:val="right"/>
              <w:rPr>
                <w:rFonts w:ascii="Arial" w:hAnsi="Arial" w:cs="Arial"/>
                <w:color w:val="000000"/>
                <w:sz w:val="18"/>
                <w:szCs w:val="16"/>
              </w:rPr>
            </w:pPr>
            <w:r w:rsidRPr="00D00722">
              <w:rPr>
                <w:rFonts w:ascii="Arial" w:hAnsi="Arial" w:cs="Arial"/>
                <w:color w:val="000000"/>
                <w:sz w:val="18"/>
                <w:szCs w:val="16"/>
              </w:rPr>
              <w:t>4</w:t>
            </w:r>
          </w:p>
        </w:tc>
        <w:tc>
          <w:tcPr>
            <w:tcW w:w="1417" w:type="dxa"/>
            <w:tcBorders>
              <w:top w:val="single" w:sz="2" w:space="0" w:color="000000"/>
              <w:bottom w:val="single" w:sz="2" w:space="0" w:color="000000"/>
            </w:tcBorders>
            <w:vAlign w:val="bottom"/>
          </w:tcPr>
          <w:p w:rsidR="009E6AD4" w:rsidRPr="00D00722" w:rsidRDefault="00204280" w:rsidP="00FF1BDE">
            <w:pPr>
              <w:autoSpaceDE w:val="0"/>
              <w:autoSpaceDN w:val="0"/>
              <w:adjustRightInd w:val="0"/>
              <w:jc w:val="right"/>
              <w:rPr>
                <w:rFonts w:ascii="Arial" w:hAnsi="Arial" w:cs="Arial"/>
                <w:b/>
                <w:bCs/>
                <w:color w:val="000000"/>
                <w:sz w:val="18"/>
                <w:szCs w:val="16"/>
              </w:rPr>
            </w:pPr>
            <w:r w:rsidRPr="00D00722">
              <w:rPr>
                <w:rFonts w:ascii="Arial" w:hAnsi="Arial" w:cs="Arial"/>
                <w:b/>
                <w:bCs/>
                <w:color w:val="000000"/>
                <w:sz w:val="18"/>
                <w:szCs w:val="16"/>
              </w:rPr>
              <w:t>9</w:t>
            </w:r>
            <w:r w:rsidR="00FF1BDE" w:rsidRPr="00D00722">
              <w:rPr>
                <w:rFonts w:ascii="Arial" w:hAnsi="Arial" w:cs="Arial"/>
                <w:b/>
                <w:bCs/>
                <w:color w:val="000000"/>
                <w:sz w:val="18"/>
                <w:szCs w:val="16"/>
              </w:rPr>
              <w:t>86</w:t>
            </w:r>
            <w:r w:rsidRPr="00D00722">
              <w:rPr>
                <w:rFonts w:ascii="Arial" w:hAnsi="Arial" w:cs="Arial"/>
                <w:b/>
                <w:bCs/>
                <w:color w:val="000000"/>
                <w:sz w:val="18"/>
                <w:szCs w:val="16"/>
              </w:rPr>
              <w:t>.</w:t>
            </w:r>
            <w:r w:rsidR="00FF1BDE" w:rsidRPr="00D00722">
              <w:rPr>
                <w:rFonts w:ascii="Arial" w:hAnsi="Arial" w:cs="Arial"/>
                <w:b/>
                <w:bCs/>
                <w:color w:val="000000"/>
                <w:sz w:val="18"/>
                <w:szCs w:val="16"/>
              </w:rPr>
              <w:t>552</w:t>
            </w:r>
          </w:p>
        </w:tc>
        <w:tc>
          <w:tcPr>
            <w:tcW w:w="1559" w:type="dxa"/>
            <w:tcBorders>
              <w:top w:val="single" w:sz="2" w:space="0" w:color="000000"/>
              <w:bottom w:val="single" w:sz="2" w:space="0" w:color="000000"/>
            </w:tcBorders>
            <w:vAlign w:val="bottom"/>
          </w:tcPr>
          <w:p w:rsidR="009E6AD4" w:rsidRPr="00D00722" w:rsidRDefault="002D55BD" w:rsidP="002D55BD">
            <w:pPr>
              <w:autoSpaceDE w:val="0"/>
              <w:autoSpaceDN w:val="0"/>
              <w:adjustRightInd w:val="0"/>
              <w:jc w:val="right"/>
              <w:rPr>
                <w:rFonts w:ascii="Arial" w:hAnsi="Arial" w:cs="Arial"/>
                <w:bCs/>
                <w:color w:val="000000"/>
                <w:sz w:val="18"/>
                <w:szCs w:val="16"/>
              </w:rPr>
            </w:pPr>
            <w:r w:rsidRPr="00D00722">
              <w:rPr>
                <w:rFonts w:ascii="Arial" w:hAnsi="Arial" w:cs="Arial"/>
                <w:bCs/>
                <w:color w:val="000000"/>
                <w:sz w:val="18"/>
                <w:szCs w:val="16"/>
              </w:rPr>
              <w:t>829</w:t>
            </w:r>
            <w:r w:rsidR="009E6AD4" w:rsidRPr="00D00722">
              <w:rPr>
                <w:rFonts w:ascii="Arial" w:hAnsi="Arial" w:cs="Arial"/>
                <w:bCs/>
                <w:color w:val="000000"/>
                <w:sz w:val="18"/>
                <w:szCs w:val="16"/>
              </w:rPr>
              <w:t>.</w:t>
            </w:r>
            <w:r w:rsidRPr="00D00722">
              <w:rPr>
                <w:rFonts w:ascii="Arial" w:hAnsi="Arial" w:cs="Arial"/>
                <w:bCs/>
                <w:color w:val="000000"/>
                <w:sz w:val="18"/>
                <w:szCs w:val="16"/>
              </w:rPr>
              <w:t>045</w:t>
            </w:r>
          </w:p>
        </w:tc>
      </w:tr>
    </w:tbl>
    <w:p w:rsidR="000807AC" w:rsidRPr="00D00722" w:rsidRDefault="000807AC" w:rsidP="00AE0484">
      <w:pPr>
        <w:rPr>
          <w:rFonts w:ascii="Arial" w:hAnsi="Arial" w:cs="Arial"/>
          <w:lang w:val="tr-TR"/>
        </w:rPr>
        <w:sectPr w:rsidR="000807AC" w:rsidRPr="00D00722" w:rsidSect="00C917DA">
          <w:headerReference w:type="default" r:id="rId12"/>
          <w:pgSz w:w="11907" w:h="16834" w:code="9"/>
          <w:pgMar w:top="1418" w:right="1418" w:bottom="1418" w:left="1418" w:header="709" w:footer="703" w:gutter="0"/>
          <w:cols w:space="708"/>
          <w:docGrid w:linePitch="272"/>
        </w:sectPr>
      </w:pPr>
    </w:p>
    <w:p w:rsidR="00245BD3" w:rsidRPr="00D00722" w:rsidRDefault="00245BD3" w:rsidP="000E0F91">
      <w:pPr>
        <w:ind w:left="567" w:hanging="567"/>
        <w:rPr>
          <w:rFonts w:ascii="Arial" w:hAnsi="Arial" w:cs="Arial"/>
          <w:b/>
          <w:lang w:val="tr-TR"/>
        </w:rPr>
      </w:pPr>
      <w:r w:rsidRPr="00D00722">
        <w:rPr>
          <w:rFonts w:ascii="Arial" w:hAnsi="Arial" w:cs="Arial"/>
          <w:b/>
          <w:lang w:val="tr-TR"/>
        </w:rPr>
        <w:lastRenderedPageBreak/>
        <w:t>1.</w:t>
      </w:r>
      <w:r w:rsidRPr="00D00722">
        <w:rPr>
          <w:rFonts w:ascii="Arial" w:hAnsi="Arial" w:cs="Arial"/>
          <w:b/>
          <w:lang w:val="tr-TR"/>
        </w:rPr>
        <w:tab/>
      </w:r>
      <w:r w:rsidR="000E0F91" w:rsidRPr="00D00722">
        <w:rPr>
          <w:rFonts w:ascii="Arial" w:hAnsi="Arial" w:cs="Arial"/>
          <w:b/>
          <w:lang w:val="tr-TR"/>
        </w:rPr>
        <w:t>Şirket’in organizasyonu ve faaliyet konusu</w:t>
      </w:r>
    </w:p>
    <w:p w:rsidR="00245BD3" w:rsidRPr="00D00722" w:rsidRDefault="00245BD3" w:rsidP="000E0F91">
      <w:pPr>
        <w:ind w:right="-23"/>
        <w:rPr>
          <w:rFonts w:ascii="Arial" w:hAnsi="Arial" w:cs="Arial"/>
          <w:lang w:val="tr-TR"/>
        </w:rPr>
      </w:pPr>
    </w:p>
    <w:p w:rsidR="00273AA4" w:rsidRPr="00D00722" w:rsidRDefault="00273AA4" w:rsidP="00273AA4">
      <w:pPr>
        <w:ind w:right="-23"/>
        <w:rPr>
          <w:rFonts w:ascii="Arial" w:hAnsi="Arial" w:cs="Arial"/>
          <w:lang w:val="tr-TR"/>
        </w:rPr>
      </w:pPr>
      <w:r w:rsidRPr="00D00722">
        <w:rPr>
          <w:rFonts w:ascii="Arial" w:hAnsi="Arial" w:cs="Arial"/>
          <w:lang w:val="tr-TR"/>
        </w:rPr>
        <w:t xml:space="preserve">Ata Portföy Yönetimi A.Ş. ("Şirket"), 22 Kasım 2000 tarihinde İstanbul’da İstanbul Ticaret Sicili’ne tescil ve 27 Kasım 2000 tarih, 5183 Sayılı Türk Ticaret Sicili Gazetesi'nde ilan edilerek kurulmuş ve 2000 yılında faaliyete geçmiştir. </w:t>
      </w:r>
    </w:p>
    <w:p w:rsidR="00273AA4" w:rsidRPr="00D00722" w:rsidRDefault="00273AA4" w:rsidP="00273AA4">
      <w:pPr>
        <w:ind w:right="-23"/>
        <w:rPr>
          <w:rFonts w:ascii="Arial" w:hAnsi="Arial" w:cs="Arial"/>
          <w:lang w:val="tr-TR"/>
        </w:rPr>
      </w:pPr>
    </w:p>
    <w:p w:rsidR="00273AA4" w:rsidRPr="00D00722" w:rsidRDefault="00273AA4">
      <w:pPr>
        <w:ind w:right="-23"/>
        <w:rPr>
          <w:rFonts w:ascii="Arial" w:hAnsi="Arial" w:cs="Arial"/>
          <w:lang w:val="tr-TR"/>
        </w:rPr>
      </w:pPr>
      <w:r w:rsidRPr="00D00722">
        <w:rPr>
          <w:rFonts w:ascii="Arial" w:hAnsi="Arial" w:cs="Arial"/>
          <w:lang w:val="tr-TR"/>
        </w:rPr>
        <w:t xml:space="preserve">Şirket </w:t>
      </w:r>
      <w:r w:rsidRPr="00D00722">
        <w:rPr>
          <w:rFonts w:ascii="Arial" w:hAnsi="Arial" w:cs="Arial"/>
        </w:rPr>
        <w:t xml:space="preserve">faaliyetlerini tek bir coğrafi bölümde (Türkiye) ve tek bir endüstriyel bölümde (ortaklık portföyü oluşturmak) yürütmekte olup </w:t>
      </w:r>
      <w:r w:rsidRPr="00D00722">
        <w:rPr>
          <w:rFonts w:ascii="Arial" w:hAnsi="Arial" w:cs="Arial"/>
          <w:lang w:val="tr-TR"/>
        </w:rPr>
        <w:t>Genel Müdürlüğü Emirhan Cad. No: 109 Atakule Balmumcu adresinde bulunmaktadır. Şirket hisselerinin %89,30’u Ata Yatırım Menkul Kıymetler A.Ş.’nin mülkiyetindedir. Şirket’in nihai ortağı, Ata Yatırım Menkul Kıymetler A.Ş.’nin hakim ortağı olan ve aynı zamanda Şirket’in %9,70’lik payına sahip olan Ata Holding A.Ş.’dir.</w:t>
      </w:r>
    </w:p>
    <w:p w:rsidR="00273AA4" w:rsidRPr="00D00722" w:rsidRDefault="00273AA4">
      <w:pPr>
        <w:ind w:right="-23"/>
        <w:rPr>
          <w:rFonts w:ascii="Arial" w:hAnsi="Arial" w:cs="Arial"/>
          <w:lang w:val="tr-TR"/>
        </w:rPr>
      </w:pPr>
    </w:p>
    <w:p w:rsidR="00273AA4" w:rsidRPr="00D00722" w:rsidRDefault="00273AA4">
      <w:pPr>
        <w:ind w:right="-23"/>
        <w:rPr>
          <w:rFonts w:ascii="Arial" w:hAnsi="Arial" w:cs="Arial"/>
          <w:lang w:val="tr-TR"/>
        </w:rPr>
      </w:pPr>
      <w:r w:rsidRPr="00D00722">
        <w:rPr>
          <w:rFonts w:ascii="Arial" w:hAnsi="Arial" w:cs="Arial"/>
          <w:lang w:val="tr-TR"/>
        </w:rPr>
        <w:t>Şirket, 2499 sayılı Sermaye Piyasası Kanunu ve ilgili mevzuat hükümlerine uygun olarak müşterilerle portföy yöneticiliği sözleşmeleri yaparak sermaye piyasası araçlarından oluşan portföy yöneticiliği faaliyetlerinde bulunmaktadır.</w:t>
      </w:r>
    </w:p>
    <w:p w:rsidR="00273AA4" w:rsidRPr="00D00722" w:rsidRDefault="00273AA4">
      <w:pPr>
        <w:ind w:right="-23"/>
        <w:rPr>
          <w:rFonts w:ascii="Arial" w:hAnsi="Arial" w:cs="Arial"/>
          <w:lang w:val="tr-TR"/>
        </w:rPr>
      </w:pPr>
    </w:p>
    <w:p w:rsidR="00273AA4" w:rsidRPr="00D00722" w:rsidRDefault="00273AA4" w:rsidP="003C359E">
      <w:pPr>
        <w:rPr>
          <w:rFonts w:ascii="Arial" w:hAnsi="Arial" w:cs="Arial"/>
          <w:lang w:val="tr-TR"/>
        </w:rPr>
      </w:pPr>
      <w:r w:rsidRPr="00D00722">
        <w:rPr>
          <w:rFonts w:ascii="Arial" w:hAnsi="Arial" w:cs="Arial"/>
          <w:lang w:val="tr-TR"/>
        </w:rPr>
        <w:t xml:space="preserve">31 </w:t>
      </w:r>
      <w:r w:rsidR="00B2713E" w:rsidRPr="00D00722">
        <w:rPr>
          <w:rFonts w:ascii="Arial" w:hAnsi="Arial" w:cs="Arial"/>
          <w:lang w:val="tr-TR"/>
        </w:rPr>
        <w:t>Mart</w:t>
      </w:r>
      <w:r w:rsidRPr="00D00722">
        <w:rPr>
          <w:rFonts w:ascii="Arial" w:hAnsi="Arial" w:cs="Arial"/>
          <w:lang w:val="tr-TR"/>
        </w:rPr>
        <w:t xml:space="preserve"> 201</w:t>
      </w:r>
      <w:r w:rsidR="00B2713E" w:rsidRPr="00D00722">
        <w:rPr>
          <w:rFonts w:ascii="Arial" w:hAnsi="Arial" w:cs="Arial"/>
          <w:lang w:val="tr-TR"/>
        </w:rPr>
        <w:t>4</w:t>
      </w:r>
      <w:r w:rsidRPr="00D00722">
        <w:rPr>
          <w:rFonts w:ascii="Arial" w:hAnsi="Arial" w:cs="Arial"/>
          <w:lang w:val="tr-TR"/>
        </w:rPr>
        <w:t xml:space="preserve"> tarihi itibariyle </w:t>
      </w:r>
      <w:r w:rsidR="006474C7" w:rsidRPr="00D00722">
        <w:rPr>
          <w:rFonts w:ascii="Arial" w:hAnsi="Arial" w:cs="Arial"/>
          <w:lang w:val="tr-TR"/>
        </w:rPr>
        <w:t xml:space="preserve">ortalama </w:t>
      </w:r>
      <w:r w:rsidRPr="00D00722">
        <w:rPr>
          <w:rFonts w:ascii="Arial" w:hAnsi="Arial" w:cs="Arial"/>
          <w:lang w:val="tr-TR"/>
        </w:rPr>
        <w:t>personel sayısı 1</w:t>
      </w:r>
      <w:r w:rsidR="00B2713E" w:rsidRPr="00D00722">
        <w:rPr>
          <w:rFonts w:ascii="Arial" w:hAnsi="Arial" w:cs="Arial"/>
          <w:lang w:val="tr-TR"/>
        </w:rPr>
        <w:t>2</w:t>
      </w:r>
      <w:r w:rsidRPr="00D00722">
        <w:rPr>
          <w:rFonts w:ascii="Arial" w:hAnsi="Arial" w:cs="Arial"/>
          <w:lang w:val="tr-TR"/>
        </w:rPr>
        <w:t>’dir (31 Aralık 201</w:t>
      </w:r>
      <w:r w:rsidR="00B2713E" w:rsidRPr="00D00722">
        <w:rPr>
          <w:rFonts w:ascii="Arial" w:hAnsi="Arial" w:cs="Arial"/>
          <w:lang w:val="tr-TR"/>
        </w:rPr>
        <w:t>3</w:t>
      </w:r>
      <w:r w:rsidRPr="00D00722">
        <w:rPr>
          <w:rFonts w:ascii="Arial" w:hAnsi="Arial" w:cs="Arial"/>
          <w:lang w:val="tr-TR"/>
        </w:rPr>
        <w:t xml:space="preserve"> – 11 kişi).</w:t>
      </w:r>
    </w:p>
    <w:p w:rsidR="00A14731" w:rsidRPr="00D00722" w:rsidRDefault="00A14731">
      <w:pPr>
        <w:ind w:right="-590"/>
        <w:rPr>
          <w:rFonts w:ascii="Arial" w:hAnsi="Arial" w:cs="Arial"/>
          <w:lang w:val="tr-TR"/>
        </w:rPr>
      </w:pPr>
    </w:p>
    <w:p w:rsidR="000D1FBB" w:rsidRPr="00D00722" w:rsidRDefault="000D1FBB" w:rsidP="003C359E">
      <w:pPr>
        <w:ind w:right="74"/>
        <w:rPr>
          <w:rFonts w:ascii="Arial" w:hAnsi="Arial" w:cs="Arial"/>
          <w:b/>
          <w:lang w:val="tr-TR"/>
        </w:rPr>
      </w:pPr>
    </w:p>
    <w:p w:rsidR="000D1FBB" w:rsidRPr="00D00722" w:rsidRDefault="000D1FBB" w:rsidP="003C359E">
      <w:pPr>
        <w:ind w:right="14"/>
        <w:rPr>
          <w:rFonts w:ascii="Arial" w:hAnsi="Arial" w:cs="Arial"/>
          <w:b/>
          <w:lang w:val="tr-TR"/>
        </w:rPr>
      </w:pPr>
      <w:r w:rsidRPr="00D00722">
        <w:rPr>
          <w:rFonts w:ascii="Arial" w:hAnsi="Arial" w:cs="Arial"/>
          <w:b/>
          <w:lang w:val="tr-TR"/>
        </w:rPr>
        <w:t>Faaliyet konusu</w:t>
      </w:r>
    </w:p>
    <w:p w:rsidR="000D1FBB" w:rsidRPr="00D00722" w:rsidRDefault="000D1FBB" w:rsidP="003C359E">
      <w:pPr>
        <w:ind w:right="14"/>
        <w:rPr>
          <w:rFonts w:ascii="Arial" w:hAnsi="Arial" w:cs="Arial"/>
          <w:lang w:val="tr-TR"/>
        </w:rPr>
      </w:pPr>
    </w:p>
    <w:p w:rsidR="000D1FBB" w:rsidRPr="00D00722" w:rsidRDefault="000D1FBB" w:rsidP="003C359E">
      <w:pPr>
        <w:ind w:right="14"/>
        <w:rPr>
          <w:rFonts w:ascii="Arial" w:hAnsi="Arial" w:cs="Arial"/>
          <w:lang w:val="tr-TR"/>
        </w:rPr>
      </w:pPr>
      <w:r w:rsidRPr="00D00722">
        <w:rPr>
          <w:rFonts w:ascii="Arial" w:hAnsi="Arial" w:cs="Arial"/>
          <w:lang w:val="tr-TR"/>
        </w:rPr>
        <w:t xml:space="preserve">Şirket’in amacı, Sermaye Piyasası Kanunu ve ilgili mevzuat hükümleri çerçevesinde sermaye piyasası araçlarından oluşan portföyleri, müşterilerle portföy yönetim sözleşmesi yapmak suretiyle vekil sıfatı ile yönetmek ve sermaye piyasası faaliyetlerinde bulunmaktır. Şirket ayrıca portföy yöneticiliği kapsamında yerli ve yabancı yatırım fonları, yatırım ortaklıkları ile yerli ve yabancı özel ve tüzel kişilerle yatırım şirketleri ve benzeri girişimlerin portföylerini de mevzuat hükümleri çerçevesinde yönetebilir. </w:t>
      </w:r>
    </w:p>
    <w:p w:rsidR="000D1FBB" w:rsidRPr="00D00722" w:rsidRDefault="000D1FBB">
      <w:pPr>
        <w:ind w:right="-590"/>
        <w:rPr>
          <w:rFonts w:ascii="Arial" w:hAnsi="Arial" w:cs="Arial"/>
          <w:lang w:val="tr-TR"/>
        </w:rPr>
      </w:pPr>
    </w:p>
    <w:p w:rsidR="000D1FBB" w:rsidRPr="00D00722" w:rsidRDefault="000D1FBB">
      <w:pPr>
        <w:ind w:right="14"/>
        <w:rPr>
          <w:rFonts w:ascii="Arial" w:hAnsi="Arial" w:cs="Arial"/>
          <w:lang w:val="tr-TR"/>
        </w:rPr>
      </w:pPr>
      <w:r w:rsidRPr="00D00722">
        <w:rPr>
          <w:rFonts w:ascii="Arial" w:hAnsi="Arial" w:cs="Arial"/>
          <w:lang w:val="tr-TR"/>
        </w:rPr>
        <w:t>Şirket’in bağlı ortaklık, iştirak veya müşterek yönetime tabi teşebbüsü bulunmamaktadır.</w:t>
      </w:r>
    </w:p>
    <w:p w:rsidR="000D1FBB" w:rsidRPr="00D00722" w:rsidRDefault="000D1FBB">
      <w:pPr>
        <w:ind w:right="-590"/>
        <w:rPr>
          <w:rFonts w:ascii="Arial" w:hAnsi="Arial" w:cs="Arial"/>
          <w:lang w:val="tr-TR"/>
        </w:rPr>
      </w:pPr>
    </w:p>
    <w:p w:rsidR="003F3E42" w:rsidRPr="00D00722" w:rsidRDefault="003F3E42">
      <w:pPr>
        <w:ind w:right="-590"/>
        <w:rPr>
          <w:rFonts w:ascii="Arial" w:hAnsi="Arial" w:cs="Arial"/>
          <w:lang w:val="tr-TR"/>
        </w:rPr>
      </w:pPr>
    </w:p>
    <w:p w:rsidR="00FE7D29" w:rsidRPr="00D00722" w:rsidRDefault="00FE7D29">
      <w:pPr>
        <w:ind w:left="567" w:hanging="567"/>
        <w:rPr>
          <w:rFonts w:ascii="Arial" w:hAnsi="Arial" w:cs="Arial"/>
          <w:b/>
          <w:spacing w:val="-2"/>
          <w:lang w:val="tr-TR"/>
        </w:rPr>
      </w:pPr>
      <w:r w:rsidRPr="00D00722">
        <w:rPr>
          <w:rFonts w:ascii="Arial" w:hAnsi="Arial" w:cs="Arial"/>
          <w:b/>
          <w:spacing w:val="-2"/>
          <w:lang w:val="tr-TR"/>
        </w:rPr>
        <w:t>2.</w:t>
      </w:r>
      <w:r w:rsidRPr="00D00722">
        <w:rPr>
          <w:rFonts w:ascii="Arial" w:hAnsi="Arial" w:cs="Arial"/>
          <w:b/>
          <w:spacing w:val="-2"/>
          <w:lang w:val="tr-TR"/>
        </w:rPr>
        <w:tab/>
      </w:r>
      <w:r w:rsidR="000E0F91" w:rsidRPr="00D00722">
        <w:rPr>
          <w:rFonts w:ascii="Arial" w:hAnsi="Arial" w:cs="Arial"/>
          <w:b/>
          <w:spacing w:val="-2"/>
          <w:lang w:val="tr-TR"/>
        </w:rPr>
        <w:t>Finansal tabloların sunumuna ilişkin esaslar</w:t>
      </w:r>
    </w:p>
    <w:p w:rsidR="009231F4" w:rsidRPr="00D00722" w:rsidRDefault="009231F4">
      <w:pPr>
        <w:rPr>
          <w:rFonts w:ascii="Arial" w:hAnsi="Arial" w:cs="Arial"/>
          <w:b/>
          <w:lang w:val="tr-TR"/>
        </w:rPr>
      </w:pPr>
    </w:p>
    <w:p w:rsidR="009231F4" w:rsidRPr="00D00722" w:rsidRDefault="009231F4">
      <w:pPr>
        <w:rPr>
          <w:rFonts w:ascii="Arial" w:hAnsi="Arial" w:cs="Arial"/>
          <w:b/>
          <w:spacing w:val="-2"/>
          <w:lang w:val="tr-TR"/>
        </w:rPr>
      </w:pPr>
      <w:r w:rsidRPr="00D00722">
        <w:rPr>
          <w:rFonts w:ascii="Arial" w:hAnsi="Arial" w:cs="Arial"/>
          <w:b/>
          <w:spacing w:val="-2"/>
          <w:lang w:val="tr-TR"/>
        </w:rPr>
        <w:t>2.1</w:t>
      </w:r>
      <w:r w:rsidRPr="00D00722">
        <w:rPr>
          <w:rFonts w:ascii="Arial" w:hAnsi="Arial" w:cs="Arial"/>
          <w:b/>
          <w:spacing w:val="-2"/>
          <w:lang w:val="tr-TR"/>
        </w:rPr>
        <w:tab/>
        <w:t>Finansal tabloların sunumuna ilişkin temel esaslar</w:t>
      </w:r>
    </w:p>
    <w:p w:rsidR="006D2841" w:rsidRPr="00D00722" w:rsidRDefault="006D2841">
      <w:pPr>
        <w:rPr>
          <w:rFonts w:ascii="Arial" w:hAnsi="Arial" w:cs="Arial"/>
          <w:b/>
          <w:spacing w:val="-2"/>
          <w:lang w:val="tr-TR"/>
        </w:rPr>
      </w:pPr>
    </w:p>
    <w:p w:rsidR="006D2841" w:rsidRPr="00D00722" w:rsidRDefault="006D2841">
      <w:pPr>
        <w:rPr>
          <w:rFonts w:ascii="Arial" w:hAnsi="Arial" w:cs="Arial"/>
          <w:b/>
          <w:spacing w:val="-2"/>
          <w:lang w:val="tr-TR"/>
        </w:rPr>
      </w:pPr>
      <w:r w:rsidRPr="00D00722">
        <w:rPr>
          <w:rFonts w:ascii="Arial" w:hAnsi="Arial" w:cs="Arial"/>
          <w:b/>
          <w:spacing w:val="-2"/>
          <w:lang w:val="tr-TR"/>
        </w:rPr>
        <w:t xml:space="preserve">2.1.1  </w:t>
      </w:r>
      <w:r w:rsidRPr="00D00722">
        <w:rPr>
          <w:rFonts w:ascii="Arial" w:hAnsi="Arial" w:cs="Arial"/>
          <w:b/>
          <w:lang w:val="tr-TR"/>
        </w:rPr>
        <w:t>Uygulanan Muhasebe Standartları</w:t>
      </w:r>
    </w:p>
    <w:p w:rsidR="009231F4" w:rsidRPr="00D00722" w:rsidRDefault="009231F4">
      <w:pPr>
        <w:rPr>
          <w:rFonts w:ascii="Arial" w:hAnsi="Arial" w:cs="Arial"/>
          <w:b/>
          <w:spacing w:val="-2"/>
          <w:lang w:val="tr-TR"/>
        </w:rPr>
      </w:pPr>
    </w:p>
    <w:p w:rsidR="006D2841" w:rsidRPr="00D00722" w:rsidRDefault="006D2841">
      <w:pPr>
        <w:autoSpaceDE w:val="0"/>
        <w:autoSpaceDN w:val="0"/>
        <w:adjustRightInd w:val="0"/>
        <w:rPr>
          <w:rFonts w:ascii="Arial" w:hAnsi="Arial" w:cs="Arial"/>
        </w:rPr>
      </w:pPr>
      <w:r w:rsidRPr="00D00722">
        <w:rPr>
          <w:rFonts w:ascii="Arial" w:hAnsi="Arial" w:cs="Arial"/>
        </w:rPr>
        <w:t xml:space="preserve">İlişikteki yıl sonu finansal tabloları Sermaye Piyasası Kurulu’nun (“SPK”) 13 Haziran 2013 tarih ve 28676 sayılı Resmi Gazete’de yayımlanan Seri II, 14.1 No’lu “Sermaye Piyasasında Finansal Raporlamaya İlişkin Esaslar Tebliği” (“Tebliğ”) hükümleri uyarınca Kamu Gözetimi Muhasebe ve Denetim Standartları Kurumu (“KGK”) tarafından yürürlüğe konulmuş olan Türkiye Muhasebe Standartları'na (TMS) uygun olarak hazırlanmıştır. </w:t>
      </w:r>
      <w:proofErr w:type="gramStart"/>
      <w:r w:rsidRPr="00D00722">
        <w:rPr>
          <w:rFonts w:ascii="Arial" w:hAnsi="Arial" w:cs="Arial"/>
        </w:rPr>
        <w:t>TMS; Türkiye Muhasebe Standartları, Türkiye Finansal Raporlama Standartları ile bunlara ilişkin ek ve yorumlardan oluşmaktadır.</w:t>
      </w:r>
      <w:proofErr w:type="gramEnd"/>
    </w:p>
    <w:p w:rsidR="006D2841" w:rsidRPr="00D00722" w:rsidRDefault="006D2841" w:rsidP="006D2841">
      <w:pPr>
        <w:autoSpaceDE w:val="0"/>
        <w:autoSpaceDN w:val="0"/>
        <w:adjustRightInd w:val="0"/>
        <w:rPr>
          <w:rFonts w:ascii="Arial" w:hAnsi="Arial" w:cs="Arial"/>
        </w:rPr>
      </w:pPr>
    </w:p>
    <w:p w:rsidR="006D2841" w:rsidRPr="00D00722" w:rsidRDefault="006D2841" w:rsidP="006D2841">
      <w:pPr>
        <w:rPr>
          <w:rFonts w:ascii="Arial" w:hAnsi="Arial" w:cs="Arial"/>
          <w:iCs/>
          <w:lang w:val="tr-TR"/>
        </w:rPr>
      </w:pPr>
      <w:r w:rsidRPr="00D00722">
        <w:rPr>
          <w:rFonts w:ascii="Arial" w:hAnsi="Arial" w:cs="Arial"/>
          <w:iCs/>
          <w:lang w:val="tr-TR"/>
        </w:rPr>
        <w:t>Yıl sonu finansal tabloları Şirket’in yasal kayıtlara dayandırılmış ve Şirket’in faaliyette bulunduğu temel ekonomik çevrede geçerli olan para birimi (işlevsel para birimi) olan TL cinsinden ile sunulmuş olup, KGK tarafından yayınlanan Türkiye Muhasebe Standartları’na göre Şirket’in durumunu layıkıyla arz edebilmek için bir takım düzeltme ve sınıflandırma değişikliklerine tabi tutularak hazırlanmıştır</w:t>
      </w:r>
      <w:r w:rsidR="003F3E42" w:rsidRPr="00D00722">
        <w:rPr>
          <w:rFonts w:ascii="Arial" w:hAnsi="Arial" w:cs="Arial"/>
          <w:iCs/>
          <w:lang w:val="tr-TR"/>
        </w:rPr>
        <w:t xml:space="preserve"> </w:t>
      </w:r>
      <w:r w:rsidRPr="00D00722">
        <w:rPr>
          <w:rFonts w:ascii="Arial" w:hAnsi="Arial" w:cs="Arial"/>
          <w:iCs/>
          <w:lang w:val="tr-TR"/>
        </w:rPr>
        <w:t>(Dipnot 2.2)</w:t>
      </w:r>
      <w:r w:rsidR="003F3E42" w:rsidRPr="00D00722">
        <w:rPr>
          <w:rFonts w:ascii="Arial" w:hAnsi="Arial" w:cs="Arial"/>
          <w:iCs/>
          <w:lang w:val="tr-TR"/>
        </w:rPr>
        <w:t>.</w:t>
      </w:r>
    </w:p>
    <w:p w:rsidR="003F3E42" w:rsidRPr="00D00722" w:rsidRDefault="003F3E42" w:rsidP="009231F4">
      <w:pPr>
        <w:rPr>
          <w:rFonts w:ascii="Arial" w:hAnsi="Arial" w:cs="Arial"/>
          <w:lang w:val="tr-TR"/>
        </w:rPr>
        <w:sectPr w:rsidR="003F3E42" w:rsidRPr="00D00722" w:rsidSect="00AE0484">
          <w:headerReference w:type="default" r:id="rId13"/>
          <w:footerReference w:type="default" r:id="rId14"/>
          <w:pgSz w:w="11907" w:h="16834" w:code="9"/>
          <w:pgMar w:top="1418" w:right="1418" w:bottom="1418" w:left="1418" w:header="708" w:footer="708" w:gutter="0"/>
          <w:cols w:space="708"/>
        </w:sectPr>
      </w:pPr>
    </w:p>
    <w:p w:rsidR="005649F0" w:rsidRPr="00D00722" w:rsidRDefault="005649F0" w:rsidP="005649F0">
      <w:pPr>
        <w:ind w:right="-1"/>
        <w:rPr>
          <w:rFonts w:ascii="Arial" w:hAnsi="Arial" w:cs="Arial"/>
          <w:b/>
          <w:lang w:val="tr-TR"/>
        </w:rPr>
      </w:pPr>
      <w:r w:rsidRPr="00D00722">
        <w:rPr>
          <w:rFonts w:ascii="Arial" w:hAnsi="Arial" w:cs="Arial"/>
          <w:b/>
          <w:lang w:val="tr-TR"/>
        </w:rPr>
        <w:lastRenderedPageBreak/>
        <w:t>2.</w:t>
      </w:r>
      <w:r w:rsidRPr="00D00722">
        <w:rPr>
          <w:rFonts w:ascii="Arial" w:hAnsi="Arial" w:cs="Arial"/>
          <w:b/>
          <w:lang w:val="tr-TR"/>
        </w:rPr>
        <w:tab/>
        <w:t>Finansal tabloların sunumuna ilişkin esaslar (devamı)</w:t>
      </w:r>
    </w:p>
    <w:p w:rsidR="005649F0" w:rsidRPr="00D00722" w:rsidRDefault="005649F0" w:rsidP="006D2841">
      <w:pPr>
        <w:tabs>
          <w:tab w:val="left" w:pos="567"/>
        </w:tabs>
        <w:autoSpaceDE w:val="0"/>
        <w:autoSpaceDN w:val="0"/>
        <w:adjustRightInd w:val="0"/>
        <w:rPr>
          <w:rFonts w:ascii="Arial" w:hAnsi="Arial" w:cs="Arial"/>
          <w:b/>
          <w:lang w:val="tr-TR"/>
        </w:rPr>
      </w:pPr>
    </w:p>
    <w:p w:rsidR="006D2841" w:rsidRPr="00D00722" w:rsidRDefault="006D2841" w:rsidP="006D2841">
      <w:pPr>
        <w:tabs>
          <w:tab w:val="left" w:pos="567"/>
        </w:tabs>
        <w:autoSpaceDE w:val="0"/>
        <w:autoSpaceDN w:val="0"/>
        <w:adjustRightInd w:val="0"/>
        <w:rPr>
          <w:rFonts w:ascii="Arial" w:hAnsi="Arial" w:cs="Arial"/>
          <w:b/>
          <w:lang w:val="tr-TR"/>
        </w:rPr>
      </w:pPr>
      <w:r w:rsidRPr="00D00722">
        <w:rPr>
          <w:rFonts w:ascii="Arial" w:hAnsi="Arial" w:cs="Arial"/>
          <w:b/>
          <w:lang w:val="tr-TR"/>
        </w:rPr>
        <w:t>2.1.2</w:t>
      </w:r>
      <w:r w:rsidRPr="00D00722">
        <w:rPr>
          <w:rFonts w:ascii="Arial" w:hAnsi="Arial" w:cs="Arial"/>
          <w:b/>
          <w:lang w:val="tr-TR"/>
        </w:rPr>
        <w:tab/>
        <w:t>Yüksek Enflasyon Dönemlerinde Finansal Tabloların Düzeltilmesi</w:t>
      </w:r>
    </w:p>
    <w:p w:rsidR="006D2841" w:rsidRPr="00D00722" w:rsidRDefault="006D2841" w:rsidP="006D2841">
      <w:pPr>
        <w:tabs>
          <w:tab w:val="left" w:pos="567"/>
        </w:tabs>
        <w:autoSpaceDE w:val="0"/>
        <w:autoSpaceDN w:val="0"/>
        <w:adjustRightInd w:val="0"/>
        <w:rPr>
          <w:rFonts w:ascii="Arial" w:hAnsi="Arial" w:cs="Arial"/>
          <w:b/>
          <w:lang w:val="tr-TR"/>
        </w:rPr>
      </w:pPr>
    </w:p>
    <w:p w:rsidR="006D2841" w:rsidRPr="00D00722" w:rsidRDefault="006D2841" w:rsidP="006D2841">
      <w:pPr>
        <w:ind w:right="29"/>
        <w:rPr>
          <w:rFonts w:ascii="Arial" w:hAnsi="Arial" w:cs="Arial"/>
          <w:lang w:val="tr-TR"/>
        </w:rPr>
      </w:pPr>
      <w:r w:rsidRPr="00D00722">
        <w:rPr>
          <w:rFonts w:ascii="Arial" w:hAnsi="Arial" w:cs="Arial"/>
          <w:lang w:val="tr-TR"/>
        </w:rPr>
        <w:t>SPK, 17 Mart 2005 tarihinde almış olduğu bir kararla, Türkiye’de faaliyette bulunan ve SPK tarafından kabul edilen muhasebe ve raporlama ilkelerine (“SPK Finansal Raporlama Standartları”) uygun finansal tablo hazırlayan şirketler için, 1 Ocak 2005 tarihinden itibaren geçerli olmak üzere enflasyon muhasebesi uygulamasının gerekli olmadığını ilan etmiştir. Şirket’in finansal tabloları bu karar çerçevesinde hazırlanmıştır.</w:t>
      </w:r>
    </w:p>
    <w:p w:rsidR="006D2841" w:rsidRPr="00D00722" w:rsidRDefault="006D2841" w:rsidP="009231F4">
      <w:pPr>
        <w:rPr>
          <w:rFonts w:ascii="Arial" w:hAnsi="Arial" w:cs="Arial"/>
          <w:lang w:val="tr-TR"/>
        </w:rPr>
      </w:pPr>
    </w:p>
    <w:p w:rsidR="006D2841" w:rsidRPr="00D00722" w:rsidRDefault="006D2841" w:rsidP="006D2841">
      <w:pPr>
        <w:tabs>
          <w:tab w:val="left" w:pos="567"/>
        </w:tabs>
        <w:autoSpaceDE w:val="0"/>
        <w:autoSpaceDN w:val="0"/>
        <w:adjustRightInd w:val="0"/>
        <w:rPr>
          <w:rFonts w:ascii="Arial" w:hAnsi="Arial" w:cs="Arial"/>
          <w:b/>
          <w:lang w:val="tr-TR"/>
        </w:rPr>
      </w:pPr>
      <w:r w:rsidRPr="00D00722">
        <w:rPr>
          <w:rFonts w:ascii="Arial" w:hAnsi="Arial" w:cs="Arial"/>
          <w:b/>
          <w:lang w:val="tr-TR"/>
        </w:rPr>
        <w:t>2.1.3</w:t>
      </w:r>
      <w:r w:rsidRPr="00D00722">
        <w:rPr>
          <w:rFonts w:ascii="Arial" w:hAnsi="Arial" w:cs="Arial"/>
          <w:b/>
          <w:lang w:val="tr-TR"/>
        </w:rPr>
        <w:tab/>
        <w:t>Netleştirme/Mahsup</w:t>
      </w:r>
    </w:p>
    <w:p w:rsidR="006D2841" w:rsidRPr="00D00722" w:rsidRDefault="006D2841" w:rsidP="006D2841">
      <w:pPr>
        <w:tabs>
          <w:tab w:val="left" w:pos="567"/>
        </w:tabs>
        <w:autoSpaceDE w:val="0"/>
        <w:autoSpaceDN w:val="0"/>
        <w:adjustRightInd w:val="0"/>
        <w:rPr>
          <w:rFonts w:ascii="Arial" w:hAnsi="Arial" w:cs="Arial"/>
          <w:b/>
          <w:lang w:val="tr-TR"/>
        </w:rPr>
      </w:pPr>
    </w:p>
    <w:p w:rsidR="003F3E42" w:rsidRPr="00D00722" w:rsidRDefault="006D2841" w:rsidP="005649F0">
      <w:pPr>
        <w:autoSpaceDE w:val="0"/>
        <w:autoSpaceDN w:val="0"/>
        <w:adjustRightInd w:val="0"/>
        <w:ind w:right="29"/>
        <w:rPr>
          <w:rFonts w:ascii="Arial" w:hAnsi="Arial" w:cs="Arial"/>
          <w:lang w:val="tr-TR"/>
        </w:rPr>
      </w:pPr>
      <w:r w:rsidRPr="00D00722">
        <w:rPr>
          <w:rFonts w:ascii="Arial" w:hAnsi="Arial" w:cs="Arial"/>
          <w:lang w:val="tr-TR"/>
        </w:rPr>
        <w:t>Finansal varlık ve yükümlülükler, gerekli kanuni hak olması, söz konusu varlık ve yükümlülükleri net olarak değerlendirmeye niyet olması veya varlıkların elde edilmesi ile yükümlülüklerin yerine getirilmesinin birbirini takip ettiği durumlarda net olarak gösterilirler.</w:t>
      </w:r>
    </w:p>
    <w:p w:rsidR="003F3E42" w:rsidRPr="00D00722" w:rsidRDefault="003F3E42" w:rsidP="005649F0">
      <w:pPr>
        <w:autoSpaceDE w:val="0"/>
        <w:autoSpaceDN w:val="0"/>
        <w:adjustRightInd w:val="0"/>
        <w:ind w:right="29"/>
        <w:rPr>
          <w:rFonts w:ascii="Arial" w:hAnsi="Arial" w:cs="Arial"/>
          <w:lang w:val="tr-TR"/>
        </w:rPr>
      </w:pPr>
    </w:p>
    <w:p w:rsidR="005649F0" w:rsidRPr="00D00722" w:rsidRDefault="005649F0" w:rsidP="005649F0">
      <w:pPr>
        <w:autoSpaceDE w:val="0"/>
        <w:autoSpaceDN w:val="0"/>
        <w:adjustRightInd w:val="0"/>
        <w:ind w:right="29"/>
        <w:rPr>
          <w:rFonts w:ascii="Arial" w:hAnsi="Arial" w:cs="Arial"/>
          <w:b/>
          <w:bCs/>
          <w:lang w:val="tr-TR"/>
        </w:rPr>
      </w:pPr>
      <w:r w:rsidRPr="00D00722">
        <w:rPr>
          <w:rFonts w:ascii="Arial" w:hAnsi="Arial" w:cs="Arial"/>
          <w:b/>
          <w:bCs/>
          <w:lang w:val="tr-TR"/>
        </w:rPr>
        <w:t>Yabancı para çevrimi</w:t>
      </w:r>
    </w:p>
    <w:p w:rsidR="005649F0" w:rsidRPr="00D00722" w:rsidRDefault="005649F0" w:rsidP="005649F0">
      <w:pPr>
        <w:autoSpaceDE w:val="0"/>
        <w:autoSpaceDN w:val="0"/>
        <w:adjustRightInd w:val="0"/>
        <w:ind w:right="29"/>
        <w:rPr>
          <w:rFonts w:ascii="Arial" w:hAnsi="Arial" w:cs="Arial"/>
          <w:lang w:val="tr-TR"/>
        </w:rPr>
      </w:pPr>
    </w:p>
    <w:p w:rsidR="005649F0" w:rsidRPr="00D00722" w:rsidRDefault="005649F0" w:rsidP="005649F0">
      <w:pPr>
        <w:ind w:right="1"/>
        <w:rPr>
          <w:rFonts w:ascii="Arial" w:hAnsi="Arial" w:cs="Arial"/>
          <w:lang w:val="tr-TR"/>
        </w:rPr>
      </w:pPr>
      <w:r w:rsidRPr="00D00722">
        <w:rPr>
          <w:rFonts w:ascii="Arial" w:hAnsi="Arial" w:cs="Arial"/>
          <w:lang w:val="tr-TR"/>
        </w:rPr>
        <w:t xml:space="preserve">Yabancı para işlemler işlemin yapıldığı dönemdeki kur ile değerlemeye tabi tutularak kaydedilmektedir. Yabancı para cinsinden parasal varlık ve yükümlülükler finansal durum (bilanço) tarihindeki kur ile değerlemeye tabi tutulmaktadır. Oluşan tüm kur farkları kar veya zarar ve diğer kapsamlı tablosuna yansıtılmaktadır. </w:t>
      </w:r>
    </w:p>
    <w:p w:rsidR="005649F0" w:rsidRPr="00D00722" w:rsidRDefault="005649F0" w:rsidP="005649F0">
      <w:pPr>
        <w:ind w:right="1"/>
        <w:rPr>
          <w:rFonts w:ascii="Arial" w:hAnsi="Arial" w:cs="Arial"/>
          <w:lang w:val="tr-TR"/>
        </w:rPr>
      </w:pPr>
    </w:p>
    <w:p w:rsidR="005649F0" w:rsidRPr="00D00722" w:rsidRDefault="005649F0" w:rsidP="005649F0">
      <w:pPr>
        <w:autoSpaceDE w:val="0"/>
        <w:autoSpaceDN w:val="0"/>
        <w:adjustRightInd w:val="0"/>
        <w:ind w:right="1"/>
        <w:rPr>
          <w:rFonts w:ascii="Arial" w:hAnsi="Arial" w:cs="Arial"/>
          <w:lang w:val="tr-TR"/>
        </w:rPr>
      </w:pPr>
      <w:r w:rsidRPr="00D00722">
        <w:rPr>
          <w:rFonts w:ascii="Arial" w:hAnsi="Arial" w:cs="Arial"/>
          <w:lang w:val="tr-TR"/>
        </w:rPr>
        <w:t>Şirket’in dönem sonları itibariyle parasal aktif ve pasiflerini yabancı para değerlemesinde kullandığı döviz kurları aşağıdaki gibidir:</w:t>
      </w:r>
    </w:p>
    <w:p w:rsidR="005649F0" w:rsidRPr="00D00722" w:rsidRDefault="005649F0" w:rsidP="005649F0">
      <w:pPr>
        <w:ind w:right="29"/>
        <w:jc w:val="both"/>
        <w:rPr>
          <w:rFonts w:ascii="Arial" w:hAnsi="Arial" w:cs="Arial"/>
          <w:lang w:val="tr-TR"/>
        </w:rPr>
      </w:pPr>
    </w:p>
    <w:tbl>
      <w:tblPr>
        <w:tblW w:w="9000" w:type="dxa"/>
        <w:tblInd w:w="108" w:type="dxa"/>
        <w:tblLayout w:type="fixed"/>
        <w:tblLook w:val="0000"/>
      </w:tblPr>
      <w:tblGrid>
        <w:gridCol w:w="5940"/>
        <w:gridCol w:w="1496"/>
        <w:gridCol w:w="1564"/>
      </w:tblGrid>
      <w:tr w:rsidR="005649F0" w:rsidRPr="00D00722" w:rsidTr="00160DBE">
        <w:trPr>
          <w:trHeight w:val="113"/>
        </w:trPr>
        <w:tc>
          <w:tcPr>
            <w:tcW w:w="5940" w:type="dxa"/>
            <w:tcBorders>
              <w:top w:val="single" w:sz="6" w:space="0" w:color="auto"/>
              <w:bottom w:val="single" w:sz="6" w:space="0" w:color="auto"/>
            </w:tcBorders>
          </w:tcPr>
          <w:p w:rsidR="005649F0" w:rsidRPr="00D00722" w:rsidRDefault="005649F0" w:rsidP="00160DBE">
            <w:pPr>
              <w:ind w:left="-108"/>
              <w:jc w:val="both"/>
              <w:rPr>
                <w:rFonts w:ascii="Arial" w:hAnsi="Arial" w:cs="Arial"/>
                <w:b/>
                <w:lang w:val="tr-TR"/>
              </w:rPr>
            </w:pPr>
            <w:r w:rsidRPr="00D00722">
              <w:rPr>
                <w:rFonts w:ascii="Arial" w:hAnsi="Arial" w:cs="Arial"/>
                <w:b/>
                <w:lang w:val="tr-TR"/>
              </w:rPr>
              <w:t>Tarih</w:t>
            </w:r>
          </w:p>
        </w:tc>
        <w:tc>
          <w:tcPr>
            <w:tcW w:w="1496" w:type="dxa"/>
            <w:tcBorders>
              <w:top w:val="single" w:sz="6" w:space="0" w:color="auto"/>
              <w:bottom w:val="single" w:sz="6" w:space="0" w:color="auto"/>
            </w:tcBorders>
          </w:tcPr>
          <w:p w:rsidR="005649F0" w:rsidRPr="00D00722" w:rsidRDefault="005649F0" w:rsidP="00160DBE">
            <w:pPr>
              <w:pStyle w:val="000normal"/>
              <w:tabs>
                <w:tab w:val="left" w:pos="1438"/>
              </w:tabs>
              <w:spacing w:before="0" w:after="0" w:afterAutospacing="0"/>
              <w:jc w:val="right"/>
              <w:rPr>
                <w:rFonts w:eastAsia="Times New Roman"/>
                <w:b/>
                <w:lang w:val="tr-TR"/>
              </w:rPr>
            </w:pPr>
            <w:r w:rsidRPr="00D00722">
              <w:rPr>
                <w:b/>
                <w:lang w:val="tr-TR"/>
              </w:rPr>
              <w:t>EUR / TL</w:t>
            </w:r>
          </w:p>
        </w:tc>
        <w:tc>
          <w:tcPr>
            <w:tcW w:w="1564" w:type="dxa"/>
            <w:tcBorders>
              <w:top w:val="single" w:sz="6" w:space="0" w:color="auto"/>
              <w:bottom w:val="single" w:sz="6" w:space="0" w:color="auto"/>
            </w:tcBorders>
          </w:tcPr>
          <w:p w:rsidR="005649F0" w:rsidRPr="00D00722" w:rsidRDefault="005649F0" w:rsidP="00160DBE">
            <w:pPr>
              <w:jc w:val="right"/>
              <w:rPr>
                <w:rFonts w:ascii="Arial" w:hAnsi="Arial" w:cs="Arial"/>
                <w:b/>
                <w:lang w:val="tr-TR"/>
              </w:rPr>
            </w:pPr>
            <w:r w:rsidRPr="00D00722">
              <w:rPr>
                <w:rFonts w:ascii="Arial" w:hAnsi="Arial" w:cs="Arial"/>
                <w:b/>
                <w:lang w:val="tr-TR"/>
              </w:rPr>
              <w:t>USD / TL</w:t>
            </w:r>
          </w:p>
        </w:tc>
      </w:tr>
      <w:tr w:rsidR="005649F0" w:rsidRPr="00D00722" w:rsidTr="00160DBE">
        <w:trPr>
          <w:trHeight w:val="113"/>
        </w:trPr>
        <w:tc>
          <w:tcPr>
            <w:tcW w:w="5940" w:type="dxa"/>
          </w:tcPr>
          <w:p w:rsidR="005649F0" w:rsidRPr="00D00722" w:rsidRDefault="005649F0" w:rsidP="00160DBE">
            <w:pPr>
              <w:ind w:left="-108"/>
              <w:jc w:val="both"/>
              <w:rPr>
                <w:rFonts w:ascii="Arial" w:hAnsi="Arial" w:cs="Arial"/>
                <w:lang w:val="tr-TR"/>
              </w:rPr>
            </w:pPr>
          </w:p>
        </w:tc>
        <w:tc>
          <w:tcPr>
            <w:tcW w:w="1496" w:type="dxa"/>
          </w:tcPr>
          <w:p w:rsidR="005649F0" w:rsidRPr="00D00722" w:rsidRDefault="005649F0" w:rsidP="00160DBE">
            <w:pPr>
              <w:pStyle w:val="EndnoteText"/>
              <w:tabs>
                <w:tab w:val="left" w:pos="1438"/>
              </w:tabs>
              <w:ind w:right="1168"/>
              <w:jc w:val="right"/>
              <w:rPr>
                <w:rFonts w:ascii="Arial" w:hAnsi="Arial" w:cs="Arial"/>
                <w:lang w:val="tr-TR"/>
              </w:rPr>
            </w:pPr>
          </w:p>
        </w:tc>
        <w:tc>
          <w:tcPr>
            <w:tcW w:w="1564" w:type="dxa"/>
          </w:tcPr>
          <w:p w:rsidR="005649F0" w:rsidRPr="00D00722" w:rsidRDefault="005649F0" w:rsidP="00160DBE">
            <w:pPr>
              <w:pStyle w:val="000normal"/>
              <w:tabs>
                <w:tab w:val="left" w:pos="1438"/>
              </w:tabs>
              <w:spacing w:before="0" w:after="0" w:afterAutospacing="0"/>
              <w:ind w:right="1025"/>
              <w:jc w:val="right"/>
              <w:rPr>
                <w:rFonts w:eastAsia="Times New Roman"/>
                <w:lang w:val="tr-TR"/>
              </w:rPr>
            </w:pPr>
          </w:p>
        </w:tc>
      </w:tr>
      <w:tr w:rsidR="005649F0" w:rsidRPr="00D00722" w:rsidTr="00160DBE">
        <w:trPr>
          <w:trHeight w:val="113"/>
        </w:trPr>
        <w:tc>
          <w:tcPr>
            <w:tcW w:w="5940" w:type="dxa"/>
          </w:tcPr>
          <w:p w:rsidR="005649F0" w:rsidRPr="00D00722" w:rsidRDefault="005649F0" w:rsidP="00B2713E">
            <w:pPr>
              <w:ind w:left="-108"/>
              <w:jc w:val="both"/>
              <w:rPr>
                <w:rFonts w:ascii="Arial" w:hAnsi="Arial" w:cs="Arial"/>
                <w:b/>
                <w:lang w:val="tr-TR"/>
              </w:rPr>
            </w:pPr>
            <w:r w:rsidRPr="00D00722">
              <w:rPr>
                <w:rFonts w:ascii="Arial" w:hAnsi="Arial" w:cs="Arial"/>
                <w:b/>
                <w:lang w:val="tr-TR"/>
              </w:rPr>
              <w:t xml:space="preserve">31 </w:t>
            </w:r>
            <w:r w:rsidR="00B2713E" w:rsidRPr="00D00722">
              <w:rPr>
                <w:rFonts w:ascii="Arial" w:hAnsi="Arial" w:cs="Arial"/>
                <w:b/>
                <w:lang w:val="tr-TR"/>
              </w:rPr>
              <w:t>Mart</w:t>
            </w:r>
            <w:r w:rsidRPr="00D00722">
              <w:rPr>
                <w:rFonts w:ascii="Arial" w:hAnsi="Arial" w:cs="Arial"/>
                <w:b/>
                <w:lang w:val="tr-TR"/>
              </w:rPr>
              <w:t xml:space="preserve"> </w:t>
            </w:r>
            <w:r w:rsidR="00B2713E" w:rsidRPr="00D00722">
              <w:rPr>
                <w:rFonts w:ascii="Arial" w:hAnsi="Arial" w:cs="Arial"/>
                <w:b/>
                <w:lang w:val="tr-TR"/>
              </w:rPr>
              <w:t xml:space="preserve"> </w:t>
            </w:r>
            <w:r w:rsidRPr="00D00722">
              <w:rPr>
                <w:rFonts w:ascii="Arial" w:hAnsi="Arial" w:cs="Arial"/>
                <w:b/>
                <w:lang w:val="tr-TR"/>
              </w:rPr>
              <w:t>201</w:t>
            </w:r>
            <w:r w:rsidR="00B2713E" w:rsidRPr="00D00722">
              <w:rPr>
                <w:rFonts w:ascii="Arial" w:hAnsi="Arial" w:cs="Arial"/>
                <w:b/>
                <w:lang w:val="tr-TR"/>
              </w:rPr>
              <w:t>4</w:t>
            </w:r>
          </w:p>
        </w:tc>
        <w:tc>
          <w:tcPr>
            <w:tcW w:w="1496" w:type="dxa"/>
          </w:tcPr>
          <w:p w:rsidR="005649F0" w:rsidRPr="00D00722" w:rsidRDefault="00A16BA5" w:rsidP="00160DBE">
            <w:pPr>
              <w:pStyle w:val="000normal"/>
              <w:tabs>
                <w:tab w:val="left" w:pos="1438"/>
              </w:tabs>
              <w:spacing w:before="0" w:after="0" w:afterAutospacing="0"/>
              <w:jc w:val="right"/>
              <w:rPr>
                <w:rFonts w:eastAsia="Times New Roman"/>
                <w:b/>
                <w:lang w:val="tr-TR"/>
              </w:rPr>
            </w:pPr>
            <w:r w:rsidRPr="00D00722">
              <w:rPr>
                <w:rFonts w:eastAsia="Times New Roman"/>
                <w:b/>
                <w:lang w:val="tr-TR"/>
              </w:rPr>
              <w:t>3.0072</w:t>
            </w:r>
          </w:p>
        </w:tc>
        <w:tc>
          <w:tcPr>
            <w:tcW w:w="1564" w:type="dxa"/>
          </w:tcPr>
          <w:p w:rsidR="005649F0" w:rsidRPr="00D00722" w:rsidRDefault="00A16BA5" w:rsidP="00160DBE">
            <w:pPr>
              <w:tabs>
                <w:tab w:val="left" w:pos="1438"/>
              </w:tabs>
              <w:jc w:val="right"/>
              <w:rPr>
                <w:rFonts w:ascii="Arial" w:hAnsi="Arial" w:cs="Arial"/>
                <w:b/>
                <w:lang w:val="tr-TR"/>
              </w:rPr>
            </w:pPr>
            <w:r w:rsidRPr="00D00722">
              <w:rPr>
                <w:rFonts w:ascii="Arial" w:hAnsi="Arial" w:cs="Arial"/>
                <w:b/>
                <w:lang w:val="tr-TR"/>
              </w:rPr>
              <w:t>2.1898</w:t>
            </w:r>
          </w:p>
        </w:tc>
      </w:tr>
      <w:tr w:rsidR="00B2713E" w:rsidRPr="00D00722" w:rsidTr="00160DBE">
        <w:trPr>
          <w:trHeight w:val="113"/>
        </w:trPr>
        <w:tc>
          <w:tcPr>
            <w:tcW w:w="5940" w:type="dxa"/>
          </w:tcPr>
          <w:p w:rsidR="00B2713E" w:rsidRPr="00D00722" w:rsidRDefault="00B2713E" w:rsidP="002B5FEF">
            <w:pPr>
              <w:ind w:left="-108"/>
              <w:jc w:val="both"/>
              <w:rPr>
                <w:rFonts w:ascii="Arial" w:hAnsi="Arial" w:cs="Arial"/>
                <w:b/>
                <w:lang w:val="tr-TR"/>
              </w:rPr>
            </w:pPr>
            <w:r w:rsidRPr="00D00722">
              <w:rPr>
                <w:rFonts w:ascii="Arial" w:hAnsi="Arial" w:cs="Arial"/>
                <w:b/>
                <w:lang w:val="tr-TR"/>
              </w:rPr>
              <w:t>31 Aralık 2013</w:t>
            </w:r>
          </w:p>
        </w:tc>
        <w:tc>
          <w:tcPr>
            <w:tcW w:w="1496" w:type="dxa"/>
          </w:tcPr>
          <w:p w:rsidR="00B2713E" w:rsidRPr="00D00722" w:rsidRDefault="00B2713E" w:rsidP="002B5FEF">
            <w:pPr>
              <w:pStyle w:val="000normal"/>
              <w:tabs>
                <w:tab w:val="left" w:pos="1438"/>
              </w:tabs>
              <w:spacing w:before="0" w:after="0" w:afterAutospacing="0"/>
              <w:jc w:val="right"/>
              <w:rPr>
                <w:rFonts w:eastAsia="Times New Roman"/>
                <w:b/>
                <w:lang w:val="tr-TR"/>
              </w:rPr>
            </w:pPr>
            <w:r w:rsidRPr="00D00722">
              <w:rPr>
                <w:rFonts w:eastAsia="Times New Roman"/>
                <w:b/>
                <w:lang w:val="tr-TR"/>
              </w:rPr>
              <w:t>2,9365</w:t>
            </w:r>
          </w:p>
        </w:tc>
        <w:tc>
          <w:tcPr>
            <w:tcW w:w="1564" w:type="dxa"/>
          </w:tcPr>
          <w:p w:rsidR="00B2713E" w:rsidRPr="00D00722" w:rsidRDefault="00B2713E" w:rsidP="002B5FEF">
            <w:pPr>
              <w:tabs>
                <w:tab w:val="left" w:pos="1438"/>
              </w:tabs>
              <w:jc w:val="right"/>
              <w:rPr>
                <w:rFonts w:ascii="Arial" w:hAnsi="Arial" w:cs="Arial"/>
                <w:b/>
                <w:lang w:val="tr-TR"/>
              </w:rPr>
            </w:pPr>
            <w:r w:rsidRPr="00D00722">
              <w:rPr>
                <w:rFonts w:ascii="Arial" w:hAnsi="Arial" w:cs="Arial"/>
                <w:b/>
                <w:lang w:val="tr-TR"/>
              </w:rPr>
              <w:t>2,1343</w:t>
            </w:r>
          </w:p>
        </w:tc>
      </w:tr>
    </w:tbl>
    <w:p w:rsidR="005649F0" w:rsidRPr="00D00722" w:rsidRDefault="005649F0" w:rsidP="005649F0">
      <w:pPr>
        <w:jc w:val="both"/>
        <w:rPr>
          <w:rFonts w:ascii="Arial" w:hAnsi="Arial" w:cs="Arial"/>
          <w:lang w:val="tr-TR" w:eastAsia="tr-TR"/>
        </w:rPr>
      </w:pPr>
    </w:p>
    <w:p w:rsidR="003B030E" w:rsidRPr="00D00722" w:rsidRDefault="003B030E" w:rsidP="003B030E">
      <w:pPr>
        <w:tabs>
          <w:tab w:val="left" w:pos="567"/>
        </w:tabs>
        <w:autoSpaceDE w:val="0"/>
        <w:autoSpaceDN w:val="0"/>
        <w:adjustRightInd w:val="0"/>
        <w:rPr>
          <w:rFonts w:ascii="Arial" w:hAnsi="Arial" w:cs="Arial"/>
          <w:b/>
          <w:lang w:val="tr-TR"/>
        </w:rPr>
      </w:pPr>
      <w:r w:rsidRPr="00D00722">
        <w:rPr>
          <w:rFonts w:ascii="Arial" w:hAnsi="Arial" w:cs="Arial"/>
          <w:b/>
          <w:lang w:val="tr-TR"/>
        </w:rPr>
        <w:t>2.1.4</w:t>
      </w:r>
      <w:r w:rsidRPr="00D00722">
        <w:rPr>
          <w:rFonts w:ascii="Arial" w:hAnsi="Arial" w:cs="Arial"/>
          <w:b/>
          <w:lang w:val="tr-TR"/>
        </w:rPr>
        <w:tab/>
        <w:t xml:space="preserve">İşletmenin sürekliliği </w:t>
      </w:r>
    </w:p>
    <w:p w:rsidR="003B030E" w:rsidRPr="00D00722" w:rsidRDefault="003B030E" w:rsidP="003B030E">
      <w:pPr>
        <w:tabs>
          <w:tab w:val="left" w:pos="567"/>
        </w:tabs>
        <w:autoSpaceDE w:val="0"/>
        <w:autoSpaceDN w:val="0"/>
        <w:adjustRightInd w:val="0"/>
        <w:rPr>
          <w:rFonts w:ascii="Arial" w:hAnsi="Arial" w:cs="Arial"/>
          <w:b/>
          <w:lang w:val="tr-TR"/>
        </w:rPr>
      </w:pPr>
    </w:p>
    <w:p w:rsidR="003B030E" w:rsidRPr="00D00722" w:rsidRDefault="003B030E" w:rsidP="003B030E">
      <w:pPr>
        <w:tabs>
          <w:tab w:val="left" w:pos="567"/>
        </w:tabs>
        <w:autoSpaceDE w:val="0"/>
        <w:autoSpaceDN w:val="0"/>
        <w:adjustRightInd w:val="0"/>
        <w:rPr>
          <w:rFonts w:ascii="Arial" w:hAnsi="Arial" w:cs="Arial"/>
          <w:lang w:val="tr-TR"/>
        </w:rPr>
      </w:pPr>
      <w:r w:rsidRPr="00D00722">
        <w:rPr>
          <w:rFonts w:ascii="Arial" w:hAnsi="Arial" w:cs="Arial"/>
          <w:lang w:val="tr-TR"/>
        </w:rPr>
        <w:t>Şirket, finansal tablolarını işletmenin sürekliliği ilkesine göre hazırlamıştır.</w:t>
      </w:r>
    </w:p>
    <w:p w:rsidR="003B030E" w:rsidRPr="00D00722" w:rsidRDefault="003B030E" w:rsidP="003B030E">
      <w:pPr>
        <w:ind w:left="567" w:right="-1" w:hanging="567"/>
        <w:rPr>
          <w:rFonts w:ascii="Arial" w:hAnsi="Arial" w:cs="Arial"/>
          <w:b/>
          <w:lang w:val="tr-TR"/>
        </w:rPr>
      </w:pPr>
    </w:p>
    <w:p w:rsidR="003B030E" w:rsidRPr="00D00722" w:rsidRDefault="003B030E" w:rsidP="003B030E">
      <w:pPr>
        <w:ind w:right="29"/>
        <w:rPr>
          <w:rFonts w:ascii="Arial" w:hAnsi="Arial" w:cs="Arial"/>
          <w:b/>
          <w:lang w:val="tr-TR"/>
        </w:rPr>
      </w:pPr>
      <w:r w:rsidRPr="00D00722">
        <w:rPr>
          <w:rFonts w:ascii="Arial" w:hAnsi="Arial" w:cs="Arial"/>
          <w:b/>
          <w:lang w:val="tr-TR"/>
        </w:rPr>
        <w:t>2.1.5 Raporlama para birimi</w:t>
      </w:r>
    </w:p>
    <w:p w:rsidR="003B030E" w:rsidRPr="00D00722" w:rsidRDefault="003B030E" w:rsidP="003B030E">
      <w:pPr>
        <w:ind w:right="29"/>
        <w:rPr>
          <w:rFonts w:ascii="Arial" w:hAnsi="Arial" w:cs="Arial"/>
          <w:lang w:val="tr-TR"/>
        </w:rPr>
      </w:pPr>
    </w:p>
    <w:p w:rsidR="003B030E" w:rsidRPr="00D00722" w:rsidRDefault="003B030E" w:rsidP="003B030E">
      <w:pPr>
        <w:ind w:right="29"/>
        <w:rPr>
          <w:rFonts w:ascii="Arial" w:hAnsi="Arial" w:cs="Arial"/>
          <w:lang w:val="tr-TR"/>
        </w:rPr>
      </w:pPr>
      <w:r w:rsidRPr="00D00722">
        <w:rPr>
          <w:rFonts w:ascii="Arial" w:hAnsi="Arial" w:cs="Arial"/>
          <w:lang w:val="tr-TR"/>
        </w:rPr>
        <w:t>Şirket’in işlevsel ve raporlama para birimi Türk Lirası’dır (TL).</w:t>
      </w:r>
    </w:p>
    <w:p w:rsidR="003B030E" w:rsidRPr="00D00722" w:rsidRDefault="003B030E" w:rsidP="003B030E">
      <w:pPr>
        <w:ind w:left="567" w:right="-1" w:hanging="567"/>
        <w:rPr>
          <w:rFonts w:ascii="Arial" w:hAnsi="Arial" w:cs="Arial"/>
          <w:b/>
          <w:lang w:val="tr-TR"/>
        </w:rPr>
      </w:pPr>
    </w:p>
    <w:p w:rsidR="00476151" w:rsidRPr="00D00722" w:rsidRDefault="00476151" w:rsidP="003B030E">
      <w:pPr>
        <w:ind w:left="567" w:right="-1" w:hanging="567"/>
        <w:rPr>
          <w:rFonts w:ascii="Arial" w:hAnsi="Arial" w:cs="Arial"/>
          <w:b/>
          <w:lang w:val="tr-TR"/>
        </w:rPr>
      </w:pPr>
    </w:p>
    <w:p w:rsidR="002A4E5D" w:rsidRPr="00D00722" w:rsidRDefault="002A4E5D" w:rsidP="002A4E5D">
      <w:pPr>
        <w:tabs>
          <w:tab w:val="left" w:pos="567"/>
        </w:tabs>
        <w:autoSpaceDE w:val="0"/>
        <w:autoSpaceDN w:val="0"/>
        <w:adjustRightInd w:val="0"/>
        <w:spacing w:line="230" w:lineRule="auto"/>
        <w:rPr>
          <w:rFonts w:ascii="Arial" w:hAnsi="Arial" w:cs="Arial"/>
          <w:b/>
          <w:lang w:val="tr-TR"/>
        </w:rPr>
      </w:pPr>
      <w:r w:rsidRPr="00D00722">
        <w:rPr>
          <w:rFonts w:ascii="Arial" w:hAnsi="Arial" w:cs="Arial"/>
          <w:b/>
          <w:lang w:val="tr-TR"/>
        </w:rPr>
        <w:t>2.</w:t>
      </w:r>
      <w:r w:rsidR="00B96218" w:rsidRPr="00D00722">
        <w:rPr>
          <w:rFonts w:ascii="Arial" w:hAnsi="Arial" w:cs="Arial"/>
          <w:b/>
          <w:lang w:val="tr-TR"/>
        </w:rPr>
        <w:t>2</w:t>
      </w:r>
      <w:r w:rsidRPr="00D00722">
        <w:rPr>
          <w:rFonts w:ascii="Arial" w:hAnsi="Arial" w:cs="Arial"/>
          <w:b/>
          <w:lang w:val="tr-TR"/>
        </w:rPr>
        <w:tab/>
      </w:r>
      <w:r w:rsidR="00B96218" w:rsidRPr="00D00722">
        <w:rPr>
          <w:rFonts w:ascii="Arial" w:hAnsi="Arial" w:cs="Arial"/>
          <w:b/>
          <w:snapToGrid w:val="0"/>
          <w:lang w:val="tr-TR"/>
        </w:rPr>
        <w:t>Yeni ve düzeltilmiş standartlar ve yorumlar</w:t>
      </w:r>
    </w:p>
    <w:p w:rsidR="002A4E5D" w:rsidRPr="00D00722" w:rsidRDefault="002A4E5D" w:rsidP="002A4E5D">
      <w:pPr>
        <w:tabs>
          <w:tab w:val="left" w:pos="567"/>
        </w:tabs>
        <w:autoSpaceDE w:val="0"/>
        <w:autoSpaceDN w:val="0"/>
        <w:adjustRightInd w:val="0"/>
        <w:spacing w:line="230" w:lineRule="auto"/>
        <w:rPr>
          <w:rFonts w:ascii="Arial" w:hAnsi="Arial" w:cs="Arial"/>
          <w:b/>
          <w:lang w:val="tr-TR"/>
        </w:rPr>
      </w:pPr>
    </w:p>
    <w:p w:rsidR="00B96218" w:rsidRPr="00D00722" w:rsidRDefault="00B96218" w:rsidP="00B96218">
      <w:pPr>
        <w:widowControl w:val="0"/>
        <w:rPr>
          <w:rFonts w:ascii="Arial" w:hAnsi="Arial" w:cs="Arial"/>
          <w:b/>
          <w:snapToGrid w:val="0"/>
          <w:lang w:val="tr-TR"/>
        </w:rPr>
      </w:pPr>
      <w:r w:rsidRPr="00D00722">
        <w:rPr>
          <w:rFonts w:ascii="Arial" w:hAnsi="Arial" w:cs="Arial"/>
          <w:lang w:val="tr-TR"/>
        </w:rPr>
        <w:t>31 Mart 2014 tarihi itibariyle sona eren ara hesap dönemine ait finansal tabloların hazırlanmasında esas alınan muhasebe politikaları aşağıda özetlenen 1 Ocak 2014 tarihi itibariyle geçerli yeni ve değiştirilmiş TFRS standartları ve TFRYK yorumları dışında önceki yılda kullanılanlar ile tutarlı olarak uygulanmıştır. Bu standartların ve yorumların Şirket’in mali durumu ve performansı üzerindeki etkileri ilgili paragraflarda açıklanmıştır.</w:t>
      </w:r>
    </w:p>
    <w:p w:rsidR="00B96218" w:rsidRPr="00D00722" w:rsidRDefault="00B96218" w:rsidP="00B96218">
      <w:pPr>
        <w:widowControl w:val="0"/>
        <w:rPr>
          <w:rFonts w:ascii="Arial" w:hAnsi="Arial" w:cs="Arial"/>
          <w:b/>
          <w:snapToGrid w:val="0"/>
          <w:lang w:val="tr-TR"/>
        </w:rPr>
      </w:pPr>
    </w:p>
    <w:p w:rsidR="00B96218" w:rsidRPr="00D00722" w:rsidRDefault="00B96218" w:rsidP="00B96218">
      <w:pPr>
        <w:widowControl w:val="0"/>
        <w:rPr>
          <w:rFonts w:ascii="Arial" w:hAnsi="Arial" w:cs="Arial"/>
          <w:b/>
          <w:snapToGrid w:val="0"/>
          <w:lang w:val="tr-TR"/>
        </w:rPr>
      </w:pPr>
      <w:r w:rsidRPr="00D00722">
        <w:rPr>
          <w:rFonts w:ascii="Arial" w:hAnsi="Arial" w:cs="Arial"/>
          <w:b/>
          <w:snapToGrid w:val="0"/>
          <w:lang w:val="tr-TR"/>
        </w:rPr>
        <w:t>i) 1 Ocak 2014 tarihinden itibaren geçerli olan yeni standart, değişiklik ve yorumlar</w:t>
      </w:r>
    </w:p>
    <w:p w:rsidR="00B96218" w:rsidRPr="00D00722" w:rsidRDefault="00B96218" w:rsidP="00B96218">
      <w:pPr>
        <w:pStyle w:val="Default"/>
        <w:rPr>
          <w:snapToGrid w:val="0"/>
          <w:color w:val="auto"/>
          <w:sz w:val="20"/>
          <w:szCs w:val="20"/>
          <w:lang w:val="tr-TR"/>
        </w:rPr>
      </w:pPr>
    </w:p>
    <w:p w:rsidR="00B96218" w:rsidRPr="00D00722" w:rsidRDefault="00B96218" w:rsidP="00B96218">
      <w:pPr>
        <w:widowControl w:val="0"/>
        <w:rPr>
          <w:rFonts w:ascii="Arial" w:hAnsi="Arial" w:cs="Arial"/>
          <w:b/>
          <w:snapToGrid w:val="0"/>
          <w:lang w:val="tr-TR"/>
        </w:rPr>
      </w:pPr>
      <w:r w:rsidRPr="00D00722">
        <w:rPr>
          <w:rFonts w:ascii="Arial" w:hAnsi="Arial" w:cs="Arial"/>
          <w:b/>
          <w:snapToGrid w:val="0"/>
          <w:lang w:val="tr-TR"/>
        </w:rPr>
        <w:t>TMS 32 Finansal Araçlar: Sunum - Finansal Varlık ve Borçların Netleştirilmesi (Değişiklik)</w:t>
      </w:r>
    </w:p>
    <w:p w:rsidR="00B96218" w:rsidRPr="00D00722" w:rsidRDefault="00B96218" w:rsidP="00B96218">
      <w:pPr>
        <w:adjustRightInd w:val="0"/>
        <w:rPr>
          <w:rFonts w:ascii="Arial" w:hAnsi="Arial" w:cs="Arial"/>
          <w:lang w:val="tr-TR"/>
        </w:rPr>
      </w:pPr>
    </w:p>
    <w:p w:rsidR="00B96218" w:rsidRPr="00D00722" w:rsidRDefault="00B96218" w:rsidP="00B96218">
      <w:pPr>
        <w:rPr>
          <w:rFonts w:ascii="Arial" w:hAnsi="Arial" w:cs="Arial"/>
          <w:lang w:val="tr-TR"/>
        </w:rPr>
      </w:pPr>
      <w:r w:rsidRPr="00D00722">
        <w:rPr>
          <w:rFonts w:ascii="Arial" w:hAnsi="Arial" w:cs="Arial"/>
          <w:lang w:val="tr-TR"/>
        </w:rPr>
        <w:t xml:space="preserve">Değişiklik “muhasebeleştirilen tutarları netleştirme konusunda mevcut yasal bir hakkının bulunması” ifadesinin anlamına açıklık getirmekte ve TMS 32 netleştirme prensibinin eş zamanlı olarak gerçekleşmeyen ve brüt ödeme yapılan hesaplaşma (takas büroları gibi) sistemlerindeki uygulama </w:t>
      </w:r>
      <w:r w:rsidRPr="00D00722">
        <w:rPr>
          <w:rFonts w:ascii="Arial" w:hAnsi="Arial" w:cs="Arial"/>
          <w:lang w:val="tr-TR"/>
        </w:rPr>
        <w:lastRenderedPageBreak/>
        <w:t>alanına açıklık getirmektedir. Değişiklikler 1 Ocak 2014 ve sonrasında başlayan yıllık hesap dönemleri için geriye dönük olarak uygulanacaktır. Söz konusu standardın Şirket’in finansal durumu veya performansı üzerinde önemli bir etkisi olmamıştır.</w:t>
      </w:r>
    </w:p>
    <w:p w:rsidR="00B96218" w:rsidRPr="00D00722" w:rsidRDefault="00B96218" w:rsidP="00B96218">
      <w:pPr>
        <w:adjustRightInd w:val="0"/>
        <w:rPr>
          <w:rFonts w:ascii="Arial" w:hAnsi="Arial" w:cs="Arial"/>
          <w:lang w:val="tr-TR"/>
        </w:rPr>
      </w:pPr>
    </w:p>
    <w:p w:rsidR="00B96218" w:rsidRPr="00D00722" w:rsidRDefault="00B96218" w:rsidP="00B96218">
      <w:pPr>
        <w:rPr>
          <w:rFonts w:ascii="Arial" w:eastAsiaTheme="minorHAnsi" w:hAnsi="Arial" w:cs="Arial"/>
          <w:b/>
          <w:color w:val="000000"/>
          <w:lang w:val="tr-TR"/>
        </w:rPr>
      </w:pPr>
      <w:r w:rsidRPr="00D00722">
        <w:rPr>
          <w:rFonts w:ascii="Arial" w:eastAsiaTheme="minorHAnsi" w:hAnsi="Arial" w:cs="Arial"/>
          <w:b/>
          <w:color w:val="000000"/>
          <w:lang w:val="tr-TR"/>
        </w:rPr>
        <w:t>TFRS Yorum 21 Vergi ve Vergi Benzeri Yükümlülükler</w:t>
      </w:r>
    </w:p>
    <w:p w:rsidR="00B96218" w:rsidRPr="00D00722" w:rsidRDefault="00B96218" w:rsidP="00B96218">
      <w:pPr>
        <w:rPr>
          <w:rFonts w:ascii="Arial" w:eastAsiaTheme="minorHAnsi" w:hAnsi="Arial" w:cs="Arial"/>
          <w:color w:val="000000"/>
          <w:lang w:val="tr-TR"/>
        </w:rPr>
      </w:pPr>
    </w:p>
    <w:p w:rsidR="00B96218" w:rsidRPr="00D00722" w:rsidRDefault="00B96218" w:rsidP="00B96218">
      <w:pPr>
        <w:rPr>
          <w:rFonts w:ascii="Arial" w:hAnsi="Arial" w:cs="Arial"/>
          <w:lang w:val="tr-TR"/>
        </w:rPr>
      </w:pPr>
      <w:r w:rsidRPr="00D00722">
        <w:rPr>
          <w:rFonts w:ascii="Arial" w:hAnsi="Arial" w:cs="Arial"/>
          <w:lang w:val="tr-TR"/>
        </w:rPr>
        <w:t>Bu yorum, vergi ve vergi benzeri yükümlülüğün işletme tarafından, ödemeyi ortaya çıkaran eylemin ilgili yasalar çerçevesinde gerçekleştiği anda kaydedilmesi gerektiğine açıklık getirmektedir. Aynı zamanda bu yorum, vergi ve vergi benzeri yükümlülüğün sadece ilgili yasalar çerçevesinde ödemeyi ortaya çıkaran eylemin bir dönem içerisinde kademeli olarak gerçekleşmesi halinde kademeli olarak tahakkuk edebileceğine açıklık getirmektedir. Asgari bir eşiğin aşılması halinde ortaya çıkan bir vergi ve vergi benzeri yükümlülük, asgari eşik aşılmadan yükümlülük olarak kayıtlara alınamayacaktır. Bu yorum 1 Ocak 2014 ve sonrasında başlayan yıllık hesap dönemleri için geçerli olup erken uygulamaya izin verilmektedir. Bu yorumun geçmişe dönük olarak uygulanması zorunludur. Söz konusu yorum Şirket için geçerli değildir ve Şirket’in finansal durumu veya performansı üzerinde hiçbir etkisi</w:t>
      </w:r>
      <w:r w:rsidRPr="00D00722">
        <w:rPr>
          <w:rFonts w:ascii="Arial" w:hAnsi="Arial" w:cs="Arial"/>
          <w:i/>
          <w:color w:val="00B0F0"/>
          <w:lang w:val="tr-TR"/>
        </w:rPr>
        <w:t xml:space="preserve"> </w:t>
      </w:r>
      <w:r w:rsidRPr="00D00722">
        <w:rPr>
          <w:rFonts w:ascii="Arial" w:hAnsi="Arial" w:cs="Arial"/>
          <w:lang w:val="tr-TR"/>
        </w:rPr>
        <w:t>olmamıştır.</w:t>
      </w:r>
    </w:p>
    <w:p w:rsidR="00B96218" w:rsidRPr="00D00722" w:rsidRDefault="00B96218" w:rsidP="00B96218">
      <w:pPr>
        <w:rPr>
          <w:rFonts w:ascii="Arial" w:hAnsi="Arial" w:cs="Arial"/>
          <w:lang w:val="tr-TR"/>
        </w:rPr>
      </w:pPr>
    </w:p>
    <w:p w:rsidR="00B96218" w:rsidRPr="00D00722" w:rsidRDefault="00B96218" w:rsidP="00B96218">
      <w:pPr>
        <w:rPr>
          <w:rFonts w:ascii="Arial" w:eastAsiaTheme="minorHAnsi" w:hAnsi="Arial" w:cs="Arial"/>
          <w:b/>
          <w:color w:val="000000"/>
          <w:lang w:val="tr-TR"/>
        </w:rPr>
      </w:pPr>
      <w:r w:rsidRPr="00D00722">
        <w:rPr>
          <w:rFonts w:ascii="Arial" w:eastAsiaTheme="minorHAnsi" w:hAnsi="Arial" w:cs="Arial"/>
          <w:b/>
          <w:color w:val="000000"/>
          <w:lang w:val="tr-TR"/>
        </w:rPr>
        <w:t>TMS 36 Varlıklarda Değer Düşüklüğü - Finansal olmayan varlıklar için geri kazanılabilir değer açıklamaları (Değişiklik)</w:t>
      </w:r>
    </w:p>
    <w:p w:rsidR="00B96218" w:rsidRPr="00D00722" w:rsidRDefault="00B96218" w:rsidP="00B96218">
      <w:pPr>
        <w:rPr>
          <w:rFonts w:ascii="Arial" w:eastAsiaTheme="minorHAnsi" w:hAnsi="Arial" w:cs="Arial"/>
          <w:color w:val="000000"/>
          <w:lang w:val="tr-TR"/>
        </w:rPr>
      </w:pPr>
    </w:p>
    <w:p w:rsidR="00B96218" w:rsidRPr="00D00722" w:rsidRDefault="00B96218" w:rsidP="00B96218">
      <w:pPr>
        <w:rPr>
          <w:rFonts w:ascii="Arial" w:eastAsiaTheme="minorHAnsi" w:hAnsi="Arial" w:cs="Arial"/>
          <w:color w:val="000000"/>
          <w:lang w:val="tr-TR"/>
        </w:rPr>
      </w:pPr>
      <w:r w:rsidRPr="00D00722">
        <w:rPr>
          <w:rFonts w:ascii="Arial" w:eastAsiaTheme="minorHAnsi" w:hAnsi="Arial" w:cs="Arial"/>
          <w:color w:val="000000"/>
          <w:lang w:val="tr-TR"/>
        </w:rPr>
        <w:t>TFRS 13 ‘Gerçeğe uygun değer ölçümleri’ne getirilen değişiklikten sonra TMS 36 Varlıklarda değer düşüklüğü standardındaki değer düşüklüğüne uğramış varlıkların geri kazanılabilir değerlerine ilişkin bazı açıklama hükümleri değiştirilmiştir. Değişiklik, değer düşüklüğüne uğramış varlıkların (ya da bir varlık grubunun) gerçeğe uygun değerinden elden çıkarma maliyetleri düşülmüş geri kazanılabilir tutarının ölçümü ile ilgili ek açıklama hükümleri getirmiştir. Bu d</w:t>
      </w:r>
      <w:r w:rsidRPr="00D00722">
        <w:rPr>
          <w:rFonts w:ascii="Arial" w:hAnsi="Arial" w:cs="Arial"/>
          <w:lang w:val="tr-TR"/>
        </w:rPr>
        <w:t xml:space="preserve">eğişiklik, 1 Ocak 2014 ve sonrasında başlayan yıllık hesap dönemleri için geriye dönük olarak uygulanacaktır. </w:t>
      </w:r>
      <w:r w:rsidRPr="00D00722">
        <w:rPr>
          <w:rFonts w:ascii="Arial" w:eastAsiaTheme="minorHAnsi" w:hAnsi="Arial" w:cs="Arial"/>
          <w:color w:val="000000"/>
          <w:lang w:val="tr-TR"/>
        </w:rPr>
        <w:t>Söz konusu standardın Şirket ’in finansal durumu veya performansı üzerinde önemli bir etkisi olmamıştır.</w:t>
      </w:r>
    </w:p>
    <w:p w:rsidR="00B96218" w:rsidRPr="00D00722" w:rsidRDefault="00B96218" w:rsidP="00B96218">
      <w:pPr>
        <w:shd w:val="clear" w:color="auto" w:fill="FFFFFF"/>
        <w:rPr>
          <w:rFonts w:ascii="Arial" w:hAnsi="Arial" w:cs="Arial"/>
          <w:b/>
          <w:lang w:val="tr-TR"/>
        </w:rPr>
      </w:pPr>
    </w:p>
    <w:p w:rsidR="00B96218" w:rsidRPr="00D00722" w:rsidRDefault="00B96218" w:rsidP="00B96218">
      <w:pPr>
        <w:shd w:val="clear" w:color="auto" w:fill="FFFFFF"/>
        <w:rPr>
          <w:rFonts w:ascii="Arial" w:hAnsi="Arial" w:cs="Arial"/>
          <w:b/>
          <w:lang w:val="tr-TR"/>
        </w:rPr>
      </w:pPr>
      <w:r w:rsidRPr="00D00722">
        <w:rPr>
          <w:rFonts w:ascii="Arial" w:hAnsi="Arial" w:cs="Arial"/>
          <w:b/>
          <w:lang w:val="tr-TR"/>
        </w:rPr>
        <w:t>TMS 39 Finansal Araçlar: Muhasebeleştirme ve Ölçme – Türev ürünlerin devri ve riskten korunma muhasebesinin devamlılığı (Değişiklik)</w:t>
      </w:r>
    </w:p>
    <w:p w:rsidR="00B96218" w:rsidRPr="00D00722" w:rsidRDefault="00B96218" w:rsidP="00B96218">
      <w:pPr>
        <w:shd w:val="clear" w:color="auto" w:fill="FFFFFF"/>
        <w:rPr>
          <w:rFonts w:ascii="Arial" w:hAnsi="Arial" w:cs="Arial"/>
          <w:lang w:val="tr-TR"/>
        </w:rPr>
      </w:pPr>
    </w:p>
    <w:p w:rsidR="00B96218" w:rsidRPr="00D00722" w:rsidRDefault="00B96218" w:rsidP="00B96218">
      <w:pPr>
        <w:shd w:val="clear" w:color="auto" w:fill="FFFFFF"/>
        <w:rPr>
          <w:rFonts w:ascii="Arial" w:hAnsi="Arial" w:cs="Arial"/>
          <w:lang w:val="tr-TR"/>
        </w:rPr>
      </w:pPr>
      <w:r w:rsidRPr="00D00722">
        <w:rPr>
          <w:rFonts w:ascii="Arial" w:hAnsi="Arial" w:cs="Arial"/>
          <w:lang w:val="tr-TR"/>
        </w:rPr>
        <w:t xml:space="preserve">TMS 39 Finansal Araçlar: Muhasebeleştirme ve Ölçme standardına getirilen değişiklik, finansal riskten korunma aracının kanunen ya da düzenlemeler sonucunda merkezi bir karşı tarafa devredilmesi durumunda riskten korunma muhasebesinin durdurulmasını zorunlu kılan hükme dar bir istisna getirmektedir. </w:t>
      </w:r>
      <w:r w:rsidRPr="00D00722">
        <w:rPr>
          <w:rFonts w:ascii="Arial" w:eastAsiaTheme="minorHAnsi" w:hAnsi="Arial" w:cs="Arial"/>
          <w:color w:val="000000"/>
          <w:lang w:val="tr-TR"/>
        </w:rPr>
        <w:t>Bu d</w:t>
      </w:r>
      <w:r w:rsidRPr="00D00722">
        <w:rPr>
          <w:rFonts w:ascii="Arial" w:hAnsi="Arial" w:cs="Arial"/>
          <w:lang w:val="tr-TR"/>
        </w:rPr>
        <w:t>eğişiklik, 1 Ocak 2014 ve sonrasında başlayan yıllık hesap dönemleri için geriye dönük olarak uygulanacaktır.</w:t>
      </w:r>
      <w:r w:rsidRPr="00D00722">
        <w:rPr>
          <w:rFonts w:ascii="Arial" w:hAnsi="Arial" w:cs="Arial"/>
          <w:i/>
          <w:color w:val="00B0F0"/>
          <w:lang w:val="tr-TR"/>
        </w:rPr>
        <w:t xml:space="preserve"> </w:t>
      </w:r>
      <w:r w:rsidRPr="00D00722">
        <w:rPr>
          <w:rFonts w:ascii="Arial" w:hAnsi="Arial" w:cs="Arial"/>
          <w:lang w:val="tr-TR"/>
        </w:rPr>
        <w:t>Söz konusu standardın Şirket’in finansal durumu veya performansı üzerinde bir etkisi olmamıştır.</w:t>
      </w:r>
    </w:p>
    <w:p w:rsidR="00B96218" w:rsidRPr="00D00722" w:rsidRDefault="00B96218" w:rsidP="00B96218">
      <w:pPr>
        <w:rPr>
          <w:rFonts w:ascii="Arial" w:hAnsi="Arial" w:cs="Arial"/>
          <w:lang w:val="tr-TR"/>
        </w:rPr>
      </w:pPr>
    </w:p>
    <w:p w:rsidR="00B96218" w:rsidRPr="00D00722" w:rsidRDefault="00B96218" w:rsidP="00B96218">
      <w:pPr>
        <w:spacing w:after="200" w:line="276" w:lineRule="auto"/>
        <w:rPr>
          <w:rFonts w:ascii="Arial" w:hAnsi="Arial" w:cs="Arial"/>
          <w:b/>
          <w:snapToGrid w:val="0"/>
          <w:lang w:val="tr-TR"/>
        </w:rPr>
      </w:pPr>
      <w:r w:rsidRPr="00D00722">
        <w:rPr>
          <w:rFonts w:ascii="Arial" w:hAnsi="Arial" w:cs="Arial"/>
          <w:b/>
          <w:snapToGrid w:val="0"/>
          <w:lang w:val="tr-TR"/>
        </w:rPr>
        <w:br w:type="page"/>
      </w:r>
    </w:p>
    <w:p w:rsidR="00B96218" w:rsidRPr="00D00722" w:rsidRDefault="00B96218" w:rsidP="00B96218">
      <w:pPr>
        <w:adjustRightInd w:val="0"/>
        <w:rPr>
          <w:rFonts w:ascii="Arial" w:hAnsi="Arial" w:cs="Arial"/>
          <w:b/>
          <w:snapToGrid w:val="0"/>
          <w:lang w:val="tr-TR"/>
        </w:rPr>
      </w:pPr>
      <w:r w:rsidRPr="00D00722">
        <w:rPr>
          <w:rFonts w:ascii="Arial" w:hAnsi="Arial" w:cs="Arial"/>
          <w:b/>
          <w:snapToGrid w:val="0"/>
          <w:lang w:val="tr-TR"/>
        </w:rPr>
        <w:lastRenderedPageBreak/>
        <w:t>TFRS 10 Konsolide Finansal Tablolar (Değişiklik)</w:t>
      </w:r>
    </w:p>
    <w:p w:rsidR="00B96218" w:rsidRPr="00D00722" w:rsidRDefault="00B96218" w:rsidP="00B96218">
      <w:pPr>
        <w:adjustRightInd w:val="0"/>
        <w:rPr>
          <w:rFonts w:ascii="Arial" w:hAnsi="Arial" w:cs="Arial"/>
          <w:b/>
          <w:snapToGrid w:val="0"/>
          <w:lang w:val="tr-TR"/>
        </w:rPr>
      </w:pPr>
    </w:p>
    <w:p w:rsidR="00B96218" w:rsidRPr="00D00722" w:rsidRDefault="00B96218" w:rsidP="00B96218">
      <w:pPr>
        <w:rPr>
          <w:rFonts w:ascii="Arial" w:hAnsi="Arial" w:cs="Arial"/>
          <w:lang w:val="tr-TR"/>
        </w:rPr>
      </w:pPr>
      <w:r w:rsidRPr="00D00722">
        <w:rPr>
          <w:rFonts w:ascii="Arial" w:hAnsi="Arial" w:cs="Arial"/>
          <w:lang w:val="tr-TR"/>
        </w:rPr>
        <w:t>TFRS 10 standardı yatırım şirketi tanımına uyan şirketlerin konsolidasyon hükümlerinden muaf tutulmasına ilişkin bir istisna getirmek için değiştirilmiştir. Konsolidasyon hükümlerine getirilen istisna ile yatırım şirketlerinin bağlı ortaklıklarını TFRS 9 Finansal Araçlar standardı hükümleri çerçevesinde gerçeğe uygun değerden muhasebeleştirmeleri gerekmektedir. 1 Ocak 2014 ve sonrasında başlayan yıllık hesap dönemleri için geriye dönük olarak uygulanacaktır.</w:t>
      </w:r>
      <w:r w:rsidRPr="00D00722">
        <w:rPr>
          <w:rFonts w:ascii="Arial" w:hAnsi="Arial" w:cs="Arial"/>
          <w:i/>
          <w:color w:val="00B0F0"/>
          <w:lang w:val="tr-TR"/>
        </w:rPr>
        <w:t xml:space="preserve"> </w:t>
      </w:r>
      <w:r w:rsidRPr="00D00722">
        <w:rPr>
          <w:rFonts w:ascii="Arial" w:hAnsi="Arial" w:cs="Arial"/>
          <w:lang w:val="tr-TR"/>
        </w:rPr>
        <w:t>Söz konusu değişikliğin Şirket’in finansal durumu ve performansı üzerinde hiçbir etkisi olmamıştır.</w:t>
      </w:r>
    </w:p>
    <w:p w:rsidR="00B96218" w:rsidRPr="00D00722" w:rsidRDefault="00B96218" w:rsidP="00B96218">
      <w:pPr>
        <w:rPr>
          <w:rFonts w:ascii="Arial" w:hAnsi="Arial" w:cs="Arial"/>
          <w:lang w:val="tr-TR"/>
        </w:rPr>
      </w:pPr>
    </w:p>
    <w:p w:rsidR="00B96218" w:rsidRPr="00D00722" w:rsidRDefault="00B96218" w:rsidP="00B96218">
      <w:pPr>
        <w:widowControl w:val="0"/>
        <w:rPr>
          <w:rFonts w:ascii="Arial" w:hAnsi="Arial" w:cs="Arial"/>
          <w:b/>
          <w:snapToGrid w:val="0"/>
          <w:lang w:val="tr-TR"/>
        </w:rPr>
      </w:pPr>
      <w:r w:rsidRPr="00D00722">
        <w:rPr>
          <w:rFonts w:ascii="Arial" w:hAnsi="Arial" w:cs="Arial"/>
          <w:b/>
          <w:lang w:val="tr-TR"/>
        </w:rPr>
        <w:t xml:space="preserve">ii) </w:t>
      </w:r>
      <w:r w:rsidRPr="00D00722">
        <w:rPr>
          <w:rFonts w:ascii="Arial" w:hAnsi="Arial" w:cs="Arial"/>
          <w:b/>
          <w:snapToGrid w:val="0"/>
          <w:lang w:val="tr-TR"/>
        </w:rPr>
        <w:t>Yayınlanan ama yürürlüğe girmemiş ve erken uygulamaya konulmayan standartlar</w:t>
      </w:r>
    </w:p>
    <w:p w:rsidR="00B96218" w:rsidRPr="00D00722" w:rsidRDefault="00B96218" w:rsidP="00B96218">
      <w:pPr>
        <w:adjustRightInd w:val="0"/>
        <w:rPr>
          <w:rFonts w:ascii="Arial" w:hAnsi="Arial" w:cs="Arial"/>
          <w:lang w:val="tr-TR"/>
        </w:rPr>
      </w:pPr>
    </w:p>
    <w:p w:rsidR="00B96218" w:rsidRPr="00D00722" w:rsidRDefault="00B96218" w:rsidP="00B96218">
      <w:pPr>
        <w:adjustRightInd w:val="0"/>
        <w:rPr>
          <w:rFonts w:ascii="Arial" w:hAnsi="Arial" w:cs="Arial"/>
          <w:lang w:val="tr-TR"/>
        </w:rPr>
      </w:pPr>
      <w:r w:rsidRPr="00D00722">
        <w:rPr>
          <w:rFonts w:ascii="Arial" w:hAnsi="Arial" w:cs="Arial"/>
          <w:lang w:val="tr-TR"/>
        </w:rPr>
        <w:t>Ara dönem finansal tabloların onaylanma tarihi itibariyle yayımlanmış fakat cari raporlama dönemi için henüz yürürlüğe girmemiş ve Şirket tarafından erken uygulanmaya başlanmamış yeni standartlar, yorumlar ve değişiklikler aşağıdaki gibidir. Şirket aksi belirtilmedikçe yeni standart ve yorumların yürürlüğe girmesinden sonra  finansal tablolarını ve dipnotlarını etkileyecek gerekli değişiklikleri yapacaktır.</w:t>
      </w:r>
    </w:p>
    <w:p w:rsidR="00B96218" w:rsidRPr="00D00722" w:rsidRDefault="00B96218" w:rsidP="00B96218">
      <w:pPr>
        <w:widowControl w:val="0"/>
        <w:rPr>
          <w:rFonts w:ascii="Arial" w:hAnsi="Arial" w:cs="Arial"/>
          <w:b/>
          <w:snapToGrid w:val="0"/>
          <w:lang w:val="tr-TR"/>
        </w:rPr>
      </w:pPr>
    </w:p>
    <w:p w:rsidR="00B96218" w:rsidRPr="00D00722" w:rsidRDefault="00B96218" w:rsidP="00B96218">
      <w:pPr>
        <w:widowControl w:val="0"/>
        <w:rPr>
          <w:rFonts w:ascii="Arial" w:hAnsi="Arial" w:cs="Arial"/>
          <w:b/>
          <w:snapToGrid w:val="0"/>
          <w:lang w:val="tr-TR"/>
        </w:rPr>
      </w:pPr>
      <w:r w:rsidRPr="00D00722">
        <w:rPr>
          <w:rFonts w:ascii="Arial" w:hAnsi="Arial" w:cs="Arial"/>
          <w:b/>
          <w:snapToGrid w:val="0"/>
          <w:lang w:val="tr-TR"/>
        </w:rPr>
        <w:t>TFRS 9 Finansal Araçlar – Sınıflandırma ve Açıklama</w:t>
      </w:r>
    </w:p>
    <w:p w:rsidR="00B96218" w:rsidRPr="00D00722" w:rsidRDefault="00B96218" w:rsidP="00B96218">
      <w:pPr>
        <w:adjustRightInd w:val="0"/>
        <w:rPr>
          <w:rFonts w:ascii="Arial" w:hAnsi="Arial" w:cs="Arial"/>
          <w:lang w:val="tr-TR"/>
        </w:rPr>
      </w:pPr>
    </w:p>
    <w:p w:rsidR="00B96218" w:rsidRPr="00D00722" w:rsidRDefault="00B96218" w:rsidP="00B96218">
      <w:pPr>
        <w:adjustRightInd w:val="0"/>
        <w:rPr>
          <w:rFonts w:ascii="Arial" w:hAnsi="Arial" w:cs="Arial"/>
          <w:lang w:val="tr-TR"/>
        </w:rPr>
      </w:pPr>
      <w:r w:rsidRPr="00D00722">
        <w:rPr>
          <w:rFonts w:ascii="Arial" w:hAnsi="Arial" w:cs="Arial"/>
          <w:lang w:val="tr-TR"/>
        </w:rPr>
        <w:t xml:space="preserve">Aralık 2012’de yapılan değişiklikle yeni standart, 1 Ocak 2015 tarihi ve sonrasında başlayan yıllık hesap dönemleri için geçerli olacaktır. TFRS 9 Finansal Araçlar standardının ilk safhası finansal varlıkların ve yükümlülüklerin ölçülmesi ve sınıflandırılmasına ilişkin yeni hükümler getirmektedir. TFRS 9’a yapılan değişiklikler esas olarak finansal varlıkların sınıflama ve ölçümünü ve </w:t>
      </w:r>
      <w:r w:rsidRPr="00D00722">
        <w:rPr>
          <w:rFonts w:ascii="Arial" w:hAnsi="Arial" w:cs="Arial"/>
          <w:bCs/>
          <w:lang w:val="tr-TR"/>
        </w:rPr>
        <w:t>gerçeğe uygun değer farkı kar veya zarara yansıtılarak ölçülen olarak sınıflandırılan finansal yükümlülüklerin ölçümünü etkileyecektir ve bu tür finansal yükümlülüklerin gerçeğe uygun değer değişikliklerinin kredi riskine ilişkin olan kısmının diğer kapsamlı gelir tablosunda sunumunu gerektirmektedir.</w:t>
      </w:r>
      <w:r w:rsidRPr="00D00722">
        <w:rPr>
          <w:rFonts w:ascii="Arial" w:hAnsi="Arial" w:cs="Arial"/>
          <w:lang w:val="tr-TR"/>
        </w:rPr>
        <w:t xml:space="preserve"> Standardın erken uygulanmasına izin verilmektedir. </w:t>
      </w:r>
    </w:p>
    <w:p w:rsidR="00B96218" w:rsidRPr="00D00722" w:rsidRDefault="00B96218" w:rsidP="00B96218">
      <w:pPr>
        <w:adjustRightInd w:val="0"/>
        <w:rPr>
          <w:rFonts w:ascii="Arial" w:hAnsi="Arial" w:cs="Arial"/>
          <w:bCs/>
          <w:lang w:val="tr-TR"/>
        </w:rPr>
      </w:pPr>
      <w:r w:rsidRPr="00D00722">
        <w:rPr>
          <w:rFonts w:ascii="Arial" w:hAnsi="Arial" w:cs="Arial"/>
          <w:bCs/>
          <w:lang w:val="tr-TR"/>
        </w:rPr>
        <w:t>Şirket, standardın finansal durumu ve performansı üzerine etkilerini değerlendirmektedir.</w:t>
      </w:r>
    </w:p>
    <w:p w:rsidR="00C55BEE" w:rsidRPr="00D00722" w:rsidRDefault="00C55BEE" w:rsidP="00B96218">
      <w:pPr>
        <w:adjustRightInd w:val="0"/>
        <w:rPr>
          <w:rFonts w:ascii="Arial" w:hAnsi="Arial" w:cs="Arial"/>
          <w:b/>
          <w:snapToGrid w:val="0"/>
          <w:lang w:val="tr-TR"/>
        </w:rPr>
      </w:pPr>
    </w:p>
    <w:p w:rsidR="00B96218" w:rsidRPr="00D00722" w:rsidRDefault="00B96218" w:rsidP="00B96218">
      <w:pPr>
        <w:rPr>
          <w:rFonts w:ascii="Arial" w:hAnsi="Arial" w:cs="Arial"/>
          <w:b/>
          <w:lang w:val="tr-TR"/>
        </w:rPr>
      </w:pPr>
      <w:r w:rsidRPr="00D00722">
        <w:rPr>
          <w:rFonts w:ascii="Arial" w:hAnsi="Arial" w:cs="Arial"/>
          <w:b/>
          <w:lang w:val="tr-TR"/>
        </w:rPr>
        <w:t>Uluslararası Muhasebe Standartları Kurumu (UMSK) tarafından yayınlanmış fakat KGK tarafından yayınlanmamış y</w:t>
      </w:r>
      <w:r w:rsidRPr="00D00722">
        <w:rPr>
          <w:rFonts w:ascii="Arial" w:hAnsi="Arial" w:cs="Arial"/>
          <w:b/>
          <w:snapToGrid w:val="0"/>
          <w:lang w:val="tr-TR"/>
        </w:rPr>
        <w:t>eni ve düzeltilmiş standartlar ve yorumlar</w:t>
      </w:r>
    </w:p>
    <w:p w:rsidR="00B96218" w:rsidRPr="00D00722" w:rsidRDefault="00B96218" w:rsidP="00B96218">
      <w:pPr>
        <w:rPr>
          <w:rFonts w:ascii="Arial" w:hAnsi="Arial" w:cs="Arial"/>
          <w:lang w:val="tr-TR"/>
        </w:rPr>
      </w:pPr>
    </w:p>
    <w:p w:rsidR="00B96218" w:rsidRPr="00D00722" w:rsidRDefault="00B96218" w:rsidP="00B96218">
      <w:pPr>
        <w:adjustRightInd w:val="0"/>
        <w:rPr>
          <w:rFonts w:ascii="Arial" w:hAnsi="Arial" w:cs="Arial"/>
          <w:lang w:val="tr-TR"/>
        </w:rPr>
      </w:pPr>
      <w:r w:rsidRPr="00D00722">
        <w:rPr>
          <w:rFonts w:ascii="Arial" w:hAnsi="Arial" w:cs="Arial"/>
          <w:lang w:val="tr-TR"/>
        </w:rPr>
        <w:t xml:space="preserve">Aşağıda listelenen yeni standartlar, yorumlar ve mevcut UFRS standartlarındaki değişiklikler UMSK tarafından yayınlanmış fakat cari raporlama dönemi için henüz yürürlüğe girmemiştir. Fakat bu yeni standartlar, yorumlar ve değişiklikler henüz KGK tarafından TFRS’ye </w:t>
      </w:r>
      <w:r w:rsidRPr="00D00722">
        <w:rPr>
          <w:rFonts w:ascii="Arial" w:hAnsi="Arial" w:cs="Arial"/>
          <w:bCs/>
          <w:lang w:val="tr-TR"/>
        </w:rPr>
        <w:t>uyarlanmamıştır/yayınlanmamıştır ve bu sebeple TFRS’nin bir parçasını oluşturmazlar. Şirket</w:t>
      </w:r>
      <w:r w:rsidRPr="00D00722">
        <w:rPr>
          <w:rFonts w:ascii="Arial" w:hAnsi="Arial" w:cs="Arial"/>
          <w:lang w:val="tr-TR"/>
        </w:rPr>
        <w:t xml:space="preserve"> finansal tablolarında ve dipnotlarda gerekli değişiklikleri bu standart ve yorumlar TFRS’de yürürlüğe girdikten sonra yapacaktır.</w:t>
      </w:r>
    </w:p>
    <w:p w:rsidR="00B96218" w:rsidRPr="00D00722" w:rsidRDefault="00B96218" w:rsidP="00B96218">
      <w:pPr>
        <w:adjustRightInd w:val="0"/>
        <w:rPr>
          <w:rFonts w:ascii="Arial" w:hAnsi="Arial" w:cs="Arial"/>
          <w:b/>
          <w:bCs/>
          <w:lang w:val="tr-TR"/>
        </w:rPr>
      </w:pPr>
    </w:p>
    <w:p w:rsidR="00B96218" w:rsidRPr="00D00722" w:rsidRDefault="00B96218" w:rsidP="00B96218">
      <w:pPr>
        <w:adjustRightInd w:val="0"/>
        <w:rPr>
          <w:rFonts w:ascii="Arial" w:hAnsi="Arial" w:cs="Arial"/>
          <w:b/>
          <w:bCs/>
          <w:lang w:val="tr-TR"/>
        </w:rPr>
      </w:pPr>
      <w:r w:rsidRPr="00D00722">
        <w:rPr>
          <w:rFonts w:ascii="Arial" w:hAnsi="Arial" w:cs="Arial"/>
          <w:b/>
          <w:bCs/>
          <w:lang w:val="tr-TR"/>
        </w:rPr>
        <w:t>UFRS 9 Finansal Araçlar – Riskten Korunma Muhasebesi ve UFRS 9, UFRS 7 ve UMS 39’daki değişiklikler – UFRS 9 (2013)</w:t>
      </w:r>
    </w:p>
    <w:p w:rsidR="00B96218" w:rsidRPr="00D00722" w:rsidRDefault="00B96218" w:rsidP="00B96218">
      <w:pPr>
        <w:adjustRightInd w:val="0"/>
        <w:rPr>
          <w:rFonts w:ascii="Arial" w:hAnsi="Arial" w:cs="Arial"/>
          <w:lang w:val="tr-TR"/>
        </w:rPr>
      </w:pPr>
    </w:p>
    <w:p w:rsidR="00B96218" w:rsidRPr="00D00722" w:rsidRDefault="00B96218" w:rsidP="00B96218">
      <w:pPr>
        <w:adjustRightInd w:val="0"/>
        <w:rPr>
          <w:rFonts w:ascii="Arial" w:hAnsi="Arial" w:cs="Arial"/>
          <w:bCs/>
          <w:lang w:val="tr-TR"/>
        </w:rPr>
      </w:pPr>
      <w:r w:rsidRPr="00D00722">
        <w:rPr>
          <w:rFonts w:ascii="Arial" w:hAnsi="Arial" w:cs="Arial"/>
          <w:lang w:val="tr-TR"/>
        </w:rPr>
        <w:t xml:space="preserve">UMSK Kasım 2013’de, yeni riskten korunma muhasebesi gerekliliklerini ve UMS 39 ve UFRS 7’deki ilgili değişiklikleri içeren UFRS 9’un yeni bir versiyonunu yayınlamıştır. İşletmeler tüm riskten korunma işlemleri için UMS 39’un riskten korunma muhasebesi gerekliliklerini uygulamaya devam etmek üzere muhasebe politikası seçimi yapabilirler. Bu Standart’ın zorunlu bir geçerlilik tarihi yoktur, fakat halen uygulanabilir durumdadır ve yeni bir zorunlu geçerlilik tarihi, UMSK projenin değer düşüklüğü fazını bitirdikten sonra belirlenecektir. Geçici olarak belirlenen geçerlilik tarihi ise 1 Ocak 2018’den başlayan yıllık hesap dönemleridir. </w:t>
      </w:r>
      <w:r w:rsidRPr="00D00722">
        <w:rPr>
          <w:rFonts w:ascii="Arial" w:hAnsi="Arial" w:cs="Arial"/>
          <w:bCs/>
          <w:lang w:val="tr-TR"/>
        </w:rPr>
        <w:t>Şirket, standardın finansal durumu ve performansı üzerine etkilerini değerlendirmektedir.</w:t>
      </w:r>
    </w:p>
    <w:p w:rsidR="00B96218" w:rsidRPr="00D00722" w:rsidRDefault="00B96218" w:rsidP="00B96218">
      <w:pPr>
        <w:shd w:val="clear" w:color="auto" w:fill="FFFFFF"/>
        <w:rPr>
          <w:rFonts w:ascii="Arial" w:hAnsi="Arial" w:cs="Arial"/>
          <w:bCs/>
          <w:lang w:val="tr-TR"/>
        </w:rPr>
      </w:pPr>
    </w:p>
    <w:p w:rsidR="00B96218" w:rsidRPr="00D00722" w:rsidRDefault="00B96218" w:rsidP="00B96218">
      <w:pPr>
        <w:spacing w:after="200" w:line="276" w:lineRule="auto"/>
        <w:rPr>
          <w:rFonts w:ascii="Arial" w:hAnsi="Arial" w:cs="Arial"/>
          <w:b/>
          <w:lang w:val="tr-TR"/>
        </w:rPr>
      </w:pPr>
      <w:r w:rsidRPr="00D00722">
        <w:rPr>
          <w:rFonts w:ascii="Arial" w:hAnsi="Arial" w:cs="Arial"/>
          <w:i/>
          <w:color w:val="00B0F0"/>
          <w:lang w:val="tr-TR"/>
        </w:rPr>
        <w:br w:type="page"/>
      </w:r>
      <w:r w:rsidRPr="00D00722">
        <w:rPr>
          <w:rFonts w:ascii="Arial" w:hAnsi="Arial" w:cs="Arial"/>
          <w:b/>
          <w:lang w:val="tr-TR"/>
        </w:rPr>
        <w:lastRenderedPageBreak/>
        <w:t>UFRS’ndaki iyileştirmeler</w:t>
      </w:r>
    </w:p>
    <w:p w:rsidR="00B96218" w:rsidRPr="00D00722" w:rsidRDefault="00B96218" w:rsidP="00B96218">
      <w:pPr>
        <w:rPr>
          <w:rFonts w:ascii="Arial" w:hAnsi="Arial" w:cs="Arial"/>
          <w:b/>
          <w:lang w:val="tr-TR"/>
        </w:rPr>
      </w:pPr>
    </w:p>
    <w:p w:rsidR="00B96218" w:rsidRPr="00D00722" w:rsidRDefault="00B96218" w:rsidP="00B96218">
      <w:pPr>
        <w:rPr>
          <w:rFonts w:ascii="Arial" w:hAnsi="Arial" w:cs="Arial"/>
          <w:lang w:val="tr-TR"/>
        </w:rPr>
      </w:pPr>
      <w:r w:rsidRPr="00D00722">
        <w:rPr>
          <w:rFonts w:ascii="Arial" w:hAnsi="Arial" w:cs="Arial"/>
          <w:lang w:val="tr-TR"/>
        </w:rPr>
        <w:t>UMSK, Aralık 2013’de ‘</w:t>
      </w:r>
      <w:r w:rsidRPr="00D00722">
        <w:rPr>
          <w:rFonts w:ascii="Arial" w:hAnsi="Arial" w:cs="Arial"/>
          <w:bCs/>
          <w:lang w:val="tr-TR"/>
        </w:rPr>
        <w:t xml:space="preserve">2010–2012 dönemi’ ve ‘2011–2013 Dönemi’ olmak üzere </w:t>
      </w:r>
      <w:r w:rsidRPr="00D00722">
        <w:rPr>
          <w:rFonts w:ascii="Arial" w:hAnsi="Arial" w:cs="Arial"/>
          <w:lang w:val="tr-TR"/>
        </w:rPr>
        <w:t>iki dizi ‘UFRS’nda Yıllık İyileştirmeler’ yayınlamıştır.  Standartların “Karar Gerekçeleri”ni etkileyen değişiklikler haricinde değişiklikler 1 Temmuz 2014’den itibaren geçerlidir.</w:t>
      </w:r>
    </w:p>
    <w:p w:rsidR="00B96218" w:rsidRPr="00D00722" w:rsidRDefault="00B96218" w:rsidP="00B96218">
      <w:pPr>
        <w:adjustRightInd w:val="0"/>
        <w:rPr>
          <w:rFonts w:ascii="Arial" w:hAnsi="Arial" w:cs="Arial"/>
          <w:bCs/>
          <w:lang w:val="tr-TR"/>
        </w:rPr>
      </w:pPr>
    </w:p>
    <w:p w:rsidR="00B96218" w:rsidRPr="00D00722" w:rsidRDefault="00B96218" w:rsidP="00B96218">
      <w:pPr>
        <w:rPr>
          <w:rFonts w:ascii="Arial" w:hAnsi="Arial" w:cs="Arial"/>
          <w:lang w:val="tr-TR"/>
        </w:rPr>
      </w:pPr>
      <w:r w:rsidRPr="00D00722">
        <w:rPr>
          <w:rFonts w:ascii="Arial" w:hAnsi="Arial" w:cs="Arial"/>
          <w:b/>
          <w:lang w:val="tr-TR"/>
        </w:rPr>
        <w:t>Yıllık iyileştirmeler</w:t>
      </w:r>
      <w:r w:rsidRPr="00D00722">
        <w:rPr>
          <w:rFonts w:ascii="Arial" w:hAnsi="Arial" w:cs="Arial"/>
          <w:lang w:val="tr-TR"/>
        </w:rPr>
        <w:t xml:space="preserve"> - </w:t>
      </w:r>
      <w:r w:rsidRPr="00D00722">
        <w:rPr>
          <w:rFonts w:ascii="Arial" w:hAnsi="Arial" w:cs="Arial"/>
          <w:b/>
          <w:bCs/>
          <w:i/>
          <w:lang w:val="tr-TR"/>
        </w:rPr>
        <w:t>2010–2012 Dönemi</w:t>
      </w:r>
    </w:p>
    <w:p w:rsidR="00B96218" w:rsidRPr="00D00722" w:rsidRDefault="00B96218" w:rsidP="00B96218">
      <w:pPr>
        <w:adjustRightInd w:val="0"/>
        <w:rPr>
          <w:rFonts w:ascii="Arial" w:hAnsi="Arial" w:cs="Arial"/>
          <w:bCs/>
          <w:lang w:val="tr-TR"/>
        </w:rPr>
      </w:pPr>
    </w:p>
    <w:p w:rsidR="00B96218" w:rsidRPr="00D00722" w:rsidRDefault="00B96218" w:rsidP="00B96218">
      <w:pPr>
        <w:autoSpaceDE w:val="0"/>
        <w:autoSpaceDN w:val="0"/>
        <w:adjustRightInd w:val="0"/>
        <w:rPr>
          <w:rFonts w:ascii="Arial" w:hAnsi="Arial" w:cs="Arial"/>
          <w:i/>
          <w:lang w:val="tr-TR"/>
        </w:rPr>
      </w:pPr>
      <w:r w:rsidRPr="00D00722">
        <w:rPr>
          <w:rFonts w:ascii="Arial" w:hAnsi="Arial" w:cs="Arial"/>
          <w:i/>
          <w:lang w:val="tr-TR"/>
        </w:rPr>
        <w:t>UFRS 2 Hisse Bazlı Ödemeler:</w:t>
      </w:r>
    </w:p>
    <w:p w:rsidR="00B96218" w:rsidRPr="00D00722" w:rsidRDefault="00B96218" w:rsidP="00B96218">
      <w:pPr>
        <w:adjustRightInd w:val="0"/>
        <w:rPr>
          <w:rFonts w:ascii="Arial" w:hAnsi="Arial" w:cs="Arial"/>
          <w:bCs/>
          <w:lang w:val="tr-TR"/>
        </w:rPr>
      </w:pPr>
    </w:p>
    <w:p w:rsidR="00B96218" w:rsidRPr="00D00722" w:rsidRDefault="00B96218" w:rsidP="00B96218">
      <w:pPr>
        <w:adjustRightInd w:val="0"/>
        <w:rPr>
          <w:rFonts w:ascii="Arial" w:hAnsi="Arial" w:cs="Arial"/>
          <w:bCs/>
          <w:lang w:val="tr-TR"/>
        </w:rPr>
      </w:pPr>
      <w:r w:rsidRPr="00D00722">
        <w:rPr>
          <w:rFonts w:ascii="Arial" w:hAnsi="Arial" w:cs="Arial"/>
          <w:bCs/>
          <w:lang w:val="tr-TR"/>
        </w:rPr>
        <w:t>Hakediş koşulları ile ilgili tanımlar değişmiş olup sorunları gidermek için performans koşulu ve hizmet koşulu tanımlanmıştır. Değişiklik ileriye dönük olarak uygulanacaktır.</w:t>
      </w:r>
    </w:p>
    <w:p w:rsidR="00B96218" w:rsidRPr="00D00722" w:rsidRDefault="00B96218" w:rsidP="00B96218">
      <w:pPr>
        <w:adjustRightInd w:val="0"/>
        <w:rPr>
          <w:rFonts w:ascii="Arial" w:hAnsi="Arial" w:cs="Arial"/>
          <w:bCs/>
          <w:lang w:val="tr-TR"/>
        </w:rPr>
      </w:pPr>
    </w:p>
    <w:p w:rsidR="00B96218" w:rsidRPr="00D00722" w:rsidRDefault="00B96218" w:rsidP="00B96218">
      <w:pPr>
        <w:adjustRightInd w:val="0"/>
        <w:rPr>
          <w:rFonts w:ascii="Arial" w:hAnsi="Arial" w:cs="Arial"/>
          <w:bCs/>
          <w:i/>
          <w:lang w:val="tr-TR"/>
        </w:rPr>
      </w:pPr>
      <w:r w:rsidRPr="00D00722">
        <w:rPr>
          <w:rFonts w:ascii="Arial" w:hAnsi="Arial" w:cs="Arial"/>
          <w:bCs/>
          <w:i/>
          <w:lang w:val="tr-TR"/>
        </w:rPr>
        <w:t>UFRS 3 İşletme Birleşmeleri</w:t>
      </w:r>
    </w:p>
    <w:p w:rsidR="00B96218" w:rsidRPr="00D00722" w:rsidRDefault="00B96218" w:rsidP="00B96218">
      <w:pPr>
        <w:adjustRightInd w:val="0"/>
        <w:rPr>
          <w:rFonts w:ascii="Arial" w:hAnsi="Arial" w:cs="Arial"/>
          <w:bCs/>
          <w:lang w:val="tr-TR"/>
        </w:rPr>
      </w:pPr>
      <w:r w:rsidRPr="00D00722">
        <w:rPr>
          <w:rFonts w:ascii="Arial" w:hAnsi="Arial" w:cs="Arial"/>
          <w:bCs/>
          <w:lang w:val="tr-TR"/>
        </w:rPr>
        <w:t xml:space="preserve"> </w:t>
      </w:r>
    </w:p>
    <w:p w:rsidR="00B96218" w:rsidRPr="00D00722" w:rsidRDefault="00B96218" w:rsidP="00B96218">
      <w:pPr>
        <w:adjustRightInd w:val="0"/>
        <w:rPr>
          <w:rFonts w:ascii="Arial" w:hAnsi="Arial" w:cs="Arial"/>
          <w:bCs/>
          <w:lang w:val="tr-TR"/>
        </w:rPr>
      </w:pPr>
      <w:r w:rsidRPr="00D00722">
        <w:rPr>
          <w:rFonts w:ascii="Arial" w:hAnsi="Arial" w:cs="Arial"/>
          <w:bCs/>
          <w:lang w:val="tr-TR"/>
        </w:rPr>
        <w:t>Bir işletme birleşmesindeki özkaynak olarak sınıflanmayan koşullu bedel, UFRS 9 Finansal Araçlar kapsamında olsun ya da olmasın sonraki dönemlerde gerçeğe uygun değerinden ölçülerek kar veya zararda muhasebeleşir. Değişiklik işletme birleşmeleri için ileriye dönük olarak uygulanacaktır.</w:t>
      </w:r>
    </w:p>
    <w:p w:rsidR="00B96218" w:rsidRPr="00D00722" w:rsidRDefault="00B96218" w:rsidP="00B96218">
      <w:pPr>
        <w:adjustRightInd w:val="0"/>
        <w:rPr>
          <w:rFonts w:ascii="Arial" w:hAnsi="Arial" w:cs="Arial"/>
          <w:bCs/>
          <w:lang w:val="tr-TR"/>
        </w:rPr>
      </w:pPr>
    </w:p>
    <w:p w:rsidR="00B96218" w:rsidRPr="00D00722" w:rsidRDefault="00B96218" w:rsidP="00B96218">
      <w:pPr>
        <w:adjustRightInd w:val="0"/>
        <w:rPr>
          <w:rFonts w:ascii="Arial" w:hAnsi="Arial" w:cs="Arial"/>
          <w:bCs/>
          <w:i/>
          <w:lang w:val="tr-TR"/>
        </w:rPr>
      </w:pPr>
      <w:r w:rsidRPr="00D00722">
        <w:rPr>
          <w:rFonts w:ascii="Arial" w:hAnsi="Arial" w:cs="Arial"/>
          <w:bCs/>
          <w:i/>
          <w:lang w:val="tr-TR"/>
        </w:rPr>
        <w:t>UFRS 8 Faaliyet Bölümleri</w:t>
      </w:r>
    </w:p>
    <w:p w:rsidR="00B96218" w:rsidRPr="00D00722" w:rsidRDefault="00B96218" w:rsidP="00B96218">
      <w:pPr>
        <w:adjustRightInd w:val="0"/>
        <w:rPr>
          <w:rFonts w:ascii="Arial" w:hAnsi="Arial" w:cs="Arial"/>
          <w:bCs/>
          <w:lang w:val="tr-TR"/>
        </w:rPr>
      </w:pPr>
    </w:p>
    <w:p w:rsidR="00B96218" w:rsidRPr="00D00722" w:rsidRDefault="00B96218" w:rsidP="00B96218">
      <w:pPr>
        <w:adjustRightInd w:val="0"/>
        <w:rPr>
          <w:rFonts w:ascii="Arial" w:hAnsi="Arial" w:cs="Arial"/>
          <w:bCs/>
          <w:lang w:val="tr-TR"/>
        </w:rPr>
      </w:pPr>
      <w:r w:rsidRPr="00D00722">
        <w:rPr>
          <w:rFonts w:ascii="Arial" w:hAnsi="Arial" w:cs="Arial"/>
          <w:bCs/>
          <w:lang w:val="tr-TR"/>
        </w:rPr>
        <w:t>Değişiklikler şu şekildedir: i) Faaliyet bölümleri standardın ana ilkeleri ile tutarlı olarak birleştirilebilir/ toplulaştırılabilir. İi) Faaliyet varlıklarının toplam varlıklar ile mutabakatı, bu mutabakat işletmenin faaliyetlere ilişkin karar almaya yetkili yönetici’sine raporlanıyorsa açıklanmalıdır. Değişiklikler geriye dönük olarak uygulanacaktır.</w:t>
      </w:r>
    </w:p>
    <w:p w:rsidR="00B96218" w:rsidRPr="00D00722" w:rsidRDefault="00B96218" w:rsidP="00B96218">
      <w:pPr>
        <w:adjustRightInd w:val="0"/>
        <w:rPr>
          <w:rFonts w:ascii="Arial" w:hAnsi="Arial" w:cs="Arial"/>
          <w:bCs/>
          <w:lang w:val="tr-TR"/>
        </w:rPr>
      </w:pPr>
    </w:p>
    <w:p w:rsidR="00B96218" w:rsidRPr="00D00722" w:rsidRDefault="00B96218" w:rsidP="00B96218">
      <w:pPr>
        <w:adjustRightInd w:val="0"/>
        <w:rPr>
          <w:rFonts w:ascii="Arial" w:hAnsi="Arial" w:cs="Arial"/>
          <w:bCs/>
          <w:i/>
          <w:lang w:val="tr-TR"/>
        </w:rPr>
      </w:pPr>
      <w:r w:rsidRPr="00D00722">
        <w:rPr>
          <w:rFonts w:ascii="Arial" w:hAnsi="Arial" w:cs="Arial"/>
          <w:bCs/>
          <w:i/>
          <w:lang w:val="tr-TR"/>
        </w:rPr>
        <w:t>UFRS 13 Gerçeğe Uygun Değer Ölçümü</w:t>
      </w:r>
    </w:p>
    <w:p w:rsidR="00B96218" w:rsidRPr="00D00722" w:rsidRDefault="00B96218" w:rsidP="00B96218">
      <w:pPr>
        <w:adjustRightInd w:val="0"/>
        <w:rPr>
          <w:rFonts w:ascii="Arial" w:hAnsi="Arial" w:cs="Arial"/>
          <w:bCs/>
          <w:lang w:val="tr-TR"/>
        </w:rPr>
      </w:pPr>
    </w:p>
    <w:p w:rsidR="00B96218" w:rsidRPr="00D00722" w:rsidRDefault="00B96218" w:rsidP="00B96218">
      <w:pPr>
        <w:adjustRightInd w:val="0"/>
        <w:rPr>
          <w:rFonts w:ascii="Arial" w:hAnsi="Arial" w:cs="Arial"/>
          <w:bCs/>
          <w:lang w:val="tr-TR"/>
        </w:rPr>
      </w:pPr>
      <w:r w:rsidRPr="00D00722">
        <w:rPr>
          <w:rFonts w:ascii="Arial" w:hAnsi="Arial" w:cs="Arial"/>
          <w:bCs/>
          <w:lang w:val="tr-TR"/>
        </w:rPr>
        <w:t>Karar Gerekçeleri’nde açıklandığı üzere, üzerlerinde faiz oranı belirtilmeyen kısa vadeli ticari alacak ve borçlar, iskonto etkisinin önemsiz olduğu durumlarda, fatura tutarından gösterilebilecektir. Değişiklikler derhal uygulanacaktır.</w:t>
      </w:r>
    </w:p>
    <w:p w:rsidR="00B96218" w:rsidRPr="00D00722" w:rsidRDefault="00B96218" w:rsidP="00B96218">
      <w:pPr>
        <w:adjustRightInd w:val="0"/>
        <w:rPr>
          <w:rFonts w:ascii="Arial" w:hAnsi="Arial" w:cs="Arial"/>
          <w:bCs/>
          <w:lang w:val="tr-TR"/>
        </w:rPr>
      </w:pPr>
    </w:p>
    <w:p w:rsidR="00B96218" w:rsidRPr="00D00722" w:rsidRDefault="00B96218" w:rsidP="00B96218">
      <w:pPr>
        <w:adjustRightInd w:val="0"/>
        <w:rPr>
          <w:rFonts w:ascii="Arial" w:hAnsi="Arial" w:cs="Arial"/>
          <w:bCs/>
          <w:i/>
          <w:lang w:val="tr-TR"/>
        </w:rPr>
      </w:pPr>
      <w:r w:rsidRPr="00D00722">
        <w:rPr>
          <w:rFonts w:ascii="Arial" w:hAnsi="Arial" w:cs="Arial"/>
          <w:bCs/>
          <w:i/>
          <w:lang w:val="tr-TR"/>
        </w:rPr>
        <w:t>UMS 16 Maddi Duran Varlıklar ve UMS 38 Maddi Olmayan Duran Varlıklar</w:t>
      </w:r>
    </w:p>
    <w:p w:rsidR="00B96218" w:rsidRPr="00D00722" w:rsidRDefault="00B96218" w:rsidP="00B96218">
      <w:pPr>
        <w:adjustRightInd w:val="0"/>
        <w:rPr>
          <w:rFonts w:ascii="Arial" w:hAnsi="Arial" w:cs="Arial"/>
          <w:bCs/>
          <w:lang w:val="tr-TR"/>
        </w:rPr>
      </w:pPr>
    </w:p>
    <w:p w:rsidR="00B96218" w:rsidRPr="00D00722" w:rsidRDefault="00B96218" w:rsidP="00B96218">
      <w:pPr>
        <w:adjustRightInd w:val="0"/>
        <w:rPr>
          <w:rFonts w:ascii="Arial" w:hAnsi="Arial" w:cs="Arial"/>
          <w:bCs/>
          <w:lang w:val="tr-TR"/>
        </w:rPr>
      </w:pPr>
      <w:r w:rsidRPr="00D00722">
        <w:rPr>
          <w:rFonts w:ascii="Arial" w:hAnsi="Arial" w:cs="Arial"/>
          <w:bCs/>
          <w:lang w:val="tr-TR"/>
        </w:rPr>
        <w:t>UMS 16.35(a) ve UMS 38.80(a)’daki değişiklik yeniden değerlemenin aşağıdaki şekilde yapılabileceğini açıklığa kavuşturmuştur i) Varlığın brüt defter değeri piyasa değerine getirilecek şekilde düzeltilir veya ii) varlığın net defter değerinin piyasa değeri belirlenir, net defter değeri piyasa değerine gelecek şekilde brüt defter değeri oransal olarak düzeltilir. Değişiklik geriye dönük olarak uygulanacaktır.</w:t>
      </w:r>
    </w:p>
    <w:p w:rsidR="00B96218" w:rsidRPr="00D00722" w:rsidRDefault="00B96218" w:rsidP="00B96218">
      <w:pPr>
        <w:adjustRightInd w:val="0"/>
        <w:rPr>
          <w:rFonts w:ascii="Arial" w:hAnsi="Arial" w:cs="Arial"/>
          <w:bCs/>
          <w:lang w:val="tr-TR"/>
        </w:rPr>
      </w:pPr>
    </w:p>
    <w:p w:rsidR="00B96218" w:rsidRPr="00D00722" w:rsidRDefault="00B96218" w:rsidP="00B96218">
      <w:pPr>
        <w:adjustRightInd w:val="0"/>
        <w:rPr>
          <w:rFonts w:ascii="Arial" w:hAnsi="Arial" w:cs="Arial"/>
          <w:bCs/>
          <w:i/>
          <w:lang w:val="tr-TR"/>
        </w:rPr>
      </w:pPr>
      <w:r w:rsidRPr="00D00722">
        <w:rPr>
          <w:rFonts w:ascii="Arial" w:hAnsi="Arial" w:cs="Arial"/>
          <w:bCs/>
          <w:i/>
          <w:lang w:val="tr-TR"/>
        </w:rPr>
        <w:t>UMS 24 İlişkili Taraf Açıklamaları</w:t>
      </w:r>
    </w:p>
    <w:p w:rsidR="00B96218" w:rsidRPr="00D00722" w:rsidRDefault="00B96218" w:rsidP="00B96218">
      <w:pPr>
        <w:adjustRightInd w:val="0"/>
        <w:rPr>
          <w:rFonts w:ascii="Arial" w:hAnsi="Arial" w:cs="Arial"/>
          <w:bCs/>
          <w:lang w:val="tr-TR"/>
        </w:rPr>
      </w:pPr>
    </w:p>
    <w:p w:rsidR="00B96218" w:rsidRPr="00D00722" w:rsidRDefault="00B96218" w:rsidP="00B96218">
      <w:pPr>
        <w:adjustRightInd w:val="0"/>
        <w:rPr>
          <w:rFonts w:ascii="Arial" w:hAnsi="Arial" w:cs="Arial"/>
          <w:bCs/>
          <w:lang w:val="tr-TR"/>
        </w:rPr>
      </w:pPr>
      <w:r w:rsidRPr="00D00722">
        <w:rPr>
          <w:rFonts w:ascii="Arial" w:hAnsi="Arial" w:cs="Arial"/>
          <w:bCs/>
          <w:lang w:val="tr-TR"/>
        </w:rPr>
        <w:t>Değişiklik, kilit yönetici personeli hizmeti veren yönetici işletmenin ilişkili taraf açıklamalarına tabi ilişkili bir taraf olduğunu açıklığa kavuşturmuştur. Değişiklik geriye dönük olarak uygulanacaktır.</w:t>
      </w:r>
    </w:p>
    <w:p w:rsidR="00B96218" w:rsidRPr="00D00722" w:rsidRDefault="00B96218" w:rsidP="00B96218">
      <w:pPr>
        <w:adjustRightInd w:val="0"/>
        <w:rPr>
          <w:rFonts w:ascii="Arial" w:hAnsi="Arial" w:cs="Arial"/>
          <w:bCs/>
          <w:lang w:val="tr-TR"/>
        </w:rPr>
      </w:pPr>
    </w:p>
    <w:p w:rsidR="00B96218" w:rsidRPr="00D00722" w:rsidRDefault="00B96218" w:rsidP="00B96218">
      <w:pPr>
        <w:rPr>
          <w:rFonts w:ascii="Arial" w:hAnsi="Arial" w:cs="Arial"/>
          <w:b/>
          <w:lang w:val="tr-TR"/>
        </w:rPr>
      </w:pPr>
    </w:p>
    <w:p w:rsidR="00B96218" w:rsidRPr="00D00722" w:rsidRDefault="00B96218" w:rsidP="00B96218">
      <w:pPr>
        <w:rPr>
          <w:rFonts w:ascii="Arial" w:hAnsi="Arial" w:cs="Arial"/>
          <w:lang w:val="tr-TR"/>
        </w:rPr>
      </w:pPr>
      <w:r w:rsidRPr="00D00722">
        <w:rPr>
          <w:rFonts w:ascii="Arial" w:hAnsi="Arial" w:cs="Arial"/>
          <w:b/>
          <w:lang w:val="tr-TR"/>
        </w:rPr>
        <w:t>Yıllık İyileştirmeler</w:t>
      </w:r>
      <w:r w:rsidRPr="00D00722">
        <w:rPr>
          <w:rFonts w:ascii="Arial" w:hAnsi="Arial" w:cs="Arial"/>
          <w:lang w:val="tr-TR"/>
        </w:rPr>
        <w:t xml:space="preserve"> - </w:t>
      </w:r>
      <w:r w:rsidRPr="00D00722">
        <w:rPr>
          <w:rFonts w:ascii="Arial" w:hAnsi="Arial" w:cs="Arial"/>
          <w:b/>
          <w:bCs/>
          <w:i/>
          <w:lang w:val="tr-TR"/>
        </w:rPr>
        <w:t>2011–2013 Dönemi</w:t>
      </w:r>
    </w:p>
    <w:p w:rsidR="00B96218" w:rsidRPr="00D00722" w:rsidRDefault="00B96218" w:rsidP="00B96218">
      <w:pPr>
        <w:adjustRightInd w:val="0"/>
        <w:rPr>
          <w:rFonts w:ascii="Arial" w:hAnsi="Arial" w:cs="Arial"/>
          <w:bCs/>
          <w:lang w:val="tr-TR"/>
        </w:rPr>
      </w:pPr>
    </w:p>
    <w:p w:rsidR="00B96218" w:rsidRPr="00D00722" w:rsidRDefault="00B96218" w:rsidP="00B96218">
      <w:pPr>
        <w:adjustRightInd w:val="0"/>
        <w:rPr>
          <w:rFonts w:ascii="Arial" w:hAnsi="Arial" w:cs="Arial"/>
          <w:bCs/>
          <w:i/>
          <w:lang w:val="tr-TR"/>
        </w:rPr>
      </w:pPr>
      <w:r w:rsidRPr="00D00722">
        <w:rPr>
          <w:rFonts w:ascii="Arial" w:hAnsi="Arial" w:cs="Arial"/>
          <w:bCs/>
          <w:i/>
          <w:lang w:val="tr-TR"/>
        </w:rPr>
        <w:t>UFRS 3 İşletme Birleşmeleri</w:t>
      </w:r>
    </w:p>
    <w:p w:rsidR="00B96218" w:rsidRPr="00D00722" w:rsidRDefault="00B96218" w:rsidP="00B96218">
      <w:pPr>
        <w:adjustRightInd w:val="0"/>
        <w:rPr>
          <w:rFonts w:ascii="Arial" w:hAnsi="Arial" w:cs="Arial"/>
          <w:bCs/>
          <w:lang w:val="tr-TR"/>
        </w:rPr>
      </w:pPr>
    </w:p>
    <w:p w:rsidR="00B96218" w:rsidRPr="00D00722" w:rsidRDefault="00B96218" w:rsidP="00B96218">
      <w:pPr>
        <w:adjustRightInd w:val="0"/>
        <w:rPr>
          <w:rFonts w:ascii="Arial" w:hAnsi="Arial" w:cs="Arial"/>
          <w:bCs/>
          <w:lang w:val="tr-TR"/>
        </w:rPr>
      </w:pPr>
      <w:r w:rsidRPr="00D00722">
        <w:rPr>
          <w:rFonts w:ascii="Arial" w:hAnsi="Arial" w:cs="Arial"/>
          <w:bCs/>
          <w:lang w:val="tr-TR"/>
        </w:rPr>
        <w:t>Değişiklik ile i) sadece iş ortaklıklarının değil müşterek anlaşmaların da UFRS 3’ün kapsamında olmadığı ve ii) bu kapsam istisnasının sadece müşterek anlaşmanın finansal tablolarındaki muhasebeleşmeye uygulanabilir olduğu açıklığa kavuşturulmuştur. Değişiklik ileriye dönük olarak uygulanacaktır.</w:t>
      </w:r>
    </w:p>
    <w:p w:rsidR="00B96218" w:rsidRPr="00D00722" w:rsidRDefault="00B96218" w:rsidP="00B96218">
      <w:pPr>
        <w:adjustRightInd w:val="0"/>
        <w:rPr>
          <w:rFonts w:ascii="Arial" w:hAnsi="Arial" w:cs="Arial"/>
          <w:bCs/>
          <w:lang w:val="tr-TR"/>
        </w:rPr>
      </w:pPr>
    </w:p>
    <w:p w:rsidR="00B96218" w:rsidRPr="00D00722" w:rsidRDefault="00B96218" w:rsidP="00B96218">
      <w:pPr>
        <w:adjustRightInd w:val="0"/>
        <w:rPr>
          <w:rFonts w:ascii="Arial" w:hAnsi="Arial" w:cs="Arial"/>
          <w:bCs/>
          <w:i/>
          <w:lang w:val="tr-TR"/>
        </w:rPr>
      </w:pPr>
      <w:r w:rsidRPr="00D00722">
        <w:rPr>
          <w:rFonts w:ascii="Arial" w:hAnsi="Arial" w:cs="Arial"/>
          <w:bCs/>
          <w:i/>
          <w:lang w:val="tr-TR"/>
        </w:rPr>
        <w:lastRenderedPageBreak/>
        <w:t>UFRS 13 Gerçeğe Uygun Değer Ölçümü Karar Gerekçeleri</w:t>
      </w:r>
    </w:p>
    <w:p w:rsidR="00B96218" w:rsidRPr="00D00722" w:rsidRDefault="00B96218" w:rsidP="00B96218">
      <w:pPr>
        <w:adjustRightInd w:val="0"/>
        <w:rPr>
          <w:rFonts w:ascii="Arial" w:hAnsi="Arial" w:cs="Arial"/>
          <w:bCs/>
          <w:lang w:val="tr-TR"/>
        </w:rPr>
      </w:pPr>
    </w:p>
    <w:p w:rsidR="00B96218" w:rsidRPr="00D00722" w:rsidRDefault="00B96218" w:rsidP="00B96218">
      <w:pPr>
        <w:adjustRightInd w:val="0"/>
        <w:rPr>
          <w:rFonts w:ascii="Arial" w:hAnsi="Arial" w:cs="Arial"/>
          <w:bCs/>
          <w:lang w:val="tr-TR"/>
        </w:rPr>
      </w:pPr>
      <w:r w:rsidRPr="00D00722">
        <w:rPr>
          <w:rFonts w:ascii="Arial" w:hAnsi="Arial" w:cs="Arial"/>
          <w:bCs/>
          <w:lang w:val="tr-TR"/>
        </w:rPr>
        <w:t>UFRS 13’deki portföy istisnasının sadece finansal varlık, finansal yükümlülüklere değil UMS 39 kapsamındaki diğer sözleşmelere de uygulanabileceği açıklanmıştır. Değişiklik ileriye dönük olarak uygulanacaktır.</w:t>
      </w:r>
    </w:p>
    <w:p w:rsidR="00B96218" w:rsidRPr="00D00722" w:rsidRDefault="00B96218" w:rsidP="00B96218">
      <w:pPr>
        <w:adjustRightInd w:val="0"/>
        <w:rPr>
          <w:rFonts w:ascii="Arial" w:hAnsi="Arial" w:cs="Arial"/>
          <w:bCs/>
          <w:lang w:val="tr-TR"/>
        </w:rPr>
      </w:pPr>
    </w:p>
    <w:p w:rsidR="00B96218" w:rsidRPr="00D00722" w:rsidRDefault="00B96218" w:rsidP="00B96218">
      <w:pPr>
        <w:adjustRightInd w:val="0"/>
        <w:rPr>
          <w:rFonts w:ascii="Arial" w:hAnsi="Arial" w:cs="Arial"/>
          <w:bCs/>
          <w:i/>
          <w:lang w:val="tr-TR"/>
        </w:rPr>
      </w:pPr>
      <w:r w:rsidRPr="00D00722">
        <w:rPr>
          <w:rFonts w:ascii="Arial" w:hAnsi="Arial" w:cs="Arial"/>
          <w:bCs/>
          <w:i/>
          <w:lang w:val="tr-TR"/>
        </w:rPr>
        <w:t>UMS 40 Yatırım Amaçlı Gayrimenkuller</w:t>
      </w:r>
    </w:p>
    <w:p w:rsidR="00B96218" w:rsidRPr="00D00722" w:rsidRDefault="00B96218" w:rsidP="00B96218">
      <w:pPr>
        <w:adjustRightInd w:val="0"/>
        <w:rPr>
          <w:rFonts w:ascii="Arial" w:hAnsi="Arial" w:cs="Arial"/>
          <w:bCs/>
          <w:lang w:val="tr-TR"/>
        </w:rPr>
      </w:pPr>
    </w:p>
    <w:p w:rsidR="00B96218" w:rsidRPr="00D00722" w:rsidRDefault="00B96218" w:rsidP="00B96218">
      <w:pPr>
        <w:adjustRightInd w:val="0"/>
        <w:rPr>
          <w:rFonts w:ascii="Arial" w:hAnsi="Arial" w:cs="Arial"/>
          <w:bCs/>
          <w:lang w:val="tr-TR"/>
        </w:rPr>
      </w:pPr>
      <w:r w:rsidRPr="00D00722">
        <w:rPr>
          <w:rFonts w:ascii="Arial" w:hAnsi="Arial" w:cs="Arial"/>
          <w:bCs/>
          <w:lang w:val="tr-TR"/>
        </w:rPr>
        <w:t>Gayrimenkulün yatırım amaçlı gayrimenkul ve sahibi tarafından kullanılan gayrimenkul olarak sınıflanmasında UFRS 3 ve UMS 40’un karşılıklı ilişkisini açıklığa kavuşturmuştur. Değişiklik ileriye dönük olarak uygulanacaktır.</w:t>
      </w:r>
    </w:p>
    <w:p w:rsidR="00B96218" w:rsidRPr="00D00722" w:rsidRDefault="00B96218" w:rsidP="00B96218">
      <w:pPr>
        <w:adjustRightInd w:val="0"/>
        <w:rPr>
          <w:rFonts w:ascii="Arial" w:hAnsi="Arial" w:cs="Arial"/>
          <w:bCs/>
          <w:lang w:val="tr-TR"/>
        </w:rPr>
      </w:pPr>
    </w:p>
    <w:p w:rsidR="00B96218" w:rsidRPr="00D00722" w:rsidRDefault="00B96218" w:rsidP="00B96218">
      <w:pPr>
        <w:shd w:val="clear" w:color="auto" w:fill="FFFFFF"/>
        <w:rPr>
          <w:rFonts w:ascii="Arial" w:hAnsi="Arial" w:cs="Arial"/>
          <w:bCs/>
          <w:lang w:val="tr-TR"/>
        </w:rPr>
      </w:pPr>
      <w:r w:rsidRPr="00D00722">
        <w:rPr>
          <w:rFonts w:ascii="Arial" w:hAnsi="Arial" w:cs="Arial"/>
          <w:bCs/>
          <w:lang w:val="tr-TR"/>
        </w:rPr>
        <w:t>Söz konusu değişikliklerin Şirket’in finansal durumu veya performansı üzerinde önemli bir etkisi olması beklenmemektedir.</w:t>
      </w:r>
    </w:p>
    <w:p w:rsidR="00B96218" w:rsidRPr="00D00722" w:rsidRDefault="00B96218" w:rsidP="00B96218">
      <w:pPr>
        <w:rPr>
          <w:rFonts w:ascii="Arial" w:hAnsi="Arial" w:cs="Arial"/>
          <w:lang w:val="tr-TR"/>
        </w:rPr>
      </w:pPr>
    </w:p>
    <w:p w:rsidR="00B96218" w:rsidRPr="00D00722" w:rsidRDefault="00B96218" w:rsidP="00B96218">
      <w:pPr>
        <w:adjustRightInd w:val="0"/>
        <w:rPr>
          <w:rFonts w:ascii="Arial" w:hAnsi="Arial" w:cs="Arial"/>
          <w:b/>
        </w:rPr>
      </w:pPr>
      <w:r w:rsidRPr="00D00722">
        <w:rPr>
          <w:rFonts w:ascii="Arial" w:hAnsi="Arial" w:cs="Arial"/>
          <w:b/>
        </w:rPr>
        <w:t xml:space="preserve">UMS 19 – Tanımlanmış Fayda Planları: Çalışan Katkıları </w:t>
      </w:r>
      <w:r w:rsidRPr="00D00722">
        <w:rPr>
          <w:rFonts w:ascii="Arial" w:hAnsi="Arial" w:cs="Arial"/>
          <w:b/>
          <w:lang w:val="tr-TR"/>
        </w:rPr>
        <w:t>(Değişiklik)</w:t>
      </w:r>
    </w:p>
    <w:p w:rsidR="00B96218" w:rsidRPr="00D00722" w:rsidRDefault="00B96218" w:rsidP="00B96218">
      <w:pPr>
        <w:adjustRightInd w:val="0"/>
        <w:rPr>
          <w:rFonts w:ascii="Arial" w:hAnsi="Arial" w:cs="Arial"/>
        </w:rPr>
      </w:pPr>
    </w:p>
    <w:p w:rsidR="00B96218" w:rsidRPr="00D00722" w:rsidRDefault="00B96218" w:rsidP="00B96218">
      <w:pPr>
        <w:rPr>
          <w:rFonts w:ascii="Arial" w:hAnsi="Arial" w:cs="Arial"/>
          <w:bCs/>
          <w:lang w:val="tr-TR"/>
        </w:rPr>
      </w:pPr>
      <w:r w:rsidRPr="00D00722">
        <w:rPr>
          <w:rFonts w:ascii="Arial" w:hAnsi="Arial" w:cs="Arial"/>
          <w:lang w:val="tr-TR"/>
        </w:rPr>
        <w:t xml:space="preserve">UMS 19’a göre tanımlanmış fayda planları muhasebeleştirilirken çalışan ya da üçüncü taraf katkıları göz önüne alınmalıdır. Değişiklik, katkı tutarı hizmet verilen yıl sayısından bağımsız ise,  işletmelerin söz konusu katkıları hizmet dönemlerine yaymak yerine, hizmetin verildiği yılda hizmet maliyetinden düşerek muhasebeleştirebileceklerini açıklığa kavuşturmuştur. Değişiklik, 1 </w:t>
      </w:r>
      <w:r w:rsidRPr="00D00722">
        <w:rPr>
          <w:rFonts w:ascii="Arial" w:hAnsi="Arial" w:cs="Arial"/>
          <w:bCs/>
          <w:lang w:val="tr-TR"/>
        </w:rPr>
        <w:t>Temmuz 2014 ve sonrasında başlayan yıllık hesap dönemleri için geriye dönük olarak uygulanacaktır. Söz konusu değişikliğin Şirket ’in finansal durumu ve performansı üzerinde hiçbir etkisi olmayacaktır.</w:t>
      </w:r>
    </w:p>
    <w:p w:rsidR="00B96218" w:rsidRPr="00D00722" w:rsidRDefault="00B96218" w:rsidP="002A4E5D">
      <w:pPr>
        <w:tabs>
          <w:tab w:val="left" w:pos="567"/>
        </w:tabs>
        <w:autoSpaceDE w:val="0"/>
        <w:autoSpaceDN w:val="0"/>
        <w:adjustRightInd w:val="0"/>
        <w:spacing w:line="230" w:lineRule="auto"/>
        <w:rPr>
          <w:rFonts w:ascii="Arial" w:hAnsi="Arial" w:cs="Arial"/>
          <w:bCs/>
          <w:lang w:val="tr-TR"/>
        </w:rPr>
      </w:pPr>
    </w:p>
    <w:p w:rsidR="003F5B30" w:rsidRPr="00D00722" w:rsidRDefault="003F5B30" w:rsidP="00B31164">
      <w:pPr>
        <w:shd w:val="clear" w:color="auto" w:fill="FFFFFF"/>
        <w:spacing w:line="230" w:lineRule="auto"/>
        <w:rPr>
          <w:rFonts w:ascii="Arial" w:hAnsi="Arial" w:cs="Arial"/>
          <w:bCs/>
          <w:lang w:val="tr-TR"/>
        </w:rPr>
      </w:pPr>
    </w:p>
    <w:p w:rsidR="003F5B30" w:rsidRPr="00D00722" w:rsidRDefault="003F5B30" w:rsidP="003F5B30">
      <w:pPr>
        <w:spacing w:line="230" w:lineRule="auto"/>
        <w:rPr>
          <w:rFonts w:ascii="Arial" w:hAnsi="Arial" w:cs="Arial"/>
          <w:bCs/>
          <w:lang w:val="tr-TR"/>
        </w:rPr>
      </w:pPr>
      <w:r w:rsidRPr="00D00722">
        <w:rPr>
          <w:rFonts w:ascii="Arial" w:hAnsi="Arial" w:cs="Arial"/>
          <w:b/>
          <w:bCs/>
          <w:lang w:val="tr-TR"/>
        </w:rPr>
        <w:t>2.</w:t>
      </w:r>
      <w:r w:rsidR="00B96218" w:rsidRPr="00D00722">
        <w:rPr>
          <w:rFonts w:ascii="Arial" w:hAnsi="Arial" w:cs="Arial"/>
          <w:b/>
          <w:bCs/>
          <w:lang w:val="tr-TR"/>
        </w:rPr>
        <w:t>3</w:t>
      </w:r>
      <w:r w:rsidRPr="00D00722">
        <w:rPr>
          <w:rFonts w:ascii="Arial" w:hAnsi="Arial" w:cs="Arial"/>
          <w:b/>
          <w:bCs/>
          <w:lang w:val="tr-TR"/>
        </w:rPr>
        <w:t xml:space="preserve"> </w:t>
      </w:r>
      <w:r w:rsidRPr="00D00722">
        <w:rPr>
          <w:rFonts w:ascii="Arial" w:hAnsi="Arial" w:cs="Arial"/>
          <w:b/>
          <w:bCs/>
          <w:lang w:val="tr-TR"/>
        </w:rPr>
        <w:tab/>
        <w:t>Muhasebe politikalarındaki değişiklikler ve hatalar</w:t>
      </w:r>
    </w:p>
    <w:p w:rsidR="003F5B30" w:rsidRPr="00D00722" w:rsidRDefault="003F5B30" w:rsidP="003F5B30">
      <w:pPr>
        <w:pStyle w:val="body0"/>
        <w:spacing w:after="0" w:line="230" w:lineRule="auto"/>
        <w:jc w:val="left"/>
        <w:rPr>
          <w:rFonts w:ascii="Arial" w:hAnsi="Arial" w:cs="Arial"/>
          <w:bCs/>
          <w:sz w:val="20"/>
          <w:szCs w:val="20"/>
          <w:lang w:val="tr-TR"/>
        </w:rPr>
      </w:pPr>
    </w:p>
    <w:p w:rsidR="003F5B30" w:rsidRPr="00D00722" w:rsidRDefault="003F5B30" w:rsidP="003F5B30">
      <w:pPr>
        <w:spacing w:line="230" w:lineRule="auto"/>
        <w:rPr>
          <w:rFonts w:ascii="Arial" w:hAnsi="Arial" w:cs="Arial"/>
          <w:lang w:val="tr-TR"/>
        </w:rPr>
      </w:pPr>
      <w:r w:rsidRPr="00D00722">
        <w:rPr>
          <w:rFonts w:ascii="Arial" w:hAnsi="Arial" w:cs="Arial"/>
          <w:lang w:val="tr-TR"/>
        </w:rPr>
        <w:t>31 Aralık 2013 tarihi itibariyle sona eren hesap dönemine ait finansal tabloların hazırlanmasında esas alınan muhasebe politikaları aşağıda özetlenen 1 Ocak 2013 tarihi itibariyle geçerli yeni ve değiştirilmiş TFRS standartları ve TFRYK yorumları dışında önceki yılda kullanılanlar ile tutarlı olarak uygulanmıştır. Bu standartların ve yorumların Şirket’in mali durumu ve performansı üzerindeki etkileri ilgili paragraflarda açıklanmıştır.</w:t>
      </w:r>
    </w:p>
    <w:p w:rsidR="003F5B30" w:rsidRPr="00D00722" w:rsidRDefault="003F5B30" w:rsidP="003F5B30">
      <w:pPr>
        <w:spacing w:line="230" w:lineRule="auto"/>
        <w:rPr>
          <w:rFonts w:ascii="Arial" w:hAnsi="Arial" w:cs="Arial"/>
          <w:lang w:val="tr-TR"/>
        </w:rPr>
      </w:pPr>
    </w:p>
    <w:p w:rsidR="003F5B30" w:rsidRPr="00D00722" w:rsidRDefault="003F5B30" w:rsidP="003F5B30">
      <w:pPr>
        <w:spacing w:line="230" w:lineRule="auto"/>
        <w:rPr>
          <w:rFonts w:ascii="Arial" w:hAnsi="Arial" w:cs="Arial"/>
          <w:b/>
          <w:lang w:val="tr-TR"/>
        </w:rPr>
      </w:pPr>
      <w:r w:rsidRPr="00D00722">
        <w:rPr>
          <w:rFonts w:ascii="Arial" w:hAnsi="Arial" w:cs="Arial"/>
          <w:b/>
          <w:spacing w:val="-2"/>
          <w:lang w:val="tr-TR"/>
        </w:rPr>
        <w:t>2.</w:t>
      </w:r>
      <w:r w:rsidR="00B96218" w:rsidRPr="00D00722">
        <w:rPr>
          <w:rFonts w:ascii="Arial" w:hAnsi="Arial" w:cs="Arial"/>
          <w:b/>
          <w:spacing w:val="-2"/>
          <w:lang w:val="tr-TR"/>
        </w:rPr>
        <w:t>4</w:t>
      </w:r>
      <w:r w:rsidRPr="00D00722">
        <w:rPr>
          <w:rFonts w:ascii="Arial" w:hAnsi="Arial" w:cs="Arial"/>
          <w:b/>
          <w:spacing w:val="-2"/>
          <w:lang w:val="tr-TR"/>
        </w:rPr>
        <w:t xml:space="preserve"> </w:t>
      </w:r>
      <w:r w:rsidRPr="00D00722">
        <w:rPr>
          <w:rFonts w:ascii="Arial" w:hAnsi="Arial" w:cs="Arial"/>
          <w:b/>
          <w:spacing w:val="-2"/>
          <w:lang w:val="tr-TR"/>
        </w:rPr>
        <w:tab/>
      </w:r>
      <w:r w:rsidRPr="00D00722">
        <w:rPr>
          <w:rFonts w:ascii="Arial" w:hAnsi="Arial" w:cs="Arial"/>
          <w:b/>
          <w:lang w:val="tr-TR"/>
        </w:rPr>
        <w:t>Muhasebe tahminlerindeki değişiklikler</w:t>
      </w:r>
    </w:p>
    <w:p w:rsidR="003F5B30" w:rsidRPr="00D00722" w:rsidRDefault="003F5B30" w:rsidP="003F5B30">
      <w:pPr>
        <w:spacing w:line="230" w:lineRule="auto"/>
        <w:rPr>
          <w:rFonts w:ascii="Arial" w:hAnsi="Arial" w:cs="Arial"/>
          <w:b/>
          <w:lang w:val="tr-TR"/>
        </w:rPr>
      </w:pPr>
    </w:p>
    <w:p w:rsidR="003F5B30" w:rsidRPr="00D00722" w:rsidRDefault="003F5B30" w:rsidP="003F5B30">
      <w:pPr>
        <w:spacing w:line="230" w:lineRule="auto"/>
        <w:rPr>
          <w:rFonts w:ascii="Arial" w:hAnsi="Arial" w:cs="Arial"/>
          <w:lang w:val="tr-TR"/>
        </w:rPr>
      </w:pPr>
      <w:r w:rsidRPr="00D00722">
        <w:rPr>
          <w:rFonts w:ascii="Arial" w:hAnsi="Arial" w:cs="Arial"/>
        </w:rPr>
        <w:t xml:space="preserve">Muhasebe tahminlerindeki değişiklikler, yalnızca bir döneme ilişkin ise, değişikliğin yapıldığı cari dönemde, gelecek dönemlere ilişkin ise, hem değişikliğin yapıldığı dönemde hem de gelecek dönemde, ileriye yönelik olarak, net dönem </w:t>
      </w:r>
      <w:proofErr w:type="gramStart"/>
      <w:r w:rsidRPr="00D00722">
        <w:rPr>
          <w:rFonts w:ascii="Arial" w:hAnsi="Arial" w:cs="Arial"/>
        </w:rPr>
        <w:t>karı</w:t>
      </w:r>
      <w:proofErr w:type="gramEnd"/>
      <w:r w:rsidRPr="00D00722">
        <w:rPr>
          <w:rFonts w:ascii="Arial" w:hAnsi="Arial" w:cs="Arial"/>
        </w:rPr>
        <w:t xml:space="preserve"> veya zararının belirlenmesinde dikkate alınacak şekilde finansal tablolara yansıtılır. </w:t>
      </w:r>
      <w:proofErr w:type="gramStart"/>
      <w:r w:rsidRPr="00D00722">
        <w:rPr>
          <w:rFonts w:ascii="Arial" w:hAnsi="Arial" w:cs="Arial"/>
        </w:rPr>
        <w:t>1 Ocak - 31 Aralık 2013 hesap döneminde muhasebe tahminlerinde kıdem tazminatı yükümlülüğü dışında herhangi bir değişiklik yapılmamıştır.</w:t>
      </w:r>
      <w:proofErr w:type="gramEnd"/>
    </w:p>
    <w:p w:rsidR="003F5B30" w:rsidRPr="00D00722" w:rsidRDefault="003F5B30" w:rsidP="003F5B30">
      <w:pPr>
        <w:spacing w:line="230" w:lineRule="auto"/>
        <w:rPr>
          <w:rFonts w:ascii="Arial" w:hAnsi="Arial" w:cs="Arial"/>
          <w:lang w:val="tr-TR"/>
        </w:rPr>
      </w:pPr>
    </w:p>
    <w:p w:rsidR="00D268DD" w:rsidRPr="00D00722" w:rsidRDefault="003F5B30" w:rsidP="00D268DD">
      <w:pPr>
        <w:rPr>
          <w:rFonts w:ascii="Arial" w:hAnsi="Arial" w:cs="Arial"/>
          <w:b/>
          <w:lang w:val="tr-TR"/>
        </w:rPr>
      </w:pPr>
      <w:r w:rsidRPr="00D00722">
        <w:rPr>
          <w:rFonts w:ascii="Arial" w:hAnsi="Arial" w:cs="Arial"/>
          <w:b/>
          <w:spacing w:val="-2"/>
          <w:lang w:val="tr-TR"/>
        </w:rPr>
        <w:t>2.</w:t>
      </w:r>
      <w:r w:rsidR="00B96218" w:rsidRPr="00D00722">
        <w:rPr>
          <w:rFonts w:ascii="Arial" w:hAnsi="Arial" w:cs="Arial"/>
          <w:b/>
          <w:spacing w:val="-2"/>
          <w:lang w:val="tr-TR"/>
        </w:rPr>
        <w:t>5</w:t>
      </w:r>
      <w:r w:rsidR="00D268DD" w:rsidRPr="00D00722">
        <w:rPr>
          <w:rFonts w:ascii="Arial" w:hAnsi="Arial" w:cs="Arial"/>
          <w:b/>
          <w:spacing w:val="-2"/>
          <w:lang w:val="tr-TR"/>
        </w:rPr>
        <w:t xml:space="preserve"> </w:t>
      </w:r>
      <w:r w:rsidR="00D268DD" w:rsidRPr="00D00722">
        <w:rPr>
          <w:rFonts w:ascii="Arial" w:hAnsi="Arial" w:cs="Arial"/>
          <w:b/>
          <w:spacing w:val="-2"/>
          <w:lang w:val="tr-TR"/>
        </w:rPr>
        <w:tab/>
      </w:r>
      <w:r w:rsidR="009C1612" w:rsidRPr="00D00722">
        <w:rPr>
          <w:rFonts w:ascii="Arial" w:hAnsi="Arial" w:cs="Arial"/>
          <w:b/>
          <w:lang w:val="tr-TR"/>
        </w:rPr>
        <w:t>Önemli muhasebe politikalarının özeti</w:t>
      </w:r>
    </w:p>
    <w:p w:rsidR="00B521EE" w:rsidRPr="00D00722" w:rsidRDefault="00B521EE" w:rsidP="004E4D07">
      <w:pPr>
        <w:tabs>
          <w:tab w:val="left" w:pos="567"/>
        </w:tabs>
        <w:autoSpaceDE w:val="0"/>
        <w:autoSpaceDN w:val="0"/>
        <w:adjustRightInd w:val="0"/>
        <w:rPr>
          <w:rFonts w:ascii="Arial" w:hAnsi="Arial" w:cs="Arial"/>
          <w:b/>
          <w:lang w:val="tr-TR"/>
        </w:rPr>
      </w:pPr>
    </w:p>
    <w:p w:rsidR="00D65061" w:rsidRPr="00D00722" w:rsidRDefault="00D65061" w:rsidP="00D65061">
      <w:pPr>
        <w:pStyle w:val="body0"/>
        <w:spacing w:after="0" w:line="240" w:lineRule="auto"/>
        <w:jc w:val="left"/>
        <w:rPr>
          <w:rFonts w:ascii="Arial" w:hAnsi="Arial" w:cs="Arial"/>
          <w:b/>
          <w:sz w:val="20"/>
          <w:szCs w:val="20"/>
          <w:lang w:val="tr-TR"/>
        </w:rPr>
      </w:pPr>
      <w:r w:rsidRPr="00D00722">
        <w:rPr>
          <w:rFonts w:ascii="Arial" w:hAnsi="Arial" w:cs="Arial"/>
          <w:b/>
          <w:bCs/>
          <w:noProof/>
          <w:sz w:val="20"/>
          <w:szCs w:val="20"/>
          <w:lang w:val="tr-TR"/>
        </w:rPr>
        <w:t>Ücret, komisyon ve faiz gelir/giderleri</w:t>
      </w:r>
    </w:p>
    <w:p w:rsidR="00D65061" w:rsidRPr="00D00722" w:rsidRDefault="00D65061" w:rsidP="00D65061">
      <w:pPr>
        <w:suppressAutoHyphens/>
        <w:rPr>
          <w:rFonts w:ascii="Arial" w:hAnsi="Arial" w:cs="Arial"/>
          <w:lang w:val="tr-TR"/>
        </w:rPr>
      </w:pPr>
    </w:p>
    <w:p w:rsidR="00D65061" w:rsidRPr="00D00722" w:rsidRDefault="00D65061" w:rsidP="00D65061">
      <w:pPr>
        <w:autoSpaceDE w:val="0"/>
        <w:autoSpaceDN w:val="0"/>
        <w:adjustRightInd w:val="0"/>
        <w:rPr>
          <w:rFonts w:ascii="Arial" w:hAnsi="Arial" w:cs="Arial"/>
          <w:bCs/>
          <w:lang w:val="tr-TR"/>
        </w:rPr>
      </w:pPr>
      <w:r w:rsidRPr="00D00722">
        <w:rPr>
          <w:rFonts w:ascii="Arial" w:hAnsi="Arial" w:cs="Arial"/>
          <w:bCs/>
          <w:lang w:val="tr-TR"/>
        </w:rPr>
        <w:t>Ücret ve komisyon, gelir ve giderleri</w:t>
      </w:r>
    </w:p>
    <w:p w:rsidR="00D65061" w:rsidRPr="00D00722" w:rsidRDefault="00D65061" w:rsidP="00D65061">
      <w:pPr>
        <w:autoSpaceDE w:val="0"/>
        <w:autoSpaceDN w:val="0"/>
        <w:adjustRightInd w:val="0"/>
        <w:rPr>
          <w:rFonts w:ascii="Arial" w:hAnsi="Arial" w:cs="Arial"/>
          <w:color w:val="231F20"/>
          <w:lang w:val="tr-TR"/>
        </w:rPr>
      </w:pPr>
      <w:r w:rsidRPr="00D00722">
        <w:rPr>
          <w:rFonts w:ascii="Arial" w:hAnsi="Arial" w:cs="Arial"/>
          <w:color w:val="231F20"/>
          <w:lang w:val="tr-TR"/>
        </w:rPr>
        <w:t>Ücret ve komisyonlar, fon yönetim ücreti komisyonları, portföy yönetimi komisyonları, yatırım danışmanlığı hizmet gelirleri tahakkuk esasına göre muhasebeleştirilmektedir.</w:t>
      </w:r>
    </w:p>
    <w:p w:rsidR="00D65061" w:rsidRPr="00D00722" w:rsidRDefault="00D65061" w:rsidP="00D65061">
      <w:pPr>
        <w:autoSpaceDE w:val="0"/>
        <w:autoSpaceDN w:val="0"/>
        <w:adjustRightInd w:val="0"/>
        <w:rPr>
          <w:rFonts w:ascii="Arial" w:hAnsi="Arial" w:cs="Arial"/>
          <w:bCs/>
          <w:lang w:val="tr-TR"/>
        </w:rPr>
      </w:pPr>
    </w:p>
    <w:p w:rsidR="00D65061" w:rsidRPr="00D00722" w:rsidRDefault="00D65061" w:rsidP="00D65061">
      <w:pPr>
        <w:autoSpaceDE w:val="0"/>
        <w:autoSpaceDN w:val="0"/>
        <w:adjustRightInd w:val="0"/>
        <w:rPr>
          <w:rFonts w:ascii="Arial" w:hAnsi="Arial" w:cs="Arial"/>
          <w:color w:val="231F20"/>
          <w:lang w:val="tr-TR"/>
        </w:rPr>
      </w:pPr>
      <w:r w:rsidRPr="00D00722">
        <w:rPr>
          <w:rFonts w:ascii="Arial" w:hAnsi="Arial" w:cs="Arial"/>
          <w:color w:val="231F20"/>
          <w:lang w:val="tr-TR"/>
        </w:rPr>
        <w:t>Ücret ve komisyon giderleri hizmet gerçekleştiği veya ödeme yapıldığı esnada gider olarak kaydedilirler.</w:t>
      </w:r>
    </w:p>
    <w:p w:rsidR="003F3E42" w:rsidRPr="00D00722" w:rsidRDefault="003F3E42">
      <w:pPr>
        <w:rPr>
          <w:rFonts w:ascii="Arial" w:hAnsi="Arial" w:cs="Arial"/>
          <w:color w:val="231F20"/>
          <w:lang w:val="tr-TR"/>
        </w:rPr>
      </w:pPr>
      <w:r w:rsidRPr="00D00722">
        <w:rPr>
          <w:rFonts w:ascii="Arial" w:hAnsi="Arial" w:cs="Arial"/>
          <w:color w:val="231F20"/>
          <w:lang w:val="tr-TR"/>
        </w:rPr>
        <w:br w:type="page"/>
      </w:r>
    </w:p>
    <w:p w:rsidR="003F3E42" w:rsidRPr="00D00722" w:rsidRDefault="003F3E42" w:rsidP="003F3E42">
      <w:pPr>
        <w:autoSpaceDE w:val="0"/>
        <w:autoSpaceDN w:val="0"/>
        <w:adjustRightInd w:val="0"/>
        <w:ind w:right="-23"/>
        <w:rPr>
          <w:rFonts w:ascii="Arial" w:hAnsi="Arial" w:cs="Arial"/>
          <w:b/>
          <w:lang w:val="tr-TR"/>
        </w:rPr>
      </w:pPr>
      <w:r w:rsidRPr="00D00722">
        <w:rPr>
          <w:rFonts w:ascii="Arial" w:hAnsi="Arial" w:cs="Arial"/>
          <w:b/>
          <w:lang w:val="tr-TR"/>
        </w:rPr>
        <w:lastRenderedPageBreak/>
        <w:t>2.</w:t>
      </w:r>
      <w:r w:rsidRPr="00D00722">
        <w:rPr>
          <w:rFonts w:ascii="Arial" w:hAnsi="Arial" w:cs="Arial"/>
          <w:b/>
          <w:lang w:val="tr-TR"/>
        </w:rPr>
        <w:tab/>
        <w:t>Finansal tabloların sunumuna ilişkin esaslar (devamı)</w:t>
      </w:r>
    </w:p>
    <w:p w:rsidR="00767346" w:rsidRPr="00D00722" w:rsidRDefault="00767346" w:rsidP="00D65061">
      <w:pPr>
        <w:rPr>
          <w:rFonts w:ascii="Arial" w:hAnsi="Arial" w:cs="Arial"/>
          <w:color w:val="231F20"/>
          <w:lang w:val="tr-TR"/>
        </w:rPr>
      </w:pPr>
    </w:p>
    <w:p w:rsidR="00AA3FE9" w:rsidRPr="00D00722" w:rsidRDefault="00AA3FE9" w:rsidP="00AA3FE9">
      <w:pPr>
        <w:autoSpaceDE w:val="0"/>
        <w:autoSpaceDN w:val="0"/>
        <w:adjustRightInd w:val="0"/>
        <w:rPr>
          <w:rFonts w:ascii="Arial" w:hAnsi="Arial" w:cs="Arial"/>
          <w:bCs/>
          <w:lang w:val="tr-TR"/>
        </w:rPr>
      </w:pPr>
      <w:r w:rsidRPr="00D00722">
        <w:rPr>
          <w:rFonts w:ascii="Arial" w:hAnsi="Arial" w:cs="Arial"/>
          <w:bCs/>
          <w:lang w:val="tr-TR"/>
        </w:rPr>
        <w:t>Faiz gelir ve gideri</w:t>
      </w:r>
    </w:p>
    <w:p w:rsidR="00AA3FE9" w:rsidRPr="00D00722" w:rsidRDefault="00AA3FE9" w:rsidP="00D65061">
      <w:pPr>
        <w:rPr>
          <w:rFonts w:ascii="Arial" w:hAnsi="Arial" w:cs="Arial"/>
          <w:color w:val="231F20"/>
          <w:lang w:val="tr-TR"/>
        </w:rPr>
      </w:pPr>
    </w:p>
    <w:p w:rsidR="00D65061" w:rsidRPr="00D00722" w:rsidRDefault="00D65061" w:rsidP="00D65061">
      <w:pPr>
        <w:rPr>
          <w:rFonts w:ascii="Arial" w:hAnsi="Arial" w:cs="Arial"/>
          <w:color w:val="231F20"/>
          <w:lang w:val="tr-TR"/>
        </w:rPr>
      </w:pPr>
      <w:r w:rsidRPr="00D00722">
        <w:rPr>
          <w:rFonts w:ascii="Arial" w:hAnsi="Arial" w:cs="Arial"/>
          <w:color w:val="231F20"/>
          <w:lang w:val="tr-TR"/>
        </w:rPr>
        <w:t xml:space="preserve">Faiz gelir ve giderleri gelir tablosunda tahakkuk esasına göre muhasebeleştirilmektedir. Faiz gelirleri; vadeli mevduat faiz gelirleri, sabit getirili menkul kıymetlerden alınan kupon faizlerini, borsa para piyasası ile ters repo işlemlerinden kaynaklanan faizleri ve vadeli işlem teminatlarının nemalarını içermektedir. </w:t>
      </w:r>
    </w:p>
    <w:p w:rsidR="003F5B30" w:rsidRPr="00D00722" w:rsidRDefault="003F5B30" w:rsidP="00D65061">
      <w:pPr>
        <w:autoSpaceDE w:val="0"/>
        <w:autoSpaceDN w:val="0"/>
        <w:adjustRightInd w:val="0"/>
        <w:ind w:right="-23"/>
        <w:rPr>
          <w:rFonts w:ascii="Arial" w:hAnsi="Arial" w:cs="Arial"/>
          <w:color w:val="000000"/>
          <w:lang w:val="tr-TR"/>
        </w:rPr>
      </w:pPr>
    </w:p>
    <w:p w:rsidR="00D65061" w:rsidRPr="00D00722" w:rsidRDefault="00D65061" w:rsidP="00D65061">
      <w:pPr>
        <w:autoSpaceDE w:val="0"/>
        <w:autoSpaceDN w:val="0"/>
        <w:adjustRightInd w:val="0"/>
        <w:ind w:right="-23"/>
        <w:rPr>
          <w:rFonts w:ascii="Arial" w:hAnsi="Arial" w:cs="Arial"/>
          <w:bCs/>
          <w:lang w:val="tr-TR"/>
        </w:rPr>
      </w:pPr>
      <w:r w:rsidRPr="00D00722">
        <w:rPr>
          <w:rFonts w:ascii="Arial" w:hAnsi="Arial" w:cs="Arial"/>
          <w:bCs/>
          <w:lang w:val="tr-TR"/>
        </w:rPr>
        <w:t>Temettü geliri</w:t>
      </w:r>
    </w:p>
    <w:p w:rsidR="00D65061" w:rsidRPr="00D00722" w:rsidRDefault="00D65061" w:rsidP="00D65061">
      <w:pPr>
        <w:autoSpaceDE w:val="0"/>
        <w:autoSpaceDN w:val="0"/>
        <w:adjustRightInd w:val="0"/>
        <w:ind w:right="-23"/>
        <w:rPr>
          <w:rFonts w:ascii="Arial" w:hAnsi="Arial" w:cs="Arial"/>
          <w:bCs/>
          <w:lang w:val="tr-TR"/>
        </w:rPr>
      </w:pPr>
    </w:p>
    <w:p w:rsidR="00D65061" w:rsidRPr="00D00722" w:rsidRDefault="00D65061" w:rsidP="00D65061">
      <w:pPr>
        <w:widowControl w:val="0"/>
        <w:rPr>
          <w:rFonts w:ascii="Arial" w:hAnsi="Arial" w:cs="Arial"/>
          <w:color w:val="231F20"/>
          <w:lang w:val="tr-TR"/>
        </w:rPr>
      </w:pPr>
      <w:r w:rsidRPr="00D00722">
        <w:rPr>
          <w:rFonts w:ascii="Arial" w:hAnsi="Arial" w:cs="Arial"/>
          <w:color w:val="231F20"/>
          <w:lang w:val="tr-TR"/>
        </w:rPr>
        <w:t>Hisse senedi yatırımlarından elde edilen temettü geliri, hissedarların temettü alma hakkı doğduğu zaman kayda alınır.</w:t>
      </w:r>
    </w:p>
    <w:p w:rsidR="00D65061" w:rsidRPr="00D00722" w:rsidRDefault="00D65061" w:rsidP="00D65061">
      <w:pPr>
        <w:widowControl w:val="0"/>
        <w:rPr>
          <w:rFonts w:ascii="Arial" w:hAnsi="Arial" w:cs="Arial"/>
          <w:color w:val="231F20"/>
          <w:lang w:val="tr-TR"/>
        </w:rPr>
      </w:pPr>
    </w:p>
    <w:p w:rsidR="00D65061" w:rsidRPr="00D00722" w:rsidRDefault="00D65061" w:rsidP="00D65061">
      <w:pPr>
        <w:autoSpaceDE w:val="0"/>
        <w:autoSpaceDN w:val="0"/>
        <w:adjustRightInd w:val="0"/>
        <w:ind w:right="-23"/>
        <w:rPr>
          <w:rFonts w:ascii="Arial" w:hAnsi="Arial" w:cs="Arial"/>
          <w:b/>
          <w:color w:val="000000"/>
          <w:lang w:val="tr-TR"/>
        </w:rPr>
      </w:pPr>
      <w:r w:rsidRPr="00D00722">
        <w:rPr>
          <w:rFonts w:ascii="Arial" w:hAnsi="Arial" w:cs="Arial"/>
          <w:b/>
          <w:color w:val="000000"/>
          <w:lang w:val="tr-TR"/>
        </w:rPr>
        <w:t>Maddi duran varlıklar</w:t>
      </w:r>
    </w:p>
    <w:p w:rsidR="00D65061" w:rsidRPr="00D00722" w:rsidRDefault="00D65061" w:rsidP="00D65061">
      <w:pPr>
        <w:autoSpaceDE w:val="0"/>
        <w:autoSpaceDN w:val="0"/>
        <w:adjustRightInd w:val="0"/>
        <w:ind w:right="-23"/>
        <w:rPr>
          <w:rFonts w:ascii="Arial" w:hAnsi="Arial" w:cs="Arial"/>
          <w:color w:val="000000"/>
          <w:lang w:val="tr-TR"/>
        </w:rPr>
      </w:pPr>
    </w:p>
    <w:p w:rsidR="00D65061" w:rsidRPr="00D00722" w:rsidRDefault="00D65061" w:rsidP="00D65061">
      <w:pPr>
        <w:pStyle w:val="BodyTextIndent"/>
        <w:ind w:left="0" w:firstLine="0"/>
        <w:rPr>
          <w:rFonts w:ascii="Arial" w:hAnsi="Arial" w:cs="Arial"/>
          <w:color w:val="000000"/>
          <w:sz w:val="20"/>
          <w:lang w:val="tr-TR"/>
        </w:rPr>
      </w:pPr>
      <w:r w:rsidRPr="00D00722">
        <w:rPr>
          <w:rFonts w:ascii="Arial" w:hAnsi="Arial" w:cs="Arial"/>
          <w:color w:val="000000"/>
          <w:sz w:val="20"/>
          <w:lang w:val="tr-TR"/>
        </w:rPr>
        <w:t>Maddi duran varlıkların maliyet tutarları, beklenen faydalı ömürlerine göre doğrusal amortisman yöntemi kullanılarak amortismana tabi tutulur. Beklenen faydalı ömür, kalıntı değer ve amortisman yöntemi, tahminlerde ortaya çıkan değişikliklerin olası etkileri için her yıl gözden geçirilir ve tahminlerde bir değişiklik varsa ileriye dönük olarak muhasebeleştirilir.</w:t>
      </w:r>
    </w:p>
    <w:p w:rsidR="00D65061" w:rsidRPr="00D00722" w:rsidRDefault="00D65061" w:rsidP="00D65061">
      <w:pPr>
        <w:widowControl w:val="0"/>
        <w:rPr>
          <w:rFonts w:ascii="Arial" w:hAnsi="Arial" w:cs="Arial"/>
          <w:spacing w:val="-2"/>
          <w:u w:val="single"/>
          <w:lang w:val="tr-TR"/>
        </w:rPr>
      </w:pPr>
    </w:p>
    <w:p w:rsidR="00D65061" w:rsidRPr="00D00722" w:rsidRDefault="00D65061" w:rsidP="00D65061">
      <w:pPr>
        <w:pStyle w:val="BodyTextIndent"/>
        <w:ind w:left="0" w:firstLine="0"/>
        <w:rPr>
          <w:rFonts w:ascii="Arial" w:hAnsi="Arial" w:cs="Arial"/>
          <w:color w:val="000000"/>
          <w:sz w:val="20"/>
          <w:lang w:val="tr-TR"/>
        </w:rPr>
      </w:pPr>
      <w:r w:rsidRPr="00D00722">
        <w:rPr>
          <w:rFonts w:ascii="Arial" w:hAnsi="Arial" w:cs="Arial"/>
          <w:color w:val="000000"/>
          <w:sz w:val="20"/>
          <w:lang w:val="tr-TR"/>
        </w:rPr>
        <w:t>Maddi duran varlıkların elden çıkarılması ya da bir maddi duran varlığın hizmetten alınması sonucu oluşan kazanç veya kayıp satış hasılatı ile varlığın defter değeri arasındaki fark olarak belirlenir ve gelir tablosuna dahil edilir.</w:t>
      </w:r>
    </w:p>
    <w:p w:rsidR="00D65061" w:rsidRPr="00D00722" w:rsidRDefault="00D65061" w:rsidP="00D65061">
      <w:pPr>
        <w:pStyle w:val="BodyTextIndent"/>
        <w:ind w:left="0" w:firstLine="0"/>
        <w:rPr>
          <w:rFonts w:ascii="Arial" w:hAnsi="Arial" w:cs="Arial"/>
          <w:color w:val="000000"/>
          <w:sz w:val="20"/>
          <w:lang w:val="tr-TR"/>
        </w:rPr>
      </w:pPr>
    </w:p>
    <w:p w:rsidR="00D65061" w:rsidRPr="00D00722" w:rsidRDefault="00D65061" w:rsidP="00D65061">
      <w:pPr>
        <w:pStyle w:val="000normal"/>
        <w:autoSpaceDE w:val="0"/>
        <w:autoSpaceDN w:val="0"/>
        <w:adjustRightInd w:val="0"/>
        <w:spacing w:before="0" w:after="0" w:afterAutospacing="0"/>
        <w:ind w:right="-327"/>
        <w:rPr>
          <w:rFonts w:eastAsia="Times New Roman"/>
          <w:lang w:val="tr-TR"/>
        </w:rPr>
      </w:pPr>
      <w:r w:rsidRPr="00D00722">
        <w:rPr>
          <w:lang w:val="tr-TR"/>
        </w:rPr>
        <w:t>Maddi duran varlıklara ait amortisman süreleri aşağıdaki gibidir</w:t>
      </w:r>
      <w:r w:rsidRPr="00D00722">
        <w:rPr>
          <w:rFonts w:eastAsia="Times New Roman"/>
          <w:lang w:val="tr-TR"/>
        </w:rPr>
        <w:t>:</w:t>
      </w:r>
    </w:p>
    <w:p w:rsidR="00D65061" w:rsidRPr="00D00722" w:rsidRDefault="00D65061" w:rsidP="00D65061">
      <w:pPr>
        <w:pStyle w:val="000normal"/>
        <w:autoSpaceDE w:val="0"/>
        <w:autoSpaceDN w:val="0"/>
        <w:adjustRightInd w:val="0"/>
        <w:spacing w:before="0" w:after="0" w:afterAutospacing="0"/>
        <w:rPr>
          <w:rFonts w:eastAsia="Times New Roman"/>
          <w:lang w:val="tr-TR"/>
        </w:rPr>
      </w:pPr>
    </w:p>
    <w:tbl>
      <w:tblPr>
        <w:tblW w:w="5700" w:type="dxa"/>
        <w:tblInd w:w="108" w:type="dxa"/>
        <w:tblLook w:val="0000"/>
      </w:tblPr>
      <w:tblGrid>
        <w:gridCol w:w="3969"/>
        <w:gridCol w:w="1731"/>
      </w:tblGrid>
      <w:tr w:rsidR="00D65061" w:rsidRPr="00D00722" w:rsidTr="009A5458">
        <w:tc>
          <w:tcPr>
            <w:tcW w:w="3969" w:type="dxa"/>
          </w:tcPr>
          <w:p w:rsidR="00D65061" w:rsidRPr="00D00722" w:rsidRDefault="00D65061" w:rsidP="009A5458">
            <w:pPr>
              <w:pStyle w:val="000normal"/>
              <w:autoSpaceDE w:val="0"/>
              <w:autoSpaceDN w:val="0"/>
              <w:adjustRightInd w:val="0"/>
              <w:spacing w:before="0" w:after="0" w:afterAutospacing="0"/>
              <w:ind w:left="709"/>
              <w:rPr>
                <w:rFonts w:eastAsia="Times New Roman"/>
                <w:b/>
                <w:lang w:val="tr-TR"/>
              </w:rPr>
            </w:pPr>
          </w:p>
        </w:tc>
        <w:tc>
          <w:tcPr>
            <w:tcW w:w="1731" w:type="dxa"/>
            <w:tcBorders>
              <w:bottom w:val="single" w:sz="4" w:space="0" w:color="auto"/>
            </w:tcBorders>
          </w:tcPr>
          <w:p w:rsidR="00D65061" w:rsidRPr="00D00722" w:rsidRDefault="00D65061" w:rsidP="009A5458">
            <w:pPr>
              <w:pStyle w:val="000normal"/>
              <w:autoSpaceDE w:val="0"/>
              <w:autoSpaceDN w:val="0"/>
              <w:adjustRightInd w:val="0"/>
              <w:spacing w:before="0" w:after="0" w:afterAutospacing="0"/>
              <w:ind w:left="-108"/>
              <w:jc w:val="right"/>
              <w:rPr>
                <w:rFonts w:eastAsia="Times New Roman"/>
                <w:b/>
                <w:lang w:val="tr-TR"/>
              </w:rPr>
            </w:pPr>
            <w:r w:rsidRPr="00D00722">
              <w:rPr>
                <w:b/>
                <w:lang w:val="tr-TR"/>
              </w:rPr>
              <w:t>Ekonomik ömrü</w:t>
            </w:r>
          </w:p>
        </w:tc>
      </w:tr>
      <w:tr w:rsidR="00D65061" w:rsidRPr="00D00722" w:rsidTr="009A5458">
        <w:tc>
          <w:tcPr>
            <w:tcW w:w="3969" w:type="dxa"/>
          </w:tcPr>
          <w:p w:rsidR="00D65061" w:rsidRPr="00D00722" w:rsidRDefault="00D65061" w:rsidP="009A5458">
            <w:pPr>
              <w:ind w:left="709"/>
              <w:jc w:val="both"/>
              <w:rPr>
                <w:rFonts w:ascii="Arial" w:hAnsi="Arial" w:cs="Arial"/>
                <w:lang w:val="tr-TR"/>
              </w:rPr>
            </w:pPr>
          </w:p>
        </w:tc>
        <w:tc>
          <w:tcPr>
            <w:tcW w:w="1731" w:type="dxa"/>
            <w:tcBorders>
              <w:top w:val="single" w:sz="4" w:space="0" w:color="auto"/>
            </w:tcBorders>
          </w:tcPr>
          <w:p w:rsidR="00D65061" w:rsidRPr="00D00722" w:rsidRDefault="00D65061" w:rsidP="009A5458">
            <w:pPr>
              <w:pStyle w:val="BodyTextIndent"/>
              <w:ind w:left="709" w:firstLine="0"/>
              <w:jc w:val="right"/>
              <w:rPr>
                <w:rFonts w:ascii="Arial" w:hAnsi="Arial" w:cs="Arial"/>
                <w:sz w:val="20"/>
                <w:lang w:val="tr-TR"/>
              </w:rPr>
            </w:pPr>
          </w:p>
        </w:tc>
      </w:tr>
      <w:tr w:rsidR="00D65061" w:rsidRPr="00D00722" w:rsidTr="009A5458">
        <w:tc>
          <w:tcPr>
            <w:tcW w:w="3969" w:type="dxa"/>
          </w:tcPr>
          <w:p w:rsidR="00D65061" w:rsidRPr="00D00722" w:rsidRDefault="00D65061" w:rsidP="009A5458">
            <w:pPr>
              <w:ind w:left="-108"/>
              <w:jc w:val="both"/>
              <w:rPr>
                <w:rFonts w:ascii="Arial" w:hAnsi="Arial" w:cs="Arial"/>
                <w:lang w:val="tr-TR"/>
              </w:rPr>
            </w:pPr>
            <w:r w:rsidRPr="00D00722">
              <w:rPr>
                <w:rFonts w:ascii="Arial" w:hAnsi="Arial" w:cs="Arial"/>
                <w:lang w:val="tr-TR"/>
              </w:rPr>
              <w:t>Makine ve cihazlar</w:t>
            </w:r>
          </w:p>
        </w:tc>
        <w:tc>
          <w:tcPr>
            <w:tcW w:w="1731" w:type="dxa"/>
          </w:tcPr>
          <w:p w:rsidR="00D65061" w:rsidRPr="00D00722" w:rsidRDefault="00D65061" w:rsidP="009A5458">
            <w:pPr>
              <w:pStyle w:val="BodyTextIndent"/>
              <w:ind w:left="709" w:firstLine="0"/>
              <w:jc w:val="right"/>
              <w:rPr>
                <w:rFonts w:ascii="Arial" w:hAnsi="Arial" w:cs="Arial"/>
                <w:sz w:val="20"/>
                <w:lang w:val="tr-TR"/>
              </w:rPr>
            </w:pPr>
            <w:r w:rsidRPr="00D00722">
              <w:rPr>
                <w:rFonts w:ascii="Arial" w:hAnsi="Arial" w:cs="Arial"/>
                <w:sz w:val="20"/>
                <w:lang w:val="tr-TR"/>
              </w:rPr>
              <w:t>4-5 yıl</w:t>
            </w:r>
          </w:p>
        </w:tc>
      </w:tr>
      <w:tr w:rsidR="00D65061" w:rsidRPr="00D00722" w:rsidTr="009A5458">
        <w:tc>
          <w:tcPr>
            <w:tcW w:w="3969" w:type="dxa"/>
          </w:tcPr>
          <w:p w:rsidR="00D65061" w:rsidRPr="00D00722" w:rsidRDefault="00D65061" w:rsidP="009A5458">
            <w:pPr>
              <w:ind w:left="-108"/>
              <w:jc w:val="both"/>
              <w:rPr>
                <w:rFonts w:ascii="Arial" w:hAnsi="Arial" w:cs="Arial"/>
                <w:lang w:val="tr-TR"/>
              </w:rPr>
            </w:pPr>
            <w:r w:rsidRPr="00D00722">
              <w:rPr>
                <w:rFonts w:ascii="Arial" w:hAnsi="Arial" w:cs="Arial"/>
                <w:lang w:val="tr-TR"/>
              </w:rPr>
              <w:t>Döşeme ve demirbaşlar</w:t>
            </w:r>
          </w:p>
        </w:tc>
        <w:tc>
          <w:tcPr>
            <w:tcW w:w="1731" w:type="dxa"/>
          </w:tcPr>
          <w:p w:rsidR="00D65061" w:rsidRPr="00D00722" w:rsidRDefault="00D65061" w:rsidP="009A5458">
            <w:pPr>
              <w:pStyle w:val="BodyTextIndent"/>
              <w:ind w:left="709" w:firstLine="0"/>
              <w:jc w:val="right"/>
              <w:rPr>
                <w:rFonts w:ascii="Arial" w:hAnsi="Arial" w:cs="Arial"/>
                <w:sz w:val="20"/>
                <w:lang w:val="tr-TR"/>
              </w:rPr>
            </w:pPr>
            <w:r w:rsidRPr="00D00722">
              <w:rPr>
                <w:rFonts w:ascii="Arial" w:hAnsi="Arial" w:cs="Arial"/>
                <w:sz w:val="20"/>
                <w:lang w:val="tr-TR"/>
              </w:rPr>
              <w:t>4-5 yıl</w:t>
            </w:r>
          </w:p>
        </w:tc>
      </w:tr>
      <w:tr w:rsidR="00D65061" w:rsidRPr="00D00722" w:rsidTr="009A5458">
        <w:tc>
          <w:tcPr>
            <w:tcW w:w="3969" w:type="dxa"/>
          </w:tcPr>
          <w:p w:rsidR="00D65061" w:rsidRPr="00D00722" w:rsidRDefault="00D65061" w:rsidP="009A5458">
            <w:pPr>
              <w:ind w:left="-108"/>
              <w:jc w:val="both"/>
              <w:rPr>
                <w:rFonts w:ascii="Arial" w:hAnsi="Arial" w:cs="Arial"/>
                <w:lang w:val="tr-TR"/>
              </w:rPr>
            </w:pPr>
            <w:r w:rsidRPr="00D00722">
              <w:rPr>
                <w:rFonts w:ascii="Arial" w:hAnsi="Arial" w:cs="Arial"/>
                <w:lang w:val="tr-TR"/>
              </w:rPr>
              <w:t>Özel maliyetler</w:t>
            </w:r>
          </w:p>
        </w:tc>
        <w:tc>
          <w:tcPr>
            <w:tcW w:w="1731" w:type="dxa"/>
          </w:tcPr>
          <w:p w:rsidR="00D65061" w:rsidRPr="00D00722" w:rsidRDefault="00D65061" w:rsidP="009A5458">
            <w:pPr>
              <w:pStyle w:val="BodyTextIndent"/>
              <w:ind w:left="709" w:firstLine="0"/>
              <w:jc w:val="right"/>
              <w:rPr>
                <w:rFonts w:ascii="Arial" w:hAnsi="Arial" w:cs="Arial"/>
                <w:sz w:val="20"/>
                <w:lang w:val="tr-TR"/>
              </w:rPr>
            </w:pPr>
            <w:r w:rsidRPr="00D00722">
              <w:rPr>
                <w:rFonts w:ascii="Arial" w:hAnsi="Arial" w:cs="Arial"/>
                <w:sz w:val="20"/>
                <w:lang w:val="tr-TR"/>
              </w:rPr>
              <w:t>5 yıl</w:t>
            </w:r>
          </w:p>
        </w:tc>
      </w:tr>
    </w:tbl>
    <w:p w:rsidR="00D65061" w:rsidRPr="00D00722" w:rsidRDefault="00D65061" w:rsidP="00D65061">
      <w:pPr>
        <w:widowControl w:val="0"/>
        <w:rPr>
          <w:rFonts w:ascii="Arial" w:hAnsi="Arial" w:cs="Arial"/>
          <w:spacing w:val="-2"/>
          <w:u w:val="single"/>
          <w:lang w:val="tr-TR"/>
        </w:rPr>
      </w:pPr>
    </w:p>
    <w:p w:rsidR="00D65061" w:rsidRPr="00D00722" w:rsidRDefault="00D65061" w:rsidP="00D65061">
      <w:pPr>
        <w:tabs>
          <w:tab w:val="left" w:pos="567"/>
        </w:tabs>
        <w:suppressAutoHyphens/>
        <w:rPr>
          <w:rFonts w:ascii="Arial" w:hAnsi="Arial" w:cs="Arial"/>
          <w:b/>
        </w:rPr>
      </w:pPr>
      <w:r w:rsidRPr="00D00722">
        <w:rPr>
          <w:rFonts w:ascii="Arial" w:hAnsi="Arial" w:cs="Arial"/>
          <w:b/>
        </w:rPr>
        <w:t>Maddi olmayan duran varlıklar</w:t>
      </w:r>
    </w:p>
    <w:p w:rsidR="00D65061" w:rsidRPr="00D00722" w:rsidRDefault="00D65061" w:rsidP="00D65061">
      <w:pPr>
        <w:pStyle w:val="Teknik4"/>
        <w:tabs>
          <w:tab w:val="clear" w:pos="-720"/>
          <w:tab w:val="left" w:pos="426"/>
        </w:tabs>
        <w:suppressAutoHyphens w:val="0"/>
        <w:rPr>
          <w:rFonts w:ascii="Arial" w:hAnsi="Arial" w:cs="Arial"/>
          <w:sz w:val="20"/>
          <w:lang w:val="tr-TR"/>
        </w:rPr>
      </w:pPr>
    </w:p>
    <w:p w:rsidR="00D65061" w:rsidRPr="00D00722" w:rsidRDefault="00D65061" w:rsidP="00D65061">
      <w:pPr>
        <w:widowControl w:val="0"/>
        <w:rPr>
          <w:rFonts w:ascii="Arial" w:hAnsi="Arial" w:cs="Arial"/>
          <w:spacing w:val="-2"/>
          <w:u w:val="single"/>
          <w:lang w:val="tr-TR"/>
        </w:rPr>
      </w:pPr>
      <w:proofErr w:type="gramStart"/>
      <w:r w:rsidRPr="00D00722">
        <w:rPr>
          <w:rFonts w:ascii="Arial" w:hAnsi="Arial" w:cs="Arial"/>
        </w:rPr>
        <w:t xml:space="preserve">Maddi olmayan </w:t>
      </w:r>
      <w:r w:rsidR="00517865" w:rsidRPr="00D00722">
        <w:rPr>
          <w:rFonts w:ascii="Arial" w:hAnsi="Arial" w:cs="Arial"/>
        </w:rPr>
        <w:t xml:space="preserve">duran </w:t>
      </w:r>
      <w:r w:rsidRPr="00D00722">
        <w:rPr>
          <w:rFonts w:ascii="Arial" w:hAnsi="Arial" w:cs="Arial"/>
        </w:rPr>
        <w:t xml:space="preserve">varlıklar, iktisap edilmiş hakları, bilgi sistemlerini ve bilgisayar yazılımlarını içermektedir </w:t>
      </w:r>
      <w:r w:rsidR="006E7086" w:rsidRPr="00D00722">
        <w:rPr>
          <w:rFonts w:ascii="Arial" w:hAnsi="Arial" w:cs="Arial"/>
        </w:rPr>
        <w:t>(Dipnot 9</w:t>
      </w:r>
      <w:r w:rsidRPr="00D00722">
        <w:rPr>
          <w:rFonts w:ascii="Arial" w:hAnsi="Arial" w:cs="Arial"/>
        </w:rPr>
        <w:t>).</w:t>
      </w:r>
      <w:proofErr w:type="gramEnd"/>
      <w:r w:rsidRPr="00D00722">
        <w:rPr>
          <w:rFonts w:ascii="Arial" w:hAnsi="Arial" w:cs="Arial"/>
        </w:rPr>
        <w:t xml:space="preserve"> </w:t>
      </w:r>
      <w:proofErr w:type="gramStart"/>
      <w:r w:rsidRPr="00D00722">
        <w:rPr>
          <w:rFonts w:ascii="Arial" w:hAnsi="Arial" w:cs="Arial"/>
        </w:rPr>
        <w:t>Bunlar, iktisap maliyeti üzerinden kaydedilir ve iktisap edildikleri tarihten itibaren 5 yıl olan tahmini faydalı ömürleri üzerinden doğrusal amortisman yöntemi ile amortismana tabi tutulur.</w:t>
      </w:r>
      <w:proofErr w:type="gramEnd"/>
      <w:r w:rsidRPr="00D00722">
        <w:rPr>
          <w:rFonts w:ascii="Arial" w:hAnsi="Arial" w:cs="Arial"/>
        </w:rPr>
        <w:t xml:space="preserve"> </w:t>
      </w:r>
      <w:proofErr w:type="gramStart"/>
      <w:r w:rsidRPr="00D00722">
        <w:rPr>
          <w:rFonts w:ascii="Arial" w:hAnsi="Arial" w:cs="Arial"/>
        </w:rPr>
        <w:t>Değer düşüklüğünün olması durumunda maddi olmayan varlıkların kayıtlı değeri, geri kazanılabilir değerine indirilir.</w:t>
      </w:r>
      <w:proofErr w:type="gramEnd"/>
    </w:p>
    <w:p w:rsidR="00CE39DB" w:rsidRPr="00D00722" w:rsidRDefault="00CE39DB" w:rsidP="00CE39DB">
      <w:pPr>
        <w:rPr>
          <w:rFonts w:ascii="Arial" w:hAnsi="Arial" w:cs="Arial"/>
          <w:lang w:val="tr-TR"/>
        </w:rPr>
      </w:pPr>
    </w:p>
    <w:p w:rsidR="00942BE7" w:rsidRPr="00D00722" w:rsidRDefault="00942BE7" w:rsidP="00942BE7">
      <w:pPr>
        <w:widowControl w:val="0"/>
        <w:rPr>
          <w:rFonts w:ascii="Arial" w:hAnsi="Arial" w:cs="Arial"/>
          <w:b/>
          <w:spacing w:val="-2"/>
          <w:lang w:val="tr-TR"/>
        </w:rPr>
      </w:pPr>
      <w:r w:rsidRPr="00D00722">
        <w:rPr>
          <w:rFonts w:ascii="Arial" w:hAnsi="Arial" w:cs="Arial"/>
          <w:b/>
          <w:spacing w:val="-2"/>
          <w:lang w:val="tr-TR"/>
        </w:rPr>
        <w:t>Varlıklarda değer düşüklüğü</w:t>
      </w:r>
    </w:p>
    <w:p w:rsidR="00942BE7" w:rsidRPr="00D00722" w:rsidRDefault="00942BE7" w:rsidP="00DF0D77">
      <w:pPr>
        <w:ind w:firstLine="567"/>
        <w:rPr>
          <w:rFonts w:ascii="Arial" w:hAnsi="Arial" w:cs="Arial"/>
          <w:spacing w:val="-2"/>
          <w:lang w:val="tr-TR"/>
        </w:rPr>
      </w:pPr>
    </w:p>
    <w:p w:rsidR="00942BE7" w:rsidRPr="00D00722" w:rsidRDefault="00942BE7" w:rsidP="00942BE7">
      <w:pPr>
        <w:autoSpaceDE w:val="0"/>
        <w:autoSpaceDN w:val="0"/>
        <w:adjustRightInd w:val="0"/>
        <w:rPr>
          <w:rFonts w:ascii="Arial" w:hAnsi="Arial" w:cs="Arial"/>
          <w:color w:val="000000"/>
          <w:lang w:val="tr-TR"/>
        </w:rPr>
      </w:pPr>
      <w:r w:rsidRPr="00D00722">
        <w:rPr>
          <w:rFonts w:ascii="Arial" w:hAnsi="Arial" w:cs="Arial"/>
          <w:color w:val="000000"/>
          <w:lang w:val="tr-TR"/>
        </w:rPr>
        <w:t>Sınırsız ömrü olan varlıklar itfaya tabi tutulmazlar. Bu varlıklar için her yıl değer düşüklüğü testi uygulanır. İtfaya tabi olan varlıklar için ise defter değerinin geri kazanılmasının mümkün olmadığı durum ya da olayların ortaya çıkması halinde değer düşüklüğü testi uygulanır. Varlığın defter değerinin geri kazanılabilir tutarını aşması durumunda değer düşüklüğü karşılığı kaydedilir. Geri kazanılabilir tutar, satış maliyetleri düşüldükten sonra elde edilen gerçeğe uygun değer veya kullanımdaki değerin büyük olanıdır. Değer düşüklüğünün değerlendirilmesi için varlıklar ayrı tanımlanabilir nakit akımlarının olduğu en düşük seviyede gruplanır (nakit üreten birimler). Şerefiye haricinde değer düşüklüğüne tabi olan finansal olmayan varlıklar her raporlama tarihinde değer düşüklüğünün olası iptali için gözden geçirilir.</w:t>
      </w:r>
    </w:p>
    <w:p w:rsidR="003F3E42" w:rsidRPr="00D00722" w:rsidRDefault="003F3E42">
      <w:pPr>
        <w:rPr>
          <w:rFonts w:ascii="Arial" w:hAnsi="Arial" w:cs="Arial"/>
          <w:b/>
          <w:lang w:val="tr-TR"/>
        </w:rPr>
      </w:pPr>
      <w:r w:rsidRPr="00D00722">
        <w:rPr>
          <w:rFonts w:ascii="Arial" w:hAnsi="Arial" w:cs="Arial"/>
          <w:b/>
          <w:lang w:val="tr-TR"/>
        </w:rPr>
        <w:br w:type="page"/>
      </w:r>
    </w:p>
    <w:p w:rsidR="003F3E42" w:rsidRPr="00D00722" w:rsidRDefault="003F3E42" w:rsidP="003F3E42">
      <w:pPr>
        <w:autoSpaceDE w:val="0"/>
        <w:autoSpaceDN w:val="0"/>
        <w:adjustRightInd w:val="0"/>
        <w:ind w:right="-23"/>
        <w:rPr>
          <w:rFonts w:ascii="Arial" w:hAnsi="Arial" w:cs="Arial"/>
          <w:b/>
          <w:lang w:val="tr-TR"/>
        </w:rPr>
      </w:pPr>
      <w:r w:rsidRPr="00D00722">
        <w:rPr>
          <w:rFonts w:ascii="Arial" w:hAnsi="Arial" w:cs="Arial"/>
          <w:b/>
          <w:lang w:val="tr-TR"/>
        </w:rPr>
        <w:lastRenderedPageBreak/>
        <w:t>2.</w:t>
      </w:r>
      <w:r w:rsidRPr="00D00722">
        <w:rPr>
          <w:rFonts w:ascii="Arial" w:hAnsi="Arial" w:cs="Arial"/>
          <w:b/>
          <w:lang w:val="tr-TR"/>
        </w:rPr>
        <w:tab/>
        <w:t>Finansal tabloların sunumuna ilişkin esaslar (devamı)</w:t>
      </w:r>
    </w:p>
    <w:p w:rsidR="002C0C67" w:rsidRPr="00D00722" w:rsidRDefault="002C0C67" w:rsidP="00942BE7">
      <w:pPr>
        <w:rPr>
          <w:rFonts w:ascii="Arial" w:hAnsi="Arial" w:cs="Arial"/>
          <w:b/>
          <w:lang w:val="tr-TR"/>
        </w:rPr>
      </w:pPr>
    </w:p>
    <w:p w:rsidR="00942BE7" w:rsidRPr="00D00722" w:rsidRDefault="00942BE7" w:rsidP="00942BE7">
      <w:pPr>
        <w:rPr>
          <w:rFonts w:ascii="Arial" w:hAnsi="Arial" w:cs="Arial"/>
          <w:b/>
          <w:lang w:val="tr-TR"/>
        </w:rPr>
      </w:pPr>
      <w:r w:rsidRPr="00D00722">
        <w:rPr>
          <w:rFonts w:ascii="Arial" w:hAnsi="Arial" w:cs="Arial"/>
          <w:b/>
          <w:lang w:val="tr-TR"/>
        </w:rPr>
        <w:t>Borçlanma maliyetleri</w:t>
      </w:r>
    </w:p>
    <w:p w:rsidR="00942BE7" w:rsidRPr="00D00722" w:rsidRDefault="00942BE7" w:rsidP="00942BE7">
      <w:pPr>
        <w:rPr>
          <w:rFonts w:ascii="Arial" w:hAnsi="Arial" w:cs="Arial"/>
          <w:spacing w:val="-2"/>
          <w:lang w:val="tr-TR"/>
        </w:rPr>
      </w:pPr>
    </w:p>
    <w:p w:rsidR="00942BE7" w:rsidRPr="00D00722" w:rsidRDefault="00942BE7" w:rsidP="00942BE7">
      <w:pPr>
        <w:rPr>
          <w:rFonts w:ascii="Arial" w:hAnsi="Arial" w:cs="Arial"/>
          <w:spacing w:val="-2"/>
          <w:lang w:val="tr-TR"/>
        </w:rPr>
      </w:pPr>
      <w:r w:rsidRPr="00D00722">
        <w:rPr>
          <w:rFonts w:ascii="Arial" w:hAnsi="Arial" w:cs="Arial"/>
          <w:spacing w:val="-2"/>
          <w:lang w:val="tr-TR"/>
        </w:rPr>
        <w:t>Borçlanma maliyetleri gider olarak kaydedilmektedir. Özellikli varlıkla ilişkili borçlanma maliyetleri doğrudan ilgili bulunduğu özellikli varlığın maliyetine dahil edilir. Özellikli bir varlığın amaçlandığı şekilde kullanıma veya satışa hazır hale getirilmesi için gerekli faaliyetlerin tamamen bitirilmesi durumunda, borçlanma maliyetlerinin aktifleştirilmesine son verilir.</w:t>
      </w:r>
    </w:p>
    <w:p w:rsidR="003F3E42" w:rsidRPr="00D00722" w:rsidRDefault="003F3E42" w:rsidP="00942BE7">
      <w:pPr>
        <w:pStyle w:val="BodyTextIndent"/>
        <w:ind w:left="0" w:firstLine="0"/>
        <w:rPr>
          <w:rFonts w:ascii="Arial" w:hAnsi="Arial" w:cs="Arial"/>
          <w:b/>
          <w:color w:val="000000"/>
          <w:sz w:val="20"/>
          <w:lang w:val="tr-TR"/>
        </w:rPr>
      </w:pPr>
    </w:p>
    <w:p w:rsidR="00942BE7" w:rsidRPr="00D00722" w:rsidRDefault="00942BE7" w:rsidP="00942BE7">
      <w:pPr>
        <w:pStyle w:val="BodyTextIndent"/>
        <w:ind w:left="0" w:firstLine="0"/>
        <w:rPr>
          <w:rFonts w:ascii="Arial" w:hAnsi="Arial" w:cs="Arial"/>
          <w:b/>
          <w:color w:val="000000"/>
          <w:sz w:val="20"/>
          <w:lang w:val="tr-TR"/>
        </w:rPr>
      </w:pPr>
      <w:r w:rsidRPr="00D00722">
        <w:rPr>
          <w:rFonts w:ascii="Arial" w:hAnsi="Arial" w:cs="Arial"/>
          <w:b/>
          <w:color w:val="000000"/>
          <w:sz w:val="20"/>
          <w:lang w:val="tr-TR"/>
        </w:rPr>
        <w:t>Finansal araçlar</w:t>
      </w:r>
    </w:p>
    <w:p w:rsidR="00942BE7" w:rsidRPr="00D00722" w:rsidRDefault="00942BE7" w:rsidP="00942BE7">
      <w:pPr>
        <w:pStyle w:val="BodyTextIndent"/>
        <w:ind w:left="0" w:firstLine="0"/>
        <w:rPr>
          <w:rFonts w:ascii="Arial" w:hAnsi="Arial" w:cs="Arial"/>
          <w:color w:val="000000"/>
          <w:sz w:val="20"/>
          <w:u w:val="single"/>
          <w:lang w:val="tr-TR"/>
        </w:rPr>
      </w:pPr>
    </w:p>
    <w:p w:rsidR="00942BE7" w:rsidRPr="00D00722" w:rsidRDefault="00942BE7" w:rsidP="00942BE7">
      <w:pPr>
        <w:pStyle w:val="BodyTextIndent"/>
        <w:rPr>
          <w:rFonts w:ascii="Arial" w:hAnsi="Arial" w:cs="Arial"/>
          <w:color w:val="000000"/>
          <w:sz w:val="20"/>
          <w:u w:val="single"/>
          <w:lang w:val="tr-TR"/>
        </w:rPr>
      </w:pPr>
      <w:r w:rsidRPr="00D00722">
        <w:rPr>
          <w:rFonts w:ascii="Arial" w:hAnsi="Arial" w:cs="Arial"/>
          <w:color w:val="000000"/>
          <w:sz w:val="20"/>
          <w:u w:val="single"/>
          <w:lang w:val="tr-TR"/>
        </w:rPr>
        <w:t>Etkin faiz yöntemi</w:t>
      </w:r>
    </w:p>
    <w:p w:rsidR="00942BE7" w:rsidRPr="00D00722" w:rsidRDefault="00942BE7" w:rsidP="00942BE7">
      <w:pPr>
        <w:autoSpaceDE w:val="0"/>
        <w:autoSpaceDN w:val="0"/>
        <w:adjustRightInd w:val="0"/>
        <w:rPr>
          <w:rFonts w:ascii="Arial" w:hAnsi="Arial" w:cs="Arial"/>
          <w:color w:val="000000"/>
          <w:lang w:val="tr-TR"/>
        </w:rPr>
      </w:pPr>
    </w:p>
    <w:p w:rsidR="00942BE7" w:rsidRPr="00D00722" w:rsidRDefault="00942BE7" w:rsidP="00942BE7">
      <w:pPr>
        <w:pStyle w:val="BodyTextIndent"/>
        <w:ind w:left="0" w:firstLine="0"/>
        <w:rPr>
          <w:rFonts w:ascii="Arial" w:hAnsi="Arial" w:cs="Arial"/>
          <w:color w:val="000000"/>
          <w:sz w:val="20"/>
          <w:lang w:val="tr-TR"/>
        </w:rPr>
      </w:pPr>
      <w:r w:rsidRPr="00D00722">
        <w:rPr>
          <w:rFonts w:ascii="Arial" w:hAnsi="Arial" w:cs="Arial"/>
          <w:color w:val="000000"/>
          <w:sz w:val="20"/>
          <w:lang w:val="tr-TR"/>
        </w:rPr>
        <w:t>Etkin faiz yöntemi, finansal varlığın itfa edilmiş maliyet ile değerlenmesi ve ilgili faiz gelirinin ilişkili olduğu döneme dağıtılması yöntemidir. Etkin faiz oranı; finansal aracın beklenen ömrü boyunca veya uygun olması durumunda daha kısa bir zaman dilimi süresince tahsil edilecek tahmini nakit toplamının, ilgili finansal varlığın tam olarak net bugünkü değerine indirgeyen orandır.</w:t>
      </w:r>
    </w:p>
    <w:p w:rsidR="00942BE7" w:rsidRPr="00D00722" w:rsidRDefault="00942BE7" w:rsidP="00942BE7">
      <w:pPr>
        <w:pStyle w:val="BodyTextIndent"/>
        <w:rPr>
          <w:rFonts w:ascii="Arial" w:hAnsi="Arial" w:cs="Arial"/>
          <w:color w:val="000000"/>
          <w:sz w:val="20"/>
          <w:lang w:val="tr-TR"/>
        </w:rPr>
      </w:pPr>
    </w:p>
    <w:p w:rsidR="00F675A7" w:rsidRPr="00D00722" w:rsidRDefault="00942BE7" w:rsidP="00942BE7">
      <w:pPr>
        <w:rPr>
          <w:rFonts w:ascii="Arial" w:hAnsi="Arial" w:cs="Arial"/>
          <w:color w:val="000000"/>
          <w:lang w:val="tr-TR"/>
        </w:rPr>
      </w:pPr>
      <w:r w:rsidRPr="00D00722">
        <w:rPr>
          <w:rFonts w:ascii="Arial" w:hAnsi="Arial" w:cs="Arial"/>
          <w:color w:val="000000"/>
          <w:lang w:val="tr-TR"/>
        </w:rPr>
        <w:t>Gerçeğe uygun değer farkı kar veya zarara yansıtılan finansal varlıklar dışında sınıflandırılan finansal varlıklar ile ilgili gelirler etkin faiz yöntemi kullanmak suretiyle hesaplanmaktadır.</w:t>
      </w:r>
    </w:p>
    <w:p w:rsidR="00942BE7" w:rsidRPr="00D00722" w:rsidRDefault="00942BE7" w:rsidP="00942BE7">
      <w:pPr>
        <w:rPr>
          <w:rFonts w:ascii="Arial" w:hAnsi="Arial" w:cs="Arial"/>
          <w:color w:val="000000"/>
          <w:lang w:val="tr-TR"/>
        </w:rPr>
      </w:pPr>
    </w:p>
    <w:p w:rsidR="00942BE7" w:rsidRPr="00D00722" w:rsidRDefault="00942BE7" w:rsidP="00942BE7">
      <w:pPr>
        <w:ind w:right="-157"/>
        <w:rPr>
          <w:rFonts w:ascii="Arial" w:hAnsi="Arial" w:cs="Arial"/>
          <w:b/>
          <w:color w:val="000000"/>
          <w:lang w:val="tr-TR"/>
        </w:rPr>
      </w:pPr>
      <w:r w:rsidRPr="00D00722">
        <w:rPr>
          <w:rFonts w:ascii="Arial" w:hAnsi="Arial" w:cs="Arial"/>
          <w:b/>
          <w:color w:val="000000"/>
          <w:lang w:val="tr-TR"/>
        </w:rPr>
        <w:t>Gerçeğe uygun değer farkı kar veya zarara yansıtılan finansal varlıklar</w:t>
      </w:r>
    </w:p>
    <w:p w:rsidR="00942BE7" w:rsidRPr="00D00722" w:rsidRDefault="00942BE7" w:rsidP="00942BE7">
      <w:pPr>
        <w:pStyle w:val="bodycopyindent"/>
        <w:spacing w:before="0" w:line="240" w:lineRule="auto"/>
        <w:ind w:left="0" w:right="-157"/>
        <w:rPr>
          <w:sz w:val="20"/>
          <w:szCs w:val="20"/>
        </w:rPr>
      </w:pPr>
    </w:p>
    <w:p w:rsidR="00942BE7" w:rsidRPr="00D00722" w:rsidRDefault="00942BE7" w:rsidP="00942BE7">
      <w:pPr>
        <w:rPr>
          <w:rFonts w:ascii="Arial" w:hAnsi="Arial" w:cs="Arial"/>
          <w:color w:val="000000"/>
          <w:lang w:val="tr-TR"/>
        </w:rPr>
      </w:pPr>
      <w:r w:rsidRPr="00D00722">
        <w:rPr>
          <w:rFonts w:ascii="Arial" w:hAnsi="Arial" w:cs="Arial"/>
          <w:color w:val="000000"/>
          <w:lang w:val="tr-TR"/>
        </w:rPr>
        <w:t>“Gerçeğe uygun değer farkı kar/zarara yansıtılan finansal varlıklar” olarak sınıflandırılan finansal varlıklar, alım satım amaçlı finansal varlıklar olup piyasada kısa dönemde oluşan fiyat ve benzeri unsurlardaki dalgalanmalardan kar sağlama amacıyla elde edilen veya elde edilme nedeninden bağımsız olarak, kısa dönemde kar sağlamaya yönelik bir portföyün parçası olan finansal varlıklardır.</w:t>
      </w:r>
    </w:p>
    <w:p w:rsidR="00942BE7" w:rsidRPr="00D00722" w:rsidRDefault="00942BE7" w:rsidP="00942BE7">
      <w:pPr>
        <w:rPr>
          <w:rFonts w:ascii="Arial" w:hAnsi="Arial" w:cs="Arial"/>
          <w:color w:val="000000"/>
          <w:lang w:val="tr-TR"/>
        </w:rPr>
      </w:pPr>
    </w:p>
    <w:p w:rsidR="00942BE7" w:rsidRPr="00D00722" w:rsidRDefault="00942BE7" w:rsidP="00942BE7">
      <w:pPr>
        <w:tabs>
          <w:tab w:val="left" w:pos="567"/>
        </w:tabs>
        <w:autoSpaceDE w:val="0"/>
        <w:autoSpaceDN w:val="0"/>
        <w:adjustRightInd w:val="0"/>
        <w:rPr>
          <w:rFonts w:ascii="Arial" w:hAnsi="Arial" w:cs="Arial"/>
          <w:color w:val="000000"/>
          <w:lang w:val="tr-TR"/>
        </w:rPr>
      </w:pPr>
      <w:r w:rsidRPr="00D00722">
        <w:rPr>
          <w:rFonts w:ascii="Arial" w:hAnsi="Arial" w:cs="Arial"/>
          <w:color w:val="000000"/>
          <w:lang w:val="tr-TR"/>
        </w:rPr>
        <w:t xml:space="preserve">Alım satım amaçlı finansal varlıklar ilk olarak kayda alınmalarında gerçeğe uygun değerleri kullanılmakta ve kayda alınmalarını izleyen dönemlerde gerçeğe uygun değerleri ile değerlenmektedir. Yapılan değerleme sonucu oluşan kazanç ve kayıplar kar/zarar hesaplarına dahil edilmektedir. Alım-satım amaçlı finansal varlıkların alım-satımında elde edilen kar veya zarar gelir tablosunda sürdürülen faaliyetlerden brüt kar/(zarar)’a dahil edilir. Alım-satım amaçlı finansal varlıklardan elde edilen faiz ve kupon gelirleri ve gerçeğe uygun değerinde meydana gelen gerçekleşmemiş değer artış ve azalışları sonucu ortaya çıkan tutarlar gelir tablosunda “Esas Faaliyetlerden diğer gelirler/(giderler)” hesabına dahil edilmiştir. </w:t>
      </w:r>
    </w:p>
    <w:p w:rsidR="00942BE7" w:rsidRPr="00D00722" w:rsidRDefault="00942BE7" w:rsidP="00942BE7">
      <w:pPr>
        <w:tabs>
          <w:tab w:val="left" w:pos="567"/>
        </w:tabs>
        <w:autoSpaceDE w:val="0"/>
        <w:autoSpaceDN w:val="0"/>
        <w:adjustRightInd w:val="0"/>
        <w:rPr>
          <w:rFonts w:ascii="Arial" w:hAnsi="Arial" w:cs="Arial"/>
          <w:color w:val="000000"/>
          <w:lang w:val="tr-TR"/>
        </w:rPr>
      </w:pPr>
    </w:p>
    <w:p w:rsidR="00942BE7" w:rsidRPr="00D00722" w:rsidRDefault="00942BE7" w:rsidP="00942BE7">
      <w:pPr>
        <w:tabs>
          <w:tab w:val="left" w:pos="567"/>
        </w:tabs>
        <w:autoSpaceDE w:val="0"/>
        <w:autoSpaceDN w:val="0"/>
        <w:adjustRightInd w:val="0"/>
        <w:rPr>
          <w:rFonts w:ascii="Arial" w:hAnsi="Arial" w:cs="Arial"/>
          <w:color w:val="000000"/>
          <w:lang w:val="tr-TR"/>
        </w:rPr>
      </w:pPr>
      <w:r w:rsidRPr="00D00722">
        <w:rPr>
          <w:rFonts w:ascii="Arial" w:hAnsi="Arial" w:cs="Arial"/>
          <w:color w:val="000000"/>
          <w:lang w:val="tr-TR"/>
        </w:rPr>
        <w:t>Gerçeğe uygun değer farkı kar/zarara yansıtılan finansal varlıklar olarak sınıflandırılan hisse senetleri, devlet iç borçlanma senetleri ve özel kesim tahvil ve senetleri İMKB’de bilanço tarihi itibariyle bekleyen en iyi alış emri üzerinden değerlenmiştir.</w:t>
      </w:r>
    </w:p>
    <w:p w:rsidR="00942BE7" w:rsidRPr="00D00722" w:rsidRDefault="00942BE7" w:rsidP="00942BE7">
      <w:pPr>
        <w:tabs>
          <w:tab w:val="left" w:pos="567"/>
        </w:tabs>
        <w:autoSpaceDE w:val="0"/>
        <w:autoSpaceDN w:val="0"/>
        <w:adjustRightInd w:val="0"/>
        <w:rPr>
          <w:rFonts w:ascii="Arial" w:hAnsi="Arial" w:cs="Arial"/>
          <w:color w:val="000000"/>
          <w:lang w:val="tr-TR"/>
        </w:rPr>
      </w:pPr>
    </w:p>
    <w:p w:rsidR="00942BE7" w:rsidRPr="00D00722" w:rsidRDefault="00942BE7" w:rsidP="00942BE7">
      <w:pPr>
        <w:tabs>
          <w:tab w:val="left" w:pos="567"/>
        </w:tabs>
        <w:autoSpaceDE w:val="0"/>
        <w:autoSpaceDN w:val="0"/>
        <w:adjustRightInd w:val="0"/>
        <w:rPr>
          <w:rFonts w:ascii="Arial" w:hAnsi="Arial" w:cs="Arial"/>
          <w:color w:val="000000"/>
          <w:lang w:val="tr-TR"/>
        </w:rPr>
      </w:pPr>
      <w:r w:rsidRPr="00D00722">
        <w:rPr>
          <w:rFonts w:ascii="Arial" w:hAnsi="Arial" w:cs="Arial"/>
          <w:color w:val="000000"/>
          <w:lang w:val="tr-TR"/>
        </w:rPr>
        <w:t>Alım-satım amaçlı finansal varlıklar işlem tarihi esasına göre kayda alınmakta ve kayıtlardan çıkarılmaktadır.</w:t>
      </w:r>
    </w:p>
    <w:p w:rsidR="00942BE7" w:rsidRPr="00D00722" w:rsidRDefault="00942BE7" w:rsidP="00942BE7">
      <w:pPr>
        <w:rPr>
          <w:rFonts w:ascii="Arial" w:hAnsi="Arial" w:cs="Arial"/>
          <w:lang w:val="tr-TR"/>
        </w:rPr>
      </w:pPr>
    </w:p>
    <w:p w:rsidR="00874616" w:rsidRPr="00D00722" w:rsidRDefault="00874616" w:rsidP="00942BE7">
      <w:pPr>
        <w:rPr>
          <w:rFonts w:ascii="Arial" w:hAnsi="Arial" w:cs="Arial"/>
          <w:b/>
          <w:color w:val="000000"/>
          <w:lang w:val="tr-TR"/>
        </w:rPr>
      </w:pPr>
    </w:p>
    <w:p w:rsidR="003F3E42" w:rsidRPr="00D00722" w:rsidRDefault="003F3E42">
      <w:pPr>
        <w:rPr>
          <w:rFonts w:ascii="Arial" w:hAnsi="Arial" w:cs="Arial"/>
          <w:b/>
          <w:color w:val="000000"/>
          <w:lang w:val="tr-TR"/>
        </w:rPr>
      </w:pPr>
      <w:r w:rsidRPr="00D00722">
        <w:rPr>
          <w:rFonts w:ascii="Arial" w:hAnsi="Arial" w:cs="Arial"/>
          <w:b/>
          <w:color w:val="000000"/>
          <w:lang w:val="tr-TR"/>
        </w:rPr>
        <w:br w:type="page"/>
      </w:r>
    </w:p>
    <w:p w:rsidR="003F3E42" w:rsidRPr="00D00722" w:rsidRDefault="003F3E42" w:rsidP="003F3E42">
      <w:pPr>
        <w:widowControl w:val="0"/>
        <w:rPr>
          <w:rFonts w:ascii="Arial" w:hAnsi="Arial" w:cs="Arial"/>
          <w:b/>
          <w:lang w:val="tr-TR"/>
        </w:rPr>
      </w:pPr>
      <w:r w:rsidRPr="00D00722">
        <w:rPr>
          <w:rFonts w:ascii="Arial" w:hAnsi="Arial" w:cs="Arial"/>
          <w:b/>
          <w:lang w:val="tr-TR"/>
        </w:rPr>
        <w:lastRenderedPageBreak/>
        <w:t>2.</w:t>
      </w:r>
      <w:r w:rsidRPr="00D00722">
        <w:rPr>
          <w:rFonts w:ascii="Arial" w:hAnsi="Arial" w:cs="Arial"/>
          <w:b/>
          <w:lang w:val="tr-TR"/>
        </w:rPr>
        <w:tab/>
        <w:t>Finansal tabloların sunumuna ilişkin esaslar (devamı)</w:t>
      </w:r>
    </w:p>
    <w:p w:rsidR="003F3E42" w:rsidRPr="00D00722" w:rsidRDefault="003F3E42" w:rsidP="00942BE7">
      <w:pPr>
        <w:rPr>
          <w:rFonts w:ascii="Arial" w:hAnsi="Arial" w:cs="Arial"/>
          <w:b/>
          <w:color w:val="000000"/>
          <w:lang w:val="tr-TR"/>
        </w:rPr>
      </w:pPr>
    </w:p>
    <w:p w:rsidR="00942BE7" w:rsidRPr="00D00722" w:rsidRDefault="00942BE7" w:rsidP="00942BE7">
      <w:pPr>
        <w:rPr>
          <w:rFonts w:ascii="Arial" w:hAnsi="Arial" w:cs="Arial"/>
          <w:b/>
          <w:color w:val="000000"/>
          <w:lang w:val="tr-TR"/>
        </w:rPr>
      </w:pPr>
      <w:r w:rsidRPr="00D00722">
        <w:rPr>
          <w:rFonts w:ascii="Arial" w:hAnsi="Arial" w:cs="Arial"/>
          <w:b/>
          <w:color w:val="000000"/>
          <w:lang w:val="tr-TR"/>
        </w:rPr>
        <w:t>Krediler ve alacaklar</w:t>
      </w:r>
    </w:p>
    <w:p w:rsidR="00874616" w:rsidRPr="00D00722" w:rsidRDefault="00874616" w:rsidP="00942BE7">
      <w:pPr>
        <w:rPr>
          <w:rFonts w:ascii="Arial" w:hAnsi="Arial" w:cs="Arial"/>
          <w:color w:val="000000"/>
          <w:lang w:val="tr-TR"/>
        </w:rPr>
      </w:pPr>
    </w:p>
    <w:p w:rsidR="00942BE7" w:rsidRPr="00D00722" w:rsidRDefault="00942BE7" w:rsidP="00942BE7">
      <w:pPr>
        <w:rPr>
          <w:rFonts w:ascii="Arial" w:hAnsi="Arial" w:cs="Arial"/>
          <w:color w:val="000000"/>
          <w:lang w:val="tr-TR"/>
        </w:rPr>
      </w:pPr>
      <w:r w:rsidRPr="00D00722">
        <w:rPr>
          <w:rFonts w:ascii="Arial" w:hAnsi="Arial" w:cs="Arial"/>
          <w:color w:val="000000"/>
          <w:lang w:val="tr-TR"/>
        </w:rPr>
        <w:t>Sabit ve belirlenebilir ödemeleri olan, piyasada işlem görmeyen ticari ve diğer alacaklar ve krediler bu kategoride sınıflandırılır. Krediler ve alacaklar etkin faiz yöntemi kullanılarak iskonto edilmiş maliyeti üzerinden değer düşüklüğü düşülerek gösterilir.</w:t>
      </w:r>
    </w:p>
    <w:p w:rsidR="00942BE7" w:rsidRPr="00D00722" w:rsidRDefault="00942BE7" w:rsidP="00942BE7">
      <w:pPr>
        <w:rPr>
          <w:rFonts w:ascii="Arial" w:hAnsi="Arial" w:cs="Arial"/>
          <w:color w:val="000000"/>
          <w:lang w:val="tr-TR"/>
        </w:rPr>
      </w:pPr>
    </w:p>
    <w:p w:rsidR="00942BE7" w:rsidRPr="00D00722" w:rsidRDefault="00942BE7" w:rsidP="00942BE7">
      <w:pPr>
        <w:pStyle w:val="bodycopyindent"/>
        <w:spacing w:before="0" w:line="240" w:lineRule="auto"/>
        <w:ind w:left="0"/>
        <w:rPr>
          <w:b/>
          <w:sz w:val="20"/>
          <w:szCs w:val="20"/>
        </w:rPr>
      </w:pPr>
      <w:r w:rsidRPr="00D00722">
        <w:rPr>
          <w:b/>
          <w:sz w:val="20"/>
          <w:szCs w:val="20"/>
        </w:rPr>
        <w:t>Finansal varlıklarda değer düşüklüğü</w:t>
      </w:r>
    </w:p>
    <w:p w:rsidR="00942BE7" w:rsidRPr="00D00722" w:rsidRDefault="00942BE7" w:rsidP="00942BE7">
      <w:pPr>
        <w:ind w:firstLine="567"/>
        <w:rPr>
          <w:rFonts w:ascii="Arial" w:hAnsi="Arial" w:cs="Arial"/>
          <w:color w:val="000000"/>
          <w:lang w:val="tr-TR"/>
        </w:rPr>
      </w:pPr>
    </w:p>
    <w:p w:rsidR="00942BE7" w:rsidRPr="00D00722" w:rsidRDefault="00942BE7" w:rsidP="00942BE7">
      <w:pPr>
        <w:rPr>
          <w:rFonts w:ascii="Arial" w:hAnsi="Arial" w:cs="Arial"/>
          <w:color w:val="000000"/>
          <w:lang w:val="tr-TR"/>
        </w:rPr>
      </w:pPr>
      <w:r w:rsidRPr="00D00722">
        <w:rPr>
          <w:rFonts w:ascii="Arial" w:hAnsi="Arial" w:cs="Arial"/>
          <w:color w:val="000000"/>
          <w:lang w:val="tr-TR"/>
        </w:rPr>
        <w:t>Gerçeğe uygun değer farkı kar veya zarara yansıtılan finansal varlıklar dışındaki finansal varlık veya finansal varlık grupları, her bilanço tarihinde değer düşüklüğüne uğradıklarına ilişkin göstergelerin bulunup bulunmadığına dair değerlendirmeye tabi tutulur. Finansal varlığın ilk muhasebeleştirilmesinden sonra bir veya birden fazla olayın meydana gelmesi ve söz konusu olayın ilgili finansal varlık veya varlık grubunun güvenilir bir biçimde tahmin edilebilen gelecekteki nakit akımları üzerindeki olumsuz etkisi sonucunda ilgili finansal varlığın değer düşüklüğüne uğradığına ilişkin tarafsız bir göstergenin bulunması durumunda değer düşüklüğü zararı oluşur. Kredi ve alacaklar için değer düşüklüğü tutarı gelecekte beklenen tahmini nakit akımlarının finansal varlığın etkin faiz oranı üzerinden iskonto edilerek hesaplanan bugünkü değeri ile defter değeri arasındaki farktır.</w:t>
      </w:r>
    </w:p>
    <w:p w:rsidR="00A27292" w:rsidRPr="00D00722" w:rsidRDefault="00A27292">
      <w:pPr>
        <w:rPr>
          <w:rFonts w:ascii="Arial" w:hAnsi="Arial" w:cs="Arial"/>
          <w:lang w:val="tr-TR"/>
        </w:rPr>
      </w:pPr>
    </w:p>
    <w:p w:rsidR="00942BE7" w:rsidRPr="00D00722" w:rsidRDefault="00942BE7" w:rsidP="00942BE7">
      <w:pPr>
        <w:pStyle w:val="bodycopyindent"/>
        <w:spacing w:before="0" w:line="240" w:lineRule="auto"/>
        <w:ind w:left="0"/>
        <w:rPr>
          <w:sz w:val="20"/>
          <w:szCs w:val="20"/>
        </w:rPr>
      </w:pPr>
      <w:r w:rsidRPr="00D00722">
        <w:rPr>
          <w:sz w:val="20"/>
          <w:szCs w:val="20"/>
        </w:rPr>
        <w:t xml:space="preserve">Bir karşılık hesabının kullanılması yoluyla defter değerinin azaltıldığı ticari alacaklar haricinde bütün finansal varlıklarda, değer düşüklüğü doğrudan ilgili finansal varlığın kayıtlı değerinden düşülür. Ticari alacağın tahsil edilememesi durumunda söz konusu tutar karşılık hesabından düşülerek silinir. Karşılık hesabındaki değişimler gelir tablosunda muhasebeleştirilir. </w:t>
      </w:r>
    </w:p>
    <w:p w:rsidR="00942BE7" w:rsidRPr="00D00722" w:rsidRDefault="00942BE7" w:rsidP="00942BE7">
      <w:pPr>
        <w:rPr>
          <w:rFonts w:ascii="Arial" w:hAnsi="Arial" w:cs="Arial"/>
          <w:color w:val="000000"/>
          <w:lang w:val="tr-TR"/>
        </w:rPr>
      </w:pPr>
    </w:p>
    <w:p w:rsidR="00942BE7" w:rsidRPr="00D00722" w:rsidRDefault="00942BE7" w:rsidP="00942BE7">
      <w:pPr>
        <w:rPr>
          <w:rFonts w:ascii="Arial" w:hAnsi="Arial" w:cs="Arial"/>
        </w:rPr>
      </w:pPr>
      <w:r w:rsidRPr="00D00722">
        <w:rPr>
          <w:rFonts w:ascii="Arial" w:hAnsi="Arial" w:cs="Arial"/>
        </w:rPr>
        <w:t xml:space="preserve">Satılmaya hazır özsermaye araçları haricinde, değer düşüklüğü zararı sonraki dönemde azalırsa ve azalış değer düşüklüğü zararının muhasebeleştirilmesi sonrasında meydana gelen bir olayla ilişkilendirilebiliyorsa, önceden muhasebeleştirilen değer düşüklüğü zararı değer düşüklüğünün iptal edileceği tarihte yatırımın değer düşüklüğü hiçbir zaman muhasabeleştirilmemiş olması durumunda ulaşacağı itfa edilmiş maliyet tutarını aşmayacak şekilde gelir tablosunda iptal edilir. </w:t>
      </w:r>
      <w:proofErr w:type="gramStart"/>
      <w:r w:rsidRPr="00D00722">
        <w:rPr>
          <w:rFonts w:ascii="Arial" w:hAnsi="Arial" w:cs="Arial"/>
        </w:rPr>
        <w:t>Satılmaya hazır özsermaye araçlarının gerçeğe uygun değerinde değer düşüklüğü sonrasında meydana gelen artış, doğrudan özsermayede muhasebeleştirilir.</w:t>
      </w:r>
      <w:proofErr w:type="gramEnd"/>
    </w:p>
    <w:p w:rsidR="00942BE7" w:rsidRPr="00D00722" w:rsidRDefault="00942BE7" w:rsidP="00942BE7">
      <w:pPr>
        <w:rPr>
          <w:rFonts w:ascii="Arial" w:hAnsi="Arial" w:cs="Arial"/>
        </w:rPr>
      </w:pPr>
    </w:p>
    <w:p w:rsidR="00942BE7" w:rsidRPr="00D00722" w:rsidRDefault="00942BE7" w:rsidP="00942BE7">
      <w:pPr>
        <w:pStyle w:val="BodyTextIndent"/>
        <w:ind w:left="0" w:firstLine="0"/>
        <w:rPr>
          <w:rFonts w:ascii="Arial" w:hAnsi="Arial" w:cs="Arial"/>
          <w:b/>
          <w:sz w:val="20"/>
          <w:lang w:val="tr-TR"/>
        </w:rPr>
      </w:pPr>
      <w:r w:rsidRPr="00D00722">
        <w:rPr>
          <w:rFonts w:ascii="Arial" w:hAnsi="Arial" w:cs="Arial"/>
          <w:b/>
          <w:sz w:val="20"/>
          <w:lang w:val="tr-TR"/>
        </w:rPr>
        <w:t>Nakit ve nakit benzerleri</w:t>
      </w:r>
    </w:p>
    <w:p w:rsidR="00942BE7" w:rsidRPr="00D00722" w:rsidRDefault="00942BE7" w:rsidP="00942BE7">
      <w:pPr>
        <w:autoSpaceDE w:val="0"/>
        <w:autoSpaceDN w:val="0"/>
        <w:adjustRightInd w:val="0"/>
        <w:rPr>
          <w:rFonts w:ascii="Arial" w:hAnsi="Arial" w:cs="Arial"/>
          <w:lang w:val="tr-TR"/>
        </w:rPr>
      </w:pPr>
    </w:p>
    <w:p w:rsidR="00942BE7" w:rsidRPr="00D00722" w:rsidRDefault="00942BE7" w:rsidP="00942BE7">
      <w:pPr>
        <w:rPr>
          <w:rFonts w:ascii="Arial" w:hAnsi="Arial" w:cs="Arial"/>
          <w:lang w:val="tr-TR"/>
        </w:rPr>
      </w:pPr>
      <w:r w:rsidRPr="00D00722">
        <w:rPr>
          <w:rFonts w:ascii="Arial" w:hAnsi="Arial" w:cs="Arial"/>
        </w:rPr>
        <w:t>Nakit ve nakit benzeri kalemleri, nakit para, vadesiz mevduat ve satın alım tarihinden itibaren orijinal vadeleri 3 ay veya 3 aydan daha az olan, hemen nakde çevrilebilecek olan ve önemli tutarda değer değişikliği riski taşımayan yüksek likiditeye sahip diğer kısa vadeli yatırımlardır.</w:t>
      </w:r>
    </w:p>
    <w:p w:rsidR="00F675A7" w:rsidRPr="00D00722" w:rsidRDefault="00F675A7" w:rsidP="00CE39DB">
      <w:pPr>
        <w:rPr>
          <w:rFonts w:ascii="Arial" w:hAnsi="Arial" w:cs="Arial"/>
          <w:lang w:val="tr-TR"/>
        </w:rPr>
      </w:pPr>
    </w:p>
    <w:p w:rsidR="00942BE7" w:rsidRPr="00D00722" w:rsidRDefault="00942BE7" w:rsidP="00942BE7">
      <w:pPr>
        <w:autoSpaceDE w:val="0"/>
        <w:autoSpaceDN w:val="0"/>
        <w:adjustRightInd w:val="0"/>
        <w:rPr>
          <w:rFonts w:ascii="Arial" w:hAnsi="Arial" w:cs="Arial"/>
          <w:b/>
          <w:color w:val="000000"/>
          <w:lang w:val="tr-TR"/>
        </w:rPr>
      </w:pPr>
      <w:r w:rsidRPr="00D00722">
        <w:rPr>
          <w:rFonts w:ascii="Arial" w:hAnsi="Arial" w:cs="Arial"/>
          <w:b/>
          <w:color w:val="000000"/>
          <w:lang w:val="tr-TR"/>
        </w:rPr>
        <w:t>Finansal yükümlülükler</w:t>
      </w:r>
    </w:p>
    <w:p w:rsidR="00942BE7" w:rsidRPr="00D00722" w:rsidRDefault="00942BE7" w:rsidP="00942BE7">
      <w:pPr>
        <w:suppressAutoHyphens/>
        <w:rPr>
          <w:rFonts w:ascii="Arial" w:hAnsi="Arial" w:cs="Arial"/>
          <w:color w:val="000000"/>
          <w:lang w:val="tr-TR"/>
        </w:rPr>
      </w:pPr>
    </w:p>
    <w:p w:rsidR="00942BE7" w:rsidRPr="00D00722" w:rsidRDefault="00942BE7" w:rsidP="00942BE7">
      <w:pPr>
        <w:suppressAutoHyphens/>
        <w:rPr>
          <w:rFonts w:ascii="Arial" w:hAnsi="Arial" w:cs="Arial"/>
          <w:color w:val="000000"/>
          <w:lang w:val="tr-TR"/>
        </w:rPr>
      </w:pPr>
      <w:r w:rsidRPr="00D00722">
        <w:rPr>
          <w:rFonts w:ascii="Arial" w:hAnsi="Arial" w:cs="Arial"/>
          <w:color w:val="000000"/>
          <w:lang w:val="tr-TR"/>
        </w:rPr>
        <w:t>Şirket’in finansal yükümlülükleri ve</w:t>
      </w:r>
      <w:r w:rsidR="00645B10" w:rsidRPr="00D00722">
        <w:rPr>
          <w:rFonts w:ascii="Arial" w:hAnsi="Arial" w:cs="Arial"/>
          <w:color w:val="000000"/>
          <w:lang w:val="tr-TR"/>
        </w:rPr>
        <w:t xml:space="preserve"> </w:t>
      </w:r>
      <w:r w:rsidRPr="00D00722">
        <w:rPr>
          <w:rFonts w:ascii="Arial" w:hAnsi="Arial" w:cs="Arial"/>
          <w:color w:val="000000"/>
          <w:lang w:val="tr-TR"/>
        </w:rPr>
        <w:t>araçları, sözleşmeye bağlı düzenlemelere, finansal bir yükümlülüğün ve özkaynağa dayalı bir aracın tanımlanma esasına göre sınıflandırılır. Şirket’in tüm borçları düşüldükten sonra kalan varlıklarındaki hakkı temsil eden sözleşme özkaynağa dayalı finansal araçtır. Belirli finansal yükümlülükler ve özkaynağa dayalı finansal araçlar için uygulanan muhasebe politikaları aşağıda belirtilmiştir.</w:t>
      </w:r>
    </w:p>
    <w:p w:rsidR="003F3E42" w:rsidRPr="00D00722" w:rsidRDefault="003F3E42">
      <w:pPr>
        <w:rPr>
          <w:rFonts w:ascii="Arial" w:hAnsi="Arial" w:cs="Arial"/>
          <w:b/>
          <w:lang w:val="tr-TR"/>
        </w:rPr>
      </w:pPr>
      <w:r w:rsidRPr="00D00722">
        <w:rPr>
          <w:rFonts w:ascii="Arial" w:hAnsi="Arial" w:cs="Arial"/>
          <w:b/>
          <w:lang w:val="tr-TR"/>
        </w:rPr>
        <w:br w:type="page"/>
      </w:r>
    </w:p>
    <w:p w:rsidR="003F3E42" w:rsidRPr="00D00722" w:rsidRDefault="003F3E42" w:rsidP="003F3E42">
      <w:pPr>
        <w:ind w:right="-23"/>
        <w:rPr>
          <w:rFonts w:ascii="Arial" w:hAnsi="Arial" w:cs="Arial"/>
          <w:b/>
          <w:lang w:val="tr-TR"/>
        </w:rPr>
      </w:pPr>
      <w:r w:rsidRPr="00D00722">
        <w:rPr>
          <w:rFonts w:ascii="Arial" w:hAnsi="Arial" w:cs="Arial"/>
          <w:b/>
          <w:lang w:val="tr-TR"/>
        </w:rPr>
        <w:lastRenderedPageBreak/>
        <w:t>2.</w:t>
      </w:r>
      <w:r w:rsidRPr="00D00722">
        <w:rPr>
          <w:rFonts w:ascii="Arial" w:hAnsi="Arial" w:cs="Arial"/>
          <w:b/>
          <w:lang w:val="tr-TR"/>
        </w:rPr>
        <w:tab/>
        <w:t>Finansal tabloların sunumuna ilişkin esaslar (devamı)</w:t>
      </w:r>
    </w:p>
    <w:p w:rsidR="00F675A7" w:rsidRPr="00D00722" w:rsidRDefault="00F675A7" w:rsidP="00CE39DB">
      <w:pPr>
        <w:rPr>
          <w:rFonts w:ascii="Arial" w:hAnsi="Arial" w:cs="Arial"/>
          <w:lang w:val="tr-TR"/>
        </w:rPr>
      </w:pPr>
    </w:p>
    <w:p w:rsidR="00942BE7" w:rsidRPr="00D00722" w:rsidRDefault="00942BE7" w:rsidP="00942BE7">
      <w:pPr>
        <w:rPr>
          <w:rFonts w:ascii="Arial" w:hAnsi="Arial" w:cs="Arial"/>
          <w:b/>
          <w:spacing w:val="-2"/>
          <w:lang w:val="tr-TR"/>
        </w:rPr>
      </w:pPr>
      <w:r w:rsidRPr="00D00722">
        <w:rPr>
          <w:rFonts w:ascii="Arial" w:hAnsi="Arial" w:cs="Arial"/>
          <w:b/>
          <w:spacing w:val="-2"/>
          <w:lang w:val="tr-TR"/>
        </w:rPr>
        <w:t>Diğer finansal yükümlülükler</w:t>
      </w:r>
    </w:p>
    <w:p w:rsidR="00942BE7" w:rsidRPr="00D00722" w:rsidRDefault="00942BE7" w:rsidP="00942BE7">
      <w:pPr>
        <w:pStyle w:val="bodycopyindent"/>
        <w:spacing w:before="0" w:line="240" w:lineRule="auto"/>
        <w:ind w:left="0" w:right="-23"/>
        <w:rPr>
          <w:sz w:val="20"/>
          <w:szCs w:val="20"/>
        </w:rPr>
      </w:pPr>
    </w:p>
    <w:p w:rsidR="00942BE7" w:rsidRPr="00D00722" w:rsidRDefault="00942BE7" w:rsidP="00942BE7">
      <w:pPr>
        <w:rPr>
          <w:rFonts w:ascii="Arial" w:hAnsi="Arial" w:cs="Arial"/>
          <w:spacing w:val="-2"/>
          <w:lang w:val="tr-TR"/>
        </w:rPr>
      </w:pPr>
      <w:r w:rsidRPr="00D00722">
        <w:rPr>
          <w:rFonts w:ascii="Arial" w:hAnsi="Arial" w:cs="Arial"/>
          <w:spacing w:val="-2"/>
          <w:lang w:val="tr-TR"/>
        </w:rPr>
        <w:t xml:space="preserve">Diğer finansal yükümlülükler başlangıçta işlem maliyetlerinden arındırılmış gerçeğe uygun değerleriyle muhasebeleştirilir. </w:t>
      </w:r>
    </w:p>
    <w:p w:rsidR="00942BE7" w:rsidRPr="00D00722" w:rsidRDefault="00942BE7" w:rsidP="00942BE7">
      <w:pPr>
        <w:rPr>
          <w:rFonts w:ascii="Arial" w:hAnsi="Arial" w:cs="Arial"/>
          <w:spacing w:val="-2"/>
          <w:lang w:val="tr-TR"/>
        </w:rPr>
      </w:pPr>
    </w:p>
    <w:p w:rsidR="00942BE7" w:rsidRPr="00D00722" w:rsidRDefault="00942BE7" w:rsidP="00942BE7">
      <w:pPr>
        <w:rPr>
          <w:rFonts w:ascii="Arial" w:hAnsi="Arial" w:cs="Arial"/>
          <w:spacing w:val="-2"/>
          <w:lang w:val="tr-TR"/>
        </w:rPr>
      </w:pPr>
      <w:r w:rsidRPr="00D00722">
        <w:rPr>
          <w:rFonts w:ascii="Arial" w:hAnsi="Arial" w:cs="Arial"/>
          <w:spacing w:val="-2"/>
          <w:lang w:val="tr-TR"/>
        </w:rPr>
        <w:t xml:space="preserve">Diğer finansal yükümlülükler sonraki dönemlerde etkin faiz oranı üzerinden hesaplanan faiz gideri ile birlikte etkin faiz yöntemi kullanılarak itfa edilmiş maliyet bedelinden muhasebeleştirilir. </w:t>
      </w:r>
    </w:p>
    <w:p w:rsidR="00942BE7" w:rsidRPr="00D00722" w:rsidRDefault="00942BE7" w:rsidP="00942BE7">
      <w:pPr>
        <w:rPr>
          <w:rFonts w:ascii="Arial" w:hAnsi="Arial" w:cs="Arial"/>
          <w:spacing w:val="-2"/>
          <w:lang w:val="tr-TR"/>
        </w:rPr>
      </w:pPr>
    </w:p>
    <w:p w:rsidR="00942BE7" w:rsidRPr="00D00722" w:rsidRDefault="00942BE7" w:rsidP="00942BE7">
      <w:pPr>
        <w:rPr>
          <w:rFonts w:ascii="Arial" w:hAnsi="Arial" w:cs="Arial"/>
          <w:spacing w:val="-2"/>
          <w:lang w:val="tr-TR"/>
        </w:rPr>
      </w:pPr>
      <w:r w:rsidRPr="00D00722">
        <w:rPr>
          <w:rFonts w:ascii="Arial" w:hAnsi="Arial" w:cs="Arial"/>
          <w:spacing w:val="-2"/>
          <w:lang w:val="tr-TR"/>
        </w:rPr>
        <w:t>Etkin faiz yöntemi, finansal yükümlülüğün itfa edilmiş maliyetlerinin hesaplanması ve ilgili faiz giderinin ilişkili olduğu döneme dağıtılması yöntemidir. Etkin faiz oranı; finansal aracın beklenen ömrü boyunca veya uygun olması halinde daha kısa bir zaman dilimi süresince gelecekte yapılacak tahmini nakit ödemelerini tam olarak ilgili finansal yükümlülüğün net bugünkü değerine indirgeyen orandır.</w:t>
      </w:r>
    </w:p>
    <w:p w:rsidR="007F0A35" w:rsidRPr="00D00722" w:rsidRDefault="007F0A35" w:rsidP="00942BE7">
      <w:pPr>
        <w:ind w:right="-23"/>
        <w:rPr>
          <w:rFonts w:ascii="Arial" w:hAnsi="Arial" w:cs="Arial"/>
          <w:b/>
          <w:lang w:val="tr-TR"/>
        </w:rPr>
      </w:pPr>
    </w:p>
    <w:p w:rsidR="00942BE7" w:rsidRPr="00D00722" w:rsidRDefault="00942BE7" w:rsidP="00942BE7">
      <w:pPr>
        <w:ind w:right="-23"/>
        <w:rPr>
          <w:rFonts w:ascii="Arial" w:hAnsi="Arial" w:cs="Arial"/>
          <w:b/>
          <w:lang w:val="tr-TR"/>
        </w:rPr>
      </w:pPr>
      <w:r w:rsidRPr="00D00722">
        <w:rPr>
          <w:rFonts w:ascii="Arial" w:hAnsi="Arial" w:cs="Arial"/>
          <w:b/>
          <w:lang w:val="tr-TR"/>
        </w:rPr>
        <w:t>Kur değişiminin etkileri</w:t>
      </w:r>
    </w:p>
    <w:p w:rsidR="00942BE7" w:rsidRPr="00D00722" w:rsidRDefault="00942BE7" w:rsidP="00942BE7">
      <w:pPr>
        <w:ind w:right="-23"/>
        <w:rPr>
          <w:rFonts w:ascii="Arial" w:hAnsi="Arial" w:cs="Arial"/>
          <w:lang w:val="tr-TR"/>
        </w:rPr>
      </w:pPr>
    </w:p>
    <w:p w:rsidR="00942BE7" w:rsidRPr="00D00722" w:rsidRDefault="00942BE7" w:rsidP="00942BE7">
      <w:pPr>
        <w:autoSpaceDE w:val="0"/>
        <w:autoSpaceDN w:val="0"/>
        <w:adjustRightInd w:val="0"/>
        <w:rPr>
          <w:rFonts w:ascii="Arial" w:hAnsi="Arial" w:cs="Arial"/>
          <w:lang w:val="tr-TR"/>
        </w:rPr>
      </w:pPr>
      <w:r w:rsidRPr="00D00722">
        <w:rPr>
          <w:rFonts w:ascii="Arial" w:hAnsi="Arial" w:cs="Arial"/>
          <w:lang w:val="tr-TR"/>
        </w:rPr>
        <w:t>Şirket’in finansal tabloları, faaliyette bulunduğu temel ekonomik çevrede geçerli olan para birimi (fonksiyonel para birimi) ile sunulmuştur. Şirket’in mali durumu ve faaliyet sonucu, Şirket’in geçerli para birimi olan ve finansal tablo için sunum para birimi olan TL cinsinden ifade edilmiştir.</w:t>
      </w:r>
    </w:p>
    <w:p w:rsidR="00942BE7" w:rsidRPr="00D00722" w:rsidRDefault="00942BE7" w:rsidP="00942BE7">
      <w:pPr>
        <w:autoSpaceDE w:val="0"/>
        <w:autoSpaceDN w:val="0"/>
        <w:adjustRightInd w:val="0"/>
        <w:rPr>
          <w:rFonts w:ascii="Arial" w:hAnsi="Arial" w:cs="Arial"/>
          <w:color w:val="000000"/>
          <w:lang w:val="tr-TR"/>
        </w:rPr>
      </w:pPr>
    </w:p>
    <w:p w:rsidR="000C6CAB" w:rsidRPr="00D00722" w:rsidRDefault="00942BE7" w:rsidP="00942BE7">
      <w:pPr>
        <w:autoSpaceDE w:val="0"/>
        <w:autoSpaceDN w:val="0"/>
        <w:adjustRightInd w:val="0"/>
        <w:rPr>
          <w:rFonts w:ascii="Arial" w:hAnsi="Arial" w:cs="Arial"/>
          <w:color w:val="000000"/>
          <w:lang w:val="tr-TR"/>
        </w:rPr>
      </w:pPr>
      <w:r w:rsidRPr="00D00722">
        <w:rPr>
          <w:rFonts w:ascii="Arial" w:hAnsi="Arial" w:cs="Arial"/>
          <w:color w:val="000000"/>
          <w:lang w:val="tr-TR"/>
        </w:rPr>
        <w:t xml:space="preserve">Şirket’in finansal tablolarının hazırlanması sırasında yabancı para cinsinden (TL dışındaki para birimleri) gerçekleşen işlemler, işlem tarihindeki kurlar esas alınmak suretiyle kaydedilmektedir. </w:t>
      </w:r>
    </w:p>
    <w:p w:rsidR="000C6CAB" w:rsidRPr="00D00722" w:rsidRDefault="000C6CAB" w:rsidP="00942BE7">
      <w:pPr>
        <w:autoSpaceDE w:val="0"/>
        <w:autoSpaceDN w:val="0"/>
        <w:adjustRightInd w:val="0"/>
        <w:rPr>
          <w:rFonts w:ascii="Arial" w:hAnsi="Arial" w:cs="Arial"/>
          <w:color w:val="000000"/>
          <w:lang w:val="tr-TR"/>
        </w:rPr>
      </w:pPr>
    </w:p>
    <w:p w:rsidR="00A27292" w:rsidRPr="00D00722" w:rsidRDefault="00942BE7" w:rsidP="007F0A35">
      <w:pPr>
        <w:autoSpaceDE w:val="0"/>
        <w:autoSpaceDN w:val="0"/>
        <w:adjustRightInd w:val="0"/>
        <w:rPr>
          <w:rFonts w:ascii="Arial" w:hAnsi="Arial" w:cs="Arial"/>
          <w:color w:val="000000"/>
          <w:lang w:val="tr-TR"/>
        </w:rPr>
      </w:pPr>
      <w:r w:rsidRPr="00D00722">
        <w:rPr>
          <w:rFonts w:ascii="Arial" w:hAnsi="Arial" w:cs="Arial"/>
          <w:color w:val="000000"/>
          <w:lang w:val="tr-TR"/>
        </w:rPr>
        <w:t>Bilançoda yer alan dövize endeksli parasal varlık ve yükümlülükler bilanço tarihinde geçerli olan kurlar kullanılmak suretiyle Türk Lirası’na çevrilmektedir.</w:t>
      </w:r>
    </w:p>
    <w:p w:rsidR="00942BE7" w:rsidRPr="00D00722" w:rsidRDefault="00942BE7" w:rsidP="00942BE7">
      <w:pPr>
        <w:autoSpaceDE w:val="0"/>
        <w:autoSpaceDN w:val="0"/>
        <w:adjustRightInd w:val="0"/>
        <w:rPr>
          <w:rFonts w:ascii="Arial" w:hAnsi="Arial" w:cs="Arial"/>
          <w:color w:val="000000"/>
          <w:lang w:val="tr-TR"/>
        </w:rPr>
      </w:pPr>
    </w:p>
    <w:p w:rsidR="00942BE7" w:rsidRPr="00D00722" w:rsidRDefault="00942BE7" w:rsidP="00942BE7">
      <w:pPr>
        <w:ind w:right="-23"/>
        <w:rPr>
          <w:rFonts w:ascii="Arial" w:hAnsi="Arial" w:cs="Arial"/>
          <w:b/>
          <w:lang w:val="tr-TR"/>
        </w:rPr>
      </w:pPr>
      <w:r w:rsidRPr="00D00722">
        <w:rPr>
          <w:rFonts w:ascii="Arial" w:hAnsi="Arial" w:cs="Arial"/>
          <w:b/>
          <w:lang w:val="tr-TR"/>
        </w:rPr>
        <w:t>Hisse başına kazanç</w:t>
      </w:r>
    </w:p>
    <w:p w:rsidR="00942BE7" w:rsidRPr="00D00722" w:rsidRDefault="00942BE7" w:rsidP="00942BE7">
      <w:pPr>
        <w:ind w:right="-23"/>
        <w:rPr>
          <w:rFonts w:ascii="Arial" w:hAnsi="Arial" w:cs="Arial"/>
          <w:lang w:val="tr-TR"/>
        </w:rPr>
      </w:pPr>
    </w:p>
    <w:p w:rsidR="00942BE7" w:rsidRPr="00D00722" w:rsidRDefault="00C33B4D" w:rsidP="00942BE7">
      <w:pPr>
        <w:rPr>
          <w:rFonts w:ascii="Arial" w:hAnsi="Arial" w:cs="Arial"/>
          <w:color w:val="000000"/>
          <w:lang w:val="tr-TR"/>
        </w:rPr>
      </w:pPr>
      <w:r w:rsidRPr="00D00722">
        <w:rPr>
          <w:rFonts w:ascii="Arial" w:hAnsi="Arial" w:cs="Arial"/>
          <w:color w:val="000000"/>
          <w:lang w:val="tr-TR"/>
        </w:rPr>
        <w:t>T</w:t>
      </w:r>
      <w:r w:rsidR="00942BE7" w:rsidRPr="00D00722">
        <w:rPr>
          <w:rFonts w:ascii="Arial" w:hAnsi="Arial" w:cs="Arial"/>
          <w:color w:val="000000"/>
          <w:lang w:val="tr-TR"/>
        </w:rPr>
        <w:t>MS 33 “Hisse Başına Kazanç” standardına göre, hisse senetleri borsada işlem görmeyen işletmeler hisse başına kazanç açıklamak zorunda değildirler. Şirket’in hisseleri borsada işlem görmediğinden ekli finansal tablolarda hisse başına kazanç/zarar hesaplanmamıştır.</w:t>
      </w:r>
    </w:p>
    <w:p w:rsidR="00942BE7" w:rsidRPr="00D00722" w:rsidRDefault="00942BE7" w:rsidP="00942BE7">
      <w:pPr>
        <w:rPr>
          <w:rFonts w:ascii="Arial" w:hAnsi="Arial" w:cs="Arial"/>
          <w:color w:val="000000"/>
          <w:lang w:val="tr-TR"/>
        </w:rPr>
      </w:pPr>
    </w:p>
    <w:p w:rsidR="00942BE7" w:rsidRPr="00D00722" w:rsidRDefault="00942BE7" w:rsidP="00942BE7">
      <w:pPr>
        <w:rPr>
          <w:rFonts w:ascii="Arial" w:hAnsi="Arial" w:cs="Arial"/>
          <w:b/>
          <w:spacing w:val="-2"/>
          <w:lang w:val="tr-TR"/>
        </w:rPr>
      </w:pPr>
      <w:r w:rsidRPr="00D00722">
        <w:rPr>
          <w:rFonts w:ascii="Arial" w:hAnsi="Arial" w:cs="Arial"/>
          <w:b/>
          <w:spacing w:val="-2"/>
          <w:lang w:val="tr-TR"/>
        </w:rPr>
        <w:t>Bilanço tarihinden sonraki olaylar</w:t>
      </w:r>
    </w:p>
    <w:p w:rsidR="00942BE7" w:rsidRPr="00D00722" w:rsidRDefault="00942BE7" w:rsidP="00942BE7">
      <w:pPr>
        <w:autoSpaceDE w:val="0"/>
        <w:autoSpaceDN w:val="0"/>
        <w:adjustRightInd w:val="0"/>
        <w:rPr>
          <w:rFonts w:ascii="Arial" w:hAnsi="Arial" w:cs="Arial"/>
          <w:lang w:val="tr-TR"/>
        </w:rPr>
      </w:pPr>
    </w:p>
    <w:p w:rsidR="00942BE7" w:rsidRPr="00D00722" w:rsidRDefault="00942BE7" w:rsidP="00942BE7">
      <w:pPr>
        <w:rPr>
          <w:rFonts w:ascii="Arial" w:hAnsi="Arial" w:cs="Arial"/>
          <w:color w:val="000000"/>
          <w:lang w:val="tr-TR"/>
        </w:rPr>
      </w:pPr>
      <w:r w:rsidRPr="00D00722">
        <w:rPr>
          <w:rFonts w:ascii="Arial" w:hAnsi="Arial" w:cs="Arial"/>
          <w:color w:val="000000"/>
          <w:lang w:val="tr-TR"/>
        </w:rPr>
        <w:t>Bilanço tarihinden sonraki olaylar; kara ilişkin herhangi bir duyuru veya diğer seçilmiş finansal bilgilerin kamuya açıklanmasından sonra ortaya çıkmış olsalar bile, bilanço tarihi ile bilançonun yayımı için yetkilendirilme tarihi arasındaki tüm olayları kapsar.</w:t>
      </w:r>
    </w:p>
    <w:p w:rsidR="00942BE7" w:rsidRPr="00D00722" w:rsidRDefault="00942BE7" w:rsidP="00942BE7">
      <w:pPr>
        <w:rPr>
          <w:rFonts w:ascii="Arial" w:hAnsi="Arial" w:cs="Arial"/>
          <w:color w:val="000000"/>
          <w:lang w:val="tr-TR"/>
        </w:rPr>
      </w:pPr>
    </w:p>
    <w:p w:rsidR="00942BE7" w:rsidRPr="00D00722" w:rsidRDefault="00942BE7" w:rsidP="00942BE7">
      <w:pPr>
        <w:rPr>
          <w:rFonts w:ascii="Arial" w:hAnsi="Arial" w:cs="Arial"/>
          <w:color w:val="000000"/>
          <w:lang w:val="tr-TR"/>
        </w:rPr>
      </w:pPr>
      <w:r w:rsidRPr="00D00722">
        <w:rPr>
          <w:rFonts w:ascii="Arial" w:hAnsi="Arial" w:cs="Arial"/>
          <w:color w:val="000000"/>
          <w:lang w:val="tr-TR"/>
        </w:rPr>
        <w:t>Şirket’in, bilanço tarihinden sonraki düzeltme gerektiren olayların ortaya çıkması durumunda, finansal tablolara alınan tutarları bu yeni duruma uygun şekilde düzeltir.</w:t>
      </w:r>
    </w:p>
    <w:p w:rsidR="00942BE7" w:rsidRPr="00D00722" w:rsidRDefault="00942BE7" w:rsidP="00942BE7">
      <w:pPr>
        <w:rPr>
          <w:rFonts w:ascii="Arial" w:hAnsi="Arial" w:cs="Arial"/>
          <w:lang w:val="tr-TR"/>
        </w:rPr>
      </w:pPr>
    </w:p>
    <w:p w:rsidR="00942BE7" w:rsidRPr="00D00722" w:rsidRDefault="00942BE7" w:rsidP="00942BE7">
      <w:pPr>
        <w:rPr>
          <w:rFonts w:ascii="Arial" w:hAnsi="Arial" w:cs="Arial"/>
          <w:b/>
          <w:spacing w:val="-2"/>
          <w:lang w:val="tr-TR"/>
        </w:rPr>
      </w:pPr>
      <w:r w:rsidRPr="00D00722">
        <w:rPr>
          <w:rFonts w:ascii="Arial" w:hAnsi="Arial" w:cs="Arial"/>
          <w:b/>
          <w:spacing w:val="-2"/>
          <w:lang w:val="tr-TR"/>
        </w:rPr>
        <w:t>Karşılıklar, şarta bağlı yükümlülükler ve şarta bağlı varlıklar</w:t>
      </w:r>
    </w:p>
    <w:p w:rsidR="00942BE7" w:rsidRPr="00D00722" w:rsidRDefault="00942BE7" w:rsidP="00942BE7">
      <w:pPr>
        <w:autoSpaceDE w:val="0"/>
        <w:autoSpaceDN w:val="0"/>
        <w:adjustRightInd w:val="0"/>
        <w:rPr>
          <w:rFonts w:ascii="Arial" w:hAnsi="Arial" w:cs="Arial"/>
          <w:lang w:val="tr-TR"/>
        </w:rPr>
      </w:pPr>
    </w:p>
    <w:p w:rsidR="00942BE7" w:rsidRPr="00D00722" w:rsidRDefault="00942BE7" w:rsidP="00942BE7">
      <w:pPr>
        <w:rPr>
          <w:rFonts w:ascii="Arial" w:hAnsi="Arial" w:cs="Arial"/>
          <w:color w:val="000000"/>
          <w:lang w:val="tr-TR"/>
        </w:rPr>
      </w:pPr>
      <w:r w:rsidRPr="00D00722">
        <w:rPr>
          <w:rFonts w:ascii="Arial" w:hAnsi="Arial" w:cs="Arial"/>
          <w:color w:val="000000"/>
          <w:lang w:val="tr-TR"/>
        </w:rPr>
        <w:t>Geçmiş olaylardan kaynaklanan mevcut bir yükümlülüğün bulunması, yükümlülüğün yerine  getirilmesinin muhtemel olması ve söz konusu yükümlülük tutarının güvenilir bir şekilde tahmin edilebilir olması durumunda finansal tablolarda karşılık ayrılır.</w:t>
      </w:r>
    </w:p>
    <w:p w:rsidR="00942BE7" w:rsidRPr="00D00722" w:rsidRDefault="00942BE7" w:rsidP="00942BE7">
      <w:pPr>
        <w:ind w:left="567"/>
        <w:rPr>
          <w:rFonts w:ascii="Arial" w:hAnsi="Arial" w:cs="Arial"/>
          <w:color w:val="000000"/>
          <w:lang w:val="tr-TR"/>
        </w:rPr>
      </w:pPr>
    </w:p>
    <w:p w:rsidR="00942BE7" w:rsidRPr="00D00722" w:rsidRDefault="00942BE7" w:rsidP="00942BE7">
      <w:pPr>
        <w:rPr>
          <w:rFonts w:ascii="Arial" w:hAnsi="Arial" w:cs="Arial"/>
          <w:color w:val="000000"/>
          <w:lang w:val="tr-TR"/>
        </w:rPr>
      </w:pPr>
      <w:r w:rsidRPr="00D00722">
        <w:rPr>
          <w:rFonts w:ascii="Arial" w:hAnsi="Arial" w:cs="Arial"/>
          <w:color w:val="000000"/>
          <w:lang w:val="tr-TR"/>
        </w:rPr>
        <w:t>Karşılık olarak ayrılan tutar, yükümlülüğe ilişkin risk ve belirsizlikler göz önünde bulundurularak, bilanço tarihi itibariyle yükümlülüğün yerine getirilmesi için yapılacak harcamanın tahmin edilmesi yoluyla hesaplanır.</w:t>
      </w:r>
    </w:p>
    <w:p w:rsidR="00942BE7" w:rsidRPr="00D00722" w:rsidRDefault="00942BE7" w:rsidP="00942BE7">
      <w:pPr>
        <w:rPr>
          <w:rFonts w:ascii="Arial" w:hAnsi="Arial" w:cs="Arial"/>
          <w:color w:val="000000"/>
          <w:lang w:val="tr-TR"/>
        </w:rPr>
      </w:pPr>
    </w:p>
    <w:p w:rsidR="00942BE7" w:rsidRPr="00D00722" w:rsidRDefault="00942BE7" w:rsidP="00942BE7">
      <w:pPr>
        <w:rPr>
          <w:rFonts w:ascii="Arial" w:hAnsi="Arial" w:cs="Arial"/>
          <w:color w:val="000000"/>
          <w:lang w:val="tr-TR"/>
        </w:rPr>
      </w:pPr>
      <w:r w:rsidRPr="00D00722">
        <w:rPr>
          <w:rFonts w:ascii="Arial" w:hAnsi="Arial" w:cs="Arial"/>
          <w:color w:val="000000"/>
          <w:lang w:val="tr-TR"/>
        </w:rPr>
        <w:t>Karşılığın, mevcut yükümlülüğün karşılanması için gerekli tahmini nakit akımlarını kullanarak ölçülmesi durumunda söz konusu karşılığın defter değeri, ilgili nakit akımlarının bugünkü değerine eşittir.</w:t>
      </w:r>
    </w:p>
    <w:p w:rsidR="003F3E42" w:rsidRPr="00D00722" w:rsidRDefault="003F3E42">
      <w:pPr>
        <w:rPr>
          <w:rFonts w:ascii="Arial" w:hAnsi="Arial" w:cs="Arial"/>
          <w:color w:val="000000"/>
          <w:lang w:val="tr-TR"/>
        </w:rPr>
      </w:pPr>
      <w:r w:rsidRPr="00D00722">
        <w:rPr>
          <w:rFonts w:ascii="Arial" w:hAnsi="Arial" w:cs="Arial"/>
          <w:color w:val="000000"/>
          <w:lang w:val="tr-TR"/>
        </w:rPr>
        <w:br w:type="page"/>
      </w:r>
    </w:p>
    <w:p w:rsidR="003F3E42" w:rsidRPr="00D00722" w:rsidRDefault="003F3E42" w:rsidP="003F3E42">
      <w:pPr>
        <w:ind w:right="-23"/>
        <w:rPr>
          <w:rFonts w:ascii="Arial" w:hAnsi="Arial" w:cs="Arial"/>
          <w:b/>
          <w:lang w:val="tr-TR"/>
        </w:rPr>
      </w:pPr>
      <w:r w:rsidRPr="00D00722">
        <w:rPr>
          <w:rFonts w:ascii="Arial" w:hAnsi="Arial" w:cs="Arial"/>
          <w:b/>
          <w:lang w:val="tr-TR"/>
        </w:rPr>
        <w:lastRenderedPageBreak/>
        <w:t>2.</w:t>
      </w:r>
      <w:r w:rsidRPr="00D00722">
        <w:rPr>
          <w:rFonts w:ascii="Arial" w:hAnsi="Arial" w:cs="Arial"/>
          <w:b/>
          <w:lang w:val="tr-TR"/>
        </w:rPr>
        <w:tab/>
        <w:t>Finansal tabloların sunumuna ilişkin esaslar (devamı)</w:t>
      </w:r>
    </w:p>
    <w:p w:rsidR="00942BE7" w:rsidRPr="00D00722" w:rsidRDefault="00942BE7" w:rsidP="00942BE7">
      <w:pPr>
        <w:rPr>
          <w:rFonts w:ascii="Arial" w:hAnsi="Arial" w:cs="Arial"/>
          <w:color w:val="000000"/>
          <w:lang w:val="tr-TR"/>
        </w:rPr>
      </w:pPr>
    </w:p>
    <w:p w:rsidR="00942BE7" w:rsidRPr="00D00722" w:rsidRDefault="00942BE7" w:rsidP="00942BE7">
      <w:pPr>
        <w:rPr>
          <w:rFonts w:ascii="Arial" w:hAnsi="Arial" w:cs="Arial"/>
          <w:color w:val="000000"/>
          <w:lang w:val="tr-TR"/>
        </w:rPr>
      </w:pPr>
      <w:r w:rsidRPr="00D00722">
        <w:rPr>
          <w:rFonts w:ascii="Arial" w:hAnsi="Arial" w:cs="Arial"/>
          <w:color w:val="000000"/>
          <w:lang w:val="tr-TR"/>
        </w:rPr>
        <w:t>Karşılığın ödenmesi için gerekli olan ekonomik faydanın bir kısmı ya da tamamının üçüncü taraflarca karşılanmasının beklendiği durumlarda, tahsil edilecek tutar, ilgili tutarın tahsil edilmesinin hemen hemen kesin olması ve güvenilir bir şekilde ölçülmesi halinde varlık olarak muhasebeleştirilir.</w:t>
      </w:r>
    </w:p>
    <w:p w:rsidR="00942BE7" w:rsidRPr="00D00722" w:rsidRDefault="00942BE7" w:rsidP="00942BE7">
      <w:pPr>
        <w:rPr>
          <w:rFonts w:ascii="Arial" w:hAnsi="Arial" w:cs="Arial"/>
          <w:color w:val="000000"/>
          <w:lang w:val="tr-TR"/>
        </w:rPr>
      </w:pPr>
    </w:p>
    <w:p w:rsidR="00942BE7" w:rsidRPr="00D00722" w:rsidRDefault="00942BE7" w:rsidP="00942BE7">
      <w:pPr>
        <w:rPr>
          <w:rFonts w:ascii="Arial" w:hAnsi="Arial" w:cs="Arial"/>
        </w:rPr>
      </w:pPr>
      <w:proofErr w:type="gramStart"/>
      <w:r w:rsidRPr="00D00722">
        <w:rPr>
          <w:rFonts w:ascii="Arial" w:hAnsi="Arial" w:cs="Arial"/>
        </w:rPr>
        <w:t>Geçmiş olaylardan kaynaklanan ve mevcudiyeti işletmenin tam olarak kontrolünde bulunmayan gelecekteki bir veya daha fazla kesin olmayan olayın gerçekleşip gerçekleşmemesi ile teyit edilebilmesi mümkün yükümlülükler ve varlıklar finansal tablolara alınmamakta ve şarta bağlı yükümlülükler ve varlıklar olarak değerlendirilmektedir.</w:t>
      </w:r>
      <w:proofErr w:type="gramEnd"/>
    </w:p>
    <w:p w:rsidR="00942BE7" w:rsidRPr="00D00722" w:rsidRDefault="00942BE7" w:rsidP="00942BE7">
      <w:pPr>
        <w:rPr>
          <w:rFonts w:ascii="Arial" w:hAnsi="Arial" w:cs="Arial"/>
          <w:lang w:val="tr-TR"/>
        </w:rPr>
      </w:pPr>
    </w:p>
    <w:p w:rsidR="00942BE7" w:rsidRPr="00D00722" w:rsidRDefault="00942BE7" w:rsidP="00942BE7">
      <w:pPr>
        <w:widowControl w:val="0"/>
        <w:ind w:right="-21"/>
        <w:rPr>
          <w:rFonts w:ascii="Arial" w:hAnsi="Arial" w:cs="Arial"/>
          <w:b/>
          <w:snapToGrid w:val="0"/>
          <w:lang w:val="tr-TR"/>
        </w:rPr>
      </w:pPr>
      <w:r w:rsidRPr="00D00722">
        <w:rPr>
          <w:rFonts w:ascii="Arial" w:hAnsi="Arial" w:cs="Arial"/>
          <w:b/>
          <w:snapToGrid w:val="0"/>
          <w:lang w:val="tr-TR"/>
        </w:rPr>
        <w:t>Kurum kazancı üzerinden hesaplanan vergiler</w:t>
      </w:r>
    </w:p>
    <w:p w:rsidR="00942BE7" w:rsidRPr="00D00722" w:rsidRDefault="00942BE7" w:rsidP="00942BE7">
      <w:pPr>
        <w:pStyle w:val="BodyTextIndent"/>
        <w:ind w:left="0" w:firstLine="0"/>
        <w:rPr>
          <w:rFonts w:ascii="Arial" w:hAnsi="Arial" w:cs="Arial"/>
          <w:color w:val="000000"/>
          <w:sz w:val="20"/>
          <w:lang w:val="tr-TR"/>
        </w:rPr>
      </w:pPr>
    </w:p>
    <w:p w:rsidR="00942BE7" w:rsidRPr="00D00722" w:rsidRDefault="00942BE7" w:rsidP="00942BE7">
      <w:pPr>
        <w:pStyle w:val="BodyTextIndent"/>
        <w:ind w:left="0" w:firstLine="0"/>
        <w:rPr>
          <w:rFonts w:ascii="Arial" w:hAnsi="Arial" w:cs="Arial"/>
          <w:color w:val="000000"/>
          <w:sz w:val="20"/>
          <w:lang w:val="tr-TR"/>
        </w:rPr>
      </w:pPr>
      <w:r w:rsidRPr="00D00722">
        <w:rPr>
          <w:rFonts w:ascii="Arial" w:hAnsi="Arial" w:cs="Arial"/>
          <w:color w:val="000000"/>
          <w:sz w:val="20"/>
          <w:lang w:val="tr-TR"/>
        </w:rPr>
        <w:t>Vergi karşılığı, dönem karı veya zararı hesaplanmasında dikkate alınan cari dönem ve ertelenen vergi karşılıklarının tamamıdır.</w:t>
      </w:r>
    </w:p>
    <w:p w:rsidR="00942BE7" w:rsidRPr="00D00722" w:rsidRDefault="00942BE7" w:rsidP="00942BE7">
      <w:pPr>
        <w:pStyle w:val="BodyTextIndent"/>
        <w:ind w:left="0" w:firstLine="0"/>
        <w:rPr>
          <w:rFonts w:ascii="Arial" w:hAnsi="Arial" w:cs="Arial"/>
          <w:color w:val="000000"/>
          <w:sz w:val="20"/>
          <w:lang w:val="tr-TR"/>
        </w:rPr>
      </w:pPr>
    </w:p>
    <w:p w:rsidR="00942BE7" w:rsidRPr="00D00722" w:rsidRDefault="00942BE7" w:rsidP="00942BE7">
      <w:pPr>
        <w:pStyle w:val="BodyTextIndent"/>
        <w:ind w:left="0" w:firstLine="0"/>
        <w:rPr>
          <w:rFonts w:ascii="Arial" w:hAnsi="Arial" w:cs="Arial"/>
          <w:color w:val="000000"/>
          <w:sz w:val="20"/>
          <w:lang w:val="tr-TR"/>
        </w:rPr>
      </w:pPr>
      <w:r w:rsidRPr="00D00722">
        <w:rPr>
          <w:rFonts w:ascii="Arial" w:hAnsi="Arial" w:cs="Arial"/>
          <w:color w:val="000000"/>
          <w:sz w:val="20"/>
          <w:lang w:val="tr-TR"/>
        </w:rPr>
        <w:t>Cari vergi</w:t>
      </w:r>
    </w:p>
    <w:p w:rsidR="00942BE7" w:rsidRPr="00D00722" w:rsidRDefault="00942BE7" w:rsidP="00942BE7">
      <w:pPr>
        <w:pStyle w:val="BodyTextIndent"/>
        <w:ind w:left="0" w:firstLine="0"/>
        <w:rPr>
          <w:rFonts w:ascii="Arial" w:hAnsi="Arial" w:cs="Arial"/>
          <w:color w:val="000000"/>
          <w:sz w:val="20"/>
          <w:lang w:val="tr-TR"/>
        </w:rPr>
      </w:pPr>
    </w:p>
    <w:p w:rsidR="00942BE7" w:rsidRPr="00D00722" w:rsidRDefault="00942BE7" w:rsidP="00942BE7">
      <w:pPr>
        <w:pStyle w:val="BodyTextIndent"/>
        <w:ind w:left="0" w:firstLine="0"/>
        <w:rPr>
          <w:rFonts w:ascii="Arial" w:hAnsi="Arial" w:cs="Arial"/>
          <w:color w:val="000000"/>
          <w:sz w:val="20"/>
          <w:lang w:val="tr-TR"/>
        </w:rPr>
      </w:pPr>
      <w:r w:rsidRPr="00D00722">
        <w:rPr>
          <w:rFonts w:ascii="Arial" w:hAnsi="Arial" w:cs="Arial"/>
          <w:color w:val="000000"/>
          <w:sz w:val="20"/>
          <w:lang w:val="tr-TR"/>
        </w:rPr>
        <w:t>Cari yıl vergi yükümlülüğü, dönem karının vergiye tabi olan kısmı üzerinden hesaplanır. Vergiye tabi kar, diğer yıllarda vergilendirilebilir ya da vergiden indirilebilir kalemler ile vergilendirilmesi ya da vergiden indirilmesi mümkün olmayan kalemleri hariç tutması nedeniyle, gelir tablosunda yer verilen kardan farklılık gösterir. Şirket’in cari vergi yükümlülüğü bilanço tarihi itibariyle yasallaşmış ya da önemli ölçüde yasallaşmış vergi oranı kullanılarak hesaplanmıştır.</w:t>
      </w:r>
    </w:p>
    <w:p w:rsidR="00A27292" w:rsidRPr="00D00722" w:rsidRDefault="00A27292">
      <w:pPr>
        <w:rPr>
          <w:rFonts w:ascii="Arial" w:hAnsi="Arial" w:cs="Arial"/>
          <w:color w:val="000000"/>
          <w:lang w:val="tr-TR"/>
        </w:rPr>
      </w:pPr>
    </w:p>
    <w:p w:rsidR="00942BE7" w:rsidRPr="00D00722" w:rsidRDefault="00942BE7" w:rsidP="00942BE7">
      <w:pPr>
        <w:pStyle w:val="BodyTextIndent"/>
        <w:ind w:left="0" w:firstLine="0"/>
        <w:rPr>
          <w:rFonts w:ascii="Arial" w:hAnsi="Arial" w:cs="Arial"/>
          <w:color w:val="000000"/>
          <w:sz w:val="20"/>
          <w:lang w:val="tr-TR"/>
        </w:rPr>
      </w:pPr>
      <w:r w:rsidRPr="00D00722">
        <w:rPr>
          <w:rFonts w:ascii="Arial" w:hAnsi="Arial" w:cs="Arial"/>
          <w:color w:val="000000"/>
          <w:sz w:val="20"/>
          <w:lang w:val="tr-TR"/>
        </w:rPr>
        <w:t>Ertelenmiş vergi</w:t>
      </w:r>
    </w:p>
    <w:p w:rsidR="00942BE7" w:rsidRPr="00D00722" w:rsidRDefault="00942BE7" w:rsidP="00942BE7">
      <w:pPr>
        <w:pStyle w:val="BodyTextIndent"/>
        <w:ind w:left="0" w:firstLine="0"/>
        <w:rPr>
          <w:rFonts w:ascii="Arial" w:hAnsi="Arial" w:cs="Arial"/>
          <w:color w:val="000000"/>
          <w:sz w:val="20"/>
          <w:lang w:val="tr-TR"/>
        </w:rPr>
      </w:pPr>
    </w:p>
    <w:p w:rsidR="00942BE7" w:rsidRPr="00D00722" w:rsidRDefault="00942BE7" w:rsidP="00942BE7">
      <w:pPr>
        <w:pStyle w:val="BodyTextIndent"/>
        <w:ind w:left="0" w:firstLine="0"/>
        <w:rPr>
          <w:rFonts w:ascii="Arial" w:hAnsi="Arial" w:cs="Arial"/>
          <w:color w:val="000000"/>
          <w:sz w:val="20"/>
          <w:lang w:val="tr-TR"/>
        </w:rPr>
      </w:pPr>
      <w:r w:rsidRPr="00D00722">
        <w:rPr>
          <w:rFonts w:ascii="Arial" w:hAnsi="Arial" w:cs="Arial"/>
          <w:color w:val="000000"/>
          <w:sz w:val="20"/>
          <w:lang w:val="tr-TR"/>
        </w:rPr>
        <w:t>Ertelenmiş vergi yükümlülüğü veya varlığı, varlıkların ve yükümlülüklerin finansal tablolarda gösterilen tutarları ile yasal vergi matrahı hesabında dikkate alınan tutarları arasındaki geçici farklılıkların bilanço yöntemine göre vergi etkilerinin yasalaşmış vergi oranları dikkate alınarak hesaplanmasıyla belirlenmektedir. Ertelenmiş vergi yükümlülükleri vergilendirilebilir geçici farkların tümü için hesaplanırken, indirilebilir geçici farklardan oluşan ertelenmiş vergi varlıkları, gelecekte vergiye tabi kar elde etmek suretiyle söz konusu farklardan yararlanmanın kuvvetle muhtemel olması şartıyla hesaplanmaktadır. Bahse konu varlık ve yükümlülükler, ticari ya da mali kar/zararı etkilemeyen işleme ilişkin geçici fark, şerefiye veya diğer varlık ve yükümlülüklerin ilk defa finansal tablolara alınmasından (işletme birleşmeleri dışında) kaynaklanıyorsa muhasebeleştirilmez.</w:t>
      </w:r>
    </w:p>
    <w:p w:rsidR="00942BE7" w:rsidRPr="00D00722" w:rsidRDefault="00942BE7" w:rsidP="00942BE7">
      <w:pPr>
        <w:pStyle w:val="BodyTextIndent"/>
        <w:ind w:left="0" w:firstLine="0"/>
        <w:rPr>
          <w:rFonts w:ascii="Arial" w:hAnsi="Arial" w:cs="Arial"/>
          <w:color w:val="000000"/>
          <w:sz w:val="20"/>
          <w:lang w:val="tr-TR"/>
        </w:rPr>
      </w:pPr>
    </w:p>
    <w:p w:rsidR="00942BE7" w:rsidRPr="00D00722" w:rsidRDefault="00942BE7" w:rsidP="00942BE7">
      <w:pPr>
        <w:pStyle w:val="BodyTextIndent"/>
        <w:ind w:left="0" w:firstLine="0"/>
        <w:rPr>
          <w:rFonts w:ascii="Arial" w:hAnsi="Arial" w:cs="Arial"/>
          <w:color w:val="000000"/>
          <w:sz w:val="20"/>
          <w:lang w:val="tr-TR"/>
        </w:rPr>
      </w:pPr>
      <w:r w:rsidRPr="00D00722">
        <w:rPr>
          <w:rFonts w:ascii="Arial" w:hAnsi="Arial" w:cs="Arial"/>
          <w:color w:val="000000"/>
          <w:sz w:val="20"/>
          <w:lang w:val="tr-TR"/>
        </w:rPr>
        <w:t>Ertelenmiş vergi yükümlülükleri, Şirket’in geçici farklılıkların ortadan kalkmasını kontrol edebildiği ve yakın gelecekte bu farkın ortadan kalkma olasılığının düşük olduğu durumlar haricinde, bağlı ortaklık ve iştiraklerdeki yatırımlar ve iş ortaklıklarındaki paylar ile ilişkilendirilen vergilendirilebilir geçici farkların tümü için hesaplanır. Bu tür yatırım ve paylar ile ilişkilendirilen vergilendirilebilir geçici farklardan kaynaklanan ertelenmiş vergi varlıkları, yakın gelecekte vergiye tabi yeterli kar elde etmek suretiyle söz konusu farklardan yararlanmanın kuvvetle muhtemel olması ve gelecekte ilgili farkların ortadan kalkmasının muhtemel olması şartlarıyla hesaplanmaktadır.</w:t>
      </w:r>
    </w:p>
    <w:p w:rsidR="00942BE7" w:rsidRPr="00D00722" w:rsidRDefault="00942BE7" w:rsidP="00942BE7">
      <w:pPr>
        <w:pStyle w:val="BodyTextIndent"/>
        <w:ind w:left="0" w:firstLine="0"/>
        <w:rPr>
          <w:rFonts w:ascii="Arial" w:hAnsi="Arial" w:cs="Arial"/>
          <w:color w:val="000000"/>
          <w:sz w:val="20"/>
          <w:lang w:val="tr-TR"/>
        </w:rPr>
      </w:pPr>
    </w:p>
    <w:p w:rsidR="00942BE7" w:rsidRPr="00D00722" w:rsidRDefault="00942BE7" w:rsidP="00942BE7">
      <w:pPr>
        <w:pStyle w:val="BodyTextIndent"/>
        <w:ind w:left="0" w:firstLine="0"/>
        <w:rPr>
          <w:rFonts w:ascii="Arial" w:hAnsi="Arial" w:cs="Arial"/>
          <w:color w:val="000000"/>
          <w:sz w:val="20"/>
          <w:lang w:val="tr-TR"/>
        </w:rPr>
      </w:pPr>
      <w:r w:rsidRPr="00D00722">
        <w:rPr>
          <w:rFonts w:ascii="Arial" w:hAnsi="Arial" w:cs="Arial"/>
          <w:color w:val="000000"/>
          <w:sz w:val="20"/>
          <w:lang w:val="tr-TR"/>
        </w:rPr>
        <w:t>Ertelenmiş vergi varlığının kayıtlı değeri, her bilanço tarihi itibariyle gözden geçirilir. Ertelenmiş vergi varlığının kayıtlı değeri, bir kısmının veya tamamının sağlayacağı faydanın elde edilmesine imkan verecek düzeyde mali kar elde etmenin muhtemel olmadığı ölçüde azaltılır.</w:t>
      </w:r>
    </w:p>
    <w:p w:rsidR="00942BE7" w:rsidRPr="00D00722" w:rsidRDefault="00942BE7" w:rsidP="00942BE7">
      <w:pPr>
        <w:pStyle w:val="BodyTextIndent"/>
        <w:ind w:left="0" w:firstLine="0"/>
        <w:rPr>
          <w:rFonts w:ascii="Arial" w:hAnsi="Arial" w:cs="Arial"/>
          <w:color w:val="000000"/>
          <w:sz w:val="20"/>
          <w:lang w:val="tr-TR"/>
        </w:rPr>
      </w:pPr>
    </w:p>
    <w:p w:rsidR="00942BE7" w:rsidRPr="00D00722" w:rsidRDefault="00942BE7" w:rsidP="00942BE7">
      <w:pPr>
        <w:pStyle w:val="BodyTextIndent"/>
        <w:ind w:left="0" w:firstLine="0"/>
        <w:rPr>
          <w:rFonts w:ascii="Arial" w:hAnsi="Arial" w:cs="Arial"/>
          <w:color w:val="000000"/>
          <w:sz w:val="20"/>
          <w:lang w:val="tr-TR"/>
        </w:rPr>
      </w:pPr>
      <w:r w:rsidRPr="00D00722">
        <w:rPr>
          <w:rFonts w:ascii="Arial" w:hAnsi="Arial" w:cs="Arial"/>
          <w:color w:val="000000"/>
          <w:sz w:val="20"/>
          <w:lang w:val="tr-TR"/>
        </w:rPr>
        <w:t>Ertelenmiş vergi varlıkları ve yükümlülükleri varlıkların gerçekleşeceği veya yükümlülüklerin yerine getirileceği dönemde geçerli olması beklenen ve bilanço tarihi itibariyle yasallaşmış veya önemli ölçüde yasallaşmış vergi oranları (vergi düzenlemeleri) üzerinden hesaplanır. Ertelenmiş vergi varlıkları ve yükümlülüklerinin hesaplanması sırasında, Şirket’in bilanço tarihi itibariyle varlıklarının defter değerini geri kazanması ya da yükümlülüklerini yerine getirmesi için tahmin ettiği yöntemlerin vergi sonuçları dikkate alınır.</w:t>
      </w:r>
    </w:p>
    <w:p w:rsidR="003F3E42" w:rsidRPr="00D00722" w:rsidRDefault="003F3E42">
      <w:pPr>
        <w:rPr>
          <w:rFonts w:ascii="Arial" w:hAnsi="Arial" w:cs="Arial"/>
          <w:color w:val="000000"/>
          <w:lang w:val="tr-TR"/>
        </w:rPr>
      </w:pPr>
      <w:r w:rsidRPr="00D00722">
        <w:rPr>
          <w:rFonts w:ascii="Arial" w:hAnsi="Arial" w:cs="Arial"/>
          <w:color w:val="000000"/>
          <w:lang w:val="tr-TR"/>
        </w:rPr>
        <w:br w:type="page"/>
      </w:r>
    </w:p>
    <w:p w:rsidR="003F3E42" w:rsidRPr="00D00722" w:rsidRDefault="003F3E42" w:rsidP="003F3E42">
      <w:pPr>
        <w:ind w:right="-23"/>
        <w:rPr>
          <w:rFonts w:ascii="Arial" w:hAnsi="Arial" w:cs="Arial"/>
          <w:b/>
          <w:lang w:val="tr-TR"/>
        </w:rPr>
      </w:pPr>
      <w:r w:rsidRPr="00D00722">
        <w:rPr>
          <w:rFonts w:ascii="Arial" w:hAnsi="Arial" w:cs="Arial"/>
          <w:b/>
          <w:lang w:val="tr-TR"/>
        </w:rPr>
        <w:t>2.</w:t>
      </w:r>
      <w:r w:rsidRPr="00D00722">
        <w:rPr>
          <w:rFonts w:ascii="Arial" w:hAnsi="Arial" w:cs="Arial"/>
          <w:b/>
          <w:lang w:val="tr-TR"/>
        </w:rPr>
        <w:tab/>
        <w:t>Finansal tabloların sunumuna ilişkin esaslar (devamı)</w:t>
      </w:r>
    </w:p>
    <w:p w:rsidR="00942BE7" w:rsidRPr="00D00722" w:rsidRDefault="00942BE7" w:rsidP="00942BE7">
      <w:pPr>
        <w:pStyle w:val="BodyTextIndent"/>
        <w:ind w:left="0" w:firstLine="0"/>
        <w:rPr>
          <w:rFonts w:ascii="Arial" w:hAnsi="Arial" w:cs="Arial"/>
          <w:color w:val="000000"/>
          <w:sz w:val="20"/>
          <w:lang w:val="tr-TR"/>
        </w:rPr>
      </w:pPr>
    </w:p>
    <w:p w:rsidR="00942BE7" w:rsidRPr="00D00722" w:rsidRDefault="00942BE7" w:rsidP="00942BE7">
      <w:pPr>
        <w:pStyle w:val="BodyTextIndent"/>
        <w:ind w:left="0" w:firstLine="0"/>
        <w:rPr>
          <w:rFonts w:ascii="Arial" w:hAnsi="Arial" w:cs="Arial"/>
          <w:color w:val="000000"/>
          <w:sz w:val="20"/>
          <w:lang w:val="tr-TR"/>
        </w:rPr>
      </w:pPr>
      <w:r w:rsidRPr="00D00722">
        <w:rPr>
          <w:rFonts w:ascii="Arial" w:hAnsi="Arial" w:cs="Arial"/>
          <w:color w:val="000000"/>
          <w:sz w:val="20"/>
          <w:lang w:val="tr-TR"/>
        </w:rPr>
        <w:t>Ertelenmiş vergi varlıkları ve yükümlülükleri, cari vergi varlıklarıyla cari vergi yükümlülüklerini mahsup etme ile ilgili yasal bir hakkın olması veya söz konusu varlık ve yükümlülüklerin aynı vergi mercii tarafından toplanan gelir vergisiyle ilişkilendirilmesi ya da Şirket’in cari vergi varlık ve yükümlülüklerini netleştirmek suretiyle ödeme niyetinin olması durumunda mahsup edilir.</w:t>
      </w:r>
    </w:p>
    <w:p w:rsidR="00942BE7" w:rsidRPr="00D00722" w:rsidRDefault="00942BE7" w:rsidP="00942BE7">
      <w:pPr>
        <w:rPr>
          <w:rFonts w:ascii="Arial" w:hAnsi="Arial" w:cs="Arial"/>
          <w:lang w:val="tr-TR"/>
        </w:rPr>
      </w:pPr>
    </w:p>
    <w:p w:rsidR="00942BE7" w:rsidRPr="00D00722" w:rsidRDefault="00942BE7" w:rsidP="00942BE7">
      <w:pPr>
        <w:autoSpaceDE w:val="0"/>
        <w:autoSpaceDN w:val="0"/>
        <w:adjustRightInd w:val="0"/>
        <w:rPr>
          <w:rFonts w:ascii="Arial" w:hAnsi="Arial" w:cs="Arial"/>
          <w:lang w:val="tr-TR"/>
        </w:rPr>
      </w:pPr>
      <w:r w:rsidRPr="00D00722">
        <w:rPr>
          <w:rFonts w:ascii="Arial" w:hAnsi="Arial" w:cs="Arial"/>
          <w:lang w:val="tr-TR"/>
        </w:rPr>
        <w:t xml:space="preserve">Doğrudan özsermayede alacak ya da borç olarak muhasebeleştirilen kalemler (ki bu durumda ilgili kalemlere ilişkin ertelenmiş vergi de doğrudan özsermayede muhasebeleştirilir) ile ilişkilendirilen ya da işletme birleşmelerinin ilk kayda alımından kaynaklananlar haricindeki cari vergi ile döneme ait ertelenmiş vergi, gelir tablosunda gider ya da gelir olarak muhasebeleştirilir. </w:t>
      </w:r>
    </w:p>
    <w:p w:rsidR="000C4CA8" w:rsidRPr="00D00722" w:rsidRDefault="000C4CA8" w:rsidP="00942BE7">
      <w:pPr>
        <w:widowControl w:val="0"/>
        <w:rPr>
          <w:rFonts w:ascii="Arial" w:hAnsi="Arial" w:cs="Arial"/>
          <w:b/>
          <w:snapToGrid w:val="0"/>
          <w:lang w:val="tr-TR"/>
        </w:rPr>
      </w:pPr>
    </w:p>
    <w:p w:rsidR="00942BE7" w:rsidRPr="00D00722" w:rsidRDefault="00942BE7" w:rsidP="00942BE7">
      <w:pPr>
        <w:widowControl w:val="0"/>
        <w:rPr>
          <w:rFonts w:ascii="Arial" w:hAnsi="Arial" w:cs="Arial"/>
          <w:b/>
          <w:snapToGrid w:val="0"/>
          <w:lang w:val="tr-TR"/>
        </w:rPr>
      </w:pPr>
      <w:r w:rsidRPr="00D00722">
        <w:rPr>
          <w:rFonts w:ascii="Arial" w:hAnsi="Arial" w:cs="Arial"/>
          <w:b/>
          <w:snapToGrid w:val="0"/>
          <w:lang w:val="tr-TR"/>
        </w:rPr>
        <w:t>Çalışanlara sağlanan faydalar</w:t>
      </w:r>
    </w:p>
    <w:p w:rsidR="00942BE7" w:rsidRPr="00D00722" w:rsidRDefault="00942BE7" w:rsidP="00942BE7">
      <w:pPr>
        <w:pStyle w:val="BodyText3"/>
        <w:tabs>
          <w:tab w:val="clear" w:pos="1481"/>
          <w:tab w:val="clear" w:pos="2700"/>
          <w:tab w:val="clear" w:pos="3600"/>
          <w:tab w:val="clear" w:pos="4320"/>
          <w:tab w:val="clear" w:pos="5040"/>
          <w:tab w:val="clear" w:pos="5940"/>
          <w:tab w:val="clear" w:pos="6840"/>
          <w:tab w:val="clear" w:pos="7740"/>
          <w:tab w:val="clear" w:pos="8640"/>
        </w:tabs>
        <w:jc w:val="left"/>
        <w:rPr>
          <w:rFonts w:ascii="Arial" w:hAnsi="Arial" w:cs="Arial"/>
          <w:sz w:val="20"/>
          <w:lang w:val="tr-TR"/>
        </w:rPr>
      </w:pPr>
    </w:p>
    <w:p w:rsidR="00942BE7" w:rsidRPr="00D00722" w:rsidRDefault="00942BE7" w:rsidP="00942BE7">
      <w:pPr>
        <w:pStyle w:val="BodyTextIndent"/>
        <w:ind w:left="0" w:firstLine="0"/>
        <w:rPr>
          <w:rFonts w:ascii="Arial" w:hAnsi="Arial" w:cs="Arial"/>
          <w:sz w:val="20"/>
          <w:lang w:val="tr-TR"/>
        </w:rPr>
      </w:pPr>
      <w:r w:rsidRPr="00D00722">
        <w:rPr>
          <w:rFonts w:ascii="Arial" w:hAnsi="Arial" w:cs="Arial"/>
          <w:sz w:val="20"/>
          <w:lang w:val="tr-TR"/>
        </w:rPr>
        <w:t>Kıdem tazminatları</w:t>
      </w:r>
    </w:p>
    <w:p w:rsidR="00942BE7" w:rsidRPr="00D00722" w:rsidRDefault="00942BE7" w:rsidP="00942BE7">
      <w:pPr>
        <w:pStyle w:val="BodyTextIndent"/>
        <w:ind w:left="0" w:firstLine="0"/>
        <w:rPr>
          <w:rFonts w:ascii="Arial" w:hAnsi="Arial" w:cs="Arial"/>
          <w:sz w:val="20"/>
          <w:lang w:val="tr-TR"/>
        </w:rPr>
      </w:pPr>
    </w:p>
    <w:p w:rsidR="000C6CAB" w:rsidRPr="00D00722" w:rsidRDefault="000C6CAB" w:rsidP="000C6CAB">
      <w:pPr>
        <w:rPr>
          <w:rFonts w:ascii="Arial" w:hAnsi="Arial" w:cs="Arial"/>
          <w:lang w:val="tr-TR"/>
        </w:rPr>
      </w:pPr>
      <w:r w:rsidRPr="00D00722">
        <w:rPr>
          <w:rFonts w:ascii="Arial" w:hAnsi="Arial" w:cs="Arial"/>
          <w:lang w:val="tr-TR"/>
        </w:rPr>
        <w:t>Türkiye’de mevcut kanunlar ve toplu iş sözleşmeleri hükümlerine göre kıdem tazminatı, emeklilik veya işten çıkarılma durumunda ö</w:t>
      </w:r>
      <w:r w:rsidR="00323D24" w:rsidRPr="00D00722">
        <w:rPr>
          <w:rFonts w:ascii="Arial" w:hAnsi="Arial" w:cs="Arial"/>
          <w:lang w:val="tr-TR"/>
        </w:rPr>
        <w:t>denmektedir. Güncellenmiş olan T</w:t>
      </w:r>
      <w:r w:rsidRPr="00D00722">
        <w:rPr>
          <w:rFonts w:ascii="Arial" w:hAnsi="Arial" w:cs="Arial"/>
          <w:lang w:val="tr-TR"/>
        </w:rPr>
        <w:t>MS 19 Çalışanlara</w:t>
      </w:r>
      <w:r w:rsidR="00323D24" w:rsidRPr="00D00722">
        <w:rPr>
          <w:rFonts w:ascii="Arial" w:hAnsi="Arial" w:cs="Arial"/>
          <w:lang w:val="tr-TR"/>
        </w:rPr>
        <w:t xml:space="preserve"> Sağlanan Faydalar Standardı (“T</w:t>
      </w:r>
      <w:r w:rsidRPr="00D00722">
        <w:rPr>
          <w:rFonts w:ascii="Arial" w:hAnsi="Arial" w:cs="Arial"/>
          <w:lang w:val="tr-TR"/>
        </w:rPr>
        <w:t xml:space="preserve">MS 19”) uyarınca söz konusu türdeki ödemeler tanımlanmış emeklilik fayda planları olarak nitelendirilir. </w:t>
      </w:r>
    </w:p>
    <w:p w:rsidR="000C6CAB" w:rsidRPr="00D00722" w:rsidRDefault="000C6CAB" w:rsidP="000C6CAB">
      <w:pPr>
        <w:pStyle w:val="BodyTextIndent"/>
        <w:ind w:left="0" w:firstLine="0"/>
        <w:rPr>
          <w:rFonts w:ascii="Arial" w:hAnsi="Arial" w:cs="Arial"/>
          <w:sz w:val="20"/>
          <w:lang w:val="tr-TR"/>
        </w:rPr>
      </w:pPr>
    </w:p>
    <w:p w:rsidR="000C6CAB" w:rsidRPr="00D00722" w:rsidRDefault="000C6CAB" w:rsidP="000C6CAB">
      <w:pPr>
        <w:rPr>
          <w:rFonts w:ascii="Arial" w:hAnsi="Arial" w:cs="Arial"/>
          <w:lang w:val="tr-TR"/>
        </w:rPr>
      </w:pPr>
      <w:r w:rsidRPr="00D00722">
        <w:rPr>
          <w:rFonts w:ascii="Arial" w:hAnsi="Arial" w:cs="Arial"/>
          <w:lang w:val="tr-TR"/>
        </w:rPr>
        <w:t xml:space="preserve">Bilançoda muhasebeleştirilen kıdem tazminatı yükümlülüğü, tüm çalışanların emeklilikleri dolayısıyla ileride doğması beklenen yükümlülük tutarlarının net bugünkü değerine göre hesaplanmış ve finansal tablolara yansıtılmıştır. </w:t>
      </w:r>
    </w:p>
    <w:p w:rsidR="00A27292" w:rsidRPr="00D00722" w:rsidRDefault="00A27292">
      <w:pPr>
        <w:rPr>
          <w:rFonts w:ascii="Arial" w:hAnsi="Arial" w:cs="Arial"/>
          <w:lang w:val="tr-TR"/>
        </w:rPr>
      </w:pPr>
    </w:p>
    <w:p w:rsidR="000C6CAB" w:rsidRPr="00D00722" w:rsidRDefault="000C6CAB" w:rsidP="000C6CAB">
      <w:pPr>
        <w:rPr>
          <w:rFonts w:ascii="Arial" w:hAnsi="Arial" w:cs="Arial"/>
          <w:lang w:val="tr-TR"/>
        </w:rPr>
      </w:pPr>
      <w:r w:rsidRPr="00D00722">
        <w:rPr>
          <w:rFonts w:ascii="Arial" w:hAnsi="Arial" w:cs="Arial"/>
          <w:lang w:val="tr-TR"/>
        </w:rPr>
        <w:t>Tanımlanan katkı planı</w:t>
      </w:r>
    </w:p>
    <w:p w:rsidR="000C6CAB" w:rsidRPr="00D00722" w:rsidRDefault="000C6CAB" w:rsidP="000C6CAB">
      <w:pPr>
        <w:rPr>
          <w:rFonts w:ascii="Arial" w:hAnsi="Arial" w:cs="Arial"/>
          <w:lang w:val="tr-TR"/>
        </w:rPr>
      </w:pPr>
    </w:p>
    <w:p w:rsidR="00942BE7" w:rsidRPr="00D00722" w:rsidRDefault="000C6CAB" w:rsidP="000C6CAB">
      <w:pPr>
        <w:pStyle w:val="BodyTextIndent"/>
        <w:ind w:left="0" w:firstLine="0"/>
        <w:rPr>
          <w:rFonts w:ascii="Arial" w:hAnsi="Arial" w:cs="Arial"/>
          <w:sz w:val="20"/>
          <w:lang w:val="tr-TR"/>
        </w:rPr>
      </w:pPr>
      <w:r w:rsidRPr="00D00722">
        <w:rPr>
          <w:rFonts w:ascii="Arial" w:hAnsi="Arial" w:cs="Arial"/>
          <w:sz w:val="20"/>
          <w:lang w:val="tr-TR"/>
        </w:rPr>
        <w:t>Şirket, Sosyal Sigortalar Kurumu’na zorunlu olarak sosyal sigortalar primi ödemektedir. Şirket’in bu primleri ödedigi sürece baska yükümlülügü kalmamaktadır. Bu primler tahakkuk ettikleri dönemde personel giderlerine yansıtılmaktadır</w:t>
      </w:r>
      <w:r w:rsidRPr="00D00722">
        <w:rPr>
          <w:rFonts w:ascii="Arial" w:hAnsi="Arial" w:cs="Arial"/>
          <w:lang w:val="tr-TR"/>
        </w:rPr>
        <w:t>.</w:t>
      </w:r>
      <w:r w:rsidR="00942BE7" w:rsidRPr="00D00722">
        <w:rPr>
          <w:rFonts w:ascii="Arial" w:hAnsi="Arial" w:cs="Arial"/>
          <w:sz w:val="20"/>
          <w:lang w:val="tr-TR"/>
        </w:rPr>
        <w:t xml:space="preserve"> </w:t>
      </w:r>
    </w:p>
    <w:p w:rsidR="00942BE7" w:rsidRPr="00D00722" w:rsidRDefault="00942BE7" w:rsidP="00942BE7">
      <w:pPr>
        <w:pStyle w:val="BodyTextIndent"/>
        <w:ind w:left="0" w:firstLine="0"/>
        <w:rPr>
          <w:rFonts w:ascii="Arial" w:hAnsi="Arial" w:cs="Arial"/>
          <w:sz w:val="20"/>
          <w:lang w:val="tr-TR"/>
        </w:rPr>
      </w:pPr>
    </w:p>
    <w:p w:rsidR="00942BE7" w:rsidRPr="00D00722" w:rsidRDefault="00942BE7" w:rsidP="00942BE7">
      <w:pPr>
        <w:autoSpaceDE w:val="0"/>
        <w:autoSpaceDN w:val="0"/>
        <w:rPr>
          <w:rFonts w:ascii="Arial" w:hAnsi="Arial" w:cs="Arial"/>
          <w:iCs/>
          <w:lang w:val="tr-TR"/>
        </w:rPr>
      </w:pPr>
      <w:r w:rsidRPr="00D00722">
        <w:rPr>
          <w:rFonts w:ascii="Arial" w:hAnsi="Arial" w:cs="Arial"/>
          <w:iCs/>
          <w:lang w:val="tr-TR"/>
        </w:rPr>
        <w:t>İkramiye ödemeleri</w:t>
      </w:r>
    </w:p>
    <w:p w:rsidR="00942BE7" w:rsidRPr="00D00722" w:rsidRDefault="00942BE7" w:rsidP="00942BE7">
      <w:pPr>
        <w:rPr>
          <w:rFonts w:ascii="Arial" w:hAnsi="Arial" w:cs="Arial"/>
          <w:color w:val="000000"/>
          <w:lang w:val="tr-TR"/>
        </w:rPr>
      </w:pPr>
    </w:p>
    <w:p w:rsidR="00942BE7" w:rsidRPr="00D00722" w:rsidRDefault="00942BE7" w:rsidP="00942BE7">
      <w:pPr>
        <w:rPr>
          <w:rFonts w:ascii="Arial" w:hAnsi="Arial" w:cs="Arial"/>
          <w:color w:val="1F497D"/>
          <w:lang w:val="tr-TR"/>
        </w:rPr>
      </w:pPr>
      <w:r w:rsidRPr="00D00722">
        <w:rPr>
          <w:rFonts w:ascii="Arial" w:hAnsi="Arial" w:cs="Arial"/>
          <w:color w:val="000000"/>
          <w:lang w:val="tr-TR"/>
        </w:rPr>
        <w:t>Şirket, sözleşmeye bağlı bir zorunluluk ya da zımni bir yükümlülük yaratan geçmiş bir uygulamanın olduğu durumlarda ikramiye ödemeleri için karşılık ayırmaktadır.</w:t>
      </w:r>
    </w:p>
    <w:p w:rsidR="00942BE7" w:rsidRPr="00D00722" w:rsidRDefault="00942BE7" w:rsidP="00942BE7">
      <w:pPr>
        <w:rPr>
          <w:rFonts w:ascii="Arial" w:hAnsi="Arial" w:cs="Arial"/>
          <w:u w:val="single"/>
          <w:lang w:val="tr-TR"/>
        </w:rPr>
      </w:pPr>
    </w:p>
    <w:p w:rsidR="00942BE7" w:rsidRPr="00D00722" w:rsidRDefault="000C4CA8" w:rsidP="00942BE7">
      <w:pPr>
        <w:pStyle w:val="BodyText2"/>
        <w:tabs>
          <w:tab w:val="clear" w:pos="-720"/>
          <w:tab w:val="clear" w:pos="0"/>
        </w:tabs>
        <w:jc w:val="left"/>
        <w:rPr>
          <w:rFonts w:ascii="Arial" w:hAnsi="Arial" w:cs="Arial"/>
          <w:b/>
          <w:sz w:val="20"/>
          <w:lang w:val="tr-TR"/>
        </w:rPr>
      </w:pPr>
      <w:r w:rsidRPr="00D00722">
        <w:rPr>
          <w:rFonts w:ascii="Arial" w:hAnsi="Arial" w:cs="Arial"/>
          <w:b/>
          <w:sz w:val="20"/>
          <w:lang w:val="tr-TR"/>
        </w:rPr>
        <w:t>Nakit akış</w:t>
      </w:r>
      <w:r w:rsidR="00942BE7" w:rsidRPr="00D00722">
        <w:rPr>
          <w:rFonts w:ascii="Arial" w:hAnsi="Arial" w:cs="Arial"/>
          <w:b/>
          <w:sz w:val="20"/>
          <w:lang w:val="tr-TR"/>
        </w:rPr>
        <w:t xml:space="preserve"> tablosu</w:t>
      </w:r>
    </w:p>
    <w:p w:rsidR="00942BE7" w:rsidRPr="00D00722" w:rsidRDefault="00942BE7" w:rsidP="00942BE7">
      <w:pPr>
        <w:pStyle w:val="BodyText3"/>
        <w:tabs>
          <w:tab w:val="clear" w:pos="1481"/>
          <w:tab w:val="clear" w:pos="2700"/>
          <w:tab w:val="clear" w:pos="3600"/>
          <w:tab w:val="clear" w:pos="4320"/>
          <w:tab w:val="clear" w:pos="5040"/>
          <w:tab w:val="clear" w:pos="5940"/>
          <w:tab w:val="clear" w:pos="6840"/>
          <w:tab w:val="clear" w:pos="7740"/>
          <w:tab w:val="clear" w:pos="8640"/>
        </w:tabs>
        <w:jc w:val="left"/>
        <w:rPr>
          <w:rFonts w:ascii="Arial" w:hAnsi="Arial" w:cs="Arial"/>
          <w:sz w:val="20"/>
          <w:lang w:val="tr-TR"/>
        </w:rPr>
      </w:pPr>
    </w:p>
    <w:p w:rsidR="00942BE7" w:rsidRPr="00D00722" w:rsidRDefault="00942BE7" w:rsidP="00942BE7">
      <w:pPr>
        <w:rPr>
          <w:rFonts w:ascii="Arial" w:hAnsi="Arial" w:cs="Arial"/>
          <w:lang w:val="tr-TR"/>
        </w:rPr>
      </w:pPr>
      <w:r w:rsidRPr="00D00722">
        <w:rPr>
          <w:rFonts w:ascii="Arial" w:hAnsi="Arial" w:cs="Arial"/>
          <w:lang w:val="tr-TR"/>
        </w:rPr>
        <w:t>Nakit akım tablosunda, döneme ilişkin nakit akımları esas, yatırım ve finansman faaliyetlerine dayalı bir biçimde sınıflandırılarak raporlanır.</w:t>
      </w:r>
    </w:p>
    <w:p w:rsidR="00942BE7" w:rsidRPr="00D00722" w:rsidRDefault="00942BE7" w:rsidP="00942BE7">
      <w:pPr>
        <w:rPr>
          <w:rFonts w:ascii="Arial" w:hAnsi="Arial" w:cs="Arial"/>
          <w:lang w:val="tr-TR"/>
        </w:rPr>
      </w:pPr>
    </w:p>
    <w:p w:rsidR="00942BE7" w:rsidRPr="00D00722" w:rsidRDefault="00942BE7" w:rsidP="00942BE7">
      <w:pPr>
        <w:rPr>
          <w:rFonts w:ascii="Arial" w:hAnsi="Arial" w:cs="Arial"/>
          <w:lang w:val="tr-TR"/>
        </w:rPr>
      </w:pPr>
      <w:r w:rsidRPr="00D00722">
        <w:rPr>
          <w:rFonts w:ascii="Arial" w:hAnsi="Arial" w:cs="Arial"/>
          <w:lang w:val="tr-TR"/>
        </w:rPr>
        <w:t xml:space="preserve">Esas faaliyetlerden kaynaklanan nakit akımları, Şirket’in portföy yönetimi faaliyetlerinden kaynaklanan nakit akımlarını gösterir. </w:t>
      </w:r>
    </w:p>
    <w:p w:rsidR="00942BE7" w:rsidRPr="00D00722" w:rsidRDefault="00942BE7" w:rsidP="00942BE7">
      <w:pPr>
        <w:rPr>
          <w:rFonts w:ascii="Arial" w:hAnsi="Arial" w:cs="Arial"/>
          <w:lang w:val="tr-TR"/>
        </w:rPr>
      </w:pPr>
    </w:p>
    <w:p w:rsidR="00942BE7" w:rsidRPr="00D00722" w:rsidRDefault="00942BE7" w:rsidP="00942BE7">
      <w:pPr>
        <w:rPr>
          <w:rFonts w:ascii="Arial" w:hAnsi="Arial" w:cs="Arial"/>
          <w:lang w:val="tr-TR"/>
        </w:rPr>
      </w:pPr>
      <w:r w:rsidRPr="00D00722">
        <w:rPr>
          <w:rFonts w:ascii="Arial" w:hAnsi="Arial" w:cs="Arial"/>
          <w:lang w:val="tr-TR"/>
        </w:rPr>
        <w:t xml:space="preserve">Yatırım faaliyetleriyle ilgili nakit akımları, Şirket’in yatırım faaliyetlerinde (sabit yatırımlar ve finansal yatırımlar) kullandığı ve elde ettiği nakit akımlarını gösterir. </w:t>
      </w:r>
    </w:p>
    <w:p w:rsidR="00942BE7" w:rsidRPr="00D00722" w:rsidRDefault="00942BE7" w:rsidP="00942BE7">
      <w:pPr>
        <w:rPr>
          <w:rFonts w:ascii="Arial" w:hAnsi="Arial" w:cs="Arial"/>
          <w:lang w:val="tr-TR"/>
        </w:rPr>
      </w:pPr>
    </w:p>
    <w:p w:rsidR="00942BE7" w:rsidRPr="00D00722" w:rsidRDefault="00942BE7" w:rsidP="00942BE7">
      <w:pPr>
        <w:rPr>
          <w:rFonts w:ascii="Arial" w:hAnsi="Arial" w:cs="Arial"/>
          <w:lang w:val="tr-TR"/>
        </w:rPr>
      </w:pPr>
      <w:r w:rsidRPr="00D00722">
        <w:rPr>
          <w:rFonts w:ascii="Arial" w:hAnsi="Arial" w:cs="Arial"/>
          <w:lang w:val="tr-TR"/>
        </w:rPr>
        <w:t>Finansman faaliyetlerine ilişkin nakit akımları, Şirket’in finansman faaliyetlerinde kullandığı kaynakları ve bu kaynakların geri ödemelerini gösterir.</w:t>
      </w:r>
    </w:p>
    <w:p w:rsidR="003F3E42" w:rsidRPr="00D00722" w:rsidRDefault="003F3E42">
      <w:pPr>
        <w:rPr>
          <w:rFonts w:ascii="Arial" w:hAnsi="Arial" w:cs="Arial"/>
          <w:lang w:val="tr-TR"/>
        </w:rPr>
      </w:pPr>
      <w:r w:rsidRPr="00D00722">
        <w:rPr>
          <w:rFonts w:ascii="Arial" w:hAnsi="Arial" w:cs="Arial"/>
          <w:lang w:val="tr-TR"/>
        </w:rPr>
        <w:br w:type="page"/>
      </w:r>
    </w:p>
    <w:p w:rsidR="003F3E42" w:rsidRPr="00D00722" w:rsidRDefault="003F3E42" w:rsidP="003F3E42">
      <w:pPr>
        <w:ind w:right="-23"/>
        <w:rPr>
          <w:rFonts w:ascii="Arial" w:hAnsi="Arial" w:cs="Arial"/>
          <w:b/>
          <w:lang w:val="tr-TR"/>
        </w:rPr>
      </w:pPr>
      <w:r w:rsidRPr="00D00722">
        <w:rPr>
          <w:rFonts w:ascii="Arial" w:hAnsi="Arial" w:cs="Arial"/>
          <w:b/>
          <w:lang w:val="tr-TR"/>
        </w:rPr>
        <w:t>2.</w:t>
      </w:r>
      <w:r w:rsidRPr="00D00722">
        <w:rPr>
          <w:rFonts w:ascii="Arial" w:hAnsi="Arial" w:cs="Arial"/>
          <w:b/>
          <w:lang w:val="tr-TR"/>
        </w:rPr>
        <w:tab/>
        <w:t>Finansal tabloların sunumuna ilişkin esaslar (devamı)</w:t>
      </w:r>
    </w:p>
    <w:p w:rsidR="00942BE7" w:rsidRPr="00D00722" w:rsidRDefault="00942BE7" w:rsidP="00942BE7">
      <w:pPr>
        <w:rPr>
          <w:rFonts w:ascii="Arial" w:hAnsi="Arial" w:cs="Arial"/>
          <w:lang w:val="tr-TR"/>
        </w:rPr>
      </w:pPr>
    </w:p>
    <w:p w:rsidR="00942BE7" w:rsidRPr="00D00722" w:rsidRDefault="00942BE7" w:rsidP="00942BE7">
      <w:pPr>
        <w:pStyle w:val="BodyText2"/>
        <w:tabs>
          <w:tab w:val="clear" w:pos="-720"/>
          <w:tab w:val="clear" w:pos="0"/>
        </w:tabs>
        <w:jc w:val="left"/>
        <w:rPr>
          <w:rFonts w:ascii="Arial" w:hAnsi="Arial" w:cs="Arial"/>
          <w:b/>
          <w:sz w:val="20"/>
          <w:lang w:val="tr-TR"/>
        </w:rPr>
      </w:pPr>
      <w:r w:rsidRPr="00D00722">
        <w:rPr>
          <w:rFonts w:ascii="Arial" w:hAnsi="Arial" w:cs="Arial"/>
          <w:b/>
          <w:sz w:val="20"/>
          <w:lang w:val="tr-TR"/>
        </w:rPr>
        <w:t>Vadeli işlem ve opsiyon borsası (“VOB”) işlemleri</w:t>
      </w:r>
    </w:p>
    <w:p w:rsidR="00942BE7" w:rsidRPr="00D00722" w:rsidRDefault="00942BE7" w:rsidP="00942BE7">
      <w:pPr>
        <w:rPr>
          <w:rFonts w:ascii="Arial" w:hAnsi="Arial" w:cs="Arial"/>
          <w:b/>
          <w:bCs/>
          <w:lang w:val="tr-TR"/>
        </w:rPr>
      </w:pPr>
    </w:p>
    <w:p w:rsidR="00942BE7" w:rsidRPr="00D00722" w:rsidRDefault="00942BE7" w:rsidP="00942BE7">
      <w:pPr>
        <w:autoSpaceDE w:val="0"/>
        <w:autoSpaceDN w:val="0"/>
        <w:adjustRightInd w:val="0"/>
        <w:rPr>
          <w:rFonts w:ascii="Arial" w:hAnsi="Arial" w:cs="Arial"/>
          <w:lang w:val="tr-TR"/>
        </w:rPr>
      </w:pPr>
      <w:r w:rsidRPr="00D00722">
        <w:rPr>
          <w:rFonts w:ascii="Arial" w:hAnsi="Arial" w:cs="Arial"/>
          <w:lang w:val="tr-TR"/>
        </w:rPr>
        <w:t>VOB piyasasında işlem yapmak için verilen nakit teminatlar nakit ve nakit benzerleri olarak sınıflandırılmaktadır. Dönem içinde yapılan işlemler sonucu oluşan kar ve zararlar gelir tablosunda finansal gelirler/giderlere kaydedilmiştir. Açık olan işlemlerin piyasa fiyatları üzerinden değerlenmesi sonucunda gelir tablosuna yansıyan değerleme farkları ve kalan teminat tutarının nemalandırması sonucu oluşan faiz gelirleri netleştirilerek diğer alacaklar olarak gösterilmiştir.</w:t>
      </w:r>
    </w:p>
    <w:p w:rsidR="00A70289" w:rsidRPr="00D00722" w:rsidRDefault="00A70289" w:rsidP="00942BE7">
      <w:pPr>
        <w:pStyle w:val="BodyText2"/>
        <w:tabs>
          <w:tab w:val="clear" w:pos="-720"/>
          <w:tab w:val="clear" w:pos="0"/>
        </w:tabs>
        <w:jc w:val="left"/>
        <w:rPr>
          <w:rFonts w:ascii="Arial" w:hAnsi="Arial" w:cs="Arial"/>
          <w:b/>
          <w:bCs/>
          <w:sz w:val="20"/>
          <w:lang w:val="tr-TR"/>
        </w:rPr>
      </w:pPr>
    </w:p>
    <w:p w:rsidR="00942BE7" w:rsidRPr="00D00722" w:rsidRDefault="00942BE7" w:rsidP="00942BE7">
      <w:pPr>
        <w:pStyle w:val="BodyText2"/>
        <w:tabs>
          <w:tab w:val="clear" w:pos="-720"/>
          <w:tab w:val="clear" w:pos="0"/>
        </w:tabs>
        <w:jc w:val="left"/>
        <w:rPr>
          <w:rFonts w:ascii="Arial" w:hAnsi="Arial" w:cs="Arial"/>
          <w:b/>
          <w:bCs/>
          <w:sz w:val="20"/>
          <w:lang w:val="tr-TR"/>
        </w:rPr>
      </w:pPr>
      <w:r w:rsidRPr="00D00722">
        <w:rPr>
          <w:rFonts w:ascii="Arial" w:hAnsi="Arial" w:cs="Arial"/>
          <w:b/>
          <w:bCs/>
          <w:sz w:val="20"/>
          <w:lang w:val="tr-TR"/>
        </w:rPr>
        <w:t>Sermaye ve temettüler</w:t>
      </w:r>
    </w:p>
    <w:p w:rsidR="00942BE7" w:rsidRPr="00D00722" w:rsidRDefault="00942BE7" w:rsidP="00942BE7">
      <w:pPr>
        <w:pStyle w:val="BodyText2"/>
        <w:tabs>
          <w:tab w:val="clear" w:pos="-720"/>
          <w:tab w:val="clear" w:pos="0"/>
        </w:tabs>
        <w:jc w:val="left"/>
        <w:rPr>
          <w:rFonts w:ascii="Arial" w:hAnsi="Arial" w:cs="Arial"/>
          <w:bCs/>
          <w:sz w:val="20"/>
          <w:u w:val="single"/>
          <w:lang w:val="tr-TR"/>
        </w:rPr>
      </w:pPr>
    </w:p>
    <w:p w:rsidR="00942BE7" w:rsidRPr="00D00722" w:rsidRDefault="00942BE7" w:rsidP="00942BE7">
      <w:pPr>
        <w:rPr>
          <w:rFonts w:ascii="Arial" w:hAnsi="Arial" w:cs="Arial"/>
          <w:lang w:val="tr-TR"/>
        </w:rPr>
      </w:pPr>
      <w:r w:rsidRPr="00D00722">
        <w:rPr>
          <w:rFonts w:ascii="Arial" w:hAnsi="Arial" w:cs="Arial"/>
          <w:lang w:val="tr-TR"/>
        </w:rPr>
        <w:t>Adi hisseler, özsermaye olarak sınıflandırılır. Adi hisseler üzerinden dağıtılan temettüler, beyan edildiği dönemde birikmiş kardan indirilerek kaydedilir.Finansal varlık ve yükümlülükler, netleştirmeye yönelik yasal bir hakka ve yaptırım gücüne sahip olunması ve söz konusu varlık ve yükümlülükleri net bazda tahsil etme/ödeme veya eş zamanlı sonuçlandırma niyetinin olması durumunda bilançoda netleştirilerek gösterilmektedir.</w:t>
      </w:r>
    </w:p>
    <w:p w:rsidR="00942BE7" w:rsidRPr="00D00722" w:rsidRDefault="00942BE7" w:rsidP="00942BE7">
      <w:pPr>
        <w:rPr>
          <w:rFonts w:ascii="Arial" w:hAnsi="Arial" w:cs="Arial"/>
          <w:lang w:val="tr-TR"/>
        </w:rPr>
      </w:pPr>
    </w:p>
    <w:p w:rsidR="00942BE7" w:rsidRPr="00D00722" w:rsidRDefault="00942BE7" w:rsidP="00942BE7">
      <w:pPr>
        <w:autoSpaceDE w:val="0"/>
        <w:autoSpaceDN w:val="0"/>
        <w:adjustRightInd w:val="0"/>
        <w:rPr>
          <w:rFonts w:ascii="Arial" w:hAnsi="Arial" w:cs="Arial"/>
          <w:b/>
          <w:bCs/>
          <w:color w:val="000000"/>
        </w:rPr>
      </w:pPr>
      <w:r w:rsidRPr="00D00722">
        <w:rPr>
          <w:rFonts w:ascii="Arial" w:hAnsi="Arial" w:cs="Arial"/>
          <w:b/>
          <w:bCs/>
          <w:color w:val="000000"/>
        </w:rPr>
        <w:t>Kiralama işlemleri</w:t>
      </w:r>
    </w:p>
    <w:p w:rsidR="00942BE7" w:rsidRPr="00D00722" w:rsidRDefault="00942BE7" w:rsidP="00942BE7">
      <w:pPr>
        <w:tabs>
          <w:tab w:val="left" w:pos="567"/>
          <w:tab w:val="left" w:pos="1440"/>
          <w:tab w:val="left" w:pos="5510"/>
          <w:tab w:val="left" w:pos="5904"/>
          <w:tab w:val="left" w:pos="6283"/>
          <w:tab w:val="left" w:pos="6609"/>
          <w:tab w:val="left" w:pos="8094"/>
          <w:tab w:val="left" w:pos="8664"/>
        </w:tabs>
        <w:autoSpaceDE w:val="0"/>
        <w:autoSpaceDN w:val="0"/>
        <w:adjustRightInd w:val="0"/>
        <w:rPr>
          <w:rFonts w:ascii="Arial" w:hAnsi="Arial" w:cs="Arial"/>
          <w:iCs/>
          <w:color w:val="000000"/>
        </w:rPr>
      </w:pPr>
    </w:p>
    <w:p w:rsidR="00942BE7" w:rsidRPr="00D00722" w:rsidRDefault="00A70289" w:rsidP="00942BE7">
      <w:pPr>
        <w:rPr>
          <w:rFonts w:ascii="Arial" w:hAnsi="Arial" w:cs="Arial"/>
          <w:lang w:val="tr-TR"/>
        </w:rPr>
      </w:pPr>
      <w:r w:rsidRPr="00D00722">
        <w:rPr>
          <w:rFonts w:ascii="Arial" w:hAnsi="Arial" w:cs="Arial"/>
          <w:color w:val="000000"/>
        </w:rPr>
        <w:t>Operasyonel kiralama işlemleri k</w:t>
      </w:r>
      <w:r w:rsidR="00942BE7" w:rsidRPr="00D00722">
        <w:rPr>
          <w:rFonts w:ascii="Arial" w:hAnsi="Arial" w:cs="Arial"/>
          <w:color w:val="000000"/>
        </w:rPr>
        <w:t xml:space="preserve">iraya veren tarafın kiralanan varlığın tüm risk ve menfaatlerini kendinde tuttuğu kiralamalar operasyonel kiralama olarak sınıflandırılır. </w:t>
      </w:r>
      <w:proofErr w:type="gramStart"/>
      <w:r w:rsidR="00942BE7" w:rsidRPr="00D00722">
        <w:rPr>
          <w:rFonts w:ascii="Arial" w:hAnsi="Arial" w:cs="Arial"/>
          <w:color w:val="000000"/>
        </w:rPr>
        <w:t>Operasyonel kiralamada kira bedelleri, kira süresi boyunca eşit olarak giderleştirilir.</w:t>
      </w:r>
      <w:proofErr w:type="gramEnd"/>
    </w:p>
    <w:p w:rsidR="00A27292" w:rsidRPr="00D00722" w:rsidRDefault="00A27292">
      <w:pPr>
        <w:rPr>
          <w:rFonts w:ascii="Arial" w:hAnsi="Arial" w:cs="Arial"/>
          <w:lang w:val="tr-TR"/>
        </w:rPr>
      </w:pPr>
    </w:p>
    <w:p w:rsidR="00942BE7" w:rsidRPr="00D00722" w:rsidRDefault="00942BE7" w:rsidP="00942BE7">
      <w:pPr>
        <w:autoSpaceDE w:val="0"/>
        <w:autoSpaceDN w:val="0"/>
        <w:adjustRightInd w:val="0"/>
        <w:rPr>
          <w:rFonts w:ascii="Arial" w:hAnsi="Arial" w:cs="Arial"/>
          <w:b/>
          <w:bCs/>
          <w:color w:val="000000"/>
        </w:rPr>
      </w:pPr>
      <w:r w:rsidRPr="00D00722">
        <w:rPr>
          <w:rFonts w:ascii="Arial" w:hAnsi="Arial" w:cs="Arial"/>
          <w:b/>
          <w:bCs/>
          <w:color w:val="000000"/>
        </w:rPr>
        <w:t>İlişkili taraflar</w:t>
      </w:r>
    </w:p>
    <w:p w:rsidR="00942BE7" w:rsidRPr="00D00722" w:rsidRDefault="00942BE7" w:rsidP="00942BE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autoSpaceDE w:val="0"/>
        <w:autoSpaceDN w:val="0"/>
        <w:adjustRightInd w:val="0"/>
        <w:rPr>
          <w:rFonts w:ascii="Arial" w:hAnsi="Arial" w:cs="Arial"/>
          <w:b/>
          <w:bCs/>
          <w:color w:val="000000"/>
        </w:rPr>
      </w:pPr>
    </w:p>
    <w:p w:rsidR="00942BE7" w:rsidRPr="00D00722" w:rsidRDefault="00942BE7" w:rsidP="00942BE7">
      <w:pPr>
        <w:autoSpaceDE w:val="0"/>
        <w:autoSpaceDN w:val="0"/>
        <w:adjustRightInd w:val="0"/>
        <w:rPr>
          <w:rFonts w:ascii="Arial" w:hAnsi="Arial" w:cs="Arial"/>
          <w:color w:val="000000"/>
        </w:rPr>
      </w:pPr>
      <w:r w:rsidRPr="00D00722">
        <w:rPr>
          <w:rFonts w:ascii="Arial" w:hAnsi="Arial" w:cs="Arial"/>
          <w:color w:val="000000"/>
        </w:rPr>
        <w:t xml:space="preserve">Finansal tablolarını hazırlayan işletmeyle (bu Standartta ‘raporlayan işletme’ olarak kullanılacaktır) ilişkili olan </w:t>
      </w:r>
      <w:proofErr w:type="gramStart"/>
      <w:r w:rsidRPr="00D00722">
        <w:rPr>
          <w:rFonts w:ascii="Arial" w:hAnsi="Arial" w:cs="Arial"/>
          <w:color w:val="000000"/>
        </w:rPr>
        <w:t>kişi</w:t>
      </w:r>
      <w:proofErr w:type="gramEnd"/>
      <w:r w:rsidRPr="00D00722">
        <w:rPr>
          <w:rFonts w:ascii="Arial" w:hAnsi="Arial" w:cs="Arial"/>
          <w:color w:val="000000"/>
        </w:rPr>
        <w:t xml:space="preserve"> veya işletmedir.</w:t>
      </w:r>
    </w:p>
    <w:p w:rsidR="00942BE7" w:rsidRPr="00D00722" w:rsidRDefault="00942BE7" w:rsidP="00942BE7">
      <w:pPr>
        <w:autoSpaceDE w:val="0"/>
        <w:autoSpaceDN w:val="0"/>
        <w:adjustRightInd w:val="0"/>
        <w:rPr>
          <w:rFonts w:ascii="Arial" w:hAnsi="Arial" w:cs="Arial"/>
          <w:color w:val="000000"/>
        </w:rPr>
      </w:pPr>
    </w:p>
    <w:p w:rsidR="00942BE7" w:rsidRPr="00D00722" w:rsidRDefault="00942BE7" w:rsidP="00942BE7">
      <w:pPr>
        <w:autoSpaceDE w:val="0"/>
        <w:autoSpaceDN w:val="0"/>
        <w:adjustRightInd w:val="0"/>
        <w:ind w:left="567" w:hanging="567"/>
        <w:rPr>
          <w:rFonts w:ascii="Arial" w:hAnsi="Arial" w:cs="Arial"/>
          <w:color w:val="000000"/>
        </w:rPr>
      </w:pPr>
      <w:r w:rsidRPr="00D00722">
        <w:rPr>
          <w:rFonts w:ascii="Arial" w:hAnsi="Arial" w:cs="Arial"/>
          <w:color w:val="000000"/>
        </w:rPr>
        <w:t xml:space="preserve">(a) </w:t>
      </w:r>
      <w:r w:rsidRPr="00D00722">
        <w:rPr>
          <w:rFonts w:ascii="Arial" w:hAnsi="Arial" w:cs="Arial"/>
          <w:color w:val="000000"/>
        </w:rPr>
        <w:tab/>
        <w:t xml:space="preserve">Bir </w:t>
      </w:r>
      <w:proofErr w:type="gramStart"/>
      <w:r w:rsidRPr="00D00722">
        <w:rPr>
          <w:rFonts w:ascii="Arial" w:hAnsi="Arial" w:cs="Arial"/>
          <w:color w:val="000000"/>
        </w:rPr>
        <w:t>kişi</w:t>
      </w:r>
      <w:proofErr w:type="gramEnd"/>
      <w:r w:rsidRPr="00D00722">
        <w:rPr>
          <w:rFonts w:ascii="Arial" w:hAnsi="Arial" w:cs="Arial"/>
          <w:color w:val="000000"/>
        </w:rPr>
        <w:t xml:space="preserve"> veya bu kişinin yakın ailesinin bir üyesi, aşağıdaki durumlarda raporlayan işletmeyle ilişkili sayılır: </w:t>
      </w:r>
    </w:p>
    <w:p w:rsidR="00942BE7" w:rsidRPr="00D00722" w:rsidRDefault="00942BE7" w:rsidP="00942BE7">
      <w:pPr>
        <w:autoSpaceDE w:val="0"/>
        <w:autoSpaceDN w:val="0"/>
        <w:adjustRightInd w:val="0"/>
        <w:rPr>
          <w:rFonts w:ascii="Arial" w:hAnsi="Arial" w:cs="Arial"/>
          <w:color w:val="000000"/>
        </w:rPr>
      </w:pPr>
    </w:p>
    <w:p w:rsidR="00942BE7" w:rsidRPr="00D00722" w:rsidRDefault="00942BE7" w:rsidP="00942BE7">
      <w:pPr>
        <w:autoSpaceDE w:val="0"/>
        <w:autoSpaceDN w:val="0"/>
        <w:adjustRightInd w:val="0"/>
        <w:ind w:left="567"/>
        <w:rPr>
          <w:rFonts w:ascii="Arial" w:hAnsi="Arial" w:cs="Arial"/>
          <w:color w:val="000000"/>
        </w:rPr>
      </w:pPr>
      <w:r w:rsidRPr="00D00722">
        <w:rPr>
          <w:rFonts w:ascii="Arial" w:hAnsi="Arial" w:cs="Arial"/>
          <w:color w:val="000000"/>
        </w:rPr>
        <w:t>Söz konusu kişinin,</w:t>
      </w:r>
    </w:p>
    <w:p w:rsidR="00942BE7" w:rsidRPr="00D00722" w:rsidRDefault="00942BE7" w:rsidP="00942BE7">
      <w:pPr>
        <w:autoSpaceDE w:val="0"/>
        <w:autoSpaceDN w:val="0"/>
        <w:adjustRightInd w:val="0"/>
        <w:ind w:left="1134" w:hanging="567"/>
        <w:rPr>
          <w:rFonts w:ascii="Arial" w:hAnsi="Arial" w:cs="Arial"/>
          <w:color w:val="000000"/>
        </w:rPr>
      </w:pPr>
      <w:r w:rsidRPr="00D00722">
        <w:rPr>
          <w:rFonts w:ascii="Arial" w:hAnsi="Arial" w:cs="Arial"/>
          <w:color w:val="000000"/>
        </w:rPr>
        <w:t xml:space="preserve">(i) </w:t>
      </w:r>
      <w:r w:rsidRPr="00D00722">
        <w:rPr>
          <w:rFonts w:ascii="Arial" w:hAnsi="Arial" w:cs="Arial"/>
          <w:color w:val="000000"/>
        </w:rPr>
        <w:tab/>
      </w:r>
      <w:proofErr w:type="gramStart"/>
      <w:r w:rsidRPr="00D00722">
        <w:rPr>
          <w:rFonts w:ascii="Arial" w:hAnsi="Arial" w:cs="Arial"/>
          <w:color w:val="000000"/>
        </w:rPr>
        <w:t>raporlayan</w:t>
      </w:r>
      <w:proofErr w:type="gramEnd"/>
      <w:r w:rsidRPr="00D00722">
        <w:rPr>
          <w:rFonts w:ascii="Arial" w:hAnsi="Arial" w:cs="Arial"/>
          <w:color w:val="000000"/>
        </w:rPr>
        <w:t xml:space="preserve"> işletme üzerinde kontrol veya müşterek kontrol gücüne sahip olması durumunda, </w:t>
      </w:r>
    </w:p>
    <w:p w:rsidR="00942BE7" w:rsidRPr="00D00722" w:rsidRDefault="00942BE7" w:rsidP="00942BE7">
      <w:pPr>
        <w:autoSpaceDE w:val="0"/>
        <w:autoSpaceDN w:val="0"/>
        <w:adjustRightInd w:val="0"/>
        <w:ind w:left="1134" w:hanging="567"/>
        <w:rPr>
          <w:rFonts w:ascii="Arial" w:hAnsi="Arial" w:cs="Arial"/>
          <w:color w:val="000000"/>
        </w:rPr>
      </w:pPr>
      <w:r w:rsidRPr="00D00722">
        <w:rPr>
          <w:rFonts w:ascii="Arial" w:hAnsi="Arial" w:cs="Arial"/>
          <w:color w:val="000000"/>
        </w:rPr>
        <w:t xml:space="preserve">(ii) </w:t>
      </w:r>
      <w:r w:rsidRPr="00D00722">
        <w:rPr>
          <w:rFonts w:ascii="Arial" w:hAnsi="Arial" w:cs="Arial"/>
          <w:color w:val="000000"/>
        </w:rPr>
        <w:tab/>
      </w:r>
      <w:proofErr w:type="gramStart"/>
      <w:r w:rsidRPr="00D00722">
        <w:rPr>
          <w:rFonts w:ascii="Arial" w:hAnsi="Arial" w:cs="Arial"/>
          <w:color w:val="000000"/>
        </w:rPr>
        <w:t>raporlayan</w:t>
      </w:r>
      <w:proofErr w:type="gramEnd"/>
      <w:r w:rsidRPr="00D00722">
        <w:rPr>
          <w:rFonts w:ascii="Arial" w:hAnsi="Arial" w:cs="Arial"/>
          <w:color w:val="000000"/>
        </w:rPr>
        <w:t xml:space="preserve"> işletme üzerinde önemli etkiye sahip olması durumunda,</w:t>
      </w:r>
    </w:p>
    <w:p w:rsidR="00942BE7" w:rsidRPr="00D00722" w:rsidRDefault="00942BE7" w:rsidP="00942BE7">
      <w:pPr>
        <w:autoSpaceDE w:val="0"/>
        <w:autoSpaceDN w:val="0"/>
        <w:adjustRightInd w:val="0"/>
        <w:ind w:left="1134" w:hanging="567"/>
        <w:rPr>
          <w:rFonts w:ascii="Arial" w:hAnsi="Arial" w:cs="Arial"/>
          <w:color w:val="000000"/>
        </w:rPr>
      </w:pPr>
      <w:r w:rsidRPr="00D00722">
        <w:rPr>
          <w:rFonts w:ascii="Arial" w:hAnsi="Arial" w:cs="Arial"/>
          <w:color w:val="000000"/>
        </w:rPr>
        <w:t xml:space="preserve">(iii) </w:t>
      </w:r>
      <w:r w:rsidRPr="00D00722">
        <w:rPr>
          <w:rFonts w:ascii="Arial" w:hAnsi="Arial" w:cs="Arial"/>
          <w:color w:val="000000"/>
        </w:rPr>
        <w:tab/>
      </w:r>
      <w:proofErr w:type="gramStart"/>
      <w:r w:rsidRPr="00D00722">
        <w:rPr>
          <w:rFonts w:ascii="Arial" w:hAnsi="Arial" w:cs="Arial"/>
          <w:color w:val="000000"/>
        </w:rPr>
        <w:t>raporlayan</w:t>
      </w:r>
      <w:proofErr w:type="gramEnd"/>
      <w:r w:rsidRPr="00D00722">
        <w:rPr>
          <w:rFonts w:ascii="Arial" w:hAnsi="Arial" w:cs="Arial"/>
          <w:color w:val="000000"/>
        </w:rPr>
        <w:t xml:space="preserve"> işletmenin veya raporlayan işletmenin bir ana ortaklığının kilit yönetici personelinin bir üyesi olması durumunda. </w:t>
      </w:r>
    </w:p>
    <w:p w:rsidR="00942BE7" w:rsidRPr="00D00722" w:rsidRDefault="00942BE7" w:rsidP="00942BE7">
      <w:pPr>
        <w:autoSpaceDE w:val="0"/>
        <w:autoSpaceDN w:val="0"/>
        <w:adjustRightInd w:val="0"/>
        <w:rPr>
          <w:rFonts w:ascii="Arial" w:hAnsi="Arial" w:cs="Arial"/>
          <w:color w:val="000000"/>
        </w:rPr>
      </w:pPr>
    </w:p>
    <w:p w:rsidR="00942BE7" w:rsidRPr="00D00722" w:rsidRDefault="00942BE7" w:rsidP="00942BE7">
      <w:pPr>
        <w:autoSpaceDE w:val="0"/>
        <w:autoSpaceDN w:val="0"/>
        <w:adjustRightInd w:val="0"/>
        <w:ind w:left="567" w:hanging="567"/>
        <w:rPr>
          <w:rFonts w:ascii="Arial" w:hAnsi="Arial" w:cs="Arial"/>
          <w:color w:val="000000"/>
        </w:rPr>
      </w:pPr>
      <w:r w:rsidRPr="00D00722">
        <w:rPr>
          <w:rFonts w:ascii="Arial" w:hAnsi="Arial" w:cs="Arial"/>
          <w:color w:val="000000"/>
        </w:rPr>
        <w:t xml:space="preserve">(b) </w:t>
      </w:r>
      <w:r w:rsidRPr="00D00722">
        <w:rPr>
          <w:rFonts w:ascii="Arial" w:hAnsi="Arial" w:cs="Arial"/>
          <w:color w:val="000000"/>
        </w:rPr>
        <w:tab/>
        <w:t>Aşağıdaki koşullardan herhangi birinin mevcut olması halinde işletme raporlayan işletme ile ilişkili sayılır:</w:t>
      </w:r>
    </w:p>
    <w:p w:rsidR="00942BE7" w:rsidRPr="00D00722" w:rsidRDefault="00942BE7" w:rsidP="00942BE7">
      <w:pPr>
        <w:autoSpaceDE w:val="0"/>
        <w:autoSpaceDN w:val="0"/>
        <w:adjustRightInd w:val="0"/>
        <w:ind w:left="567" w:hanging="567"/>
        <w:rPr>
          <w:rFonts w:ascii="Arial" w:hAnsi="Arial" w:cs="Arial"/>
          <w:color w:val="000000"/>
        </w:rPr>
      </w:pPr>
    </w:p>
    <w:p w:rsidR="00942BE7" w:rsidRPr="00D00722" w:rsidRDefault="00942BE7" w:rsidP="00942BE7">
      <w:pPr>
        <w:autoSpaceDE w:val="0"/>
        <w:autoSpaceDN w:val="0"/>
        <w:adjustRightInd w:val="0"/>
        <w:ind w:left="1134" w:hanging="567"/>
        <w:rPr>
          <w:rFonts w:ascii="Arial" w:hAnsi="Arial" w:cs="Arial"/>
          <w:color w:val="000000"/>
        </w:rPr>
      </w:pPr>
      <w:r w:rsidRPr="00D00722">
        <w:rPr>
          <w:rFonts w:ascii="Arial" w:hAnsi="Arial" w:cs="Arial"/>
          <w:color w:val="000000"/>
        </w:rPr>
        <w:t xml:space="preserve">(i) </w:t>
      </w:r>
      <w:r w:rsidRPr="00D00722">
        <w:rPr>
          <w:rFonts w:ascii="Arial" w:hAnsi="Arial" w:cs="Arial"/>
          <w:color w:val="000000"/>
        </w:rPr>
        <w:tab/>
        <w:t>İşletme ve raporlayan işletmenin aynı grubun üyesi olması halinde (yani her bir ana ortaklık, bağlı ortaklık ve diğer bağlı ortaklık diğerleri ile ilişkilidir).</w:t>
      </w:r>
    </w:p>
    <w:p w:rsidR="00942BE7" w:rsidRPr="00D00722" w:rsidRDefault="00942BE7" w:rsidP="00942BE7">
      <w:pPr>
        <w:autoSpaceDE w:val="0"/>
        <w:autoSpaceDN w:val="0"/>
        <w:adjustRightInd w:val="0"/>
        <w:ind w:left="1134" w:hanging="567"/>
        <w:rPr>
          <w:rFonts w:ascii="Arial" w:hAnsi="Arial" w:cs="Arial"/>
          <w:color w:val="000000"/>
        </w:rPr>
      </w:pPr>
      <w:r w:rsidRPr="00D00722">
        <w:rPr>
          <w:rFonts w:ascii="Arial" w:hAnsi="Arial" w:cs="Arial"/>
          <w:color w:val="000000"/>
        </w:rPr>
        <w:t xml:space="preserve">(ii) </w:t>
      </w:r>
      <w:r w:rsidRPr="00D00722">
        <w:rPr>
          <w:rFonts w:ascii="Arial" w:hAnsi="Arial" w:cs="Arial"/>
          <w:color w:val="000000"/>
        </w:rPr>
        <w:tab/>
        <w:t>İşletmenin, diğer işletmenin (veya diğer işletmenin de üyesi olduğu bir grubun üyesinin) iştiraki ya da iş ortaklığı olması halinde.</w:t>
      </w:r>
    </w:p>
    <w:p w:rsidR="00942BE7" w:rsidRPr="00D00722" w:rsidRDefault="00942BE7" w:rsidP="00942BE7">
      <w:pPr>
        <w:autoSpaceDE w:val="0"/>
        <w:autoSpaceDN w:val="0"/>
        <w:adjustRightInd w:val="0"/>
        <w:ind w:left="1134" w:hanging="567"/>
        <w:rPr>
          <w:rFonts w:ascii="Arial" w:hAnsi="Arial" w:cs="Arial"/>
          <w:color w:val="000000"/>
        </w:rPr>
      </w:pPr>
      <w:r w:rsidRPr="00D00722">
        <w:rPr>
          <w:rFonts w:ascii="Arial" w:hAnsi="Arial" w:cs="Arial"/>
          <w:color w:val="000000"/>
        </w:rPr>
        <w:t xml:space="preserve">(iii) </w:t>
      </w:r>
      <w:r w:rsidRPr="00D00722">
        <w:rPr>
          <w:rFonts w:ascii="Arial" w:hAnsi="Arial" w:cs="Arial"/>
          <w:color w:val="000000"/>
        </w:rPr>
        <w:tab/>
        <w:t>Her iki işletmenin de aynı bir üçüncü tarafın iş ortaklığı olması halinde.</w:t>
      </w:r>
    </w:p>
    <w:p w:rsidR="00942BE7" w:rsidRPr="00D00722" w:rsidRDefault="00942BE7" w:rsidP="00942BE7">
      <w:pPr>
        <w:autoSpaceDE w:val="0"/>
        <w:autoSpaceDN w:val="0"/>
        <w:adjustRightInd w:val="0"/>
        <w:ind w:left="1134" w:hanging="567"/>
        <w:rPr>
          <w:rFonts w:ascii="Arial" w:hAnsi="Arial" w:cs="Arial"/>
          <w:color w:val="000000"/>
        </w:rPr>
      </w:pPr>
      <w:proofErr w:type="gramStart"/>
      <w:r w:rsidRPr="00D00722">
        <w:rPr>
          <w:rFonts w:ascii="Arial" w:hAnsi="Arial" w:cs="Arial"/>
          <w:color w:val="000000"/>
        </w:rPr>
        <w:t xml:space="preserve">(iv) </w:t>
      </w:r>
      <w:r w:rsidRPr="00D00722">
        <w:rPr>
          <w:rFonts w:ascii="Arial" w:hAnsi="Arial" w:cs="Arial"/>
          <w:color w:val="000000"/>
        </w:rPr>
        <w:tab/>
        <w:t>İşletmelerden</w:t>
      </w:r>
      <w:proofErr w:type="gramEnd"/>
      <w:r w:rsidRPr="00D00722">
        <w:rPr>
          <w:rFonts w:ascii="Arial" w:hAnsi="Arial" w:cs="Arial"/>
          <w:color w:val="000000"/>
        </w:rPr>
        <w:t xml:space="preserve"> birinin üçüncü bir işletmenin iş ortaklığı olması ve diğer işletmenin söz konusu üçüncü işletmenin iştiraki olması halinde.</w:t>
      </w:r>
    </w:p>
    <w:p w:rsidR="00942BE7" w:rsidRPr="00D00722" w:rsidRDefault="00942BE7" w:rsidP="00942BE7">
      <w:pPr>
        <w:autoSpaceDE w:val="0"/>
        <w:autoSpaceDN w:val="0"/>
        <w:adjustRightInd w:val="0"/>
        <w:ind w:left="1134" w:hanging="567"/>
        <w:rPr>
          <w:rFonts w:ascii="Arial" w:hAnsi="Arial" w:cs="Arial"/>
          <w:color w:val="000000"/>
        </w:rPr>
      </w:pPr>
      <w:r w:rsidRPr="00D00722">
        <w:rPr>
          <w:rFonts w:ascii="Arial" w:hAnsi="Arial" w:cs="Arial"/>
          <w:color w:val="000000"/>
        </w:rPr>
        <w:t xml:space="preserve">(v) </w:t>
      </w:r>
      <w:r w:rsidRPr="00D00722">
        <w:rPr>
          <w:rFonts w:ascii="Arial" w:hAnsi="Arial" w:cs="Arial"/>
          <w:color w:val="000000"/>
        </w:rPr>
        <w:tab/>
        <w:t xml:space="preserve">İşletmenin, raporlayan işletmenin ya da raporlayan işletmeyle ilişkili olan bir işletmenin çalışanlarına ilişkin olarak işten ayrılma sonrasında sağlanan fayda plânlarının olması halinde. </w:t>
      </w:r>
      <w:proofErr w:type="gramStart"/>
      <w:r w:rsidRPr="00D00722">
        <w:rPr>
          <w:rFonts w:ascii="Arial" w:hAnsi="Arial" w:cs="Arial"/>
          <w:color w:val="000000"/>
        </w:rPr>
        <w:t>Raporlayan işletmenin kendisinin böyle bir plânının olması halinde, sponsor olan işverenler de raporlayan işletme ile ilişkilidir.</w:t>
      </w:r>
      <w:proofErr w:type="gramEnd"/>
    </w:p>
    <w:p w:rsidR="003F3E42" w:rsidRPr="00D00722" w:rsidRDefault="003F3E42">
      <w:pPr>
        <w:rPr>
          <w:rFonts w:ascii="Arial" w:hAnsi="Arial" w:cs="Arial"/>
          <w:color w:val="000000"/>
        </w:rPr>
      </w:pPr>
      <w:r w:rsidRPr="00D00722">
        <w:rPr>
          <w:rFonts w:ascii="Arial" w:hAnsi="Arial" w:cs="Arial"/>
          <w:color w:val="000000"/>
        </w:rPr>
        <w:br w:type="page"/>
      </w:r>
    </w:p>
    <w:p w:rsidR="003F3E42" w:rsidRPr="00D00722" w:rsidRDefault="003F3E42" w:rsidP="003F3E42">
      <w:pPr>
        <w:ind w:right="-23"/>
        <w:rPr>
          <w:rFonts w:ascii="Arial" w:hAnsi="Arial" w:cs="Arial"/>
          <w:b/>
          <w:lang w:val="tr-TR"/>
        </w:rPr>
      </w:pPr>
      <w:r w:rsidRPr="00D00722">
        <w:rPr>
          <w:rFonts w:ascii="Arial" w:hAnsi="Arial" w:cs="Arial"/>
          <w:b/>
          <w:lang w:val="tr-TR"/>
        </w:rPr>
        <w:t>2.</w:t>
      </w:r>
      <w:r w:rsidRPr="00D00722">
        <w:rPr>
          <w:rFonts w:ascii="Arial" w:hAnsi="Arial" w:cs="Arial"/>
          <w:b/>
          <w:lang w:val="tr-TR"/>
        </w:rPr>
        <w:tab/>
        <w:t>Finansal tabloların sunumuna ilişkin esaslar (devamı)</w:t>
      </w:r>
    </w:p>
    <w:p w:rsidR="003F3E42" w:rsidRPr="00D00722" w:rsidRDefault="003F3E42" w:rsidP="00942BE7">
      <w:pPr>
        <w:autoSpaceDE w:val="0"/>
        <w:autoSpaceDN w:val="0"/>
        <w:adjustRightInd w:val="0"/>
        <w:ind w:left="1134" w:hanging="567"/>
        <w:rPr>
          <w:rFonts w:ascii="Arial" w:hAnsi="Arial" w:cs="Arial"/>
          <w:color w:val="000000"/>
        </w:rPr>
      </w:pPr>
    </w:p>
    <w:p w:rsidR="00942BE7" w:rsidRPr="00D00722" w:rsidRDefault="00942BE7" w:rsidP="00942BE7">
      <w:pPr>
        <w:autoSpaceDE w:val="0"/>
        <w:autoSpaceDN w:val="0"/>
        <w:adjustRightInd w:val="0"/>
        <w:ind w:left="1134" w:hanging="567"/>
        <w:rPr>
          <w:rFonts w:ascii="Arial" w:hAnsi="Arial" w:cs="Arial"/>
          <w:color w:val="000000"/>
        </w:rPr>
      </w:pPr>
      <w:r w:rsidRPr="00D00722">
        <w:rPr>
          <w:rFonts w:ascii="Arial" w:hAnsi="Arial" w:cs="Arial"/>
          <w:color w:val="000000"/>
        </w:rPr>
        <w:t xml:space="preserve">(vi) </w:t>
      </w:r>
      <w:r w:rsidRPr="00D00722">
        <w:rPr>
          <w:rFonts w:ascii="Arial" w:hAnsi="Arial" w:cs="Arial"/>
          <w:color w:val="000000"/>
        </w:rPr>
        <w:tab/>
        <w:t xml:space="preserve">İşletmenin (a) maddesinde tanımlanan bir </w:t>
      </w:r>
      <w:proofErr w:type="gramStart"/>
      <w:r w:rsidRPr="00D00722">
        <w:rPr>
          <w:rFonts w:ascii="Arial" w:hAnsi="Arial" w:cs="Arial"/>
          <w:color w:val="000000"/>
        </w:rPr>
        <w:t>kişi</w:t>
      </w:r>
      <w:proofErr w:type="gramEnd"/>
      <w:r w:rsidRPr="00D00722">
        <w:rPr>
          <w:rFonts w:ascii="Arial" w:hAnsi="Arial" w:cs="Arial"/>
          <w:color w:val="000000"/>
        </w:rPr>
        <w:t xml:space="preserve"> tarafından kontrol veya müştereken kontrol edilmesi halinde.</w:t>
      </w:r>
    </w:p>
    <w:p w:rsidR="008117AE" w:rsidRPr="00D00722" w:rsidRDefault="00942BE7" w:rsidP="000A4C05">
      <w:pPr>
        <w:autoSpaceDE w:val="0"/>
        <w:autoSpaceDN w:val="0"/>
        <w:adjustRightInd w:val="0"/>
        <w:ind w:left="1134" w:hanging="567"/>
        <w:rPr>
          <w:rFonts w:ascii="Arial" w:hAnsi="Arial" w:cs="Arial"/>
          <w:color w:val="000000"/>
        </w:rPr>
      </w:pPr>
      <w:r w:rsidRPr="00D00722">
        <w:rPr>
          <w:rFonts w:ascii="Arial" w:hAnsi="Arial" w:cs="Arial"/>
          <w:color w:val="000000"/>
        </w:rPr>
        <w:t xml:space="preserve">(vii) </w:t>
      </w:r>
      <w:r w:rsidRPr="00D00722">
        <w:rPr>
          <w:rFonts w:ascii="Arial" w:hAnsi="Arial" w:cs="Arial"/>
          <w:color w:val="000000"/>
        </w:rPr>
        <w:tab/>
        <w:t>(</w:t>
      </w:r>
      <w:proofErr w:type="gramStart"/>
      <w:r w:rsidRPr="00D00722">
        <w:rPr>
          <w:rFonts w:ascii="Arial" w:hAnsi="Arial" w:cs="Arial"/>
          <w:color w:val="000000"/>
        </w:rPr>
        <w:t>a</w:t>
      </w:r>
      <w:proofErr w:type="gramEnd"/>
      <w:r w:rsidRPr="00D00722">
        <w:rPr>
          <w:rFonts w:ascii="Arial" w:hAnsi="Arial" w:cs="Arial"/>
          <w:color w:val="000000"/>
        </w:rPr>
        <w:t>) maddesinin (i) bendinde tanımlanan bir kişinin işletme üzerinde önemli etkisinin bulunması veya söz konusu işletmenin (ya da bu işletmenin ana ortaklığının) kilit yönetici personelinin bir üyesi olması halinde.</w:t>
      </w:r>
    </w:p>
    <w:p w:rsidR="008117AE" w:rsidRPr="00D00722" w:rsidRDefault="008117AE" w:rsidP="000A4C05">
      <w:pPr>
        <w:autoSpaceDE w:val="0"/>
        <w:autoSpaceDN w:val="0"/>
        <w:adjustRightInd w:val="0"/>
        <w:ind w:left="1134" w:hanging="567"/>
        <w:rPr>
          <w:rFonts w:ascii="Arial" w:hAnsi="Arial" w:cs="Arial"/>
          <w:color w:val="000000"/>
        </w:rPr>
      </w:pPr>
    </w:p>
    <w:p w:rsidR="00942BE7" w:rsidRPr="00D00722" w:rsidRDefault="00942BE7" w:rsidP="00A27292">
      <w:pPr>
        <w:autoSpaceDE w:val="0"/>
        <w:autoSpaceDN w:val="0"/>
        <w:adjustRightInd w:val="0"/>
        <w:rPr>
          <w:rFonts w:ascii="Arial" w:hAnsi="Arial" w:cs="Arial"/>
        </w:rPr>
      </w:pPr>
      <w:proofErr w:type="gramStart"/>
      <w:r w:rsidRPr="00D00722">
        <w:rPr>
          <w:rFonts w:ascii="Arial" w:hAnsi="Arial" w:cs="Arial"/>
        </w:rPr>
        <w:t xml:space="preserve">İlişkili tarafla yapılan işlem raporlayan işletme ile ilişkili bir taraf arasında kaynakların, </w:t>
      </w:r>
      <w:r w:rsidR="008117AE" w:rsidRPr="00D00722">
        <w:rPr>
          <w:rFonts w:ascii="Arial" w:hAnsi="Arial" w:cs="Arial"/>
        </w:rPr>
        <w:t>h</w:t>
      </w:r>
      <w:r w:rsidRPr="00D00722">
        <w:rPr>
          <w:rFonts w:ascii="Arial" w:hAnsi="Arial" w:cs="Arial"/>
        </w:rPr>
        <w:t>izmetlerin ya da yükümlülüklerin, bir bedel karşılığı olup olmadığına bakılmaksızın transferidir.</w:t>
      </w:r>
      <w:proofErr w:type="gramEnd"/>
    </w:p>
    <w:p w:rsidR="007A16CD" w:rsidRPr="00D00722" w:rsidRDefault="007A16CD" w:rsidP="00942BE7">
      <w:pPr>
        <w:autoSpaceDE w:val="0"/>
        <w:autoSpaceDN w:val="0"/>
        <w:adjustRightInd w:val="0"/>
        <w:rPr>
          <w:rFonts w:ascii="Arial" w:hAnsi="Arial" w:cs="Arial"/>
        </w:rPr>
      </w:pPr>
    </w:p>
    <w:p w:rsidR="00942BE7" w:rsidRPr="00D00722" w:rsidRDefault="00942BE7" w:rsidP="00942BE7">
      <w:pPr>
        <w:autoSpaceDE w:val="0"/>
        <w:autoSpaceDN w:val="0"/>
        <w:adjustRightInd w:val="0"/>
        <w:rPr>
          <w:rFonts w:ascii="Arial" w:hAnsi="Arial" w:cs="Arial"/>
          <w:color w:val="000000"/>
        </w:rPr>
      </w:pPr>
      <w:proofErr w:type="gramStart"/>
      <w:r w:rsidRPr="00D00722">
        <w:rPr>
          <w:rFonts w:ascii="Arial" w:hAnsi="Arial" w:cs="Arial"/>
        </w:rPr>
        <w:t>Şirket üst düzey yönetim kadrosunu, yönetim kurulu üyeleri, genel müdür ve genel müdür yardımcıları olarak belirlemiştir.</w:t>
      </w:r>
      <w:proofErr w:type="gramEnd"/>
    </w:p>
    <w:p w:rsidR="00F675A7" w:rsidRPr="00D00722" w:rsidRDefault="00F675A7" w:rsidP="00CE39DB">
      <w:pPr>
        <w:rPr>
          <w:rFonts w:ascii="Arial" w:hAnsi="Arial" w:cs="Arial"/>
          <w:lang w:val="tr-TR"/>
        </w:rPr>
      </w:pPr>
    </w:p>
    <w:p w:rsidR="00CE39DB" w:rsidRPr="00D00722" w:rsidRDefault="00CE39DB" w:rsidP="00CE39DB">
      <w:pPr>
        <w:widowControl w:val="0"/>
        <w:ind w:left="567" w:hanging="567"/>
        <w:rPr>
          <w:rFonts w:ascii="Arial" w:hAnsi="Arial" w:cs="Arial"/>
          <w:b/>
          <w:snapToGrid w:val="0"/>
        </w:rPr>
      </w:pPr>
      <w:r w:rsidRPr="00D00722">
        <w:rPr>
          <w:rFonts w:ascii="Arial" w:hAnsi="Arial" w:cs="Arial"/>
          <w:b/>
          <w:snapToGrid w:val="0"/>
        </w:rPr>
        <w:t>Önemli muhasebe değerlendirme, tahmin ve varsayımları</w:t>
      </w:r>
    </w:p>
    <w:p w:rsidR="00CE39DB" w:rsidRPr="00D00722" w:rsidRDefault="00CE39DB" w:rsidP="00CE39DB">
      <w:pPr>
        <w:widowControl w:val="0"/>
        <w:rPr>
          <w:rFonts w:ascii="Arial" w:hAnsi="Arial" w:cs="Arial"/>
          <w:snapToGrid w:val="0"/>
          <w:sz w:val="16"/>
        </w:rPr>
      </w:pPr>
    </w:p>
    <w:p w:rsidR="00A27292" w:rsidRPr="00D00722" w:rsidRDefault="001F4F7C" w:rsidP="00A27292">
      <w:pPr>
        <w:widowControl w:val="0"/>
        <w:rPr>
          <w:rFonts w:ascii="Arial" w:hAnsi="Arial" w:cs="Arial"/>
          <w:snapToGrid w:val="0"/>
        </w:rPr>
      </w:pPr>
      <w:proofErr w:type="gramStart"/>
      <w:r w:rsidRPr="00D00722">
        <w:rPr>
          <w:rFonts w:ascii="Arial" w:hAnsi="Arial" w:cs="Arial"/>
          <w:snapToGrid w:val="0"/>
        </w:rPr>
        <w:t>Finansal tabloların hazırlanmasında Şirket yönetiminin, raporlanan varlık ve yükümlülük tutarlarını etkileyecek, bilanço tarihi itibari ile vukuu muhtemel yükümlülük ve taahhütleri ve raporlama dönemi itibariyle gelir ve gider tutarlarını belirleyen varsayımlar ve tahminler yapması gerekmek</w:t>
      </w:r>
      <w:r w:rsidR="007A16CD" w:rsidRPr="00D00722">
        <w:rPr>
          <w:rFonts w:ascii="Arial" w:hAnsi="Arial" w:cs="Arial"/>
          <w:snapToGrid w:val="0"/>
        </w:rPr>
        <w:t>tedir.</w:t>
      </w:r>
      <w:proofErr w:type="gramEnd"/>
      <w:r w:rsidR="007A16CD" w:rsidRPr="00D00722">
        <w:rPr>
          <w:rFonts w:ascii="Arial" w:hAnsi="Arial" w:cs="Arial"/>
          <w:snapToGrid w:val="0"/>
        </w:rPr>
        <w:t xml:space="preserve"> </w:t>
      </w:r>
      <w:proofErr w:type="gramStart"/>
      <w:r w:rsidRPr="00D00722">
        <w:rPr>
          <w:rFonts w:ascii="Arial" w:hAnsi="Arial" w:cs="Arial"/>
          <w:snapToGrid w:val="0"/>
        </w:rPr>
        <w:t>Gerçekleşmiş sonuçlar tahminlerden farklı olabilmektedir.</w:t>
      </w:r>
      <w:proofErr w:type="gramEnd"/>
      <w:r w:rsidRPr="00D00722">
        <w:rPr>
          <w:rFonts w:ascii="Arial" w:hAnsi="Arial" w:cs="Arial"/>
          <w:snapToGrid w:val="0"/>
        </w:rPr>
        <w:t xml:space="preserve"> </w:t>
      </w:r>
      <w:proofErr w:type="gramStart"/>
      <w:r w:rsidRPr="00D00722">
        <w:rPr>
          <w:rFonts w:ascii="Arial" w:hAnsi="Arial" w:cs="Arial"/>
          <w:snapToGrid w:val="0"/>
        </w:rPr>
        <w:t>Tahminler düzenli olarak gözden geçirilmekte, gerekli düzeltmeler yapılmakta ve gerçekleştikleri dönemde gelir tablosuna yansıtılmaktadırlar.</w:t>
      </w:r>
      <w:proofErr w:type="gramEnd"/>
      <w:r w:rsidRPr="00D00722">
        <w:rPr>
          <w:rFonts w:ascii="Arial" w:hAnsi="Arial" w:cs="Arial"/>
        </w:rPr>
        <w:t xml:space="preserve"> </w:t>
      </w:r>
      <w:proofErr w:type="gramStart"/>
      <w:r w:rsidRPr="00D00722">
        <w:rPr>
          <w:rFonts w:ascii="Arial" w:hAnsi="Arial" w:cs="Arial"/>
        </w:rPr>
        <w:t>Ancak, gerçek sonuçlar, bu sonuçlardan farklılık gösterebilmektedir.</w:t>
      </w:r>
      <w:proofErr w:type="gramEnd"/>
    </w:p>
    <w:p w:rsidR="00CE39DB" w:rsidRPr="00D00722" w:rsidRDefault="00CE39DB" w:rsidP="00CE39DB">
      <w:pPr>
        <w:widowControl w:val="0"/>
        <w:rPr>
          <w:rFonts w:ascii="Arial" w:hAnsi="Arial" w:cs="Arial"/>
          <w:snapToGrid w:val="0"/>
          <w:sz w:val="18"/>
        </w:rPr>
      </w:pPr>
    </w:p>
    <w:p w:rsidR="001F4F7C" w:rsidRPr="00D00722" w:rsidRDefault="001F4F7C" w:rsidP="001F4F7C">
      <w:pPr>
        <w:widowControl w:val="0"/>
        <w:rPr>
          <w:rFonts w:ascii="Arial" w:hAnsi="Arial" w:cs="Arial"/>
          <w:snapToGrid w:val="0"/>
        </w:rPr>
      </w:pPr>
      <w:r w:rsidRPr="00D00722">
        <w:rPr>
          <w:rFonts w:ascii="Arial" w:hAnsi="Arial" w:cs="Arial"/>
          <w:snapToGrid w:val="0"/>
        </w:rPr>
        <w:t xml:space="preserve">Finansal tablolara yansıtılan tutarlar üzerinde önemli derecede etkisi olabilecek yorumlar ve bilanço tarihinde var olan veya ileride gerçekleşebilecek tahminlerin esas kaynakları göz önünde bulundurularak varsayımlar yapar. </w:t>
      </w:r>
      <w:proofErr w:type="gramStart"/>
      <w:r w:rsidRPr="00D00722">
        <w:rPr>
          <w:rFonts w:ascii="Arial" w:hAnsi="Arial" w:cs="Arial"/>
          <w:snapToGrid w:val="0"/>
        </w:rPr>
        <w:t>Kullanılan önemli muhasebe değerlendirme, tahmin ve varsayımlar ilgili muhasebe politikalarında gösterilmektedir.</w:t>
      </w:r>
      <w:proofErr w:type="gramEnd"/>
      <w:r w:rsidRPr="00D00722">
        <w:rPr>
          <w:rFonts w:ascii="Arial" w:hAnsi="Arial" w:cs="Arial"/>
          <w:snapToGrid w:val="0"/>
        </w:rPr>
        <w:t xml:space="preserve"> Başlıcaları, aşağıdaki gibidir:</w:t>
      </w:r>
    </w:p>
    <w:p w:rsidR="001F4F7C" w:rsidRPr="00D00722" w:rsidRDefault="001F4F7C" w:rsidP="001F4F7C">
      <w:pPr>
        <w:widowControl w:val="0"/>
        <w:rPr>
          <w:rFonts w:ascii="Arial" w:hAnsi="Arial" w:cs="Arial"/>
          <w:snapToGrid w:val="0"/>
          <w:sz w:val="18"/>
        </w:rPr>
      </w:pPr>
    </w:p>
    <w:p w:rsidR="001F4F7C" w:rsidRPr="00D00722" w:rsidRDefault="001F4F7C" w:rsidP="001F4F7C">
      <w:pPr>
        <w:widowControl w:val="0"/>
        <w:ind w:left="567" w:hanging="567"/>
        <w:rPr>
          <w:rFonts w:ascii="Arial" w:hAnsi="Arial" w:cs="Arial"/>
          <w:snapToGrid w:val="0"/>
        </w:rPr>
      </w:pPr>
      <w:r w:rsidRPr="00D00722">
        <w:rPr>
          <w:rFonts w:ascii="Arial" w:hAnsi="Arial" w:cs="Arial"/>
          <w:snapToGrid w:val="0"/>
        </w:rPr>
        <w:t xml:space="preserve">a) </w:t>
      </w:r>
      <w:r w:rsidRPr="00D00722">
        <w:rPr>
          <w:rFonts w:ascii="Arial" w:hAnsi="Arial" w:cs="Arial"/>
          <w:snapToGrid w:val="0"/>
        </w:rPr>
        <w:tab/>
        <w:t xml:space="preserve">Kıdem tazminatı yükümlülüğü aktüeryal varsayımlar (iskonto oranları, gelecek </w:t>
      </w:r>
      <w:proofErr w:type="gramStart"/>
      <w:r w:rsidRPr="00D00722">
        <w:rPr>
          <w:rFonts w:ascii="Arial" w:hAnsi="Arial" w:cs="Arial"/>
          <w:snapToGrid w:val="0"/>
        </w:rPr>
        <w:t>maaş</w:t>
      </w:r>
      <w:proofErr w:type="gramEnd"/>
      <w:r w:rsidRPr="00D00722">
        <w:rPr>
          <w:rFonts w:ascii="Arial" w:hAnsi="Arial" w:cs="Arial"/>
          <w:snapToGrid w:val="0"/>
        </w:rPr>
        <w:t xml:space="preserve"> artışları ve çalışan ayrılma oranları) kullanılarak belirlenir. </w:t>
      </w:r>
    </w:p>
    <w:p w:rsidR="001F4F7C" w:rsidRPr="00D00722" w:rsidRDefault="001F4F7C" w:rsidP="001F4F7C">
      <w:pPr>
        <w:widowControl w:val="0"/>
        <w:ind w:left="567" w:hanging="567"/>
        <w:rPr>
          <w:rFonts w:ascii="Arial" w:hAnsi="Arial" w:cs="Arial"/>
          <w:snapToGrid w:val="0"/>
          <w:sz w:val="18"/>
        </w:rPr>
      </w:pPr>
    </w:p>
    <w:p w:rsidR="001F4F7C" w:rsidRPr="00D00722" w:rsidRDefault="001F4F7C" w:rsidP="001F4F7C">
      <w:pPr>
        <w:widowControl w:val="0"/>
        <w:ind w:left="567" w:hanging="567"/>
        <w:rPr>
          <w:rFonts w:ascii="Arial" w:hAnsi="Arial" w:cs="Arial"/>
          <w:snapToGrid w:val="0"/>
        </w:rPr>
      </w:pPr>
      <w:r w:rsidRPr="00D00722">
        <w:rPr>
          <w:rFonts w:ascii="Arial" w:hAnsi="Arial" w:cs="Arial"/>
          <w:snapToGrid w:val="0"/>
        </w:rPr>
        <w:t>b)</w:t>
      </w:r>
      <w:r w:rsidRPr="00D00722">
        <w:rPr>
          <w:rFonts w:ascii="Arial" w:hAnsi="Arial" w:cs="Arial"/>
          <w:snapToGrid w:val="0"/>
        </w:rPr>
        <w:tab/>
        <w:t xml:space="preserve">Ertelenmiş vergi varlıkları gelecekte vergiye tabi kar elde etmek suretiyle geçici farklardan ve birikmiş zararlardan faydalanmanın kuvvetle muhtemel olması durumunda kaydedilmektedir. </w:t>
      </w:r>
      <w:proofErr w:type="gramStart"/>
      <w:r w:rsidRPr="00D00722">
        <w:rPr>
          <w:rFonts w:ascii="Arial" w:hAnsi="Arial" w:cs="Arial"/>
          <w:snapToGrid w:val="0"/>
        </w:rPr>
        <w:t>Kaydedilecek olan ertelenmiş vergi varlıkların tutarı belirlenirken gelecekte oluşabilecek olan vergilendirilebilir karlara ilişkin önemli tahminler ve değerlendirmeler yapmak gerekmektedir.</w:t>
      </w:r>
      <w:proofErr w:type="gramEnd"/>
    </w:p>
    <w:p w:rsidR="001F4F7C" w:rsidRPr="00D00722" w:rsidRDefault="001F4F7C" w:rsidP="001F4F7C">
      <w:pPr>
        <w:pStyle w:val="BodyTextIndent"/>
        <w:ind w:left="0" w:firstLine="0"/>
        <w:rPr>
          <w:rFonts w:ascii="Arial" w:hAnsi="Arial" w:cs="Arial"/>
          <w:color w:val="000000"/>
          <w:sz w:val="20"/>
          <w:lang w:val="tr-TR"/>
        </w:rPr>
      </w:pPr>
    </w:p>
    <w:p w:rsidR="00F60B8B" w:rsidRPr="00D00722" w:rsidRDefault="007A16CD" w:rsidP="000E0F91">
      <w:pPr>
        <w:rPr>
          <w:rFonts w:ascii="Arial" w:hAnsi="Arial" w:cs="Arial"/>
          <w:u w:val="single"/>
          <w:lang w:val="tr-TR"/>
        </w:rPr>
      </w:pPr>
      <w:r w:rsidRPr="00D00722">
        <w:rPr>
          <w:rFonts w:ascii="Arial" w:hAnsi="Arial" w:cs="Arial"/>
          <w:color w:val="000000"/>
          <w:lang w:val="tr-TR"/>
        </w:rPr>
        <w:t>31 Aralık 2013</w:t>
      </w:r>
      <w:r w:rsidR="001F4F7C" w:rsidRPr="00D00722">
        <w:rPr>
          <w:rFonts w:ascii="Arial" w:hAnsi="Arial" w:cs="Arial"/>
          <w:color w:val="000000"/>
          <w:lang w:val="tr-TR"/>
        </w:rPr>
        <w:t xml:space="preserve"> tarihi itibariyle Şirket </w:t>
      </w:r>
      <w:r w:rsidRPr="00D00722">
        <w:rPr>
          <w:rFonts w:ascii="Arial" w:hAnsi="Arial" w:cs="Arial"/>
          <w:color w:val="000000"/>
          <w:lang w:val="tr-TR"/>
        </w:rPr>
        <w:t>finansal tablolarında 297.354</w:t>
      </w:r>
      <w:r w:rsidR="001F4F7C" w:rsidRPr="00D00722">
        <w:rPr>
          <w:rFonts w:ascii="Arial" w:hAnsi="Arial" w:cs="Arial"/>
          <w:color w:val="000000"/>
          <w:lang w:val="tr-TR"/>
        </w:rPr>
        <w:t xml:space="preserve"> TL tutarında ertelenen vergi varlığı yansıtmıştır. Söz konusu er</w:t>
      </w:r>
      <w:r w:rsidRPr="00D00722">
        <w:rPr>
          <w:rFonts w:ascii="Arial" w:hAnsi="Arial" w:cs="Arial"/>
          <w:color w:val="000000"/>
          <w:lang w:val="tr-TR"/>
        </w:rPr>
        <w:t>telenen vergi varlığının 278.212</w:t>
      </w:r>
      <w:r w:rsidR="001F4F7C" w:rsidRPr="00D00722">
        <w:rPr>
          <w:rFonts w:ascii="Arial" w:hAnsi="Arial" w:cs="Arial"/>
          <w:color w:val="000000"/>
          <w:lang w:val="tr-TR"/>
        </w:rPr>
        <w:t xml:space="preserve"> TL tutarındaki kısmı geçmiş yıllardan devreden mali zarar üzerinden ayrılmıştır.</w:t>
      </w:r>
      <w:r w:rsidR="00360444" w:rsidRPr="00D00722">
        <w:rPr>
          <w:rFonts w:ascii="Arial" w:hAnsi="Arial" w:cs="Arial"/>
          <w:color w:val="000000"/>
          <w:lang w:val="tr-TR"/>
        </w:rPr>
        <w:t xml:space="preserve"> </w:t>
      </w:r>
      <w:r w:rsidR="00360444" w:rsidRPr="00D00722">
        <w:rPr>
          <w:rFonts w:ascii="Arial" w:hAnsi="Arial" w:cs="Arial"/>
          <w:lang w:val="tr-TR"/>
        </w:rPr>
        <w:t>Şirket’in geçmiş yıl zararları 29 Şubat 2012 tarihinden itibaren yönetim kurulu kararlarına istinaden ortaklar tarafından üstlenilmeye ba</w:t>
      </w:r>
      <w:r w:rsidR="00C33341" w:rsidRPr="00D00722">
        <w:rPr>
          <w:rFonts w:ascii="Arial" w:hAnsi="Arial" w:cs="Arial"/>
          <w:lang w:val="tr-TR"/>
        </w:rPr>
        <w:t xml:space="preserve">şlanmıştır. </w:t>
      </w:r>
      <w:r w:rsidR="00163692" w:rsidRPr="00D00722">
        <w:rPr>
          <w:rFonts w:ascii="Arial" w:hAnsi="Arial" w:cs="Arial"/>
          <w:lang w:val="tr-TR"/>
        </w:rPr>
        <w:t xml:space="preserve">Şirket’in gelecekte gerçekleştirmeyi öngördüğü iş planları ve </w:t>
      </w:r>
      <w:r w:rsidR="00163692" w:rsidRPr="00D00722">
        <w:rPr>
          <w:rFonts w:ascii="Arial" w:hAnsi="Arial" w:cs="Arial"/>
          <w:color w:val="000000"/>
          <w:lang w:val="tr-TR"/>
        </w:rPr>
        <w:t xml:space="preserve">projeksiyonlar çerçevesinde; gelecek dönemlerde vergilendirebilir karın olduğuna dair kullanılan varsayımları doğrultusunda taşınan zararlar dahil tüm geçici </w:t>
      </w:r>
      <w:r w:rsidRPr="00D00722">
        <w:rPr>
          <w:rFonts w:ascii="Arial" w:hAnsi="Arial" w:cs="Arial"/>
          <w:color w:val="000000"/>
          <w:lang w:val="tr-TR"/>
        </w:rPr>
        <w:t>farklar üzerinden 31 Aralık 2013</w:t>
      </w:r>
      <w:r w:rsidR="00163692" w:rsidRPr="00D00722">
        <w:rPr>
          <w:rFonts w:ascii="Arial" w:hAnsi="Arial" w:cs="Arial"/>
          <w:color w:val="000000"/>
          <w:lang w:val="tr-TR"/>
        </w:rPr>
        <w:t xml:space="preserve"> tarihinde sona eren mali tablolarında ertelenmiş vergi aktifi kaydedilmiştir.</w:t>
      </w:r>
    </w:p>
    <w:p w:rsidR="00F60B8B" w:rsidRPr="00D00722" w:rsidRDefault="00F60B8B" w:rsidP="00C82EBF">
      <w:pPr>
        <w:ind w:right="-23"/>
        <w:rPr>
          <w:rFonts w:ascii="Arial" w:hAnsi="Arial" w:cs="Arial"/>
          <w:b/>
          <w:lang w:val="tr-TR"/>
        </w:rPr>
      </w:pPr>
    </w:p>
    <w:p w:rsidR="003F3E42" w:rsidRPr="00D00722" w:rsidRDefault="003F3E42" w:rsidP="00C82EBF">
      <w:pPr>
        <w:ind w:right="-23"/>
        <w:rPr>
          <w:rFonts w:ascii="Arial" w:hAnsi="Arial" w:cs="Arial"/>
          <w:b/>
          <w:lang w:val="tr-TR"/>
        </w:rPr>
      </w:pPr>
    </w:p>
    <w:p w:rsidR="005A2D1A" w:rsidRPr="00D00722" w:rsidRDefault="009127D9" w:rsidP="000E0F91">
      <w:pPr>
        <w:ind w:left="567" w:right="-23" w:hanging="567"/>
        <w:rPr>
          <w:rFonts w:ascii="Arial" w:hAnsi="Arial" w:cs="Arial"/>
          <w:b/>
          <w:lang w:val="tr-TR"/>
        </w:rPr>
      </w:pPr>
      <w:r w:rsidRPr="00D00722">
        <w:rPr>
          <w:rFonts w:ascii="Arial" w:hAnsi="Arial" w:cs="Arial"/>
          <w:b/>
          <w:lang w:val="tr-TR"/>
        </w:rPr>
        <w:t>3</w:t>
      </w:r>
      <w:r w:rsidR="00DB2470" w:rsidRPr="00D00722">
        <w:rPr>
          <w:rFonts w:ascii="Arial" w:hAnsi="Arial" w:cs="Arial"/>
          <w:b/>
          <w:lang w:val="tr-TR"/>
        </w:rPr>
        <w:t>.</w:t>
      </w:r>
      <w:r w:rsidR="00DB2470" w:rsidRPr="00D00722">
        <w:rPr>
          <w:rFonts w:ascii="Arial" w:hAnsi="Arial" w:cs="Arial"/>
          <w:b/>
          <w:lang w:val="tr-TR"/>
        </w:rPr>
        <w:tab/>
      </w:r>
      <w:r w:rsidR="00AB50B6" w:rsidRPr="00D00722">
        <w:rPr>
          <w:rFonts w:ascii="Arial" w:hAnsi="Arial" w:cs="Arial"/>
          <w:b/>
          <w:lang w:val="tr-TR"/>
        </w:rPr>
        <w:t>Faaliyet bölümleri</w:t>
      </w:r>
    </w:p>
    <w:p w:rsidR="00F60B8B" w:rsidRPr="00D00722" w:rsidRDefault="00F60B8B" w:rsidP="00F60B8B">
      <w:pPr>
        <w:ind w:right="-23"/>
        <w:rPr>
          <w:rFonts w:ascii="Arial" w:hAnsi="Arial" w:cs="Arial"/>
          <w:lang w:val="tr-TR"/>
        </w:rPr>
      </w:pPr>
    </w:p>
    <w:p w:rsidR="00A5612D" w:rsidRPr="00D00722" w:rsidRDefault="009127D9" w:rsidP="00A5612D">
      <w:pPr>
        <w:autoSpaceDE w:val="0"/>
        <w:autoSpaceDN w:val="0"/>
        <w:adjustRightInd w:val="0"/>
        <w:rPr>
          <w:rFonts w:ascii="Arial" w:hAnsi="Arial" w:cs="Arial"/>
          <w:lang w:val="tr-TR"/>
        </w:rPr>
      </w:pPr>
      <w:r w:rsidRPr="00D00722">
        <w:rPr>
          <w:rFonts w:ascii="Arial" w:hAnsi="Arial" w:cs="Arial"/>
          <w:lang w:val="tr-TR"/>
        </w:rPr>
        <w:t xml:space="preserve">31 </w:t>
      </w:r>
      <w:r w:rsidR="00DB7396" w:rsidRPr="00D00722">
        <w:rPr>
          <w:rFonts w:ascii="Arial" w:hAnsi="Arial" w:cs="Arial"/>
          <w:lang w:val="tr-TR"/>
        </w:rPr>
        <w:t>Mart</w:t>
      </w:r>
      <w:r w:rsidRPr="00D00722">
        <w:rPr>
          <w:rFonts w:ascii="Arial" w:hAnsi="Arial" w:cs="Arial"/>
          <w:lang w:val="tr-TR"/>
        </w:rPr>
        <w:t xml:space="preserve"> 201</w:t>
      </w:r>
      <w:r w:rsidR="00DB7396" w:rsidRPr="00D00722">
        <w:rPr>
          <w:rFonts w:ascii="Arial" w:hAnsi="Arial" w:cs="Arial"/>
          <w:lang w:val="tr-TR"/>
        </w:rPr>
        <w:t>4</w:t>
      </w:r>
      <w:r w:rsidRPr="00D00722">
        <w:rPr>
          <w:rFonts w:ascii="Arial" w:hAnsi="Arial" w:cs="Arial"/>
          <w:lang w:val="tr-TR"/>
        </w:rPr>
        <w:t xml:space="preserve"> ve 201</w:t>
      </w:r>
      <w:r w:rsidR="00DB7396" w:rsidRPr="00D00722">
        <w:rPr>
          <w:rFonts w:ascii="Arial" w:hAnsi="Arial" w:cs="Arial"/>
          <w:lang w:val="tr-TR"/>
        </w:rPr>
        <w:t>3</w:t>
      </w:r>
      <w:r w:rsidRPr="00D00722">
        <w:rPr>
          <w:rFonts w:ascii="Arial" w:hAnsi="Arial" w:cs="Arial"/>
          <w:lang w:val="tr-TR"/>
        </w:rPr>
        <w:t xml:space="preserve"> tarihleri itibariyle Şirket, tüm operasyonel işlemlerini yurtiçi piyasalardan gerçekleştirmekte olduğundan bölümlere göre raporlamayı gerektirecek herhangi bir farklı faaliyet alanı ve farklı coğrafi bölge ya da Şirket’in operasyonel gelirlerinin %10’nundan fazlasını elde ettiği tek bir müşterisi bulunmamaktadır.</w:t>
      </w:r>
    </w:p>
    <w:p w:rsidR="00BB4105" w:rsidRPr="00D00722" w:rsidRDefault="00BB4105" w:rsidP="00730D97">
      <w:pPr>
        <w:ind w:right="-23"/>
        <w:rPr>
          <w:rFonts w:ascii="Arial" w:hAnsi="Arial" w:cs="Arial"/>
          <w:b/>
          <w:lang w:val="tr-TR"/>
        </w:rPr>
      </w:pPr>
    </w:p>
    <w:p w:rsidR="00C82EBF" w:rsidRPr="00D00722" w:rsidRDefault="00C82EBF" w:rsidP="00730D97">
      <w:pPr>
        <w:ind w:right="-23"/>
        <w:rPr>
          <w:rFonts w:ascii="Arial" w:hAnsi="Arial" w:cs="Arial"/>
          <w:b/>
          <w:lang w:val="tr-TR"/>
        </w:rPr>
      </w:pPr>
    </w:p>
    <w:p w:rsidR="003F3E42" w:rsidRPr="00D00722" w:rsidRDefault="003F3E42">
      <w:pPr>
        <w:rPr>
          <w:rFonts w:ascii="Arial" w:hAnsi="Arial" w:cs="Arial"/>
          <w:b/>
          <w:lang w:val="tr-TR"/>
        </w:rPr>
      </w:pPr>
      <w:r w:rsidRPr="00D00722">
        <w:rPr>
          <w:rFonts w:ascii="Arial" w:hAnsi="Arial" w:cs="Arial"/>
          <w:b/>
          <w:lang w:val="tr-TR"/>
        </w:rPr>
        <w:br w:type="page"/>
      </w:r>
    </w:p>
    <w:p w:rsidR="00245BD3" w:rsidRPr="00D00722" w:rsidRDefault="00286108" w:rsidP="00286108">
      <w:pPr>
        <w:ind w:right="-23"/>
        <w:rPr>
          <w:rFonts w:ascii="Arial" w:hAnsi="Arial" w:cs="Arial"/>
          <w:b/>
          <w:lang w:val="tr-TR"/>
        </w:rPr>
      </w:pPr>
      <w:r w:rsidRPr="00D00722">
        <w:rPr>
          <w:rFonts w:ascii="Arial" w:hAnsi="Arial" w:cs="Arial"/>
          <w:b/>
          <w:lang w:val="tr-TR"/>
        </w:rPr>
        <w:t>4</w:t>
      </w:r>
      <w:r w:rsidR="00245BD3" w:rsidRPr="00D00722">
        <w:rPr>
          <w:rFonts w:ascii="Arial" w:hAnsi="Arial" w:cs="Arial"/>
          <w:b/>
          <w:lang w:val="tr-TR"/>
        </w:rPr>
        <w:t>.</w:t>
      </w:r>
      <w:r w:rsidR="00245BD3" w:rsidRPr="00D00722">
        <w:rPr>
          <w:rFonts w:ascii="Arial" w:hAnsi="Arial" w:cs="Arial"/>
          <w:b/>
          <w:lang w:val="tr-TR"/>
        </w:rPr>
        <w:tab/>
      </w:r>
      <w:r w:rsidR="00AB50B6" w:rsidRPr="00D00722">
        <w:rPr>
          <w:rFonts w:ascii="Arial" w:hAnsi="Arial" w:cs="Arial"/>
          <w:b/>
          <w:lang w:val="tr-TR"/>
        </w:rPr>
        <w:t>Nakit ve nakit benzerleri</w:t>
      </w:r>
    </w:p>
    <w:p w:rsidR="00D93083" w:rsidRPr="00D00722" w:rsidRDefault="00D93083" w:rsidP="000E0F91">
      <w:pPr>
        <w:ind w:left="567" w:right="-23" w:hanging="567"/>
        <w:rPr>
          <w:rFonts w:ascii="Arial" w:hAnsi="Arial" w:cs="Arial"/>
          <w:b/>
          <w:lang w:val="tr-TR"/>
        </w:rPr>
      </w:pPr>
    </w:p>
    <w:tbl>
      <w:tblPr>
        <w:tblW w:w="9072" w:type="dxa"/>
        <w:tblInd w:w="108" w:type="dxa"/>
        <w:tblLayout w:type="fixed"/>
        <w:tblLook w:val="01E0"/>
      </w:tblPr>
      <w:tblGrid>
        <w:gridCol w:w="5670"/>
        <w:gridCol w:w="1701"/>
        <w:gridCol w:w="1701"/>
      </w:tblGrid>
      <w:tr w:rsidR="009F27C5" w:rsidRPr="00D00722" w:rsidTr="009F27C5">
        <w:tc>
          <w:tcPr>
            <w:tcW w:w="5670" w:type="dxa"/>
            <w:tcBorders>
              <w:top w:val="single" w:sz="4" w:space="0" w:color="auto"/>
              <w:bottom w:val="single" w:sz="4" w:space="0" w:color="auto"/>
            </w:tcBorders>
          </w:tcPr>
          <w:p w:rsidR="009F27C5" w:rsidRPr="00D00722" w:rsidRDefault="009F27C5" w:rsidP="000E5E54">
            <w:pPr>
              <w:autoSpaceDE w:val="0"/>
              <w:autoSpaceDN w:val="0"/>
              <w:adjustRightInd w:val="0"/>
              <w:jc w:val="both"/>
              <w:rPr>
                <w:rFonts w:ascii="Arial" w:hAnsi="Arial" w:cs="Arial"/>
                <w:lang w:val="tr-TR"/>
              </w:rPr>
            </w:pPr>
          </w:p>
        </w:tc>
        <w:tc>
          <w:tcPr>
            <w:tcW w:w="1701" w:type="dxa"/>
            <w:tcBorders>
              <w:top w:val="single" w:sz="4" w:space="0" w:color="auto"/>
              <w:bottom w:val="single" w:sz="4" w:space="0" w:color="auto"/>
            </w:tcBorders>
            <w:vAlign w:val="bottom"/>
          </w:tcPr>
          <w:p w:rsidR="009F27C5" w:rsidRPr="00D00722" w:rsidRDefault="009F27C5" w:rsidP="009F27C5">
            <w:pPr>
              <w:autoSpaceDE w:val="0"/>
              <w:autoSpaceDN w:val="0"/>
              <w:adjustRightInd w:val="0"/>
              <w:jc w:val="right"/>
              <w:rPr>
                <w:rFonts w:ascii="Arial" w:hAnsi="Arial" w:cs="Arial"/>
                <w:b/>
                <w:lang w:val="tr-TR"/>
              </w:rPr>
            </w:pPr>
            <w:r w:rsidRPr="00D00722">
              <w:rPr>
                <w:rFonts w:ascii="Arial" w:hAnsi="Arial" w:cs="Arial"/>
                <w:b/>
                <w:lang w:val="tr-TR"/>
              </w:rPr>
              <w:t>31 Mart 2014</w:t>
            </w:r>
          </w:p>
        </w:tc>
        <w:tc>
          <w:tcPr>
            <w:tcW w:w="1701" w:type="dxa"/>
            <w:tcBorders>
              <w:top w:val="single" w:sz="4" w:space="0" w:color="auto"/>
              <w:bottom w:val="single" w:sz="4" w:space="0" w:color="auto"/>
            </w:tcBorders>
            <w:vAlign w:val="bottom"/>
          </w:tcPr>
          <w:p w:rsidR="009F27C5" w:rsidRPr="00D00722" w:rsidRDefault="009F27C5" w:rsidP="002B5FEF">
            <w:pPr>
              <w:autoSpaceDE w:val="0"/>
              <w:autoSpaceDN w:val="0"/>
              <w:adjustRightInd w:val="0"/>
              <w:jc w:val="right"/>
              <w:rPr>
                <w:rFonts w:ascii="Arial" w:hAnsi="Arial" w:cs="Arial"/>
                <w:lang w:val="tr-TR"/>
              </w:rPr>
            </w:pPr>
            <w:r w:rsidRPr="00D00722">
              <w:rPr>
                <w:rFonts w:ascii="Arial" w:hAnsi="Arial" w:cs="Arial"/>
                <w:lang w:val="tr-TR"/>
              </w:rPr>
              <w:t>31 Aralık 2013</w:t>
            </w:r>
          </w:p>
        </w:tc>
      </w:tr>
      <w:tr w:rsidR="009F27C5" w:rsidRPr="00D00722" w:rsidTr="009F27C5">
        <w:tc>
          <w:tcPr>
            <w:tcW w:w="5670" w:type="dxa"/>
            <w:tcBorders>
              <w:top w:val="single" w:sz="4" w:space="0" w:color="auto"/>
            </w:tcBorders>
          </w:tcPr>
          <w:p w:rsidR="009F27C5" w:rsidRPr="00D00722" w:rsidRDefault="009F27C5" w:rsidP="000E5E54">
            <w:pPr>
              <w:autoSpaceDE w:val="0"/>
              <w:autoSpaceDN w:val="0"/>
              <w:adjustRightInd w:val="0"/>
              <w:jc w:val="both"/>
              <w:rPr>
                <w:rFonts w:ascii="Arial" w:hAnsi="Arial" w:cs="Arial"/>
                <w:lang w:val="tr-TR"/>
              </w:rPr>
            </w:pPr>
          </w:p>
        </w:tc>
        <w:tc>
          <w:tcPr>
            <w:tcW w:w="1701" w:type="dxa"/>
            <w:tcBorders>
              <w:top w:val="single" w:sz="4" w:space="0" w:color="auto"/>
            </w:tcBorders>
            <w:vAlign w:val="center"/>
          </w:tcPr>
          <w:p w:rsidR="009F27C5" w:rsidRPr="00D00722" w:rsidRDefault="009F27C5" w:rsidP="000E5E54">
            <w:pPr>
              <w:autoSpaceDE w:val="0"/>
              <w:autoSpaceDN w:val="0"/>
              <w:adjustRightInd w:val="0"/>
              <w:jc w:val="right"/>
              <w:rPr>
                <w:rFonts w:ascii="Arial" w:hAnsi="Arial" w:cs="Arial"/>
                <w:b/>
                <w:lang w:val="tr-TR"/>
              </w:rPr>
            </w:pPr>
          </w:p>
        </w:tc>
        <w:tc>
          <w:tcPr>
            <w:tcW w:w="1701" w:type="dxa"/>
            <w:tcBorders>
              <w:top w:val="single" w:sz="4" w:space="0" w:color="auto"/>
            </w:tcBorders>
            <w:vAlign w:val="center"/>
          </w:tcPr>
          <w:p w:rsidR="009F27C5" w:rsidRPr="00D00722" w:rsidRDefault="009F27C5" w:rsidP="002B5FEF">
            <w:pPr>
              <w:autoSpaceDE w:val="0"/>
              <w:autoSpaceDN w:val="0"/>
              <w:adjustRightInd w:val="0"/>
              <w:jc w:val="right"/>
              <w:rPr>
                <w:rFonts w:ascii="Arial" w:hAnsi="Arial" w:cs="Arial"/>
                <w:lang w:val="tr-TR"/>
              </w:rPr>
            </w:pPr>
          </w:p>
        </w:tc>
      </w:tr>
      <w:tr w:rsidR="009F27C5" w:rsidRPr="00D00722" w:rsidTr="009F27C5">
        <w:tc>
          <w:tcPr>
            <w:tcW w:w="5670" w:type="dxa"/>
          </w:tcPr>
          <w:p w:rsidR="009F27C5" w:rsidRPr="00D00722" w:rsidRDefault="009F27C5" w:rsidP="000E5E54">
            <w:pPr>
              <w:autoSpaceDE w:val="0"/>
              <w:autoSpaceDN w:val="0"/>
              <w:adjustRightInd w:val="0"/>
              <w:ind w:left="-108"/>
              <w:jc w:val="both"/>
              <w:rPr>
                <w:rFonts w:ascii="Arial" w:hAnsi="Arial" w:cs="Arial"/>
                <w:lang w:val="tr-TR"/>
              </w:rPr>
            </w:pPr>
            <w:r w:rsidRPr="00D00722">
              <w:rPr>
                <w:rFonts w:ascii="Arial" w:hAnsi="Arial" w:cs="Arial"/>
                <w:lang w:val="tr-TR"/>
              </w:rPr>
              <w:t>Vadesiz mevduat</w:t>
            </w:r>
          </w:p>
        </w:tc>
        <w:tc>
          <w:tcPr>
            <w:tcW w:w="1701" w:type="dxa"/>
            <w:vAlign w:val="bottom"/>
          </w:tcPr>
          <w:p w:rsidR="009F27C5" w:rsidRPr="00D00722" w:rsidRDefault="0025240D" w:rsidP="0025240D">
            <w:pPr>
              <w:autoSpaceDE w:val="0"/>
              <w:autoSpaceDN w:val="0"/>
              <w:adjustRightInd w:val="0"/>
              <w:ind w:hanging="1100"/>
              <w:jc w:val="right"/>
              <w:rPr>
                <w:rFonts w:ascii="Arial" w:hAnsi="Arial" w:cs="Arial"/>
                <w:b/>
                <w:lang w:val="tr-TR"/>
              </w:rPr>
            </w:pPr>
            <w:r w:rsidRPr="00D00722">
              <w:rPr>
                <w:rFonts w:ascii="Arial" w:hAnsi="Arial" w:cs="Arial"/>
                <w:b/>
                <w:lang w:val="tr-TR"/>
              </w:rPr>
              <w:t>958</w:t>
            </w:r>
          </w:p>
        </w:tc>
        <w:tc>
          <w:tcPr>
            <w:tcW w:w="1701" w:type="dxa"/>
            <w:vAlign w:val="bottom"/>
          </w:tcPr>
          <w:p w:rsidR="009F27C5" w:rsidRPr="00D00722" w:rsidRDefault="009F27C5" w:rsidP="002B5FEF">
            <w:pPr>
              <w:autoSpaceDE w:val="0"/>
              <w:autoSpaceDN w:val="0"/>
              <w:adjustRightInd w:val="0"/>
              <w:ind w:hanging="1100"/>
              <w:jc w:val="right"/>
              <w:rPr>
                <w:rFonts w:ascii="Arial" w:hAnsi="Arial" w:cs="Arial"/>
                <w:lang w:val="tr-TR"/>
              </w:rPr>
            </w:pPr>
            <w:r w:rsidRPr="00D00722">
              <w:rPr>
                <w:rFonts w:ascii="Arial" w:hAnsi="Arial" w:cs="Arial"/>
                <w:lang w:val="tr-TR"/>
              </w:rPr>
              <w:t>291.187</w:t>
            </w:r>
          </w:p>
        </w:tc>
      </w:tr>
      <w:tr w:rsidR="009F27C5" w:rsidRPr="00D00722" w:rsidTr="009F27C5">
        <w:tc>
          <w:tcPr>
            <w:tcW w:w="5670" w:type="dxa"/>
          </w:tcPr>
          <w:p w:rsidR="009F27C5" w:rsidRPr="00D00722" w:rsidRDefault="009F27C5" w:rsidP="000E5E54">
            <w:pPr>
              <w:autoSpaceDE w:val="0"/>
              <w:autoSpaceDN w:val="0"/>
              <w:adjustRightInd w:val="0"/>
              <w:ind w:left="-108" w:right="1026"/>
              <w:jc w:val="both"/>
              <w:rPr>
                <w:rFonts w:ascii="Arial" w:hAnsi="Arial" w:cs="Arial"/>
                <w:lang w:val="tr-TR"/>
              </w:rPr>
            </w:pPr>
            <w:r w:rsidRPr="00D00722">
              <w:rPr>
                <w:rFonts w:ascii="Arial" w:hAnsi="Arial" w:cs="Arial"/>
                <w:lang w:val="tr-TR"/>
              </w:rPr>
              <w:t>Vadeli mevduat (orijinal vadesi 3 aydan kısa)</w:t>
            </w:r>
          </w:p>
        </w:tc>
        <w:tc>
          <w:tcPr>
            <w:tcW w:w="1701" w:type="dxa"/>
            <w:vAlign w:val="bottom"/>
          </w:tcPr>
          <w:p w:rsidR="009F27C5" w:rsidRPr="00D00722" w:rsidRDefault="0025240D" w:rsidP="000E5E54">
            <w:pPr>
              <w:autoSpaceDE w:val="0"/>
              <w:autoSpaceDN w:val="0"/>
              <w:adjustRightInd w:val="0"/>
              <w:jc w:val="right"/>
              <w:rPr>
                <w:rFonts w:ascii="Arial" w:hAnsi="Arial" w:cs="Arial"/>
                <w:b/>
                <w:lang w:val="tr-TR"/>
              </w:rPr>
            </w:pPr>
            <w:r w:rsidRPr="00D00722">
              <w:rPr>
                <w:rFonts w:ascii="Arial" w:hAnsi="Arial" w:cs="Arial"/>
                <w:b/>
                <w:lang w:val="tr-TR"/>
              </w:rPr>
              <w:t>705.138</w:t>
            </w:r>
          </w:p>
        </w:tc>
        <w:tc>
          <w:tcPr>
            <w:tcW w:w="1701" w:type="dxa"/>
            <w:vAlign w:val="bottom"/>
          </w:tcPr>
          <w:p w:rsidR="009F27C5" w:rsidRPr="00D00722" w:rsidRDefault="009F27C5" w:rsidP="002B5FEF">
            <w:pPr>
              <w:autoSpaceDE w:val="0"/>
              <w:autoSpaceDN w:val="0"/>
              <w:adjustRightInd w:val="0"/>
              <w:jc w:val="right"/>
              <w:rPr>
                <w:rFonts w:ascii="Arial" w:hAnsi="Arial" w:cs="Arial"/>
                <w:lang w:val="tr-TR"/>
              </w:rPr>
            </w:pPr>
            <w:r w:rsidRPr="00D00722">
              <w:rPr>
                <w:rFonts w:ascii="Arial" w:hAnsi="Arial" w:cs="Arial"/>
                <w:lang w:val="tr-TR"/>
              </w:rPr>
              <w:t>577.699</w:t>
            </w:r>
          </w:p>
        </w:tc>
      </w:tr>
      <w:tr w:rsidR="009F27C5" w:rsidRPr="00D00722" w:rsidTr="009F27C5">
        <w:tc>
          <w:tcPr>
            <w:tcW w:w="5670" w:type="dxa"/>
          </w:tcPr>
          <w:p w:rsidR="009F27C5" w:rsidRPr="00D00722" w:rsidRDefault="009F27C5" w:rsidP="000E5E54">
            <w:pPr>
              <w:autoSpaceDE w:val="0"/>
              <w:autoSpaceDN w:val="0"/>
              <w:adjustRightInd w:val="0"/>
              <w:ind w:left="-108" w:right="1026"/>
              <w:jc w:val="both"/>
              <w:rPr>
                <w:rFonts w:ascii="Arial" w:hAnsi="Arial" w:cs="Arial"/>
                <w:lang w:val="tr-TR"/>
              </w:rPr>
            </w:pPr>
            <w:r w:rsidRPr="00D00722">
              <w:rPr>
                <w:rFonts w:ascii="Arial" w:hAnsi="Arial" w:cs="Arial"/>
                <w:lang w:val="tr-TR"/>
              </w:rPr>
              <w:t>Borsa para piyasasından alacaklar</w:t>
            </w:r>
          </w:p>
        </w:tc>
        <w:tc>
          <w:tcPr>
            <w:tcW w:w="1701" w:type="dxa"/>
            <w:vAlign w:val="bottom"/>
          </w:tcPr>
          <w:p w:rsidR="009F27C5" w:rsidRPr="00D00722" w:rsidRDefault="0025240D" w:rsidP="000E5E54">
            <w:pPr>
              <w:autoSpaceDE w:val="0"/>
              <w:autoSpaceDN w:val="0"/>
              <w:adjustRightInd w:val="0"/>
              <w:jc w:val="right"/>
              <w:rPr>
                <w:rFonts w:ascii="Arial" w:hAnsi="Arial" w:cs="Arial"/>
                <w:b/>
                <w:color w:val="000000"/>
              </w:rPr>
            </w:pPr>
            <w:r w:rsidRPr="00D00722">
              <w:rPr>
                <w:rFonts w:ascii="Arial" w:hAnsi="Arial" w:cs="Arial"/>
                <w:b/>
                <w:color w:val="000000"/>
              </w:rPr>
              <w:t>275.087</w:t>
            </w:r>
          </w:p>
        </w:tc>
        <w:tc>
          <w:tcPr>
            <w:tcW w:w="1701" w:type="dxa"/>
            <w:vAlign w:val="bottom"/>
          </w:tcPr>
          <w:p w:rsidR="009F27C5" w:rsidRPr="00D00722" w:rsidRDefault="009F27C5" w:rsidP="002B5FEF">
            <w:pPr>
              <w:autoSpaceDE w:val="0"/>
              <w:autoSpaceDN w:val="0"/>
              <w:adjustRightInd w:val="0"/>
              <w:jc w:val="right"/>
              <w:rPr>
                <w:rFonts w:ascii="Arial" w:hAnsi="Arial" w:cs="Arial"/>
                <w:color w:val="000000"/>
              </w:rPr>
            </w:pPr>
            <w:r w:rsidRPr="00D00722">
              <w:rPr>
                <w:rFonts w:ascii="Arial" w:hAnsi="Arial" w:cs="Arial"/>
                <w:color w:val="000000"/>
              </w:rPr>
              <w:t>96.022</w:t>
            </w:r>
          </w:p>
        </w:tc>
      </w:tr>
      <w:tr w:rsidR="009F27C5" w:rsidRPr="00D00722" w:rsidTr="009F27C5">
        <w:tc>
          <w:tcPr>
            <w:tcW w:w="5670" w:type="dxa"/>
          </w:tcPr>
          <w:p w:rsidR="009F27C5" w:rsidRPr="00D00722" w:rsidRDefault="009F27C5" w:rsidP="000E5E54">
            <w:pPr>
              <w:autoSpaceDE w:val="0"/>
              <w:autoSpaceDN w:val="0"/>
              <w:adjustRightInd w:val="0"/>
              <w:ind w:left="-108"/>
              <w:jc w:val="both"/>
              <w:rPr>
                <w:rFonts w:ascii="Arial" w:hAnsi="Arial" w:cs="Arial"/>
                <w:lang w:val="tr-TR"/>
              </w:rPr>
            </w:pPr>
            <w:r w:rsidRPr="00D00722">
              <w:rPr>
                <w:rFonts w:ascii="Arial" w:hAnsi="Arial" w:cs="Arial"/>
                <w:lang w:val="tr-TR"/>
              </w:rPr>
              <w:t>Diğer hazır değerler (*)</w:t>
            </w:r>
          </w:p>
        </w:tc>
        <w:tc>
          <w:tcPr>
            <w:tcW w:w="1701" w:type="dxa"/>
            <w:vAlign w:val="bottom"/>
          </w:tcPr>
          <w:p w:rsidR="009F27C5" w:rsidRPr="00D00722" w:rsidRDefault="0025240D" w:rsidP="0025240D">
            <w:pPr>
              <w:autoSpaceDE w:val="0"/>
              <w:autoSpaceDN w:val="0"/>
              <w:adjustRightInd w:val="0"/>
              <w:jc w:val="right"/>
              <w:rPr>
                <w:rFonts w:ascii="Arial" w:hAnsi="Arial" w:cs="Arial"/>
                <w:b/>
                <w:lang w:val="tr-TR"/>
              </w:rPr>
            </w:pPr>
            <w:r w:rsidRPr="00D00722">
              <w:rPr>
                <w:rFonts w:ascii="Arial" w:hAnsi="Arial" w:cs="Arial"/>
                <w:b/>
                <w:lang w:val="tr-TR"/>
              </w:rPr>
              <w:t>10.594</w:t>
            </w:r>
          </w:p>
        </w:tc>
        <w:tc>
          <w:tcPr>
            <w:tcW w:w="1701" w:type="dxa"/>
            <w:vAlign w:val="bottom"/>
          </w:tcPr>
          <w:p w:rsidR="009F27C5" w:rsidRPr="00D00722" w:rsidRDefault="009F27C5" w:rsidP="002B5FEF">
            <w:pPr>
              <w:autoSpaceDE w:val="0"/>
              <w:autoSpaceDN w:val="0"/>
              <w:adjustRightInd w:val="0"/>
              <w:jc w:val="right"/>
              <w:rPr>
                <w:rFonts w:ascii="Arial" w:hAnsi="Arial" w:cs="Arial"/>
                <w:lang w:val="tr-TR"/>
              </w:rPr>
            </w:pPr>
            <w:r w:rsidRPr="00D00722">
              <w:rPr>
                <w:rFonts w:ascii="Arial" w:hAnsi="Arial" w:cs="Arial"/>
                <w:lang w:val="tr-TR"/>
              </w:rPr>
              <w:t>32</w:t>
            </w:r>
          </w:p>
        </w:tc>
      </w:tr>
      <w:tr w:rsidR="009F27C5" w:rsidRPr="00D00722" w:rsidTr="009F27C5">
        <w:tc>
          <w:tcPr>
            <w:tcW w:w="5670" w:type="dxa"/>
            <w:tcBorders>
              <w:bottom w:val="single" w:sz="4" w:space="0" w:color="auto"/>
            </w:tcBorders>
          </w:tcPr>
          <w:p w:rsidR="009F27C5" w:rsidRPr="00D00722" w:rsidRDefault="009F27C5" w:rsidP="000E5E54">
            <w:pPr>
              <w:autoSpaceDE w:val="0"/>
              <w:autoSpaceDN w:val="0"/>
              <w:adjustRightInd w:val="0"/>
              <w:ind w:left="-108"/>
              <w:jc w:val="both"/>
              <w:rPr>
                <w:rFonts w:ascii="Arial" w:hAnsi="Arial" w:cs="Arial"/>
                <w:lang w:val="tr-TR"/>
              </w:rPr>
            </w:pPr>
          </w:p>
        </w:tc>
        <w:tc>
          <w:tcPr>
            <w:tcW w:w="1701" w:type="dxa"/>
            <w:tcBorders>
              <w:bottom w:val="single" w:sz="4" w:space="0" w:color="auto"/>
            </w:tcBorders>
            <w:vAlign w:val="center"/>
          </w:tcPr>
          <w:p w:rsidR="009F27C5" w:rsidRPr="00D00722" w:rsidRDefault="009F27C5" w:rsidP="000E5E54">
            <w:pPr>
              <w:autoSpaceDE w:val="0"/>
              <w:autoSpaceDN w:val="0"/>
              <w:adjustRightInd w:val="0"/>
              <w:jc w:val="right"/>
              <w:rPr>
                <w:rFonts w:ascii="Arial" w:hAnsi="Arial" w:cs="Arial"/>
                <w:b/>
                <w:color w:val="000000"/>
              </w:rPr>
            </w:pPr>
          </w:p>
        </w:tc>
        <w:tc>
          <w:tcPr>
            <w:tcW w:w="1701" w:type="dxa"/>
            <w:tcBorders>
              <w:bottom w:val="single" w:sz="4" w:space="0" w:color="auto"/>
            </w:tcBorders>
            <w:vAlign w:val="center"/>
          </w:tcPr>
          <w:p w:rsidR="009F27C5" w:rsidRPr="00D00722" w:rsidRDefault="009F27C5" w:rsidP="002B5FEF">
            <w:pPr>
              <w:autoSpaceDE w:val="0"/>
              <w:autoSpaceDN w:val="0"/>
              <w:adjustRightInd w:val="0"/>
              <w:jc w:val="right"/>
              <w:rPr>
                <w:rFonts w:ascii="Arial" w:hAnsi="Arial" w:cs="Arial"/>
                <w:color w:val="000000"/>
              </w:rPr>
            </w:pPr>
          </w:p>
        </w:tc>
      </w:tr>
      <w:tr w:rsidR="009F27C5" w:rsidRPr="00D00722" w:rsidTr="009F27C5">
        <w:tc>
          <w:tcPr>
            <w:tcW w:w="5670" w:type="dxa"/>
            <w:tcBorders>
              <w:top w:val="single" w:sz="4" w:space="0" w:color="auto"/>
              <w:bottom w:val="double" w:sz="4" w:space="0" w:color="auto"/>
            </w:tcBorders>
          </w:tcPr>
          <w:p w:rsidR="009F27C5" w:rsidRPr="00D00722" w:rsidRDefault="009F27C5" w:rsidP="000E5E54">
            <w:pPr>
              <w:autoSpaceDE w:val="0"/>
              <w:autoSpaceDN w:val="0"/>
              <w:adjustRightInd w:val="0"/>
              <w:ind w:left="-108"/>
              <w:jc w:val="both"/>
              <w:rPr>
                <w:rFonts w:ascii="Arial" w:hAnsi="Arial" w:cs="Arial"/>
                <w:lang w:val="tr-TR"/>
              </w:rPr>
            </w:pPr>
          </w:p>
        </w:tc>
        <w:tc>
          <w:tcPr>
            <w:tcW w:w="1701" w:type="dxa"/>
            <w:tcBorders>
              <w:top w:val="single" w:sz="4" w:space="0" w:color="auto"/>
              <w:bottom w:val="double" w:sz="4" w:space="0" w:color="auto"/>
            </w:tcBorders>
            <w:vAlign w:val="center"/>
          </w:tcPr>
          <w:p w:rsidR="009F27C5" w:rsidRPr="00D00722" w:rsidRDefault="0025240D" w:rsidP="000E5E54">
            <w:pPr>
              <w:autoSpaceDE w:val="0"/>
              <w:autoSpaceDN w:val="0"/>
              <w:adjustRightInd w:val="0"/>
              <w:jc w:val="right"/>
              <w:rPr>
                <w:rFonts w:ascii="Arial" w:hAnsi="Arial" w:cs="Arial"/>
                <w:b/>
                <w:lang w:val="tr-TR"/>
              </w:rPr>
            </w:pPr>
            <w:r w:rsidRPr="00D00722">
              <w:rPr>
                <w:rFonts w:ascii="Arial" w:hAnsi="Arial" w:cs="Arial"/>
                <w:b/>
                <w:lang w:val="tr-TR"/>
              </w:rPr>
              <w:t>991.777</w:t>
            </w:r>
          </w:p>
        </w:tc>
        <w:tc>
          <w:tcPr>
            <w:tcW w:w="1701" w:type="dxa"/>
            <w:tcBorders>
              <w:top w:val="single" w:sz="4" w:space="0" w:color="auto"/>
              <w:bottom w:val="double" w:sz="4" w:space="0" w:color="auto"/>
            </w:tcBorders>
            <w:vAlign w:val="center"/>
          </w:tcPr>
          <w:p w:rsidR="009F27C5" w:rsidRPr="00D00722" w:rsidRDefault="009F27C5" w:rsidP="002B5FEF">
            <w:pPr>
              <w:autoSpaceDE w:val="0"/>
              <w:autoSpaceDN w:val="0"/>
              <w:adjustRightInd w:val="0"/>
              <w:jc w:val="right"/>
              <w:rPr>
                <w:rFonts w:ascii="Arial" w:hAnsi="Arial" w:cs="Arial"/>
                <w:lang w:val="tr-TR"/>
              </w:rPr>
            </w:pPr>
            <w:r w:rsidRPr="00D00722">
              <w:rPr>
                <w:rFonts w:ascii="Arial" w:hAnsi="Arial" w:cs="Arial"/>
                <w:lang w:val="tr-TR"/>
              </w:rPr>
              <w:t>964.940</w:t>
            </w:r>
          </w:p>
        </w:tc>
      </w:tr>
    </w:tbl>
    <w:p w:rsidR="00A27292" w:rsidRPr="00D00722" w:rsidRDefault="00A27292" w:rsidP="00F60B8B">
      <w:pPr>
        <w:pStyle w:val="body0"/>
        <w:spacing w:after="0" w:line="240" w:lineRule="auto"/>
        <w:ind w:left="567" w:right="-21" w:hanging="567"/>
        <w:rPr>
          <w:rFonts w:ascii="Arial" w:hAnsi="Arial" w:cs="Arial"/>
          <w:sz w:val="20"/>
          <w:szCs w:val="20"/>
          <w:lang w:val="tr-TR"/>
        </w:rPr>
      </w:pPr>
    </w:p>
    <w:p w:rsidR="00B37F4A" w:rsidRPr="00D00722" w:rsidRDefault="005F5373" w:rsidP="00C82EBF">
      <w:pPr>
        <w:pStyle w:val="body0"/>
        <w:spacing w:after="0" w:line="240" w:lineRule="auto"/>
        <w:ind w:left="567" w:right="-21" w:hanging="567"/>
        <w:jc w:val="left"/>
        <w:rPr>
          <w:rFonts w:ascii="Arial" w:hAnsi="Arial" w:cs="Arial"/>
          <w:sz w:val="20"/>
          <w:szCs w:val="20"/>
          <w:lang w:val="tr-TR"/>
        </w:rPr>
      </w:pPr>
      <w:r w:rsidRPr="00D00722">
        <w:rPr>
          <w:rFonts w:ascii="Arial" w:hAnsi="Arial" w:cs="Arial"/>
          <w:sz w:val="20"/>
          <w:szCs w:val="20"/>
          <w:lang w:val="tr-TR"/>
        </w:rPr>
        <w:t xml:space="preserve">(*) </w:t>
      </w:r>
      <w:r w:rsidR="00F60B8B" w:rsidRPr="00D00722">
        <w:rPr>
          <w:rFonts w:ascii="Arial" w:hAnsi="Arial" w:cs="Arial"/>
          <w:sz w:val="20"/>
          <w:szCs w:val="20"/>
          <w:lang w:val="tr-TR"/>
        </w:rPr>
        <w:tab/>
      </w:r>
      <w:r w:rsidRPr="00D00722">
        <w:rPr>
          <w:rFonts w:ascii="Arial" w:hAnsi="Arial" w:cs="Arial"/>
          <w:sz w:val="20"/>
          <w:szCs w:val="20"/>
          <w:lang w:val="tr-TR"/>
        </w:rPr>
        <w:t>Diğer hazır değerler Şirket’in il</w:t>
      </w:r>
      <w:r w:rsidR="00423D1E" w:rsidRPr="00D00722">
        <w:rPr>
          <w:rFonts w:ascii="Arial" w:hAnsi="Arial" w:cs="Arial"/>
          <w:sz w:val="20"/>
          <w:szCs w:val="20"/>
          <w:lang w:val="tr-TR"/>
        </w:rPr>
        <w:t>i</w:t>
      </w:r>
      <w:r w:rsidRPr="00D00722">
        <w:rPr>
          <w:rFonts w:ascii="Arial" w:hAnsi="Arial" w:cs="Arial"/>
          <w:sz w:val="20"/>
          <w:szCs w:val="20"/>
          <w:lang w:val="tr-TR"/>
        </w:rPr>
        <w:t xml:space="preserve">şkili taraf olan Ata Yatırm Menkul Kıymetler A.Ş. nezdindeki </w:t>
      </w:r>
      <w:r w:rsidR="00D3515B" w:rsidRPr="00D00722">
        <w:rPr>
          <w:rFonts w:ascii="Arial" w:hAnsi="Arial" w:cs="Arial"/>
          <w:sz w:val="20"/>
          <w:szCs w:val="20"/>
          <w:lang w:val="tr-TR"/>
        </w:rPr>
        <w:t xml:space="preserve">cari hesap </w:t>
      </w:r>
      <w:r w:rsidRPr="00D00722">
        <w:rPr>
          <w:rFonts w:ascii="Arial" w:hAnsi="Arial" w:cs="Arial"/>
          <w:sz w:val="20"/>
          <w:szCs w:val="20"/>
          <w:lang w:val="tr-TR"/>
        </w:rPr>
        <w:t xml:space="preserve">bakiyesinden oluşmaktadır. </w:t>
      </w:r>
    </w:p>
    <w:p w:rsidR="00A27292" w:rsidRPr="00D00722" w:rsidRDefault="00A27292" w:rsidP="008C495B">
      <w:pPr>
        <w:ind w:right="-23"/>
        <w:rPr>
          <w:rFonts w:ascii="Arial" w:hAnsi="Arial" w:cs="Arial"/>
          <w:b/>
          <w:lang w:val="tr-TR"/>
        </w:rPr>
      </w:pPr>
    </w:p>
    <w:p w:rsidR="00BB4CBF" w:rsidRPr="00D00722" w:rsidRDefault="00BB4CBF" w:rsidP="003F2B3E">
      <w:pPr>
        <w:pStyle w:val="body0"/>
        <w:spacing w:after="0" w:line="240" w:lineRule="auto"/>
        <w:ind w:right="-21"/>
        <w:jc w:val="left"/>
        <w:rPr>
          <w:rFonts w:ascii="Arial" w:hAnsi="Arial" w:cs="Arial"/>
          <w:sz w:val="20"/>
          <w:szCs w:val="20"/>
          <w:lang w:val="tr-TR"/>
        </w:rPr>
      </w:pPr>
      <w:r w:rsidRPr="00D00722">
        <w:rPr>
          <w:rFonts w:ascii="Arial" w:hAnsi="Arial" w:cs="Arial"/>
          <w:sz w:val="20"/>
          <w:szCs w:val="20"/>
          <w:lang w:val="tr-TR"/>
        </w:rPr>
        <w:t xml:space="preserve">Şirket’in </w:t>
      </w:r>
      <w:r w:rsidR="0040184C" w:rsidRPr="00D00722">
        <w:rPr>
          <w:rFonts w:ascii="Arial" w:hAnsi="Arial" w:cs="Arial"/>
          <w:sz w:val="20"/>
          <w:szCs w:val="20"/>
          <w:lang w:val="tr-TR"/>
        </w:rPr>
        <w:t>31 Mart</w:t>
      </w:r>
      <w:r w:rsidR="003972A7" w:rsidRPr="00D00722">
        <w:rPr>
          <w:rFonts w:ascii="Arial" w:hAnsi="Arial" w:cs="Arial"/>
          <w:sz w:val="20"/>
          <w:szCs w:val="20"/>
          <w:lang w:val="tr-TR"/>
        </w:rPr>
        <w:t xml:space="preserve"> </w:t>
      </w:r>
      <w:r w:rsidR="00F406D0" w:rsidRPr="00D00722">
        <w:rPr>
          <w:rFonts w:ascii="Arial" w:hAnsi="Arial" w:cs="Arial"/>
          <w:sz w:val="20"/>
          <w:szCs w:val="20"/>
          <w:lang w:val="tr-TR"/>
        </w:rPr>
        <w:t>201</w:t>
      </w:r>
      <w:r w:rsidR="0040184C" w:rsidRPr="00D00722">
        <w:rPr>
          <w:rFonts w:ascii="Arial" w:hAnsi="Arial" w:cs="Arial"/>
          <w:sz w:val="20"/>
          <w:szCs w:val="20"/>
          <w:lang w:val="tr-TR"/>
        </w:rPr>
        <w:t>4</w:t>
      </w:r>
      <w:r w:rsidR="0095744A" w:rsidRPr="00D00722">
        <w:rPr>
          <w:rFonts w:ascii="Arial" w:hAnsi="Arial" w:cs="Arial"/>
          <w:sz w:val="20"/>
          <w:szCs w:val="20"/>
          <w:lang w:val="tr-TR"/>
        </w:rPr>
        <w:t xml:space="preserve"> ve 201</w:t>
      </w:r>
      <w:r w:rsidR="0040184C" w:rsidRPr="00D00722">
        <w:rPr>
          <w:rFonts w:ascii="Arial" w:hAnsi="Arial" w:cs="Arial"/>
          <w:sz w:val="20"/>
          <w:szCs w:val="20"/>
          <w:lang w:val="tr-TR"/>
        </w:rPr>
        <w:t>3</w:t>
      </w:r>
      <w:r w:rsidR="00F41405" w:rsidRPr="00D00722">
        <w:rPr>
          <w:rFonts w:ascii="Arial" w:hAnsi="Arial" w:cs="Arial"/>
          <w:sz w:val="20"/>
          <w:szCs w:val="20"/>
          <w:lang w:val="tr-TR"/>
        </w:rPr>
        <w:t xml:space="preserve"> tarih</w:t>
      </w:r>
      <w:r w:rsidR="0095744A" w:rsidRPr="00D00722">
        <w:rPr>
          <w:rFonts w:ascii="Arial" w:hAnsi="Arial" w:cs="Arial"/>
          <w:sz w:val="20"/>
          <w:szCs w:val="20"/>
          <w:lang w:val="tr-TR"/>
        </w:rPr>
        <w:t>ler</w:t>
      </w:r>
      <w:r w:rsidR="00F41405" w:rsidRPr="00D00722">
        <w:rPr>
          <w:rFonts w:ascii="Arial" w:hAnsi="Arial" w:cs="Arial"/>
          <w:sz w:val="20"/>
          <w:szCs w:val="20"/>
          <w:lang w:val="tr-TR"/>
        </w:rPr>
        <w:t xml:space="preserve">i </w:t>
      </w:r>
      <w:r w:rsidR="00200AA8" w:rsidRPr="00D00722">
        <w:rPr>
          <w:rFonts w:ascii="Arial" w:hAnsi="Arial" w:cs="Arial"/>
          <w:sz w:val="20"/>
          <w:szCs w:val="20"/>
          <w:lang w:val="tr-TR"/>
        </w:rPr>
        <w:t>itibariyle</w:t>
      </w:r>
      <w:r w:rsidR="00F41405" w:rsidRPr="00D00722">
        <w:rPr>
          <w:rFonts w:ascii="Arial" w:hAnsi="Arial" w:cs="Arial"/>
          <w:sz w:val="20"/>
          <w:szCs w:val="20"/>
          <w:lang w:val="tr-TR"/>
        </w:rPr>
        <w:t xml:space="preserve"> </w:t>
      </w:r>
      <w:r w:rsidRPr="00D00722">
        <w:rPr>
          <w:rFonts w:ascii="Arial" w:hAnsi="Arial" w:cs="Arial"/>
          <w:sz w:val="20"/>
          <w:szCs w:val="20"/>
          <w:lang w:val="tr-TR"/>
        </w:rPr>
        <w:t>vadeli mevdua</w:t>
      </w:r>
      <w:r w:rsidR="002A7D19" w:rsidRPr="00D00722">
        <w:rPr>
          <w:rFonts w:ascii="Arial" w:hAnsi="Arial" w:cs="Arial"/>
          <w:sz w:val="20"/>
          <w:szCs w:val="20"/>
          <w:lang w:val="tr-TR"/>
        </w:rPr>
        <w:t>t</w:t>
      </w:r>
      <w:r w:rsidR="00D93083" w:rsidRPr="00D00722">
        <w:rPr>
          <w:rFonts w:ascii="Arial" w:hAnsi="Arial" w:cs="Arial"/>
          <w:sz w:val="20"/>
          <w:szCs w:val="20"/>
          <w:lang w:val="tr-TR"/>
        </w:rPr>
        <w:t>ının</w:t>
      </w:r>
      <w:r w:rsidR="002A7D19" w:rsidRPr="00D00722">
        <w:rPr>
          <w:rFonts w:ascii="Arial" w:hAnsi="Arial" w:cs="Arial"/>
          <w:sz w:val="20"/>
          <w:szCs w:val="20"/>
          <w:lang w:val="tr-TR"/>
        </w:rPr>
        <w:t xml:space="preserve"> detayı aşağıda</w:t>
      </w:r>
      <w:r w:rsidR="0095744A" w:rsidRPr="00D00722">
        <w:rPr>
          <w:rFonts w:ascii="Arial" w:hAnsi="Arial" w:cs="Arial"/>
          <w:sz w:val="20"/>
          <w:szCs w:val="20"/>
          <w:lang w:val="tr-TR"/>
        </w:rPr>
        <w:t>ki gibidir:</w:t>
      </w:r>
    </w:p>
    <w:p w:rsidR="00D93083" w:rsidRPr="00D00722" w:rsidRDefault="00D93083" w:rsidP="00F60B8B">
      <w:pPr>
        <w:pStyle w:val="body0"/>
        <w:spacing w:after="0" w:line="240" w:lineRule="auto"/>
        <w:ind w:right="-21"/>
        <w:rPr>
          <w:rFonts w:ascii="Arial" w:hAnsi="Arial" w:cs="Arial"/>
          <w:sz w:val="20"/>
          <w:szCs w:val="20"/>
          <w:lang w:val="tr-TR"/>
        </w:rPr>
      </w:pPr>
    </w:p>
    <w:p w:rsidR="009F27C5" w:rsidRPr="00D00722" w:rsidRDefault="009F27C5" w:rsidP="009F27C5">
      <w:pPr>
        <w:pStyle w:val="body0"/>
        <w:spacing w:after="0" w:line="240" w:lineRule="auto"/>
        <w:ind w:right="-21"/>
        <w:rPr>
          <w:rFonts w:ascii="Arial" w:hAnsi="Arial" w:cs="Arial"/>
          <w:sz w:val="20"/>
          <w:szCs w:val="20"/>
          <w:lang w:val="tr-TR"/>
        </w:rPr>
      </w:pPr>
    </w:p>
    <w:tbl>
      <w:tblPr>
        <w:tblW w:w="9072" w:type="dxa"/>
        <w:tblInd w:w="108" w:type="dxa"/>
        <w:tblLook w:val="0000"/>
      </w:tblPr>
      <w:tblGrid>
        <w:gridCol w:w="2694"/>
        <w:gridCol w:w="1701"/>
        <w:gridCol w:w="1701"/>
        <w:gridCol w:w="1275"/>
        <w:gridCol w:w="1701"/>
      </w:tblGrid>
      <w:tr w:rsidR="009F27C5" w:rsidRPr="00D00722" w:rsidTr="002B5FEF">
        <w:trPr>
          <w:cantSplit/>
        </w:trPr>
        <w:tc>
          <w:tcPr>
            <w:tcW w:w="2694" w:type="dxa"/>
            <w:tcBorders>
              <w:top w:val="single" w:sz="4" w:space="0" w:color="auto"/>
              <w:bottom w:val="single" w:sz="4" w:space="0" w:color="auto"/>
            </w:tcBorders>
          </w:tcPr>
          <w:p w:rsidR="009F27C5" w:rsidRPr="00D00722" w:rsidRDefault="009F27C5" w:rsidP="002B5FEF">
            <w:pPr>
              <w:ind w:left="-108" w:right="14"/>
              <w:jc w:val="both"/>
              <w:rPr>
                <w:rFonts w:ascii="Arial" w:hAnsi="Arial" w:cs="Arial"/>
                <w:b/>
                <w:lang w:val="tr-TR"/>
              </w:rPr>
            </w:pPr>
          </w:p>
        </w:tc>
        <w:tc>
          <w:tcPr>
            <w:tcW w:w="6378" w:type="dxa"/>
            <w:gridSpan w:val="4"/>
            <w:tcBorders>
              <w:top w:val="single" w:sz="4" w:space="0" w:color="auto"/>
              <w:bottom w:val="single" w:sz="4" w:space="0" w:color="auto"/>
            </w:tcBorders>
          </w:tcPr>
          <w:p w:rsidR="009F27C5" w:rsidRPr="00D00722" w:rsidRDefault="009F27C5" w:rsidP="009F27C5">
            <w:pPr>
              <w:ind w:right="14"/>
              <w:jc w:val="center"/>
              <w:rPr>
                <w:rFonts w:ascii="Arial" w:hAnsi="Arial" w:cs="Arial"/>
                <w:b/>
                <w:bCs/>
                <w:lang w:val="tr-TR"/>
              </w:rPr>
            </w:pPr>
            <w:r w:rsidRPr="00D00722">
              <w:rPr>
                <w:rFonts w:ascii="Arial" w:hAnsi="Arial" w:cs="Arial"/>
                <w:b/>
                <w:bCs/>
                <w:lang w:val="tr-TR"/>
              </w:rPr>
              <w:t>31 Mart 2014</w:t>
            </w:r>
          </w:p>
        </w:tc>
      </w:tr>
      <w:tr w:rsidR="009F27C5" w:rsidRPr="00D00722" w:rsidTr="002B5FEF">
        <w:tc>
          <w:tcPr>
            <w:tcW w:w="2694" w:type="dxa"/>
            <w:tcBorders>
              <w:top w:val="single" w:sz="4" w:space="0" w:color="auto"/>
              <w:bottom w:val="single" w:sz="4" w:space="0" w:color="auto"/>
            </w:tcBorders>
          </w:tcPr>
          <w:p w:rsidR="009F27C5" w:rsidRPr="00D00722" w:rsidRDefault="009F27C5" w:rsidP="002B5FEF">
            <w:pPr>
              <w:ind w:left="-108" w:right="14"/>
              <w:jc w:val="both"/>
              <w:rPr>
                <w:rFonts w:ascii="Arial" w:hAnsi="Arial" w:cs="Arial"/>
                <w:b/>
                <w:lang w:val="tr-TR"/>
              </w:rPr>
            </w:pPr>
          </w:p>
        </w:tc>
        <w:tc>
          <w:tcPr>
            <w:tcW w:w="1701" w:type="dxa"/>
            <w:tcBorders>
              <w:top w:val="single" w:sz="4" w:space="0" w:color="auto"/>
              <w:bottom w:val="single" w:sz="4" w:space="0" w:color="auto"/>
            </w:tcBorders>
          </w:tcPr>
          <w:p w:rsidR="009F27C5" w:rsidRPr="00D00722" w:rsidRDefault="009F27C5" w:rsidP="002B5FEF">
            <w:pPr>
              <w:ind w:right="14"/>
              <w:jc w:val="right"/>
              <w:rPr>
                <w:rFonts w:ascii="Arial" w:hAnsi="Arial" w:cs="Arial"/>
                <w:b/>
                <w:bCs/>
                <w:lang w:val="tr-TR"/>
              </w:rPr>
            </w:pPr>
            <w:r w:rsidRPr="00D00722">
              <w:rPr>
                <w:rFonts w:ascii="Arial" w:hAnsi="Arial" w:cs="Arial"/>
                <w:b/>
                <w:bCs/>
                <w:lang w:val="tr-TR"/>
              </w:rPr>
              <w:t>Faiz oranı (%)</w:t>
            </w:r>
          </w:p>
        </w:tc>
        <w:tc>
          <w:tcPr>
            <w:tcW w:w="1701" w:type="dxa"/>
            <w:tcBorders>
              <w:top w:val="single" w:sz="4" w:space="0" w:color="auto"/>
              <w:bottom w:val="single" w:sz="4" w:space="0" w:color="auto"/>
            </w:tcBorders>
          </w:tcPr>
          <w:p w:rsidR="009F27C5" w:rsidRPr="00D00722" w:rsidRDefault="009F27C5" w:rsidP="002B5FEF">
            <w:pPr>
              <w:ind w:right="14"/>
              <w:jc w:val="right"/>
              <w:rPr>
                <w:rFonts w:ascii="Arial" w:hAnsi="Arial" w:cs="Arial"/>
                <w:b/>
                <w:bCs/>
                <w:lang w:val="tr-TR"/>
              </w:rPr>
            </w:pPr>
            <w:r w:rsidRPr="00D00722">
              <w:rPr>
                <w:rFonts w:ascii="Arial" w:hAnsi="Arial" w:cs="Arial"/>
                <w:b/>
                <w:bCs/>
                <w:lang w:val="tr-TR"/>
              </w:rPr>
              <w:t>Vade tarihi</w:t>
            </w:r>
          </w:p>
        </w:tc>
        <w:tc>
          <w:tcPr>
            <w:tcW w:w="1275" w:type="dxa"/>
            <w:tcBorders>
              <w:top w:val="single" w:sz="4" w:space="0" w:color="auto"/>
              <w:bottom w:val="single" w:sz="4" w:space="0" w:color="auto"/>
            </w:tcBorders>
          </w:tcPr>
          <w:p w:rsidR="009F27C5" w:rsidRPr="00D00722" w:rsidRDefault="009F27C5" w:rsidP="002B5FEF">
            <w:pPr>
              <w:ind w:right="14"/>
              <w:jc w:val="right"/>
              <w:rPr>
                <w:rFonts w:ascii="Arial" w:hAnsi="Arial" w:cs="Arial"/>
                <w:b/>
                <w:bCs/>
                <w:lang w:val="tr-TR"/>
              </w:rPr>
            </w:pPr>
            <w:r w:rsidRPr="00D00722">
              <w:rPr>
                <w:rFonts w:ascii="Arial" w:hAnsi="Arial" w:cs="Arial"/>
                <w:b/>
                <w:bCs/>
                <w:lang w:val="tr-TR"/>
              </w:rPr>
              <w:t>Maliyet</w:t>
            </w:r>
          </w:p>
        </w:tc>
        <w:tc>
          <w:tcPr>
            <w:tcW w:w="1701" w:type="dxa"/>
            <w:tcBorders>
              <w:top w:val="single" w:sz="4" w:space="0" w:color="auto"/>
              <w:bottom w:val="single" w:sz="4" w:space="0" w:color="auto"/>
            </w:tcBorders>
          </w:tcPr>
          <w:p w:rsidR="009F27C5" w:rsidRPr="00D00722" w:rsidRDefault="009F27C5" w:rsidP="002B5FEF">
            <w:pPr>
              <w:ind w:right="14"/>
              <w:jc w:val="right"/>
              <w:rPr>
                <w:rFonts w:ascii="Arial" w:hAnsi="Arial" w:cs="Arial"/>
                <w:b/>
                <w:lang w:val="tr-TR"/>
              </w:rPr>
            </w:pPr>
            <w:r w:rsidRPr="00D00722">
              <w:rPr>
                <w:rFonts w:ascii="Arial" w:hAnsi="Arial" w:cs="Arial"/>
                <w:b/>
                <w:lang w:val="tr-TR"/>
              </w:rPr>
              <w:t>Kayıtlı değer</w:t>
            </w:r>
          </w:p>
        </w:tc>
      </w:tr>
      <w:tr w:rsidR="009F27C5" w:rsidRPr="00D00722" w:rsidTr="002B5FEF">
        <w:tc>
          <w:tcPr>
            <w:tcW w:w="2694" w:type="dxa"/>
            <w:tcBorders>
              <w:top w:val="single" w:sz="4" w:space="0" w:color="auto"/>
            </w:tcBorders>
          </w:tcPr>
          <w:p w:rsidR="009F27C5" w:rsidRPr="00D00722" w:rsidRDefault="009F27C5" w:rsidP="002B5FEF">
            <w:pPr>
              <w:ind w:left="-108" w:right="14"/>
              <w:jc w:val="both"/>
              <w:rPr>
                <w:rFonts w:ascii="Arial" w:hAnsi="Arial" w:cs="Arial"/>
                <w:b/>
                <w:lang w:val="tr-TR"/>
              </w:rPr>
            </w:pPr>
          </w:p>
        </w:tc>
        <w:tc>
          <w:tcPr>
            <w:tcW w:w="1701" w:type="dxa"/>
            <w:tcBorders>
              <w:top w:val="single" w:sz="4" w:space="0" w:color="auto"/>
            </w:tcBorders>
          </w:tcPr>
          <w:p w:rsidR="009F27C5" w:rsidRPr="00D00722" w:rsidRDefault="009F27C5" w:rsidP="002B5FEF">
            <w:pPr>
              <w:ind w:right="14"/>
              <w:jc w:val="right"/>
              <w:rPr>
                <w:rFonts w:ascii="Arial" w:hAnsi="Arial" w:cs="Arial"/>
                <w:b/>
                <w:bCs/>
                <w:lang w:val="tr-TR"/>
              </w:rPr>
            </w:pPr>
          </w:p>
        </w:tc>
        <w:tc>
          <w:tcPr>
            <w:tcW w:w="1701" w:type="dxa"/>
            <w:tcBorders>
              <w:top w:val="single" w:sz="4" w:space="0" w:color="auto"/>
            </w:tcBorders>
          </w:tcPr>
          <w:p w:rsidR="009F27C5" w:rsidRPr="00D00722" w:rsidRDefault="009F27C5" w:rsidP="002B5FEF">
            <w:pPr>
              <w:ind w:right="14"/>
              <w:jc w:val="right"/>
              <w:rPr>
                <w:rFonts w:ascii="Arial" w:hAnsi="Arial" w:cs="Arial"/>
                <w:b/>
                <w:bCs/>
                <w:lang w:val="tr-TR"/>
              </w:rPr>
            </w:pPr>
          </w:p>
        </w:tc>
        <w:tc>
          <w:tcPr>
            <w:tcW w:w="1275" w:type="dxa"/>
            <w:tcBorders>
              <w:top w:val="single" w:sz="4" w:space="0" w:color="auto"/>
            </w:tcBorders>
          </w:tcPr>
          <w:p w:rsidR="009F27C5" w:rsidRPr="00D00722" w:rsidRDefault="009F27C5" w:rsidP="002B5FEF">
            <w:pPr>
              <w:ind w:right="14"/>
              <w:jc w:val="right"/>
              <w:rPr>
                <w:rFonts w:ascii="Arial" w:hAnsi="Arial" w:cs="Arial"/>
                <w:b/>
                <w:bCs/>
                <w:lang w:val="tr-TR"/>
              </w:rPr>
            </w:pPr>
          </w:p>
        </w:tc>
        <w:tc>
          <w:tcPr>
            <w:tcW w:w="1701" w:type="dxa"/>
            <w:tcBorders>
              <w:top w:val="single" w:sz="4" w:space="0" w:color="auto"/>
            </w:tcBorders>
          </w:tcPr>
          <w:p w:rsidR="009F27C5" w:rsidRPr="00D00722" w:rsidRDefault="009F27C5" w:rsidP="002B5FEF">
            <w:pPr>
              <w:ind w:right="14"/>
              <w:jc w:val="right"/>
              <w:rPr>
                <w:rFonts w:ascii="Arial" w:hAnsi="Arial" w:cs="Arial"/>
                <w:b/>
                <w:lang w:val="tr-TR"/>
              </w:rPr>
            </w:pPr>
          </w:p>
        </w:tc>
      </w:tr>
      <w:tr w:rsidR="009F27C5" w:rsidRPr="00D00722" w:rsidTr="002B5FEF">
        <w:trPr>
          <w:trHeight w:val="111"/>
        </w:trPr>
        <w:tc>
          <w:tcPr>
            <w:tcW w:w="2694" w:type="dxa"/>
            <w:vAlign w:val="bottom"/>
          </w:tcPr>
          <w:p w:rsidR="009F27C5" w:rsidRPr="00D00722" w:rsidRDefault="009F27C5" w:rsidP="002B5FEF">
            <w:pPr>
              <w:ind w:left="-108" w:right="601"/>
              <w:rPr>
                <w:rFonts w:ascii="Arial" w:hAnsi="Arial" w:cs="Arial"/>
                <w:b/>
                <w:lang w:val="tr-TR"/>
              </w:rPr>
            </w:pPr>
            <w:r w:rsidRPr="00D00722">
              <w:rPr>
                <w:rFonts w:ascii="Arial" w:hAnsi="Arial" w:cs="Arial"/>
                <w:b/>
                <w:lang w:val="tr-TR"/>
              </w:rPr>
              <w:t>Vadeli mevduat</w:t>
            </w:r>
          </w:p>
        </w:tc>
        <w:tc>
          <w:tcPr>
            <w:tcW w:w="1701" w:type="dxa"/>
            <w:vAlign w:val="bottom"/>
          </w:tcPr>
          <w:p w:rsidR="009F27C5" w:rsidRPr="00D00722" w:rsidRDefault="0025240D" w:rsidP="0025240D">
            <w:pPr>
              <w:ind w:right="14"/>
              <w:jc w:val="right"/>
              <w:rPr>
                <w:rFonts w:ascii="Arial" w:hAnsi="Arial" w:cs="Arial"/>
                <w:b/>
                <w:lang w:val="tr-TR"/>
              </w:rPr>
            </w:pPr>
            <w:r w:rsidRPr="00D00722">
              <w:rPr>
                <w:rFonts w:ascii="Arial" w:hAnsi="Arial" w:cs="Arial"/>
                <w:b/>
                <w:lang w:val="tr-TR"/>
              </w:rPr>
              <w:t>12</w:t>
            </w:r>
            <w:r w:rsidR="009F27C5" w:rsidRPr="00D00722">
              <w:rPr>
                <w:rFonts w:ascii="Arial" w:hAnsi="Arial" w:cs="Arial"/>
                <w:b/>
                <w:lang w:val="tr-TR"/>
              </w:rPr>
              <w:t>,</w:t>
            </w:r>
            <w:r w:rsidRPr="00D00722">
              <w:rPr>
                <w:rFonts w:ascii="Arial" w:hAnsi="Arial" w:cs="Arial"/>
                <w:b/>
                <w:lang w:val="tr-TR"/>
              </w:rPr>
              <w:t>45</w:t>
            </w:r>
            <w:r w:rsidR="009F27C5" w:rsidRPr="00D00722">
              <w:rPr>
                <w:rFonts w:ascii="Arial" w:hAnsi="Arial" w:cs="Arial"/>
                <w:b/>
                <w:lang w:val="tr-TR"/>
              </w:rPr>
              <w:t>-1</w:t>
            </w:r>
            <w:r w:rsidRPr="00D00722">
              <w:rPr>
                <w:rFonts w:ascii="Arial" w:hAnsi="Arial" w:cs="Arial"/>
                <w:b/>
                <w:lang w:val="tr-TR"/>
              </w:rPr>
              <w:t>2</w:t>
            </w:r>
            <w:r w:rsidR="009F27C5" w:rsidRPr="00D00722">
              <w:rPr>
                <w:rFonts w:ascii="Arial" w:hAnsi="Arial" w:cs="Arial"/>
                <w:b/>
                <w:lang w:val="tr-TR"/>
              </w:rPr>
              <w:t>,</w:t>
            </w:r>
            <w:r w:rsidRPr="00D00722">
              <w:rPr>
                <w:rFonts w:ascii="Arial" w:hAnsi="Arial" w:cs="Arial"/>
                <w:b/>
                <w:lang w:val="tr-TR"/>
              </w:rPr>
              <w:t>75</w:t>
            </w:r>
          </w:p>
        </w:tc>
        <w:tc>
          <w:tcPr>
            <w:tcW w:w="1701" w:type="dxa"/>
            <w:vAlign w:val="bottom"/>
          </w:tcPr>
          <w:p w:rsidR="009F27C5" w:rsidRPr="00D00722" w:rsidRDefault="0025240D" w:rsidP="0025240D">
            <w:pPr>
              <w:ind w:right="14"/>
              <w:jc w:val="right"/>
              <w:rPr>
                <w:rFonts w:ascii="Arial" w:hAnsi="Arial" w:cs="Arial"/>
                <w:b/>
                <w:lang w:val="tr-TR"/>
              </w:rPr>
            </w:pPr>
            <w:r w:rsidRPr="00D00722">
              <w:rPr>
                <w:rFonts w:ascii="Arial" w:hAnsi="Arial" w:cs="Arial"/>
                <w:b/>
                <w:lang w:val="tr-TR"/>
              </w:rPr>
              <w:t>07-11-14 Nisan</w:t>
            </w:r>
            <w:r w:rsidR="009F27C5" w:rsidRPr="00D00722">
              <w:rPr>
                <w:rFonts w:ascii="Arial" w:hAnsi="Arial" w:cs="Arial"/>
                <w:b/>
                <w:lang w:val="tr-TR"/>
              </w:rPr>
              <w:t xml:space="preserve">2014-  </w:t>
            </w:r>
          </w:p>
        </w:tc>
        <w:tc>
          <w:tcPr>
            <w:tcW w:w="1275" w:type="dxa"/>
            <w:vAlign w:val="bottom"/>
          </w:tcPr>
          <w:p w:rsidR="009F27C5" w:rsidRPr="00D00722" w:rsidRDefault="0025240D" w:rsidP="0025240D">
            <w:pPr>
              <w:ind w:right="14"/>
              <w:jc w:val="right"/>
              <w:rPr>
                <w:rFonts w:ascii="Arial" w:hAnsi="Arial" w:cs="Arial"/>
                <w:b/>
                <w:lang w:val="tr-TR"/>
              </w:rPr>
            </w:pPr>
            <w:r w:rsidRPr="00D00722">
              <w:rPr>
                <w:rFonts w:ascii="Arial" w:hAnsi="Arial" w:cs="Arial"/>
                <w:b/>
                <w:lang w:val="tr-TR"/>
              </w:rPr>
              <w:t>700</w:t>
            </w:r>
            <w:r w:rsidR="009F27C5" w:rsidRPr="00D00722">
              <w:rPr>
                <w:rFonts w:ascii="Arial" w:hAnsi="Arial" w:cs="Arial"/>
                <w:b/>
                <w:lang w:val="tr-TR"/>
              </w:rPr>
              <w:t>.000</w:t>
            </w:r>
          </w:p>
        </w:tc>
        <w:tc>
          <w:tcPr>
            <w:tcW w:w="1701" w:type="dxa"/>
            <w:vAlign w:val="bottom"/>
          </w:tcPr>
          <w:p w:rsidR="009F27C5" w:rsidRPr="00D00722" w:rsidRDefault="0025240D" w:rsidP="0025240D">
            <w:pPr>
              <w:ind w:right="14"/>
              <w:jc w:val="right"/>
              <w:rPr>
                <w:rFonts w:ascii="Arial" w:hAnsi="Arial" w:cs="Arial"/>
                <w:b/>
                <w:lang w:val="tr-TR"/>
              </w:rPr>
            </w:pPr>
            <w:r w:rsidRPr="00D00722">
              <w:rPr>
                <w:rFonts w:ascii="Arial" w:hAnsi="Arial" w:cs="Arial"/>
                <w:b/>
                <w:lang w:val="tr-TR"/>
              </w:rPr>
              <w:t>705</w:t>
            </w:r>
            <w:r w:rsidR="009F27C5" w:rsidRPr="00D00722">
              <w:rPr>
                <w:rFonts w:ascii="Arial" w:hAnsi="Arial" w:cs="Arial"/>
                <w:b/>
                <w:lang w:val="tr-TR"/>
              </w:rPr>
              <w:t>.</w:t>
            </w:r>
            <w:r w:rsidRPr="00D00722">
              <w:rPr>
                <w:rFonts w:ascii="Arial" w:hAnsi="Arial" w:cs="Arial"/>
                <w:b/>
                <w:lang w:val="tr-TR"/>
              </w:rPr>
              <w:t>138</w:t>
            </w:r>
          </w:p>
        </w:tc>
      </w:tr>
    </w:tbl>
    <w:p w:rsidR="009F27C5" w:rsidRPr="00D00722" w:rsidRDefault="009F27C5" w:rsidP="009F27C5">
      <w:pPr>
        <w:pStyle w:val="body0"/>
        <w:spacing w:after="0" w:line="240" w:lineRule="auto"/>
        <w:ind w:right="-21"/>
        <w:rPr>
          <w:rFonts w:ascii="Arial" w:hAnsi="Arial" w:cs="Arial"/>
          <w:sz w:val="20"/>
          <w:szCs w:val="20"/>
          <w:lang w:val="tr-TR"/>
        </w:rPr>
      </w:pPr>
    </w:p>
    <w:p w:rsidR="009F27C5" w:rsidRPr="00D00722" w:rsidRDefault="009F27C5" w:rsidP="00F60B8B">
      <w:pPr>
        <w:pStyle w:val="body0"/>
        <w:spacing w:after="0" w:line="240" w:lineRule="auto"/>
        <w:ind w:right="-21"/>
        <w:rPr>
          <w:rFonts w:ascii="Arial" w:hAnsi="Arial" w:cs="Arial"/>
          <w:sz w:val="20"/>
          <w:szCs w:val="20"/>
          <w:lang w:val="tr-TR"/>
        </w:rPr>
      </w:pPr>
    </w:p>
    <w:tbl>
      <w:tblPr>
        <w:tblW w:w="9072" w:type="dxa"/>
        <w:tblInd w:w="108" w:type="dxa"/>
        <w:tblLook w:val="0000"/>
      </w:tblPr>
      <w:tblGrid>
        <w:gridCol w:w="2694"/>
        <w:gridCol w:w="1701"/>
        <w:gridCol w:w="1701"/>
        <w:gridCol w:w="1275"/>
        <w:gridCol w:w="1701"/>
      </w:tblGrid>
      <w:tr w:rsidR="00D93083" w:rsidRPr="00D00722" w:rsidTr="00B37F4A">
        <w:trPr>
          <w:cantSplit/>
        </w:trPr>
        <w:tc>
          <w:tcPr>
            <w:tcW w:w="2694" w:type="dxa"/>
            <w:tcBorders>
              <w:top w:val="single" w:sz="4" w:space="0" w:color="auto"/>
              <w:bottom w:val="single" w:sz="4" w:space="0" w:color="auto"/>
            </w:tcBorders>
          </w:tcPr>
          <w:p w:rsidR="00D93083" w:rsidRPr="00D00722" w:rsidRDefault="00D93083" w:rsidP="000A06CC">
            <w:pPr>
              <w:ind w:left="-108" w:right="14"/>
              <w:jc w:val="both"/>
              <w:rPr>
                <w:rFonts w:ascii="Arial" w:hAnsi="Arial" w:cs="Arial"/>
                <w:lang w:val="tr-TR"/>
              </w:rPr>
            </w:pPr>
          </w:p>
        </w:tc>
        <w:tc>
          <w:tcPr>
            <w:tcW w:w="6378" w:type="dxa"/>
            <w:gridSpan w:val="4"/>
            <w:tcBorders>
              <w:top w:val="single" w:sz="4" w:space="0" w:color="auto"/>
              <w:bottom w:val="single" w:sz="4" w:space="0" w:color="auto"/>
            </w:tcBorders>
          </w:tcPr>
          <w:p w:rsidR="00D93083" w:rsidRPr="00D00722" w:rsidRDefault="003972A7" w:rsidP="000A06CC">
            <w:pPr>
              <w:ind w:right="14"/>
              <w:jc w:val="center"/>
              <w:rPr>
                <w:rFonts w:ascii="Arial" w:hAnsi="Arial" w:cs="Arial"/>
                <w:bCs/>
                <w:lang w:val="tr-TR"/>
              </w:rPr>
            </w:pPr>
            <w:r w:rsidRPr="00D00722">
              <w:rPr>
                <w:rFonts w:ascii="Arial" w:hAnsi="Arial" w:cs="Arial"/>
                <w:bCs/>
                <w:lang w:val="tr-TR"/>
              </w:rPr>
              <w:t xml:space="preserve">31 Aralık </w:t>
            </w:r>
            <w:r w:rsidR="00350F68" w:rsidRPr="00D00722">
              <w:rPr>
                <w:rFonts w:ascii="Arial" w:hAnsi="Arial" w:cs="Arial"/>
                <w:bCs/>
                <w:lang w:val="tr-TR"/>
              </w:rPr>
              <w:t>201</w:t>
            </w:r>
            <w:r w:rsidR="009E6AD4" w:rsidRPr="00D00722">
              <w:rPr>
                <w:rFonts w:ascii="Arial" w:hAnsi="Arial" w:cs="Arial"/>
                <w:bCs/>
                <w:lang w:val="tr-TR"/>
              </w:rPr>
              <w:t>3</w:t>
            </w:r>
          </w:p>
        </w:tc>
      </w:tr>
      <w:tr w:rsidR="00D93083" w:rsidRPr="00D00722" w:rsidTr="00B37F4A">
        <w:tc>
          <w:tcPr>
            <w:tcW w:w="2694" w:type="dxa"/>
            <w:tcBorders>
              <w:top w:val="single" w:sz="4" w:space="0" w:color="auto"/>
              <w:bottom w:val="single" w:sz="4" w:space="0" w:color="auto"/>
            </w:tcBorders>
          </w:tcPr>
          <w:p w:rsidR="00D93083" w:rsidRPr="00D00722" w:rsidRDefault="00D93083" w:rsidP="000A06CC">
            <w:pPr>
              <w:ind w:left="-108" w:right="14"/>
              <w:jc w:val="both"/>
              <w:rPr>
                <w:rFonts w:ascii="Arial" w:hAnsi="Arial" w:cs="Arial"/>
                <w:lang w:val="tr-TR"/>
              </w:rPr>
            </w:pPr>
          </w:p>
        </w:tc>
        <w:tc>
          <w:tcPr>
            <w:tcW w:w="1701" w:type="dxa"/>
            <w:tcBorders>
              <w:top w:val="single" w:sz="4" w:space="0" w:color="auto"/>
              <w:bottom w:val="single" w:sz="4" w:space="0" w:color="auto"/>
            </w:tcBorders>
          </w:tcPr>
          <w:p w:rsidR="00D93083" w:rsidRPr="00D00722" w:rsidRDefault="00D93083" w:rsidP="000A06CC">
            <w:pPr>
              <w:ind w:right="14"/>
              <w:jc w:val="right"/>
              <w:rPr>
                <w:rFonts w:ascii="Arial" w:hAnsi="Arial" w:cs="Arial"/>
                <w:bCs/>
                <w:lang w:val="tr-TR"/>
              </w:rPr>
            </w:pPr>
            <w:r w:rsidRPr="00D00722">
              <w:rPr>
                <w:rFonts w:ascii="Arial" w:hAnsi="Arial" w:cs="Arial"/>
                <w:bCs/>
                <w:lang w:val="tr-TR"/>
              </w:rPr>
              <w:t>Faiz oranı (%)</w:t>
            </w:r>
          </w:p>
        </w:tc>
        <w:tc>
          <w:tcPr>
            <w:tcW w:w="1701" w:type="dxa"/>
            <w:tcBorders>
              <w:top w:val="single" w:sz="4" w:space="0" w:color="auto"/>
              <w:bottom w:val="single" w:sz="4" w:space="0" w:color="auto"/>
            </w:tcBorders>
          </w:tcPr>
          <w:p w:rsidR="00D93083" w:rsidRPr="00D00722" w:rsidRDefault="00D93083" w:rsidP="000A06CC">
            <w:pPr>
              <w:ind w:right="14"/>
              <w:jc w:val="right"/>
              <w:rPr>
                <w:rFonts w:ascii="Arial" w:hAnsi="Arial" w:cs="Arial"/>
                <w:bCs/>
                <w:lang w:val="tr-TR"/>
              </w:rPr>
            </w:pPr>
            <w:r w:rsidRPr="00D00722">
              <w:rPr>
                <w:rFonts w:ascii="Arial" w:hAnsi="Arial" w:cs="Arial"/>
                <w:bCs/>
                <w:lang w:val="tr-TR"/>
              </w:rPr>
              <w:t>Vade tarihi</w:t>
            </w:r>
          </w:p>
        </w:tc>
        <w:tc>
          <w:tcPr>
            <w:tcW w:w="1275" w:type="dxa"/>
            <w:tcBorders>
              <w:top w:val="single" w:sz="4" w:space="0" w:color="auto"/>
              <w:bottom w:val="single" w:sz="4" w:space="0" w:color="auto"/>
            </w:tcBorders>
          </w:tcPr>
          <w:p w:rsidR="00D93083" w:rsidRPr="00D00722" w:rsidRDefault="00D93083" w:rsidP="000A06CC">
            <w:pPr>
              <w:ind w:right="14"/>
              <w:jc w:val="right"/>
              <w:rPr>
                <w:rFonts w:ascii="Arial" w:hAnsi="Arial" w:cs="Arial"/>
                <w:bCs/>
                <w:lang w:val="tr-TR"/>
              </w:rPr>
            </w:pPr>
            <w:r w:rsidRPr="00D00722">
              <w:rPr>
                <w:rFonts w:ascii="Arial" w:hAnsi="Arial" w:cs="Arial"/>
                <w:bCs/>
                <w:lang w:val="tr-TR"/>
              </w:rPr>
              <w:t>Maliyet</w:t>
            </w:r>
          </w:p>
        </w:tc>
        <w:tc>
          <w:tcPr>
            <w:tcW w:w="1701" w:type="dxa"/>
            <w:tcBorders>
              <w:top w:val="single" w:sz="4" w:space="0" w:color="auto"/>
              <w:bottom w:val="single" w:sz="4" w:space="0" w:color="auto"/>
            </w:tcBorders>
          </w:tcPr>
          <w:p w:rsidR="00D93083" w:rsidRPr="00D00722" w:rsidRDefault="00D93083" w:rsidP="000A06CC">
            <w:pPr>
              <w:ind w:right="14"/>
              <w:jc w:val="right"/>
              <w:rPr>
                <w:rFonts w:ascii="Arial" w:hAnsi="Arial" w:cs="Arial"/>
                <w:lang w:val="tr-TR"/>
              </w:rPr>
            </w:pPr>
            <w:r w:rsidRPr="00D00722">
              <w:rPr>
                <w:rFonts w:ascii="Arial" w:hAnsi="Arial" w:cs="Arial"/>
                <w:lang w:val="tr-TR"/>
              </w:rPr>
              <w:t>Kayıtlı değer</w:t>
            </w:r>
          </w:p>
        </w:tc>
      </w:tr>
      <w:tr w:rsidR="00D93083" w:rsidRPr="00D00722" w:rsidTr="00B37F4A">
        <w:tc>
          <w:tcPr>
            <w:tcW w:w="2694" w:type="dxa"/>
            <w:tcBorders>
              <w:top w:val="single" w:sz="4" w:space="0" w:color="auto"/>
            </w:tcBorders>
          </w:tcPr>
          <w:p w:rsidR="00D93083" w:rsidRPr="00D00722" w:rsidRDefault="00D93083" w:rsidP="000A06CC">
            <w:pPr>
              <w:ind w:left="-108" w:right="14"/>
              <w:jc w:val="both"/>
              <w:rPr>
                <w:rFonts w:ascii="Arial" w:hAnsi="Arial" w:cs="Arial"/>
                <w:lang w:val="tr-TR"/>
              </w:rPr>
            </w:pPr>
          </w:p>
        </w:tc>
        <w:tc>
          <w:tcPr>
            <w:tcW w:w="1701" w:type="dxa"/>
            <w:tcBorders>
              <w:top w:val="single" w:sz="4" w:space="0" w:color="auto"/>
            </w:tcBorders>
          </w:tcPr>
          <w:p w:rsidR="00D93083" w:rsidRPr="00D00722" w:rsidRDefault="00D93083" w:rsidP="000A06CC">
            <w:pPr>
              <w:ind w:right="14"/>
              <w:jc w:val="right"/>
              <w:rPr>
                <w:rFonts w:ascii="Arial" w:hAnsi="Arial" w:cs="Arial"/>
                <w:bCs/>
                <w:lang w:val="tr-TR"/>
              </w:rPr>
            </w:pPr>
          </w:p>
        </w:tc>
        <w:tc>
          <w:tcPr>
            <w:tcW w:w="1701" w:type="dxa"/>
            <w:tcBorders>
              <w:top w:val="single" w:sz="4" w:space="0" w:color="auto"/>
            </w:tcBorders>
          </w:tcPr>
          <w:p w:rsidR="00D93083" w:rsidRPr="00D00722" w:rsidRDefault="00D93083" w:rsidP="000A06CC">
            <w:pPr>
              <w:ind w:right="14"/>
              <w:jc w:val="right"/>
              <w:rPr>
                <w:rFonts w:ascii="Arial" w:hAnsi="Arial" w:cs="Arial"/>
                <w:bCs/>
                <w:lang w:val="tr-TR"/>
              </w:rPr>
            </w:pPr>
          </w:p>
        </w:tc>
        <w:tc>
          <w:tcPr>
            <w:tcW w:w="1275" w:type="dxa"/>
            <w:tcBorders>
              <w:top w:val="single" w:sz="4" w:space="0" w:color="auto"/>
            </w:tcBorders>
          </w:tcPr>
          <w:p w:rsidR="00D93083" w:rsidRPr="00D00722" w:rsidRDefault="00D93083" w:rsidP="000A06CC">
            <w:pPr>
              <w:ind w:right="14"/>
              <w:jc w:val="right"/>
              <w:rPr>
                <w:rFonts w:ascii="Arial" w:hAnsi="Arial" w:cs="Arial"/>
                <w:bCs/>
                <w:lang w:val="tr-TR"/>
              </w:rPr>
            </w:pPr>
          </w:p>
        </w:tc>
        <w:tc>
          <w:tcPr>
            <w:tcW w:w="1701" w:type="dxa"/>
            <w:tcBorders>
              <w:top w:val="single" w:sz="4" w:space="0" w:color="auto"/>
            </w:tcBorders>
          </w:tcPr>
          <w:p w:rsidR="00D93083" w:rsidRPr="00D00722" w:rsidRDefault="00D93083" w:rsidP="000A06CC">
            <w:pPr>
              <w:ind w:right="14"/>
              <w:jc w:val="right"/>
              <w:rPr>
                <w:rFonts w:ascii="Arial" w:hAnsi="Arial" w:cs="Arial"/>
                <w:lang w:val="tr-TR"/>
              </w:rPr>
            </w:pPr>
          </w:p>
        </w:tc>
      </w:tr>
      <w:tr w:rsidR="000D3713" w:rsidRPr="00D00722" w:rsidTr="00F70534">
        <w:trPr>
          <w:trHeight w:val="111"/>
        </w:trPr>
        <w:tc>
          <w:tcPr>
            <w:tcW w:w="2694" w:type="dxa"/>
            <w:vAlign w:val="bottom"/>
          </w:tcPr>
          <w:p w:rsidR="000D3713" w:rsidRPr="00D00722" w:rsidRDefault="000D3713" w:rsidP="00F70534">
            <w:pPr>
              <w:ind w:left="-108" w:right="601"/>
              <w:rPr>
                <w:rFonts w:ascii="Arial" w:hAnsi="Arial" w:cs="Arial"/>
                <w:lang w:val="tr-TR"/>
              </w:rPr>
            </w:pPr>
            <w:r w:rsidRPr="00D00722">
              <w:rPr>
                <w:rFonts w:ascii="Arial" w:hAnsi="Arial" w:cs="Arial"/>
                <w:lang w:val="tr-TR"/>
              </w:rPr>
              <w:t>Vadeli mevduat</w:t>
            </w:r>
          </w:p>
        </w:tc>
        <w:tc>
          <w:tcPr>
            <w:tcW w:w="1701" w:type="dxa"/>
            <w:vAlign w:val="bottom"/>
          </w:tcPr>
          <w:p w:rsidR="000D3713" w:rsidRPr="00D00722" w:rsidRDefault="00F70534" w:rsidP="00F70534">
            <w:pPr>
              <w:ind w:right="14"/>
              <w:jc w:val="right"/>
              <w:rPr>
                <w:rFonts w:ascii="Arial" w:hAnsi="Arial" w:cs="Arial"/>
                <w:lang w:val="tr-TR"/>
              </w:rPr>
            </w:pPr>
            <w:r w:rsidRPr="00D00722">
              <w:rPr>
                <w:rFonts w:ascii="Arial" w:hAnsi="Arial" w:cs="Arial"/>
                <w:lang w:val="tr-TR"/>
              </w:rPr>
              <w:t>9,30-10,25</w:t>
            </w:r>
          </w:p>
        </w:tc>
        <w:tc>
          <w:tcPr>
            <w:tcW w:w="1701" w:type="dxa"/>
            <w:vAlign w:val="bottom"/>
          </w:tcPr>
          <w:p w:rsidR="000D3713" w:rsidRPr="00D00722" w:rsidRDefault="00F70534" w:rsidP="00F70534">
            <w:pPr>
              <w:ind w:right="14"/>
              <w:jc w:val="right"/>
              <w:rPr>
                <w:rFonts w:ascii="Arial" w:hAnsi="Arial" w:cs="Arial"/>
                <w:lang w:val="tr-TR"/>
              </w:rPr>
            </w:pPr>
            <w:r w:rsidRPr="00D00722">
              <w:rPr>
                <w:rFonts w:ascii="Arial" w:hAnsi="Arial" w:cs="Arial"/>
                <w:lang w:val="tr-TR"/>
              </w:rPr>
              <w:t>10 Ocak 2014- 3 Şubat 2014</w:t>
            </w:r>
          </w:p>
        </w:tc>
        <w:tc>
          <w:tcPr>
            <w:tcW w:w="1275" w:type="dxa"/>
            <w:vAlign w:val="bottom"/>
          </w:tcPr>
          <w:p w:rsidR="000D3713" w:rsidRPr="00D00722" w:rsidRDefault="00F70534" w:rsidP="00F70534">
            <w:pPr>
              <w:ind w:right="14"/>
              <w:jc w:val="right"/>
              <w:rPr>
                <w:rFonts w:ascii="Arial" w:hAnsi="Arial" w:cs="Arial"/>
                <w:lang w:val="tr-TR"/>
              </w:rPr>
            </w:pPr>
            <w:r w:rsidRPr="00D00722">
              <w:rPr>
                <w:rFonts w:ascii="Arial" w:hAnsi="Arial" w:cs="Arial"/>
                <w:lang w:val="tr-TR"/>
              </w:rPr>
              <w:t>575.000</w:t>
            </w:r>
          </w:p>
        </w:tc>
        <w:tc>
          <w:tcPr>
            <w:tcW w:w="1701" w:type="dxa"/>
            <w:vAlign w:val="bottom"/>
          </w:tcPr>
          <w:p w:rsidR="000D3713" w:rsidRPr="00D00722" w:rsidRDefault="00F70534" w:rsidP="00F70534">
            <w:pPr>
              <w:ind w:right="14"/>
              <w:jc w:val="right"/>
              <w:rPr>
                <w:rFonts w:ascii="Arial" w:hAnsi="Arial" w:cs="Arial"/>
                <w:lang w:val="tr-TR"/>
              </w:rPr>
            </w:pPr>
            <w:r w:rsidRPr="00D00722">
              <w:rPr>
                <w:rFonts w:ascii="Arial" w:hAnsi="Arial" w:cs="Arial"/>
                <w:lang w:val="tr-TR"/>
              </w:rPr>
              <w:t>575.699</w:t>
            </w:r>
          </w:p>
        </w:tc>
      </w:tr>
    </w:tbl>
    <w:p w:rsidR="00D93083" w:rsidRPr="00D00722" w:rsidRDefault="00D93083" w:rsidP="00F60B8B">
      <w:pPr>
        <w:pStyle w:val="body0"/>
        <w:spacing w:after="0" w:line="240" w:lineRule="auto"/>
        <w:ind w:right="-21"/>
        <w:rPr>
          <w:rFonts w:ascii="Arial" w:hAnsi="Arial" w:cs="Arial"/>
          <w:sz w:val="20"/>
          <w:szCs w:val="20"/>
          <w:lang w:val="tr-TR"/>
        </w:rPr>
      </w:pPr>
    </w:p>
    <w:tbl>
      <w:tblPr>
        <w:tblW w:w="9072" w:type="dxa"/>
        <w:tblInd w:w="108" w:type="dxa"/>
        <w:tblLook w:val="0000"/>
      </w:tblPr>
      <w:tblGrid>
        <w:gridCol w:w="2694"/>
        <w:gridCol w:w="1701"/>
        <w:gridCol w:w="1701"/>
        <w:gridCol w:w="1275"/>
        <w:gridCol w:w="1701"/>
      </w:tblGrid>
      <w:tr w:rsidR="005B5CE5" w:rsidRPr="00D00722" w:rsidTr="00BE1B0F">
        <w:trPr>
          <w:cantSplit/>
        </w:trPr>
        <w:tc>
          <w:tcPr>
            <w:tcW w:w="2694" w:type="dxa"/>
            <w:tcBorders>
              <w:top w:val="single" w:sz="4" w:space="0" w:color="auto"/>
              <w:bottom w:val="single" w:sz="4" w:space="0" w:color="auto"/>
            </w:tcBorders>
          </w:tcPr>
          <w:p w:rsidR="005B5CE5" w:rsidRPr="00D00722" w:rsidRDefault="005B5CE5" w:rsidP="00BE1B0F">
            <w:pPr>
              <w:ind w:left="-108" w:right="14"/>
              <w:jc w:val="both"/>
              <w:rPr>
                <w:rFonts w:ascii="Arial" w:hAnsi="Arial" w:cs="Arial"/>
                <w:lang w:val="tr-TR"/>
              </w:rPr>
            </w:pPr>
          </w:p>
        </w:tc>
        <w:tc>
          <w:tcPr>
            <w:tcW w:w="6378" w:type="dxa"/>
            <w:gridSpan w:val="4"/>
            <w:tcBorders>
              <w:top w:val="single" w:sz="4" w:space="0" w:color="auto"/>
              <w:bottom w:val="single" w:sz="4" w:space="0" w:color="auto"/>
            </w:tcBorders>
          </w:tcPr>
          <w:p w:rsidR="005B5CE5" w:rsidRPr="00D00722" w:rsidRDefault="005B5CE5" w:rsidP="00BE1B0F">
            <w:pPr>
              <w:ind w:right="14"/>
              <w:jc w:val="center"/>
              <w:rPr>
                <w:rFonts w:ascii="Arial" w:hAnsi="Arial" w:cs="Arial"/>
                <w:bCs/>
                <w:lang w:val="tr-TR"/>
              </w:rPr>
            </w:pPr>
          </w:p>
        </w:tc>
      </w:tr>
      <w:tr w:rsidR="005B5CE5" w:rsidRPr="00D00722" w:rsidTr="00BE1B0F">
        <w:trPr>
          <w:trHeight w:val="111"/>
        </w:trPr>
        <w:tc>
          <w:tcPr>
            <w:tcW w:w="2694" w:type="dxa"/>
          </w:tcPr>
          <w:p w:rsidR="005B5CE5" w:rsidRPr="00D00722" w:rsidRDefault="005B5CE5" w:rsidP="00BE1B0F">
            <w:pPr>
              <w:ind w:left="-108" w:right="601"/>
              <w:rPr>
                <w:rFonts w:ascii="Arial" w:hAnsi="Arial" w:cs="Arial"/>
                <w:lang w:val="tr-TR"/>
              </w:rPr>
            </w:pPr>
          </w:p>
        </w:tc>
        <w:tc>
          <w:tcPr>
            <w:tcW w:w="1701" w:type="dxa"/>
            <w:vAlign w:val="bottom"/>
          </w:tcPr>
          <w:p w:rsidR="005B5CE5" w:rsidRPr="00D00722" w:rsidRDefault="005B5CE5" w:rsidP="00BE1B0F">
            <w:pPr>
              <w:ind w:right="14"/>
              <w:jc w:val="right"/>
              <w:rPr>
                <w:rFonts w:ascii="Arial" w:hAnsi="Arial" w:cs="Arial"/>
                <w:bCs/>
                <w:lang w:val="tr-TR"/>
              </w:rPr>
            </w:pPr>
          </w:p>
        </w:tc>
        <w:tc>
          <w:tcPr>
            <w:tcW w:w="1701" w:type="dxa"/>
            <w:vAlign w:val="bottom"/>
          </w:tcPr>
          <w:p w:rsidR="005B5CE5" w:rsidRPr="00D00722" w:rsidRDefault="005B5CE5" w:rsidP="00BE1B0F">
            <w:pPr>
              <w:ind w:right="14"/>
              <w:jc w:val="right"/>
              <w:rPr>
                <w:rFonts w:ascii="Arial" w:hAnsi="Arial" w:cs="Arial"/>
                <w:bCs/>
                <w:lang w:val="tr-TR"/>
              </w:rPr>
            </w:pPr>
          </w:p>
        </w:tc>
        <w:tc>
          <w:tcPr>
            <w:tcW w:w="1275" w:type="dxa"/>
          </w:tcPr>
          <w:p w:rsidR="005B5CE5" w:rsidRPr="00D00722" w:rsidRDefault="005B5CE5" w:rsidP="00BE1B0F">
            <w:pPr>
              <w:ind w:right="14"/>
              <w:jc w:val="right"/>
              <w:rPr>
                <w:rFonts w:ascii="Arial" w:hAnsi="Arial" w:cs="Arial"/>
                <w:bCs/>
                <w:lang w:val="tr-TR"/>
              </w:rPr>
            </w:pPr>
          </w:p>
        </w:tc>
        <w:tc>
          <w:tcPr>
            <w:tcW w:w="1701" w:type="dxa"/>
          </w:tcPr>
          <w:p w:rsidR="005B5CE5" w:rsidRPr="00D00722" w:rsidRDefault="005B5CE5" w:rsidP="00BE1B0F">
            <w:pPr>
              <w:ind w:right="14"/>
              <w:jc w:val="right"/>
              <w:rPr>
                <w:rFonts w:ascii="Arial" w:hAnsi="Arial" w:cs="Arial"/>
                <w:bCs/>
                <w:lang w:val="tr-TR"/>
              </w:rPr>
            </w:pPr>
          </w:p>
        </w:tc>
      </w:tr>
    </w:tbl>
    <w:p w:rsidR="00D93083" w:rsidRPr="00D00722" w:rsidRDefault="00F406D0" w:rsidP="00A94DA9">
      <w:pPr>
        <w:pStyle w:val="body0"/>
        <w:spacing w:after="0" w:line="240" w:lineRule="auto"/>
        <w:ind w:right="-21"/>
        <w:jc w:val="left"/>
        <w:rPr>
          <w:rFonts w:ascii="Arial" w:hAnsi="Arial" w:cs="Arial"/>
          <w:sz w:val="20"/>
          <w:szCs w:val="20"/>
          <w:lang w:val="tr-TR"/>
        </w:rPr>
      </w:pPr>
      <w:r w:rsidRPr="00D00722">
        <w:rPr>
          <w:rFonts w:ascii="Arial" w:hAnsi="Arial" w:cs="Arial"/>
          <w:sz w:val="20"/>
          <w:szCs w:val="20"/>
          <w:lang w:val="tr-TR"/>
        </w:rPr>
        <w:br/>
      </w:r>
      <w:r w:rsidR="00D93083" w:rsidRPr="00D00722">
        <w:rPr>
          <w:rFonts w:ascii="Arial" w:hAnsi="Arial" w:cs="Arial"/>
          <w:sz w:val="20"/>
          <w:szCs w:val="20"/>
          <w:lang w:val="tr-TR"/>
        </w:rPr>
        <w:t xml:space="preserve">Şirket’in </w:t>
      </w:r>
      <w:r w:rsidR="003972A7" w:rsidRPr="00D00722">
        <w:rPr>
          <w:rFonts w:ascii="Arial" w:hAnsi="Arial" w:cs="Arial"/>
          <w:sz w:val="20"/>
          <w:szCs w:val="20"/>
          <w:lang w:val="tr-TR"/>
        </w:rPr>
        <w:t xml:space="preserve">31 </w:t>
      </w:r>
      <w:r w:rsidR="003779D1" w:rsidRPr="00D00722">
        <w:rPr>
          <w:rFonts w:ascii="Arial" w:hAnsi="Arial" w:cs="Arial"/>
          <w:sz w:val="20"/>
          <w:szCs w:val="20"/>
          <w:lang w:val="tr-TR"/>
        </w:rPr>
        <w:t>Mart</w:t>
      </w:r>
      <w:r w:rsidR="003972A7" w:rsidRPr="00D00722">
        <w:rPr>
          <w:rFonts w:ascii="Arial" w:hAnsi="Arial" w:cs="Arial"/>
          <w:sz w:val="20"/>
          <w:szCs w:val="20"/>
          <w:lang w:val="tr-TR"/>
        </w:rPr>
        <w:t xml:space="preserve"> </w:t>
      </w:r>
      <w:r w:rsidR="009E6AD4" w:rsidRPr="00D00722">
        <w:rPr>
          <w:rFonts w:ascii="Arial" w:hAnsi="Arial" w:cs="Arial"/>
          <w:sz w:val="20"/>
          <w:szCs w:val="20"/>
          <w:lang w:val="tr-TR"/>
        </w:rPr>
        <w:t>201</w:t>
      </w:r>
      <w:r w:rsidR="003779D1" w:rsidRPr="00D00722">
        <w:rPr>
          <w:rFonts w:ascii="Arial" w:hAnsi="Arial" w:cs="Arial"/>
          <w:sz w:val="20"/>
          <w:szCs w:val="20"/>
          <w:lang w:val="tr-TR"/>
        </w:rPr>
        <w:t>4</w:t>
      </w:r>
      <w:r w:rsidR="00D93083" w:rsidRPr="00D00722">
        <w:rPr>
          <w:rFonts w:ascii="Arial" w:hAnsi="Arial" w:cs="Arial"/>
          <w:sz w:val="20"/>
          <w:szCs w:val="20"/>
          <w:lang w:val="tr-TR"/>
        </w:rPr>
        <w:t xml:space="preserve"> </w:t>
      </w:r>
      <w:r w:rsidR="003B5530" w:rsidRPr="00D00722">
        <w:rPr>
          <w:rFonts w:ascii="Arial" w:hAnsi="Arial" w:cs="Arial"/>
          <w:sz w:val="20"/>
          <w:szCs w:val="20"/>
          <w:lang w:val="tr-TR"/>
        </w:rPr>
        <w:t>ve 201</w:t>
      </w:r>
      <w:r w:rsidR="003779D1" w:rsidRPr="00D00722">
        <w:rPr>
          <w:rFonts w:ascii="Arial" w:hAnsi="Arial" w:cs="Arial"/>
          <w:sz w:val="20"/>
          <w:szCs w:val="20"/>
          <w:lang w:val="tr-TR"/>
        </w:rPr>
        <w:t>3</w:t>
      </w:r>
      <w:r w:rsidR="00050357" w:rsidRPr="00D00722">
        <w:rPr>
          <w:rFonts w:ascii="Arial" w:hAnsi="Arial" w:cs="Arial"/>
          <w:sz w:val="20"/>
          <w:szCs w:val="20"/>
          <w:lang w:val="tr-TR"/>
        </w:rPr>
        <w:t xml:space="preserve"> </w:t>
      </w:r>
      <w:r w:rsidR="00D93083" w:rsidRPr="00D00722">
        <w:rPr>
          <w:rFonts w:ascii="Arial" w:hAnsi="Arial" w:cs="Arial"/>
          <w:sz w:val="20"/>
          <w:szCs w:val="20"/>
          <w:lang w:val="tr-TR"/>
        </w:rPr>
        <w:t>tarih</w:t>
      </w:r>
      <w:r w:rsidR="00050357" w:rsidRPr="00D00722">
        <w:rPr>
          <w:rFonts w:ascii="Arial" w:hAnsi="Arial" w:cs="Arial"/>
          <w:sz w:val="20"/>
          <w:szCs w:val="20"/>
          <w:lang w:val="tr-TR"/>
        </w:rPr>
        <w:t>ler</w:t>
      </w:r>
      <w:r w:rsidR="00D93083" w:rsidRPr="00D00722">
        <w:rPr>
          <w:rFonts w:ascii="Arial" w:hAnsi="Arial" w:cs="Arial"/>
          <w:sz w:val="20"/>
          <w:szCs w:val="20"/>
          <w:lang w:val="tr-TR"/>
        </w:rPr>
        <w:t xml:space="preserve">i </w:t>
      </w:r>
      <w:r w:rsidR="00200AA8" w:rsidRPr="00D00722">
        <w:rPr>
          <w:rFonts w:ascii="Arial" w:hAnsi="Arial" w:cs="Arial"/>
          <w:sz w:val="20"/>
          <w:szCs w:val="20"/>
          <w:lang w:val="tr-TR"/>
        </w:rPr>
        <w:t>itibariyle</w:t>
      </w:r>
      <w:r w:rsidR="00D93083" w:rsidRPr="00D00722">
        <w:rPr>
          <w:rFonts w:ascii="Arial" w:hAnsi="Arial" w:cs="Arial"/>
          <w:sz w:val="20"/>
          <w:szCs w:val="20"/>
          <w:lang w:val="tr-TR"/>
        </w:rPr>
        <w:t xml:space="preserve"> </w:t>
      </w:r>
      <w:r w:rsidR="004E0FD3" w:rsidRPr="00D00722">
        <w:rPr>
          <w:rFonts w:ascii="Arial" w:hAnsi="Arial" w:cs="Arial"/>
          <w:sz w:val="20"/>
          <w:szCs w:val="20"/>
          <w:lang w:val="tr-TR"/>
        </w:rPr>
        <w:t>b</w:t>
      </w:r>
      <w:r w:rsidR="00D93083" w:rsidRPr="00D00722">
        <w:rPr>
          <w:rFonts w:ascii="Arial" w:hAnsi="Arial" w:cs="Arial"/>
          <w:sz w:val="20"/>
          <w:szCs w:val="20"/>
          <w:lang w:val="tr-TR"/>
        </w:rPr>
        <w:t xml:space="preserve">orsa </w:t>
      </w:r>
      <w:r w:rsidR="00050357" w:rsidRPr="00D00722">
        <w:rPr>
          <w:rFonts w:ascii="Arial" w:hAnsi="Arial" w:cs="Arial"/>
          <w:sz w:val="20"/>
          <w:szCs w:val="20"/>
          <w:lang w:val="tr-TR"/>
        </w:rPr>
        <w:t>p</w:t>
      </w:r>
      <w:r w:rsidR="00D93083" w:rsidRPr="00D00722">
        <w:rPr>
          <w:rFonts w:ascii="Arial" w:hAnsi="Arial" w:cs="Arial"/>
          <w:sz w:val="20"/>
          <w:szCs w:val="20"/>
          <w:lang w:val="tr-TR"/>
        </w:rPr>
        <w:t xml:space="preserve">ara </w:t>
      </w:r>
      <w:r w:rsidR="00050357" w:rsidRPr="00D00722">
        <w:rPr>
          <w:rFonts w:ascii="Arial" w:hAnsi="Arial" w:cs="Arial"/>
          <w:sz w:val="20"/>
          <w:szCs w:val="20"/>
          <w:lang w:val="tr-TR"/>
        </w:rPr>
        <w:t>p</w:t>
      </w:r>
      <w:r w:rsidR="00D93083" w:rsidRPr="00D00722">
        <w:rPr>
          <w:rFonts w:ascii="Arial" w:hAnsi="Arial" w:cs="Arial"/>
          <w:sz w:val="20"/>
          <w:szCs w:val="20"/>
          <w:lang w:val="tr-TR"/>
        </w:rPr>
        <w:t>iyasasından alacaklarının</w:t>
      </w:r>
      <w:r w:rsidR="00050357" w:rsidRPr="00D00722">
        <w:rPr>
          <w:rFonts w:ascii="Arial" w:hAnsi="Arial" w:cs="Arial"/>
          <w:sz w:val="20"/>
          <w:szCs w:val="20"/>
          <w:lang w:val="tr-TR"/>
        </w:rPr>
        <w:t xml:space="preserve"> </w:t>
      </w:r>
      <w:r w:rsidR="00D93083" w:rsidRPr="00D00722">
        <w:rPr>
          <w:rFonts w:ascii="Arial" w:hAnsi="Arial" w:cs="Arial"/>
          <w:sz w:val="20"/>
          <w:szCs w:val="20"/>
          <w:lang w:val="tr-TR"/>
        </w:rPr>
        <w:t>detayı aşağıdaki gibidir :</w:t>
      </w:r>
    </w:p>
    <w:p w:rsidR="008A45F5" w:rsidRPr="00D00722" w:rsidRDefault="008A45F5" w:rsidP="008A45F5">
      <w:pPr>
        <w:pStyle w:val="body0"/>
        <w:spacing w:after="0" w:line="240" w:lineRule="auto"/>
        <w:ind w:right="-21"/>
        <w:rPr>
          <w:rFonts w:ascii="Arial" w:hAnsi="Arial" w:cs="Arial"/>
          <w:sz w:val="20"/>
          <w:szCs w:val="20"/>
          <w:lang w:val="tr-TR"/>
        </w:rPr>
      </w:pPr>
    </w:p>
    <w:tbl>
      <w:tblPr>
        <w:tblW w:w="9072" w:type="dxa"/>
        <w:tblInd w:w="108" w:type="dxa"/>
        <w:tblLook w:val="0000"/>
      </w:tblPr>
      <w:tblGrid>
        <w:gridCol w:w="2835"/>
        <w:gridCol w:w="1560"/>
        <w:gridCol w:w="1701"/>
        <w:gridCol w:w="1275"/>
        <w:gridCol w:w="1701"/>
      </w:tblGrid>
      <w:tr w:rsidR="008A45F5" w:rsidRPr="00D00722" w:rsidTr="002B5FEF">
        <w:trPr>
          <w:cantSplit/>
        </w:trPr>
        <w:tc>
          <w:tcPr>
            <w:tcW w:w="2835" w:type="dxa"/>
            <w:tcBorders>
              <w:top w:val="single" w:sz="4" w:space="0" w:color="auto"/>
              <w:bottom w:val="single" w:sz="4" w:space="0" w:color="auto"/>
            </w:tcBorders>
          </w:tcPr>
          <w:p w:rsidR="008A45F5" w:rsidRPr="00D00722" w:rsidRDefault="008A45F5" w:rsidP="002B5FEF">
            <w:pPr>
              <w:ind w:left="-108" w:right="14"/>
              <w:jc w:val="both"/>
              <w:rPr>
                <w:rFonts w:ascii="Arial" w:hAnsi="Arial" w:cs="Arial"/>
                <w:lang w:val="tr-TR"/>
              </w:rPr>
            </w:pPr>
          </w:p>
        </w:tc>
        <w:tc>
          <w:tcPr>
            <w:tcW w:w="6237" w:type="dxa"/>
            <w:gridSpan w:val="4"/>
            <w:tcBorders>
              <w:top w:val="single" w:sz="4" w:space="0" w:color="auto"/>
              <w:bottom w:val="single" w:sz="4" w:space="0" w:color="auto"/>
            </w:tcBorders>
          </w:tcPr>
          <w:p w:rsidR="008A45F5" w:rsidRPr="00D00722" w:rsidRDefault="008A45F5" w:rsidP="008A45F5">
            <w:pPr>
              <w:ind w:right="14"/>
              <w:jc w:val="center"/>
              <w:rPr>
                <w:rFonts w:ascii="Arial" w:hAnsi="Arial" w:cs="Arial"/>
                <w:b/>
                <w:bCs/>
                <w:lang w:val="tr-TR"/>
              </w:rPr>
            </w:pPr>
            <w:r w:rsidRPr="00D00722">
              <w:rPr>
                <w:rFonts w:ascii="Arial" w:hAnsi="Arial" w:cs="Arial"/>
                <w:b/>
                <w:bCs/>
                <w:lang w:val="tr-TR"/>
              </w:rPr>
              <w:t>31 Mart 2014</w:t>
            </w:r>
          </w:p>
        </w:tc>
      </w:tr>
      <w:tr w:rsidR="008A45F5" w:rsidRPr="00D00722" w:rsidTr="002B5FEF">
        <w:tc>
          <w:tcPr>
            <w:tcW w:w="2835" w:type="dxa"/>
            <w:tcBorders>
              <w:top w:val="single" w:sz="4" w:space="0" w:color="auto"/>
              <w:bottom w:val="single" w:sz="4" w:space="0" w:color="auto"/>
            </w:tcBorders>
          </w:tcPr>
          <w:p w:rsidR="008A45F5" w:rsidRPr="00D00722" w:rsidRDefault="008A45F5" w:rsidP="002B5FEF">
            <w:pPr>
              <w:ind w:left="-108" w:right="14"/>
              <w:jc w:val="both"/>
              <w:rPr>
                <w:rFonts w:ascii="Arial" w:hAnsi="Arial" w:cs="Arial"/>
                <w:lang w:val="tr-TR"/>
              </w:rPr>
            </w:pPr>
          </w:p>
        </w:tc>
        <w:tc>
          <w:tcPr>
            <w:tcW w:w="1560" w:type="dxa"/>
            <w:tcBorders>
              <w:top w:val="single" w:sz="4" w:space="0" w:color="auto"/>
              <w:bottom w:val="single" w:sz="4" w:space="0" w:color="auto"/>
            </w:tcBorders>
          </w:tcPr>
          <w:p w:rsidR="008A45F5" w:rsidRPr="00D00722" w:rsidRDefault="008A45F5" w:rsidP="002B5FEF">
            <w:pPr>
              <w:ind w:right="14"/>
              <w:jc w:val="right"/>
              <w:rPr>
                <w:rFonts w:ascii="Arial" w:hAnsi="Arial" w:cs="Arial"/>
                <w:b/>
                <w:bCs/>
                <w:lang w:val="tr-TR"/>
              </w:rPr>
            </w:pPr>
            <w:r w:rsidRPr="00D00722">
              <w:rPr>
                <w:rFonts w:ascii="Arial" w:hAnsi="Arial" w:cs="Arial"/>
                <w:b/>
                <w:bCs/>
                <w:lang w:val="tr-TR"/>
              </w:rPr>
              <w:t>Faiz oranı (%)</w:t>
            </w:r>
          </w:p>
        </w:tc>
        <w:tc>
          <w:tcPr>
            <w:tcW w:w="1701" w:type="dxa"/>
            <w:tcBorders>
              <w:top w:val="single" w:sz="4" w:space="0" w:color="auto"/>
              <w:bottom w:val="single" w:sz="4" w:space="0" w:color="auto"/>
            </w:tcBorders>
          </w:tcPr>
          <w:p w:rsidR="008A45F5" w:rsidRPr="00D00722" w:rsidRDefault="008A45F5" w:rsidP="002B5FEF">
            <w:pPr>
              <w:ind w:right="14"/>
              <w:jc w:val="right"/>
              <w:rPr>
                <w:rFonts w:ascii="Arial" w:hAnsi="Arial" w:cs="Arial"/>
                <w:b/>
                <w:bCs/>
                <w:lang w:val="tr-TR"/>
              </w:rPr>
            </w:pPr>
            <w:r w:rsidRPr="00D00722">
              <w:rPr>
                <w:rFonts w:ascii="Arial" w:hAnsi="Arial" w:cs="Arial"/>
                <w:b/>
                <w:bCs/>
                <w:lang w:val="tr-TR"/>
              </w:rPr>
              <w:t>Vade tarihi</w:t>
            </w:r>
          </w:p>
        </w:tc>
        <w:tc>
          <w:tcPr>
            <w:tcW w:w="1275" w:type="dxa"/>
            <w:tcBorders>
              <w:top w:val="single" w:sz="4" w:space="0" w:color="auto"/>
              <w:bottom w:val="single" w:sz="4" w:space="0" w:color="auto"/>
            </w:tcBorders>
          </w:tcPr>
          <w:p w:rsidR="008A45F5" w:rsidRPr="00D00722" w:rsidRDefault="008A45F5" w:rsidP="002B5FEF">
            <w:pPr>
              <w:ind w:right="14"/>
              <w:jc w:val="right"/>
              <w:rPr>
                <w:rFonts w:ascii="Arial" w:hAnsi="Arial" w:cs="Arial"/>
                <w:b/>
                <w:bCs/>
                <w:lang w:val="tr-TR"/>
              </w:rPr>
            </w:pPr>
            <w:r w:rsidRPr="00D00722">
              <w:rPr>
                <w:rFonts w:ascii="Arial" w:hAnsi="Arial" w:cs="Arial"/>
                <w:b/>
                <w:bCs/>
                <w:lang w:val="tr-TR"/>
              </w:rPr>
              <w:t>Maliyet</w:t>
            </w:r>
          </w:p>
        </w:tc>
        <w:tc>
          <w:tcPr>
            <w:tcW w:w="1701" w:type="dxa"/>
            <w:tcBorders>
              <w:top w:val="single" w:sz="4" w:space="0" w:color="auto"/>
              <w:bottom w:val="single" w:sz="4" w:space="0" w:color="auto"/>
            </w:tcBorders>
          </w:tcPr>
          <w:p w:rsidR="008A45F5" w:rsidRPr="00D00722" w:rsidRDefault="008A45F5" w:rsidP="002B5FEF">
            <w:pPr>
              <w:ind w:right="14"/>
              <w:jc w:val="right"/>
              <w:rPr>
                <w:rFonts w:ascii="Arial" w:hAnsi="Arial" w:cs="Arial"/>
                <w:b/>
                <w:lang w:val="tr-TR"/>
              </w:rPr>
            </w:pPr>
            <w:r w:rsidRPr="00D00722">
              <w:rPr>
                <w:rFonts w:ascii="Arial" w:hAnsi="Arial" w:cs="Arial"/>
                <w:b/>
                <w:lang w:val="tr-TR"/>
              </w:rPr>
              <w:t>Kayıtlı değer</w:t>
            </w:r>
          </w:p>
        </w:tc>
      </w:tr>
      <w:tr w:rsidR="008A45F5" w:rsidRPr="00D00722" w:rsidTr="002B5FEF">
        <w:tc>
          <w:tcPr>
            <w:tcW w:w="2835" w:type="dxa"/>
            <w:tcBorders>
              <w:top w:val="single" w:sz="4" w:space="0" w:color="auto"/>
            </w:tcBorders>
          </w:tcPr>
          <w:p w:rsidR="008A45F5" w:rsidRPr="00D00722" w:rsidRDefault="008A45F5" w:rsidP="002B5FEF">
            <w:pPr>
              <w:ind w:left="-108" w:right="14"/>
              <w:jc w:val="both"/>
              <w:rPr>
                <w:rFonts w:ascii="Arial" w:hAnsi="Arial" w:cs="Arial"/>
                <w:lang w:val="tr-TR"/>
              </w:rPr>
            </w:pPr>
          </w:p>
        </w:tc>
        <w:tc>
          <w:tcPr>
            <w:tcW w:w="1560" w:type="dxa"/>
            <w:tcBorders>
              <w:top w:val="single" w:sz="4" w:space="0" w:color="auto"/>
            </w:tcBorders>
          </w:tcPr>
          <w:p w:rsidR="008A45F5" w:rsidRPr="00D00722" w:rsidRDefault="008A45F5" w:rsidP="002B5FEF">
            <w:pPr>
              <w:ind w:right="14"/>
              <w:jc w:val="right"/>
              <w:rPr>
                <w:rFonts w:ascii="Arial" w:hAnsi="Arial" w:cs="Arial"/>
                <w:b/>
                <w:bCs/>
                <w:lang w:val="tr-TR"/>
              </w:rPr>
            </w:pPr>
          </w:p>
        </w:tc>
        <w:tc>
          <w:tcPr>
            <w:tcW w:w="1701" w:type="dxa"/>
            <w:tcBorders>
              <w:top w:val="single" w:sz="4" w:space="0" w:color="auto"/>
            </w:tcBorders>
          </w:tcPr>
          <w:p w:rsidR="008A45F5" w:rsidRPr="00D00722" w:rsidRDefault="008A45F5" w:rsidP="002B5FEF">
            <w:pPr>
              <w:ind w:right="14"/>
              <w:jc w:val="right"/>
              <w:rPr>
                <w:rFonts w:ascii="Arial" w:hAnsi="Arial" w:cs="Arial"/>
                <w:b/>
                <w:bCs/>
                <w:lang w:val="tr-TR"/>
              </w:rPr>
            </w:pPr>
          </w:p>
        </w:tc>
        <w:tc>
          <w:tcPr>
            <w:tcW w:w="1275" w:type="dxa"/>
            <w:tcBorders>
              <w:top w:val="single" w:sz="4" w:space="0" w:color="auto"/>
            </w:tcBorders>
          </w:tcPr>
          <w:p w:rsidR="008A45F5" w:rsidRPr="00D00722" w:rsidRDefault="008A45F5" w:rsidP="002B5FEF">
            <w:pPr>
              <w:ind w:right="14"/>
              <w:jc w:val="right"/>
              <w:rPr>
                <w:rFonts w:ascii="Arial" w:hAnsi="Arial" w:cs="Arial"/>
                <w:b/>
                <w:bCs/>
                <w:lang w:val="tr-TR"/>
              </w:rPr>
            </w:pPr>
          </w:p>
        </w:tc>
        <w:tc>
          <w:tcPr>
            <w:tcW w:w="1701" w:type="dxa"/>
            <w:tcBorders>
              <w:top w:val="single" w:sz="4" w:space="0" w:color="auto"/>
            </w:tcBorders>
          </w:tcPr>
          <w:p w:rsidR="008A45F5" w:rsidRPr="00D00722" w:rsidRDefault="008A45F5" w:rsidP="002B5FEF">
            <w:pPr>
              <w:ind w:right="14"/>
              <w:jc w:val="right"/>
              <w:rPr>
                <w:rFonts w:ascii="Arial" w:hAnsi="Arial" w:cs="Arial"/>
                <w:b/>
                <w:lang w:val="tr-TR"/>
              </w:rPr>
            </w:pPr>
          </w:p>
        </w:tc>
      </w:tr>
      <w:tr w:rsidR="008A45F5" w:rsidRPr="00D00722" w:rsidTr="002B5FEF">
        <w:tc>
          <w:tcPr>
            <w:tcW w:w="2835" w:type="dxa"/>
          </w:tcPr>
          <w:p w:rsidR="008A45F5" w:rsidRPr="00D00722" w:rsidRDefault="008A45F5" w:rsidP="002B5FEF">
            <w:pPr>
              <w:ind w:left="176" w:right="-108" w:hanging="284"/>
              <w:rPr>
                <w:rFonts w:ascii="Arial" w:hAnsi="Arial" w:cs="Arial"/>
                <w:lang w:val="tr-TR"/>
              </w:rPr>
            </w:pPr>
            <w:r w:rsidRPr="00D00722">
              <w:rPr>
                <w:rFonts w:ascii="Arial" w:hAnsi="Arial" w:cs="Arial"/>
                <w:lang w:val="tr-TR"/>
              </w:rPr>
              <w:t>Borsa para piyasasından alacaklar</w:t>
            </w:r>
          </w:p>
        </w:tc>
        <w:tc>
          <w:tcPr>
            <w:tcW w:w="1560" w:type="dxa"/>
            <w:vAlign w:val="bottom"/>
          </w:tcPr>
          <w:p w:rsidR="008A45F5" w:rsidRPr="00D00722" w:rsidRDefault="0025240D" w:rsidP="0025240D">
            <w:pPr>
              <w:ind w:right="14"/>
              <w:jc w:val="right"/>
              <w:rPr>
                <w:rFonts w:ascii="Arial" w:hAnsi="Arial" w:cs="Arial"/>
                <w:b/>
                <w:bCs/>
                <w:lang w:val="tr-TR"/>
              </w:rPr>
            </w:pPr>
            <w:r w:rsidRPr="00D00722">
              <w:rPr>
                <w:rFonts w:ascii="Arial" w:hAnsi="Arial" w:cs="Arial"/>
                <w:b/>
                <w:bCs/>
                <w:lang w:val="tr-TR"/>
              </w:rPr>
              <w:t>11</w:t>
            </w:r>
            <w:r w:rsidR="008A45F5" w:rsidRPr="00D00722">
              <w:rPr>
                <w:rFonts w:ascii="Arial" w:hAnsi="Arial" w:cs="Arial"/>
                <w:b/>
                <w:bCs/>
                <w:lang w:val="tr-TR"/>
              </w:rPr>
              <w:t>,</w:t>
            </w:r>
            <w:r w:rsidRPr="00D00722">
              <w:rPr>
                <w:rFonts w:ascii="Arial" w:hAnsi="Arial" w:cs="Arial"/>
                <w:b/>
                <w:bCs/>
                <w:lang w:val="tr-TR"/>
              </w:rPr>
              <w:t>35</w:t>
            </w:r>
          </w:p>
        </w:tc>
        <w:tc>
          <w:tcPr>
            <w:tcW w:w="1701" w:type="dxa"/>
            <w:vAlign w:val="bottom"/>
          </w:tcPr>
          <w:p w:rsidR="008A45F5" w:rsidRPr="00D00722" w:rsidRDefault="007C472C" w:rsidP="003779D1">
            <w:pPr>
              <w:ind w:right="14"/>
              <w:jc w:val="right"/>
              <w:rPr>
                <w:rFonts w:ascii="Arial" w:hAnsi="Arial" w:cs="Arial"/>
                <w:b/>
                <w:bCs/>
                <w:lang w:val="tr-TR"/>
              </w:rPr>
            </w:pPr>
            <w:r w:rsidRPr="00D00722">
              <w:rPr>
                <w:rFonts w:ascii="Arial" w:hAnsi="Arial" w:cs="Arial"/>
                <w:b/>
                <w:bCs/>
                <w:lang w:val="tr-TR"/>
              </w:rPr>
              <w:t>01</w:t>
            </w:r>
            <w:r w:rsidR="008A45F5" w:rsidRPr="00D00722">
              <w:rPr>
                <w:rFonts w:ascii="Arial" w:hAnsi="Arial" w:cs="Arial"/>
                <w:b/>
                <w:bCs/>
                <w:lang w:val="tr-TR"/>
              </w:rPr>
              <w:t xml:space="preserve"> </w:t>
            </w:r>
            <w:r w:rsidR="003779D1" w:rsidRPr="00D00722">
              <w:rPr>
                <w:rFonts w:ascii="Arial" w:hAnsi="Arial" w:cs="Arial"/>
                <w:b/>
                <w:bCs/>
                <w:lang w:val="tr-TR"/>
              </w:rPr>
              <w:t>Nisan</w:t>
            </w:r>
            <w:r w:rsidR="008A45F5" w:rsidRPr="00D00722">
              <w:rPr>
                <w:rFonts w:ascii="Arial" w:hAnsi="Arial" w:cs="Arial"/>
                <w:b/>
                <w:bCs/>
                <w:lang w:val="tr-TR"/>
              </w:rPr>
              <w:t xml:space="preserve"> 201</w:t>
            </w:r>
            <w:r w:rsidR="003779D1" w:rsidRPr="00D00722">
              <w:rPr>
                <w:rFonts w:ascii="Arial" w:hAnsi="Arial" w:cs="Arial"/>
                <w:b/>
                <w:bCs/>
                <w:lang w:val="tr-TR"/>
              </w:rPr>
              <w:t>4</w:t>
            </w:r>
          </w:p>
        </w:tc>
        <w:tc>
          <w:tcPr>
            <w:tcW w:w="1275" w:type="dxa"/>
            <w:vAlign w:val="bottom"/>
          </w:tcPr>
          <w:p w:rsidR="008A45F5" w:rsidRPr="00D00722" w:rsidRDefault="0025240D" w:rsidP="0025240D">
            <w:pPr>
              <w:ind w:right="14"/>
              <w:jc w:val="right"/>
              <w:rPr>
                <w:rFonts w:ascii="Arial" w:hAnsi="Arial" w:cs="Arial"/>
                <w:b/>
                <w:bCs/>
                <w:lang w:val="tr-TR"/>
              </w:rPr>
            </w:pPr>
            <w:r w:rsidRPr="00D00722">
              <w:rPr>
                <w:rFonts w:ascii="Arial" w:hAnsi="Arial" w:cs="Arial"/>
                <w:b/>
                <w:bCs/>
                <w:lang w:val="tr-TR"/>
              </w:rPr>
              <w:t>275</w:t>
            </w:r>
            <w:r w:rsidR="008A45F5" w:rsidRPr="00D00722">
              <w:rPr>
                <w:rFonts w:ascii="Arial" w:hAnsi="Arial" w:cs="Arial"/>
                <w:b/>
                <w:bCs/>
                <w:lang w:val="tr-TR"/>
              </w:rPr>
              <w:t>.000</w:t>
            </w:r>
          </w:p>
        </w:tc>
        <w:tc>
          <w:tcPr>
            <w:tcW w:w="1701" w:type="dxa"/>
            <w:vAlign w:val="bottom"/>
          </w:tcPr>
          <w:p w:rsidR="008A45F5" w:rsidRPr="00D00722" w:rsidRDefault="0025240D" w:rsidP="0025240D">
            <w:pPr>
              <w:ind w:right="14"/>
              <w:jc w:val="right"/>
              <w:rPr>
                <w:rFonts w:ascii="Arial" w:hAnsi="Arial" w:cs="Arial"/>
                <w:b/>
                <w:lang w:val="tr-TR"/>
              </w:rPr>
            </w:pPr>
            <w:r w:rsidRPr="00D00722">
              <w:rPr>
                <w:rFonts w:ascii="Arial" w:hAnsi="Arial" w:cs="Arial"/>
                <w:b/>
                <w:lang w:val="tr-TR"/>
              </w:rPr>
              <w:t>275</w:t>
            </w:r>
            <w:r w:rsidR="008A45F5" w:rsidRPr="00D00722">
              <w:rPr>
                <w:rFonts w:ascii="Arial" w:hAnsi="Arial" w:cs="Arial"/>
                <w:b/>
                <w:lang w:val="tr-TR"/>
              </w:rPr>
              <w:t>.</w:t>
            </w:r>
            <w:r w:rsidRPr="00D00722">
              <w:rPr>
                <w:rFonts w:ascii="Arial" w:hAnsi="Arial" w:cs="Arial"/>
                <w:b/>
                <w:lang w:val="tr-TR"/>
              </w:rPr>
              <w:t>087</w:t>
            </w:r>
          </w:p>
        </w:tc>
      </w:tr>
    </w:tbl>
    <w:p w:rsidR="008A45F5" w:rsidRPr="00D00722" w:rsidRDefault="008A45F5" w:rsidP="00F60B8B">
      <w:pPr>
        <w:pStyle w:val="body0"/>
        <w:spacing w:after="0" w:line="240" w:lineRule="auto"/>
        <w:ind w:right="-21"/>
        <w:rPr>
          <w:rFonts w:ascii="Arial" w:hAnsi="Arial" w:cs="Arial"/>
          <w:sz w:val="20"/>
          <w:szCs w:val="20"/>
          <w:lang w:val="tr-TR"/>
        </w:rPr>
      </w:pPr>
    </w:p>
    <w:tbl>
      <w:tblPr>
        <w:tblW w:w="9072" w:type="dxa"/>
        <w:tblInd w:w="108" w:type="dxa"/>
        <w:tblLook w:val="0000"/>
      </w:tblPr>
      <w:tblGrid>
        <w:gridCol w:w="2835"/>
        <w:gridCol w:w="1560"/>
        <w:gridCol w:w="1701"/>
        <w:gridCol w:w="1275"/>
        <w:gridCol w:w="1701"/>
      </w:tblGrid>
      <w:tr w:rsidR="00D93083" w:rsidRPr="00D00722" w:rsidTr="00B37F4A">
        <w:trPr>
          <w:cantSplit/>
        </w:trPr>
        <w:tc>
          <w:tcPr>
            <w:tcW w:w="2835" w:type="dxa"/>
            <w:tcBorders>
              <w:top w:val="single" w:sz="4" w:space="0" w:color="auto"/>
              <w:bottom w:val="single" w:sz="4" w:space="0" w:color="auto"/>
            </w:tcBorders>
          </w:tcPr>
          <w:p w:rsidR="00D93083" w:rsidRPr="00D00722" w:rsidRDefault="00D93083" w:rsidP="000A06CC">
            <w:pPr>
              <w:ind w:left="-108" w:right="14"/>
              <w:jc w:val="both"/>
              <w:rPr>
                <w:rFonts w:ascii="Arial" w:hAnsi="Arial" w:cs="Arial"/>
                <w:lang w:val="tr-TR"/>
              </w:rPr>
            </w:pPr>
          </w:p>
        </w:tc>
        <w:tc>
          <w:tcPr>
            <w:tcW w:w="6237" w:type="dxa"/>
            <w:gridSpan w:val="4"/>
            <w:tcBorders>
              <w:top w:val="single" w:sz="4" w:space="0" w:color="auto"/>
              <w:bottom w:val="single" w:sz="4" w:space="0" w:color="auto"/>
            </w:tcBorders>
          </w:tcPr>
          <w:p w:rsidR="00D93083" w:rsidRPr="00D00722" w:rsidRDefault="003972A7" w:rsidP="000A06CC">
            <w:pPr>
              <w:ind w:right="14"/>
              <w:jc w:val="center"/>
              <w:rPr>
                <w:rFonts w:ascii="Arial" w:hAnsi="Arial" w:cs="Arial"/>
                <w:bCs/>
                <w:lang w:val="tr-TR"/>
              </w:rPr>
            </w:pPr>
            <w:r w:rsidRPr="00D00722">
              <w:rPr>
                <w:rFonts w:ascii="Arial" w:hAnsi="Arial" w:cs="Arial"/>
                <w:bCs/>
                <w:lang w:val="tr-TR"/>
              </w:rPr>
              <w:t xml:space="preserve">31 Aralık </w:t>
            </w:r>
            <w:r w:rsidR="00350F68" w:rsidRPr="00D00722">
              <w:rPr>
                <w:rFonts w:ascii="Arial" w:hAnsi="Arial" w:cs="Arial"/>
                <w:bCs/>
                <w:lang w:val="tr-TR"/>
              </w:rPr>
              <w:t>201</w:t>
            </w:r>
            <w:r w:rsidR="009E6AD4" w:rsidRPr="00D00722">
              <w:rPr>
                <w:rFonts w:ascii="Arial" w:hAnsi="Arial" w:cs="Arial"/>
                <w:bCs/>
                <w:lang w:val="tr-TR"/>
              </w:rPr>
              <w:t>3</w:t>
            </w:r>
          </w:p>
        </w:tc>
      </w:tr>
      <w:tr w:rsidR="00D93083" w:rsidRPr="00D00722" w:rsidTr="00B37F4A">
        <w:tc>
          <w:tcPr>
            <w:tcW w:w="2835" w:type="dxa"/>
            <w:tcBorders>
              <w:top w:val="single" w:sz="4" w:space="0" w:color="auto"/>
              <w:bottom w:val="single" w:sz="4" w:space="0" w:color="auto"/>
            </w:tcBorders>
          </w:tcPr>
          <w:p w:rsidR="00D93083" w:rsidRPr="00D00722" w:rsidRDefault="00D93083" w:rsidP="000A06CC">
            <w:pPr>
              <w:ind w:left="-108" w:right="14"/>
              <w:jc w:val="both"/>
              <w:rPr>
                <w:rFonts w:ascii="Arial" w:hAnsi="Arial" w:cs="Arial"/>
                <w:lang w:val="tr-TR"/>
              </w:rPr>
            </w:pPr>
          </w:p>
        </w:tc>
        <w:tc>
          <w:tcPr>
            <w:tcW w:w="1560" w:type="dxa"/>
            <w:tcBorders>
              <w:top w:val="single" w:sz="4" w:space="0" w:color="auto"/>
              <w:bottom w:val="single" w:sz="4" w:space="0" w:color="auto"/>
            </w:tcBorders>
          </w:tcPr>
          <w:p w:rsidR="00D93083" w:rsidRPr="00D00722" w:rsidRDefault="00D93083" w:rsidP="00792AEE">
            <w:pPr>
              <w:ind w:right="14"/>
              <w:jc w:val="right"/>
              <w:rPr>
                <w:rFonts w:ascii="Arial" w:hAnsi="Arial" w:cs="Arial"/>
                <w:bCs/>
                <w:lang w:val="tr-TR"/>
              </w:rPr>
            </w:pPr>
            <w:r w:rsidRPr="00D00722">
              <w:rPr>
                <w:rFonts w:ascii="Arial" w:hAnsi="Arial" w:cs="Arial"/>
                <w:bCs/>
                <w:lang w:val="tr-TR"/>
              </w:rPr>
              <w:t>Faiz oranı</w:t>
            </w:r>
            <w:r w:rsidR="00427889" w:rsidRPr="00D00722">
              <w:rPr>
                <w:rFonts w:ascii="Arial" w:hAnsi="Arial" w:cs="Arial"/>
                <w:bCs/>
                <w:lang w:val="tr-TR"/>
              </w:rPr>
              <w:t xml:space="preserve"> </w:t>
            </w:r>
            <w:r w:rsidRPr="00D00722">
              <w:rPr>
                <w:rFonts w:ascii="Arial" w:hAnsi="Arial" w:cs="Arial"/>
                <w:bCs/>
                <w:lang w:val="tr-TR"/>
              </w:rPr>
              <w:t>(%)</w:t>
            </w:r>
          </w:p>
        </w:tc>
        <w:tc>
          <w:tcPr>
            <w:tcW w:w="1701" w:type="dxa"/>
            <w:tcBorders>
              <w:top w:val="single" w:sz="4" w:space="0" w:color="auto"/>
              <w:bottom w:val="single" w:sz="4" w:space="0" w:color="auto"/>
            </w:tcBorders>
          </w:tcPr>
          <w:p w:rsidR="00D93083" w:rsidRPr="00D00722" w:rsidRDefault="00D93083" w:rsidP="00792AEE">
            <w:pPr>
              <w:ind w:right="14"/>
              <w:jc w:val="right"/>
              <w:rPr>
                <w:rFonts w:ascii="Arial" w:hAnsi="Arial" w:cs="Arial"/>
                <w:bCs/>
                <w:lang w:val="tr-TR"/>
              </w:rPr>
            </w:pPr>
            <w:r w:rsidRPr="00D00722">
              <w:rPr>
                <w:rFonts w:ascii="Arial" w:hAnsi="Arial" w:cs="Arial"/>
                <w:bCs/>
                <w:lang w:val="tr-TR"/>
              </w:rPr>
              <w:t>Vade tarihi</w:t>
            </w:r>
          </w:p>
        </w:tc>
        <w:tc>
          <w:tcPr>
            <w:tcW w:w="1275" w:type="dxa"/>
            <w:tcBorders>
              <w:top w:val="single" w:sz="4" w:space="0" w:color="auto"/>
              <w:bottom w:val="single" w:sz="4" w:space="0" w:color="auto"/>
            </w:tcBorders>
          </w:tcPr>
          <w:p w:rsidR="00D93083" w:rsidRPr="00D00722" w:rsidRDefault="00D93083" w:rsidP="00792AEE">
            <w:pPr>
              <w:ind w:right="14"/>
              <w:jc w:val="right"/>
              <w:rPr>
                <w:rFonts w:ascii="Arial" w:hAnsi="Arial" w:cs="Arial"/>
                <w:bCs/>
                <w:lang w:val="tr-TR"/>
              </w:rPr>
            </w:pPr>
            <w:r w:rsidRPr="00D00722">
              <w:rPr>
                <w:rFonts w:ascii="Arial" w:hAnsi="Arial" w:cs="Arial"/>
                <w:bCs/>
                <w:lang w:val="tr-TR"/>
              </w:rPr>
              <w:t>Maliyet</w:t>
            </w:r>
          </w:p>
        </w:tc>
        <w:tc>
          <w:tcPr>
            <w:tcW w:w="1701" w:type="dxa"/>
            <w:tcBorders>
              <w:top w:val="single" w:sz="4" w:space="0" w:color="auto"/>
              <w:bottom w:val="single" w:sz="4" w:space="0" w:color="auto"/>
            </w:tcBorders>
          </w:tcPr>
          <w:p w:rsidR="00D93083" w:rsidRPr="00D00722" w:rsidRDefault="00D93083" w:rsidP="00792AEE">
            <w:pPr>
              <w:ind w:right="14"/>
              <w:jc w:val="right"/>
              <w:rPr>
                <w:rFonts w:ascii="Arial" w:hAnsi="Arial" w:cs="Arial"/>
                <w:lang w:val="tr-TR"/>
              </w:rPr>
            </w:pPr>
            <w:r w:rsidRPr="00D00722">
              <w:rPr>
                <w:rFonts w:ascii="Arial" w:hAnsi="Arial" w:cs="Arial"/>
                <w:lang w:val="tr-TR"/>
              </w:rPr>
              <w:t>Kayıtlı değer</w:t>
            </w:r>
          </w:p>
        </w:tc>
      </w:tr>
      <w:tr w:rsidR="00D93083" w:rsidRPr="00D00722" w:rsidTr="00B37F4A">
        <w:tc>
          <w:tcPr>
            <w:tcW w:w="2835" w:type="dxa"/>
            <w:tcBorders>
              <w:top w:val="single" w:sz="4" w:space="0" w:color="auto"/>
            </w:tcBorders>
          </w:tcPr>
          <w:p w:rsidR="00D93083" w:rsidRPr="00D00722" w:rsidRDefault="00D93083" w:rsidP="000A06CC">
            <w:pPr>
              <w:ind w:left="-108" w:right="14"/>
              <w:jc w:val="both"/>
              <w:rPr>
                <w:rFonts w:ascii="Arial" w:hAnsi="Arial" w:cs="Arial"/>
                <w:lang w:val="tr-TR"/>
              </w:rPr>
            </w:pPr>
          </w:p>
        </w:tc>
        <w:tc>
          <w:tcPr>
            <w:tcW w:w="1560" w:type="dxa"/>
            <w:tcBorders>
              <w:top w:val="single" w:sz="4" w:space="0" w:color="auto"/>
            </w:tcBorders>
          </w:tcPr>
          <w:p w:rsidR="00D93083" w:rsidRPr="00D00722" w:rsidRDefault="00D93083" w:rsidP="00792AEE">
            <w:pPr>
              <w:ind w:right="14"/>
              <w:jc w:val="right"/>
              <w:rPr>
                <w:rFonts w:ascii="Arial" w:hAnsi="Arial" w:cs="Arial"/>
                <w:bCs/>
                <w:lang w:val="tr-TR"/>
              </w:rPr>
            </w:pPr>
          </w:p>
        </w:tc>
        <w:tc>
          <w:tcPr>
            <w:tcW w:w="1701" w:type="dxa"/>
            <w:tcBorders>
              <w:top w:val="single" w:sz="4" w:space="0" w:color="auto"/>
            </w:tcBorders>
          </w:tcPr>
          <w:p w:rsidR="00D93083" w:rsidRPr="00D00722" w:rsidRDefault="00D93083" w:rsidP="00792AEE">
            <w:pPr>
              <w:ind w:right="14"/>
              <w:jc w:val="right"/>
              <w:rPr>
                <w:rFonts w:ascii="Arial" w:hAnsi="Arial" w:cs="Arial"/>
                <w:bCs/>
                <w:lang w:val="tr-TR"/>
              </w:rPr>
            </w:pPr>
          </w:p>
        </w:tc>
        <w:tc>
          <w:tcPr>
            <w:tcW w:w="1275" w:type="dxa"/>
            <w:tcBorders>
              <w:top w:val="single" w:sz="4" w:space="0" w:color="auto"/>
            </w:tcBorders>
          </w:tcPr>
          <w:p w:rsidR="00D93083" w:rsidRPr="00D00722" w:rsidRDefault="00D93083" w:rsidP="00792AEE">
            <w:pPr>
              <w:ind w:right="14"/>
              <w:jc w:val="right"/>
              <w:rPr>
                <w:rFonts w:ascii="Arial" w:hAnsi="Arial" w:cs="Arial"/>
                <w:bCs/>
                <w:lang w:val="tr-TR"/>
              </w:rPr>
            </w:pPr>
          </w:p>
        </w:tc>
        <w:tc>
          <w:tcPr>
            <w:tcW w:w="1701" w:type="dxa"/>
            <w:tcBorders>
              <w:top w:val="single" w:sz="4" w:space="0" w:color="auto"/>
            </w:tcBorders>
          </w:tcPr>
          <w:p w:rsidR="00D93083" w:rsidRPr="00D00722" w:rsidRDefault="00D93083" w:rsidP="00792AEE">
            <w:pPr>
              <w:ind w:right="14"/>
              <w:jc w:val="right"/>
              <w:rPr>
                <w:rFonts w:ascii="Arial" w:hAnsi="Arial" w:cs="Arial"/>
                <w:lang w:val="tr-TR"/>
              </w:rPr>
            </w:pPr>
          </w:p>
        </w:tc>
      </w:tr>
      <w:tr w:rsidR="00FD63A3" w:rsidRPr="00D00722" w:rsidTr="00B37F4A">
        <w:tc>
          <w:tcPr>
            <w:tcW w:w="2835" w:type="dxa"/>
          </w:tcPr>
          <w:p w:rsidR="00FD63A3" w:rsidRPr="00D00722" w:rsidRDefault="00FD63A3" w:rsidP="00B37F4A">
            <w:pPr>
              <w:ind w:left="176" w:right="-108" w:hanging="284"/>
              <w:rPr>
                <w:rFonts w:ascii="Arial" w:hAnsi="Arial" w:cs="Arial"/>
                <w:lang w:val="tr-TR"/>
              </w:rPr>
            </w:pPr>
            <w:r w:rsidRPr="00D00722">
              <w:rPr>
                <w:rFonts w:ascii="Arial" w:hAnsi="Arial" w:cs="Arial"/>
                <w:lang w:val="tr-TR"/>
              </w:rPr>
              <w:t>Borsa para piyasasından alacaklar</w:t>
            </w:r>
          </w:p>
        </w:tc>
        <w:tc>
          <w:tcPr>
            <w:tcW w:w="1560" w:type="dxa"/>
            <w:vAlign w:val="bottom"/>
          </w:tcPr>
          <w:p w:rsidR="00FD63A3" w:rsidRPr="00D00722" w:rsidRDefault="004B3C14" w:rsidP="00792AEE">
            <w:pPr>
              <w:ind w:right="14"/>
              <w:jc w:val="right"/>
              <w:rPr>
                <w:rFonts w:ascii="Arial" w:hAnsi="Arial" w:cs="Arial"/>
                <w:bCs/>
                <w:lang w:val="tr-TR"/>
              </w:rPr>
            </w:pPr>
            <w:r w:rsidRPr="00D00722">
              <w:rPr>
                <w:rFonts w:ascii="Arial" w:hAnsi="Arial" w:cs="Arial"/>
                <w:bCs/>
                <w:lang w:val="tr-TR"/>
              </w:rPr>
              <w:t>8,15</w:t>
            </w:r>
          </w:p>
        </w:tc>
        <w:tc>
          <w:tcPr>
            <w:tcW w:w="1701" w:type="dxa"/>
            <w:vAlign w:val="bottom"/>
          </w:tcPr>
          <w:p w:rsidR="00FD63A3" w:rsidRPr="00D00722" w:rsidRDefault="004B3C14" w:rsidP="00792AEE">
            <w:pPr>
              <w:ind w:right="14"/>
              <w:jc w:val="right"/>
              <w:rPr>
                <w:rFonts w:ascii="Arial" w:hAnsi="Arial" w:cs="Arial"/>
                <w:bCs/>
                <w:lang w:val="tr-TR"/>
              </w:rPr>
            </w:pPr>
            <w:r w:rsidRPr="00D00722">
              <w:rPr>
                <w:rFonts w:ascii="Arial" w:hAnsi="Arial" w:cs="Arial"/>
                <w:bCs/>
                <w:lang w:val="tr-TR"/>
              </w:rPr>
              <w:t>31 Aralık 2013</w:t>
            </w:r>
          </w:p>
        </w:tc>
        <w:tc>
          <w:tcPr>
            <w:tcW w:w="1275" w:type="dxa"/>
            <w:vAlign w:val="bottom"/>
          </w:tcPr>
          <w:p w:rsidR="00FD63A3" w:rsidRPr="00D00722" w:rsidRDefault="004B3C14" w:rsidP="00792AEE">
            <w:pPr>
              <w:ind w:right="14"/>
              <w:jc w:val="right"/>
              <w:rPr>
                <w:rFonts w:ascii="Arial" w:hAnsi="Arial" w:cs="Arial"/>
                <w:bCs/>
                <w:lang w:val="tr-TR"/>
              </w:rPr>
            </w:pPr>
            <w:r w:rsidRPr="00D00722">
              <w:rPr>
                <w:rFonts w:ascii="Arial" w:hAnsi="Arial" w:cs="Arial"/>
                <w:bCs/>
                <w:lang w:val="tr-TR"/>
              </w:rPr>
              <w:t>96.000</w:t>
            </w:r>
          </w:p>
        </w:tc>
        <w:tc>
          <w:tcPr>
            <w:tcW w:w="1701" w:type="dxa"/>
            <w:vAlign w:val="bottom"/>
          </w:tcPr>
          <w:p w:rsidR="00FD63A3" w:rsidRPr="00D00722" w:rsidRDefault="004B3C14" w:rsidP="00792AEE">
            <w:pPr>
              <w:ind w:right="14"/>
              <w:jc w:val="right"/>
              <w:rPr>
                <w:rFonts w:ascii="Arial" w:hAnsi="Arial" w:cs="Arial"/>
                <w:lang w:val="tr-TR"/>
              </w:rPr>
            </w:pPr>
            <w:r w:rsidRPr="00D00722">
              <w:rPr>
                <w:rFonts w:ascii="Arial" w:hAnsi="Arial" w:cs="Arial"/>
                <w:lang w:val="tr-TR"/>
              </w:rPr>
              <w:t>96.022</w:t>
            </w:r>
          </w:p>
        </w:tc>
      </w:tr>
    </w:tbl>
    <w:p w:rsidR="00DD4844" w:rsidRPr="00D00722" w:rsidRDefault="00DD4844" w:rsidP="00DD4844">
      <w:pPr>
        <w:ind w:right="-23"/>
        <w:rPr>
          <w:rFonts w:ascii="Arial" w:hAnsi="Arial" w:cs="Arial"/>
          <w:lang w:val="tr-TR"/>
        </w:rPr>
      </w:pPr>
    </w:p>
    <w:p w:rsidR="00DD4844" w:rsidRPr="00D00722" w:rsidRDefault="00DD4844" w:rsidP="00D93083">
      <w:pPr>
        <w:tabs>
          <w:tab w:val="left" w:pos="-720"/>
        </w:tabs>
        <w:suppressAutoHyphens/>
        <w:rPr>
          <w:rFonts w:ascii="Arial" w:hAnsi="Arial" w:cs="Arial"/>
          <w:lang w:val="tr-TR"/>
        </w:rPr>
      </w:pPr>
    </w:p>
    <w:tbl>
      <w:tblPr>
        <w:tblW w:w="9072" w:type="dxa"/>
        <w:tblInd w:w="108" w:type="dxa"/>
        <w:tblLook w:val="0000"/>
      </w:tblPr>
      <w:tblGrid>
        <w:gridCol w:w="2694"/>
        <w:gridCol w:w="1701"/>
        <w:gridCol w:w="1558"/>
        <w:gridCol w:w="1418"/>
        <w:gridCol w:w="1701"/>
      </w:tblGrid>
      <w:tr w:rsidR="00050357" w:rsidRPr="00D00722" w:rsidTr="00792AEE">
        <w:tc>
          <w:tcPr>
            <w:tcW w:w="2694" w:type="dxa"/>
            <w:tcBorders>
              <w:top w:val="single" w:sz="4" w:space="0" w:color="auto"/>
              <w:bottom w:val="single" w:sz="4" w:space="0" w:color="auto"/>
            </w:tcBorders>
          </w:tcPr>
          <w:p w:rsidR="00050357" w:rsidRPr="00D00722" w:rsidRDefault="00050357" w:rsidP="00A27292">
            <w:pPr>
              <w:ind w:left="-108" w:right="14"/>
              <w:jc w:val="both"/>
              <w:rPr>
                <w:rFonts w:ascii="Arial" w:hAnsi="Arial" w:cs="Arial"/>
                <w:lang w:val="tr-TR"/>
              </w:rPr>
            </w:pPr>
          </w:p>
        </w:tc>
        <w:tc>
          <w:tcPr>
            <w:tcW w:w="1701" w:type="dxa"/>
            <w:tcBorders>
              <w:top w:val="single" w:sz="4" w:space="0" w:color="auto"/>
              <w:bottom w:val="single" w:sz="4" w:space="0" w:color="auto"/>
            </w:tcBorders>
          </w:tcPr>
          <w:p w:rsidR="00050357" w:rsidRPr="00D00722" w:rsidRDefault="00050357" w:rsidP="00A27292">
            <w:pPr>
              <w:ind w:right="14"/>
              <w:jc w:val="right"/>
              <w:rPr>
                <w:rFonts w:ascii="Arial" w:hAnsi="Arial" w:cs="Arial"/>
                <w:bCs/>
                <w:lang w:val="tr-TR"/>
              </w:rPr>
            </w:pPr>
          </w:p>
        </w:tc>
        <w:tc>
          <w:tcPr>
            <w:tcW w:w="1558" w:type="dxa"/>
            <w:tcBorders>
              <w:top w:val="single" w:sz="4" w:space="0" w:color="auto"/>
              <w:bottom w:val="single" w:sz="4" w:space="0" w:color="auto"/>
            </w:tcBorders>
          </w:tcPr>
          <w:p w:rsidR="00050357" w:rsidRPr="00D00722" w:rsidRDefault="00050357" w:rsidP="00A27292">
            <w:pPr>
              <w:ind w:right="14"/>
              <w:jc w:val="right"/>
              <w:rPr>
                <w:rFonts w:ascii="Arial" w:hAnsi="Arial" w:cs="Arial"/>
                <w:bCs/>
                <w:lang w:val="tr-TR"/>
              </w:rPr>
            </w:pPr>
          </w:p>
        </w:tc>
        <w:tc>
          <w:tcPr>
            <w:tcW w:w="1418" w:type="dxa"/>
            <w:tcBorders>
              <w:top w:val="single" w:sz="4" w:space="0" w:color="auto"/>
              <w:bottom w:val="single" w:sz="4" w:space="0" w:color="auto"/>
            </w:tcBorders>
          </w:tcPr>
          <w:p w:rsidR="00050357" w:rsidRPr="00D00722" w:rsidRDefault="00050357" w:rsidP="00A27292">
            <w:pPr>
              <w:ind w:right="14"/>
              <w:jc w:val="right"/>
              <w:rPr>
                <w:rFonts w:ascii="Arial" w:hAnsi="Arial" w:cs="Arial"/>
                <w:bCs/>
                <w:lang w:val="tr-TR"/>
              </w:rPr>
            </w:pPr>
          </w:p>
        </w:tc>
        <w:tc>
          <w:tcPr>
            <w:tcW w:w="1701" w:type="dxa"/>
            <w:tcBorders>
              <w:top w:val="single" w:sz="4" w:space="0" w:color="auto"/>
              <w:bottom w:val="single" w:sz="4" w:space="0" w:color="auto"/>
            </w:tcBorders>
          </w:tcPr>
          <w:p w:rsidR="00050357" w:rsidRPr="00D00722" w:rsidRDefault="00050357" w:rsidP="00A27292">
            <w:pPr>
              <w:ind w:right="14"/>
              <w:jc w:val="right"/>
              <w:rPr>
                <w:rFonts w:ascii="Arial" w:hAnsi="Arial" w:cs="Arial"/>
                <w:lang w:val="tr-TR"/>
              </w:rPr>
            </w:pPr>
          </w:p>
        </w:tc>
      </w:tr>
      <w:tr w:rsidR="00050357" w:rsidRPr="00D00722" w:rsidTr="00792AEE">
        <w:tc>
          <w:tcPr>
            <w:tcW w:w="2694" w:type="dxa"/>
            <w:tcBorders>
              <w:top w:val="single" w:sz="4" w:space="0" w:color="auto"/>
            </w:tcBorders>
          </w:tcPr>
          <w:p w:rsidR="00050357" w:rsidRPr="00D00722" w:rsidRDefault="00050357" w:rsidP="00A27292">
            <w:pPr>
              <w:ind w:left="-108" w:right="14"/>
              <w:jc w:val="both"/>
              <w:rPr>
                <w:rFonts w:ascii="Arial" w:hAnsi="Arial" w:cs="Arial"/>
                <w:lang w:val="tr-TR"/>
              </w:rPr>
            </w:pPr>
          </w:p>
        </w:tc>
        <w:tc>
          <w:tcPr>
            <w:tcW w:w="1701" w:type="dxa"/>
            <w:tcBorders>
              <w:top w:val="single" w:sz="4" w:space="0" w:color="auto"/>
            </w:tcBorders>
          </w:tcPr>
          <w:p w:rsidR="00050357" w:rsidRPr="00D00722" w:rsidRDefault="00050357" w:rsidP="00A27292">
            <w:pPr>
              <w:ind w:right="14"/>
              <w:jc w:val="right"/>
              <w:rPr>
                <w:rFonts w:ascii="Arial" w:hAnsi="Arial" w:cs="Arial"/>
                <w:bCs/>
                <w:lang w:val="tr-TR"/>
              </w:rPr>
            </w:pPr>
          </w:p>
        </w:tc>
        <w:tc>
          <w:tcPr>
            <w:tcW w:w="1558" w:type="dxa"/>
            <w:tcBorders>
              <w:top w:val="single" w:sz="4" w:space="0" w:color="auto"/>
            </w:tcBorders>
          </w:tcPr>
          <w:p w:rsidR="00050357" w:rsidRPr="00D00722" w:rsidRDefault="00050357" w:rsidP="00A27292">
            <w:pPr>
              <w:ind w:right="14"/>
              <w:jc w:val="right"/>
              <w:rPr>
                <w:rFonts w:ascii="Arial" w:hAnsi="Arial" w:cs="Arial"/>
                <w:bCs/>
                <w:lang w:val="tr-TR"/>
              </w:rPr>
            </w:pPr>
          </w:p>
        </w:tc>
        <w:tc>
          <w:tcPr>
            <w:tcW w:w="1418" w:type="dxa"/>
            <w:tcBorders>
              <w:top w:val="single" w:sz="4" w:space="0" w:color="auto"/>
            </w:tcBorders>
          </w:tcPr>
          <w:p w:rsidR="00050357" w:rsidRPr="00D00722" w:rsidRDefault="00050357" w:rsidP="00A27292">
            <w:pPr>
              <w:ind w:right="14"/>
              <w:jc w:val="right"/>
              <w:rPr>
                <w:rFonts w:ascii="Arial" w:hAnsi="Arial" w:cs="Arial"/>
                <w:bCs/>
                <w:lang w:val="tr-TR"/>
              </w:rPr>
            </w:pPr>
          </w:p>
        </w:tc>
        <w:tc>
          <w:tcPr>
            <w:tcW w:w="1701" w:type="dxa"/>
            <w:tcBorders>
              <w:top w:val="single" w:sz="4" w:space="0" w:color="auto"/>
            </w:tcBorders>
          </w:tcPr>
          <w:p w:rsidR="00050357" w:rsidRPr="00D00722" w:rsidRDefault="00050357" w:rsidP="00A27292">
            <w:pPr>
              <w:ind w:right="14"/>
              <w:jc w:val="right"/>
              <w:rPr>
                <w:rFonts w:ascii="Arial" w:hAnsi="Arial" w:cs="Arial"/>
                <w:lang w:val="tr-TR"/>
              </w:rPr>
            </w:pPr>
          </w:p>
        </w:tc>
      </w:tr>
      <w:tr w:rsidR="009E6AD4" w:rsidRPr="00D00722" w:rsidTr="00792AEE">
        <w:tc>
          <w:tcPr>
            <w:tcW w:w="2694" w:type="dxa"/>
          </w:tcPr>
          <w:p w:rsidR="009E6AD4" w:rsidRPr="00D00722" w:rsidRDefault="009E6AD4" w:rsidP="00B37F4A">
            <w:pPr>
              <w:ind w:left="176" w:right="-108" w:hanging="284"/>
              <w:rPr>
                <w:rFonts w:ascii="Arial" w:hAnsi="Arial" w:cs="Arial"/>
                <w:lang w:val="tr-TR"/>
              </w:rPr>
            </w:pPr>
          </w:p>
        </w:tc>
        <w:tc>
          <w:tcPr>
            <w:tcW w:w="1701" w:type="dxa"/>
            <w:vAlign w:val="bottom"/>
          </w:tcPr>
          <w:p w:rsidR="009E6AD4" w:rsidRPr="00D00722" w:rsidRDefault="009E6AD4" w:rsidP="009E6AD4">
            <w:pPr>
              <w:ind w:right="14"/>
              <w:jc w:val="right"/>
              <w:rPr>
                <w:rFonts w:ascii="Arial" w:hAnsi="Arial" w:cs="Arial"/>
                <w:bCs/>
                <w:lang w:val="tr-TR"/>
              </w:rPr>
            </w:pPr>
          </w:p>
        </w:tc>
        <w:tc>
          <w:tcPr>
            <w:tcW w:w="1558" w:type="dxa"/>
            <w:vAlign w:val="bottom"/>
          </w:tcPr>
          <w:p w:rsidR="009E6AD4" w:rsidRPr="00D00722" w:rsidRDefault="009E6AD4" w:rsidP="009E6AD4">
            <w:pPr>
              <w:ind w:right="14"/>
              <w:jc w:val="right"/>
              <w:rPr>
                <w:rFonts w:ascii="Arial" w:hAnsi="Arial" w:cs="Arial"/>
                <w:bCs/>
                <w:lang w:val="tr-TR"/>
              </w:rPr>
            </w:pPr>
          </w:p>
        </w:tc>
        <w:tc>
          <w:tcPr>
            <w:tcW w:w="1418" w:type="dxa"/>
            <w:vAlign w:val="bottom"/>
          </w:tcPr>
          <w:p w:rsidR="009E6AD4" w:rsidRPr="00D00722" w:rsidRDefault="009E6AD4" w:rsidP="009E6AD4">
            <w:pPr>
              <w:ind w:right="14"/>
              <w:jc w:val="right"/>
              <w:rPr>
                <w:rFonts w:ascii="Arial" w:hAnsi="Arial" w:cs="Arial"/>
                <w:bCs/>
                <w:lang w:val="tr-TR"/>
              </w:rPr>
            </w:pPr>
          </w:p>
        </w:tc>
        <w:tc>
          <w:tcPr>
            <w:tcW w:w="1701" w:type="dxa"/>
            <w:vAlign w:val="bottom"/>
          </w:tcPr>
          <w:p w:rsidR="009E6AD4" w:rsidRPr="00D00722" w:rsidRDefault="009E6AD4" w:rsidP="009E6AD4">
            <w:pPr>
              <w:ind w:right="14"/>
              <w:jc w:val="right"/>
              <w:rPr>
                <w:rFonts w:ascii="Arial" w:hAnsi="Arial" w:cs="Arial"/>
                <w:lang w:val="tr-TR"/>
              </w:rPr>
            </w:pPr>
          </w:p>
        </w:tc>
      </w:tr>
    </w:tbl>
    <w:p w:rsidR="00050357" w:rsidRPr="00D00722" w:rsidRDefault="00050357" w:rsidP="00D93083">
      <w:pPr>
        <w:tabs>
          <w:tab w:val="left" w:pos="-720"/>
        </w:tabs>
        <w:suppressAutoHyphens/>
        <w:rPr>
          <w:rFonts w:ascii="Arial" w:hAnsi="Arial" w:cs="Arial"/>
          <w:lang w:val="tr-TR"/>
        </w:rPr>
      </w:pPr>
    </w:p>
    <w:p w:rsidR="00D93083" w:rsidRPr="00D00722" w:rsidRDefault="00D93083" w:rsidP="00D93083">
      <w:pPr>
        <w:tabs>
          <w:tab w:val="left" w:pos="-720"/>
        </w:tabs>
        <w:suppressAutoHyphens/>
        <w:rPr>
          <w:rFonts w:ascii="Arial" w:hAnsi="Arial" w:cs="Arial"/>
        </w:rPr>
      </w:pPr>
      <w:r w:rsidRPr="00D00722">
        <w:rPr>
          <w:rFonts w:ascii="Arial" w:hAnsi="Arial" w:cs="Arial"/>
          <w:lang w:val="tr-TR"/>
        </w:rPr>
        <w:t xml:space="preserve">Şirket’in </w:t>
      </w:r>
      <w:r w:rsidRPr="00D00722">
        <w:rPr>
          <w:rFonts w:ascii="Arial" w:hAnsi="Arial" w:cs="Arial"/>
        </w:rPr>
        <w:t>nakit akım tablolarının düzenlenmesi amacıyla nakit ve nakde eşdeğer varlıkların kırılımı aşağıdaki gibidir:</w:t>
      </w:r>
    </w:p>
    <w:p w:rsidR="00636FC1" w:rsidRPr="00D00722" w:rsidRDefault="00636FC1" w:rsidP="00636FC1">
      <w:pPr>
        <w:ind w:right="-23"/>
        <w:rPr>
          <w:rFonts w:ascii="Arial" w:hAnsi="Arial" w:cs="Arial"/>
          <w:b/>
          <w:lang w:val="tr-TR"/>
        </w:rPr>
      </w:pPr>
      <w:r w:rsidRPr="00D00722">
        <w:rPr>
          <w:rFonts w:ascii="Arial" w:hAnsi="Arial" w:cs="Arial"/>
          <w:b/>
          <w:lang w:val="tr-TR"/>
        </w:rPr>
        <w:t>4.</w:t>
      </w:r>
      <w:r w:rsidRPr="00D00722">
        <w:rPr>
          <w:rFonts w:ascii="Arial" w:hAnsi="Arial" w:cs="Arial"/>
          <w:b/>
          <w:lang w:val="tr-TR"/>
        </w:rPr>
        <w:tab/>
        <w:t>Nakit ve nakit benzerleri (devamı)</w:t>
      </w:r>
    </w:p>
    <w:p w:rsidR="00636FC1" w:rsidRPr="00D00722" w:rsidRDefault="00636FC1" w:rsidP="00636FC1">
      <w:pPr>
        <w:ind w:left="567" w:right="-23" w:hanging="567"/>
        <w:rPr>
          <w:rFonts w:ascii="Arial" w:hAnsi="Arial" w:cs="Arial"/>
          <w:b/>
          <w:lang w:val="tr-TR"/>
        </w:rPr>
      </w:pPr>
    </w:p>
    <w:p w:rsidR="00656D03" w:rsidRPr="00D00722" w:rsidRDefault="00656D03" w:rsidP="00AE0484">
      <w:pPr>
        <w:rPr>
          <w:rFonts w:ascii="Arial" w:hAnsi="Arial" w:cs="Arial"/>
          <w:lang w:val="tr-TR"/>
        </w:rPr>
      </w:pPr>
    </w:p>
    <w:tbl>
      <w:tblPr>
        <w:tblW w:w="9072" w:type="dxa"/>
        <w:tblInd w:w="108" w:type="dxa"/>
        <w:tblLayout w:type="fixed"/>
        <w:tblLook w:val="0000"/>
      </w:tblPr>
      <w:tblGrid>
        <w:gridCol w:w="5670"/>
        <w:gridCol w:w="1701"/>
        <w:gridCol w:w="1701"/>
      </w:tblGrid>
      <w:tr w:rsidR="008A45F5" w:rsidRPr="00D00722" w:rsidTr="008A45F5">
        <w:trPr>
          <w:trHeight w:val="113"/>
        </w:trPr>
        <w:tc>
          <w:tcPr>
            <w:tcW w:w="5670" w:type="dxa"/>
            <w:tcBorders>
              <w:top w:val="single" w:sz="6" w:space="0" w:color="auto"/>
              <w:left w:val="nil"/>
              <w:bottom w:val="single" w:sz="6" w:space="0" w:color="auto"/>
              <w:right w:val="nil"/>
            </w:tcBorders>
          </w:tcPr>
          <w:p w:rsidR="008A45F5" w:rsidRPr="00D00722" w:rsidRDefault="008A45F5" w:rsidP="00722844">
            <w:pPr>
              <w:autoSpaceDE w:val="0"/>
              <w:autoSpaceDN w:val="0"/>
              <w:adjustRightInd w:val="0"/>
              <w:rPr>
                <w:rFonts w:ascii="Arial" w:hAnsi="Arial" w:cs="Arial"/>
                <w:color w:val="000000"/>
              </w:rPr>
            </w:pPr>
          </w:p>
        </w:tc>
        <w:tc>
          <w:tcPr>
            <w:tcW w:w="1701" w:type="dxa"/>
            <w:tcBorders>
              <w:top w:val="single" w:sz="6" w:space="0" w:color="auto"/>
              <w:left w:val="nil"/>
              <w:bottom w:val="single" w:sz="6" w:space="0" w:color="auto"/>
              <w:right w:val="nil"/>
            </w:tcBorders>
          </w:tcPr>
          <w:p w:rsidR="008A45F5" w:rsidRPr="00D00722" w:rsidRDefault="008A45F5" w:rsidP="008A45F5">
            <w:pPr>
              <w:autoSpaceDE w:val="0"/>
              <w:autoSpaceDN w:val="0"/>
              <w:adjustRightInd w:val="0"/>
              <w:jc w:val="right"/>
              <w:rPr>
                <w:rFonts w:ascii="Arial" w:hAnsi="Arial" w:cs="Arial"/>
                <w:b/>
                <w:bCs/>
                <w:color w:val="000000"/>
              </w:rPr>
            </w:pPr>
            <w:r w:rsidRPr="00D00722">
              <w:rPr>
                <w:rFonts w:ascii="Arial" w:hAnsi="Arial" w:cs="Arial"/>
                <w:b/>
                <w:bCs/>
                <w:color w:val="000000"/>
              </w:rPr>
              <w:t>31 Mart 2014</w:t>
            </w:r>
          </w:p>
        </w:tc>
        <w:tc>
          <w:tcPr>
            <w:tcW w:w="1701" w:type="dxa"/>
            <w:tcBorders>
              <w:top w:val="single" w:sz="6" w:space="0" w:color="auto"/>
              <w:left w:val="nil"/>
              <w:bottom w:val="single" w:sz="6" w:space="0" w:color="auto"/>
              <w:right w:val="nil"/>
            </w:tcBorders>
          </w:tcPr>
          <w:p w:rsidR="008A45F5" w:rsidRPr="00D00722" w:rsidRDefault="008A45F5" w:rsidP="002B5FEF">
            <w:pPr>
              <w:autoSpaceDE w:val="0"/>
              <w:autoSpaceDN w:val="0"/>
              <w:adjustRightInd w:val="0"/>
              <w:jc w:val="right"/>
              <w:rPr>
                <w:rFonts w:ascii="Arial" w:hAnsi="Arial" w:cs="Arial"/>
                <w:bCs/>
                <w:color w:val="000000"/>
              </w:rPr>
            </w:pPr>
            <w:r w:rsidRPr="00D00722">
              <w:rPr>
                <w:rFonts w:ascii="Arial" w:hAnsi="Arial" w:cs="Arial"/>
                <w:bCs/>
                <w:color w:val="000000"/>
              </w:rPr>
              <w:t>31 Aralık 2013</w:t>
            </w:r>
          </w:p>
        </w:tc>
      </w:tr>
      <w:tr w:rsidR="008A45F5" w:rsidRPr="00D00722" w:rsidTr="008A45F5">
        <w:trPr>
          <w:trHeight w:val="113"/>
        </w:trPr>
        <w:tc>
          <w:tcPr>
            <w:tcW w:w="5670" w:type="dxa"/>
            <w:tcBorders>
              <w:top w:val="single" w:sz="6" w:space="0" w:color="auto"/>
              <w:left w:val="nil"/>
              <w:bottom w:val="nil"/>
              <w:right w:val="nil"/>
            </w:tcBorders>
          </w:tcPr>
          <w:p w:rsidR="008A45F5" w:rsidRPr="00D00722" w:rsidRDefault="008A45F5" w:rsidP="00722844">
            <w:pPr>
              <w:autoSpaceDE w:val="0"/>
              <w:autoSpaceDN w:val="0"/>
              <w:adjustRightInd w:val="0"/>
              <w:rPr>
                <w:rFonts w:ascii="Arial" w:hAnsi="Arial" w:cs="Arial"/>
                <w:color w:val="000000"/>
              </w:rPr>
            </w:pPr>
          </w:p>
        </w:tc>
        <w:tc>
          <w:tcPr>
            <w:tcW w:w="1701" w:type="dxa"/>
            <w:tcBorders>
              <w:top w:val="single" w:sz="6" w:space="0" w:color="auto"/>
              <w:left w:val="nil"/>
              <w:bottom w:val="nil"/>
              <w:right w:val="nil"/>
            </w:tcBorders>
          </w:tcPr>
          <w:p w:rsidR="008A45F5" w:rsidRPr="00D00722" w:rsidRDefault="008A45F5" w:rsidP="003F2B3E">
            <w:pPr>
              <w:autoSpaceDE w:val="0"/>
              <w:autoSpaceDN w:val="0"/>
              <w:adjustRightInd w:val="0"/>
              <w:jc w:val="right"/>
              <w:rPr>
                <w:rFonts w:ascii="Arial" w:hAnsi="Arial" w:cs="Arial"/>
                <w:b/>
                <w:bCs/>
                <w:color w:val="000000"/>
              </w:rPr>
            </w:pPr>
          </w:p>
        </w:tc>
        <w:tc>
          <w:tcPr>
            <w:tcW w:w="1701" w:type="dxa"/>
            <w:tcBorders>
              <w:top w:val="single" w:sz="6" w:space="0" w:color="auto"/>
              <w:left w:val="nil"/>
              <w:bottom w:val="nil"/>
              <w:right w:val="nil"/>
            </w:tcBorders>
          </w:tcPr>
          <w:p w:rsidR="008A45F5" w:rsidRPr="00D00722" w:rsidRDefault="008A45F5" w:rsidP="002B5FEF">
            <w:pPr>
              <w:autoSpaceDE w:val="0"/>
              <w:autoSpaceDN w:val="0"/>
              <w:adjustRightInd w:val="0"/>
              <w:jc w:val="right"/>
              <w:rPr>
                <w:rFonts w:ascii="Arial" w:hAnsi="Arial" w:cs="Arial"/>
                <w:bCs/>
                <w:color w:val="000000"/>
              </w:rPr>
            </w:pPr>
          </w:p>
        </w:tc>
      </w:tr>
      <w:tr w:rsidR="008A45F5" w:rsidRPr="00D00722" w:rsidTr="008A45F5">
        <w:trPr>
          <w:trHeight w:val="113"/>
        </w:trPr>
        <w:tc>
          <w:tcPr>
            <w:tcW w:w="5670" w:type="dxa"/>
            <w:tcBorders>
              <w:top w:val="nil"/>
              <w:left w:val="nil"/>
              <w:bottom w:val="nil"/>
              <w:right w:val="nil"/>
            </w:tcBorders>
          </w:tcPr>
          <w:p w:rsidR="008A45F5" w:rsidRPr="00D00722" w:rsidRDefault="008A45F5" w:rsidP="00722844">
            <w:pPr>
              <w:autoSpaceDE w:val="0"/>
              <w:autoSpaceDN w:val="0"/>
              <w:adjustRightInd w:val="0"/>
              <w:rPr>
                <w:rFonts w:ascii="Arial" w:hAnsi="Arial" w:cs="Arial"/>
                <w:color w:val="000000"/>
              </w:rPr>
            </w:pPr>
            <w:r w:rsidRPr="00D00722">
              <w:rPr>
                <w:rFonts w:ascii="Arial" w:hAnsi="Arial" w:cs="Arial"/>
                <w:color w:val="000000"/>
              </w:rPr>
              <w:t>Nakit ve nakit benzerleri</w:t>
            </w:r>
          </w:p>
        </w:tc>
        <w:tc>
          <w:tcPr>
            <w:tcW w:w="1701" w:type="dxa"/>
            <w:tcBorders>
              <w:top w:val="nil"/>
              <w:left w:val="nil"/>
              <w:bottom w:val="nil"/>
              <w:right w:val="nil"/>
            </w:tcBorders>
            <w:vAlign w:val="bottom"/>
          </w:tcPr>
          <w:p w:rsidR="008A45F5" w:rsidRPr="00D00722" w:rsidRDefault="00280996" w:rsidP="003F2B3E">
            <w:pPr>
              <w:autoSpaceDE w:val="0"/>
              <w:autoSpaceDN w:val="0"/>
              <w:adjustRightInd w:val="0"/>
              <w:jc w:val="right"/>
              <w:rPr>
                <w:rFonts w:ascii="Arial" w:hAnsi="Arial" w:cs="Arial"/>
                <w:b/>
                <w:bCs/>
                <w:color w:val="000000"/>
              </w:rPr>
            </w:pPr>
            <w:r w:rsidRPr="00D00722">
              <w:rPr>
                <w:rFonts w:ascii="Arial" w:hAnsi="Arial" w:cs="Arial"/>
                <w:b/>
                <w:bCs/>
                <w:color w:val="000000"/>
              </w:rPr>
              <w:t>991.777</w:t>
            </w:r>
          </w:p>
        </w:tc>
        <w:tc>
          <w:tcPr>
            <w:tcW w:w="1701" w:type="dxa"/>
            <w:tcBorders>
              <w:top w:val="nil"/>
              <w:left w:val="nil"/>
              <w:bottom w:val="nil"/>
              <w:right w:val="nil"/>
            </w:tcBorders>
            <w:vAlign w:val="bottom"/>
          </w:tcPr>
          <w:p w:rsidR="008A45F5" w:rsidRPr="00D00722" w:rsidRDefault="008A45F5" w:rsidP="002B5FEF">
            <w:pPr>
              <w:autoSpaceDE w:val="0"/>
              <w:autoSpaceDN w:val="0"/>
              <w:adjustRightInd w:val="0"/>
              <w:jc w:val="right"/>
              <w:rPr>
                <w:rFonts w:ascii="Arial" w:hAnsi="Arial" w:cs="Arial"/>
                <w:bCs/>
                <w:color w:val="000000"/>
              </w:rPr>
            </w:pPr>
            <w:r w:rsidRPr="00D00722">
              <w:rPr>
                <w:rFonts w:ascii="Arial" w:hAnsi="Arial" w:cs="Arial"/>
                <w:bCs/>
                <w:color w:val="000000"/>
              </w:rPr>
              <w:t>964.940</w:t>
            </w:r>
          </w:p>
        </w:tc>
      </w:tr>
      <w:tr w:rsidR="008A45F5" w:rsidRPr="00D00722" w:rsidTr="008A45F5">
        <w:trPr>
          <w:trHeight w:val="113"/>
        </w:trPr>
        <w:tc>
          <w:tcPr>
            <w:tcW w:w="5670" w:type="dxa"/>
            <w:tcBorders>
              <w:top w:val="nil"/>
              <w:left w:val="nil"/>
              <w:bottom w:val="nil"/>
              <w:right w:val="nil"/>
            </w:tcBorders>
          </w:tcPr>
          <w:p w:rsidR="008A45F5" w:rsidRPr="00D00722" w:rsidRDefault="008A45F5" w:rsidP="00722844">
            <w:pPr>
              <w:autoSpaceDE w:val="0"/>
              <w:autoSpaceDN w:val="0"/>
              <w:adjustRightInd w:val="0"/>
              <w:rPr>
                <w:rFonts w:ascii="Arial" w:hAnsi="Arial" w:cs="Arial"/>
                <w:color w:val="000000"/>
              </w:rPr>
            </w:pPr>
            <w:r w:rsidRPr="00D00722">
              <w:rPr>
                <w:rFonts w:ascii="Arial" w:hAnsi="Arial" w:cs="Arial"/>
                <w:color w:val="000000"/>
              </w:rPr>
              <w:t>Faiz tahakkukları (-)</w:t>
            </w:r>
          </w:p>
        </w:tc>
        <w:tc>
          <w:tcPr>
            <w:tcW w:w="1701" w:type="dxa"/>
            <w:tcBorders>
              <w:top w:val="nil"/>
              <w:left w:val="nil"/>
              <w:bottom w:val="nil"/>
              <w:right w:val="nil"/>
            </w:tcBorders>
            <w:vAlign w:val="bottom"/>
          </w:tcPr>
          <w:p w:rsidR="008A45F5" w:rsidRPr="00D00722" w:rsidRDefault="00280996" w:rsidP="003F2B3E">
            <w:pPr>
              <w:autoSpaceDE w:val="0"/>
              <w:autoSpaceDN w:val="0"/>
              <w:adjustRightInd w:val="0"/>
              <w:jc w:val="right"/>
              <w:rPr>
                <w:rFonts w:ascii="Arial" w:hAnsi="Arial" w:cs="Arial"/>
                <w:b/>
                <w:bCs/>
                <w:color w:val="000000"/>
              </w:rPr>
            </w:pPr>
            <w:r w:rsidRPr="00D00722">
              <w:rPr>
                <w:rFonts w:ascii="Arial" w:hAnsi="Arial" w:cs="Arial"/>
                <w:b/>
                <w:bCs/>
                <w:color w:val="000000"/>
              </w:rPr>
              <w:t>(5.225)</w:t>
            </w:r>
          </w:p>
        </w:tc>
        <w:tc>
          <w:tcPr>
            <w:tcW w:w="1701" w:type="dxa"/>
            <w:tcBorders>
              <w:top w:val="nil"/>
              <w:left w:val="nil"/>
              <w:bottom w:val="nil"/>
              <w:right w:val="nil"/>
            </w:tcBorders>
            <w:vAlign w:val="bottom"/>
          </w:tcPr>
          <w:p w:rsidR="008A45F5" w:rsidRPr="00D00722" w:rsidRDefault="008A45F5" w:rsidP="002B5FEF">
            <w:pPr>
              <w:autoSpaceDE w:val="0"/>
              <w:autoSpaceDN w:val="0"/>
              <w:adjustRightInd w:val="0"/>
              <w:jc w:val="right"/>
              <w:rPr>
                <w:rFonts w:ascii="Arial" w:hAnsi="Arial" w:cs="Arial"/>
                <w:bCs/>
                <w:color w:val="000000"/>
              </w:rPr>
            </w:pPr>
            <w:r w:rsidRPr="00D00722">
              <w:rPr>
                <w:rFonts w:ascii="Arial" w:hAnsi="Arial" w:cs="Arial"/>
                <w:bCs/>
                <w:color w:val="000000"/>
              </w:rPr>
              <w:t>(2.721)</w:t>
            </w:r>
          </w:p>
        </w:tc>
      </w:tr>
      <w:tr w:rsidR="008A45F5" w:rsidRPr="00D00722" w:rsidTr="008A45F5">
        <w:trPr>
          <w:trHeight w:val="113"/>
        </w:trPr>
        <w:tc>
          <w:tcPr>
            <w:tcW w:w="5670" w:type="dxa"/>
            <w:tcBorders>
              <w:top w:val="nil"/>
              <w:left w:val="nil"/>
              <w:bottom w:val="single" w:sz="6" w:space="0" w:color="auto"/>
              <w:right w:val="nil"/>
            </w:tcBorders>
          </w:tcPr>
          <w:p w:rsidR="008A45F5" w:rsidRPr="00D00722" w:rsidRDefault="008A45F5" w:rsidP="00722844">
            <w:pPr>
              <w:autoSpaceDE w:val="0"/>
              <w:autoSpaceDN w:val="0"/>
              <w:adjustRightInd w:val="0"/>
              <w:rPr>
                <w:rFonts w:ascii="Arial" w:hAnsi="Arial" w:cs="Arial"/>
                <w:color w:val="000000"/>
              </w:rPr>
            </w:pPr>
          </w:p>
        </w:tc>
        <w:tc>
          <w:tcPr>
            <w:tcW w:w="1701" w:type="dxa"/>
            <w:tcBorders>
              <w:top w:val="nil"/>
              <w:left w:val="nil"/>
              <w:bottom w:val="single" w:sz="6" w:space="0" w:color="auto"/>
              <w:right w:val="nil"/>
            </w:tcBorders>
          </w:tcPr>
          <w:p w:rsidR="008A45F5" w:rsidRPr="00D00722" w:rsidRDefault="008A45F5" w:rsidP="003F2B3E">
            <w:pPr>
              <w:autoSpaceDE w:val="0"/>
              <w:autoSpaceDN w:val="0"/>
              <w:adjustRightInd w:val="0"/>
              <w:jc w:val="right"/>
              <w:rPr>
                <w:rFonts w:ascii="Arial" w:hAnsi="Arial" w:cs="Arial"/>
                <w:b/>
                <w:bCs/>
                <w:color w:val="000000"/>
              </w:rPr>
            </w:pPr>
          </w:p>
        </w:tc>
        <w:tc>
          <w:tcPr>
            <w:tcW w:w="1701" w:type="dxa"/>
            <w:tcBorders>
              <w:top w:val="nil"/>
              <w:left w:val="nil"/>
              <w:bottom w:val="single" w:sz="6" w:space="0" w:color="auto"/>
              <w:right w:val="nil"/>
            </w:tcBorders>
          </w:tcPr>
          <w:p w:rsidR="008A45F5" w:rsidRPr="00D00722" w:rsidRDefault="008A45F5" w:rsidP="002B5FEF">
            <w:pPr>
              <w:autoSpaceDE w:val="0"/>
              <w:autoSpaceDN w:val="0"/>
              <w:adjustRightInd w:val="0"/>
              <w:jc w:val="right"/>
              <w:rPr>
                <w:rFonts w:ascii="Arial" w:hAnsi="Arial" w:cs="Arial"/>
                <w:bCs/>
                <w:color w:val="000000"/>
              </w:rPr>
            </w:pPr>
          </w:p>
        </w:tc>
      </w:tr>
      <w:tr w:rsidR="008A45F5" w:rsidRPr="00D00722" w:rsidTr="008A45F5">
        <w:trPr>
          <w:trHeight w:val="113"/>
        </w:trPr>
        <w:tc>
          <w:tcPr>
            <w:tcW w:w="5670" w:type="dxa"/>
            <w:tcBorders>
              <w:top w:val="single" w:sz="6" w:space="0" w:color="auto"/>
              <w:left w:val="nil"/>
              <w:bottom w:val="double" w:sz="6" w:space="0" w:color="auto"/>
              <w:right w:val="nil"/>
            </w:tcBorders>
          </w:tcPr>
          <w:p w:rsidR="008A45F5" w:rsidRPr="00D00722" w:rsidRDefault="008A45F5" w:rsidP="00722844">
            <w:pPr>
              <w:autoSpaceDE w:val="0"/>
              <w:autoSpaceDN w:val="0"/>
              <w:adjustRightInd w:val="0"/>
              <w:rPr>
                <w:rFonts w:ascii="Arial" w:hAnsi="Arial" w:cs="Arial"/>
                <w:color w:val="000000"/>
              </w:rPr>
            </w:pPr>
          </w:p>
        </w:tc>
        <w:tc>
          <w:tcPr>
            <w:tcW w:w="1701" w:type="dxa"/>
            <w:tcBorders>
              <w:top w:val="single" w:sz="6" w:space="0" w:color="auto"/>
              <w:left w:val="nil"/>
              <w:bottom w:val="double" w:sz="6" w:space="0" w:color="auto"/>
              <w:right w:val="nil"/>
            </w:tcBorders>
          </w:tcPr>
          <w:p w:rsidR="008A45F5" w:rsidRPr="00D00722" w:rsidRDefault="00280996" w:rsidP="003F2B3E">
            <w:pPr>
              <w:autoSpaceDE w:val="0"/>
              <w:autoSpaceDN w:val="0"/>
              <w:adjustRightInd w:val="0"/>
              <w:jc w:val="right"/>
              <w:rPr>
                <w:rFonts w:ascii="Arial" w:hAnsi="Arial" w:cs="Arial"/>
                <w:b/>
                <w:bCs/>
                <w:color w:val="000000"/>
              </w:rPr>
            </w:pPr>
            <w:r w:rsidRPr="00D00722">
              <w:rPr>
                <w:rFonts w:ascii="Arial" w:hAnsi="Arial" w:cs="Arial"/>
                <w:b/>
                <w:bCs/>
                <w:color w:val="000000"/>
              </w:rPr>
              <w:t>986.552</w:t>
            </w:r>
          </w:p>
        </w:tc>
        <w:tc>
          <w:tcPr>
            <w:tcW w:w="1701" w:type="dxa"/>
            <w:tcBorders>
              <w:top w:val="single" w:sz="6" w:space="0" w:color="auto"/>
              <w:left w:val="nil"/>
              <w:bottom w:val="double" w:sz="6" w:space="0" w:color="auto"/>
              <w:right w:val="nil"/>
            </w:tcBorders>
          </w:tcPr>
          <w:p w:rsidR="008A45F5" w:rsidRPr="00D00722" w:rsidRDefault="008A45F5" w:rsidP="002B5FEF">
            <w:pPr>
              <w:autoSpaceDE w:val="0"/>
              <w:autoSpaceDN w:val="0"/>
              <w:adjustRightInd w:val="0"/>
              <w:jc w:val="right"/>
              <w:rPr>
                <w:rFonts w:ascii="Arial" w:hAnsi="Arial" w:cs="Arial"/>
                <w:bCs/>
                <w:color w:val="000000"/>
              </w:rPr>
            </w:pPr>
            <w:r w:rsidRPr="00D00722">
              <w:rPr>
                <w:rFonts w:ascii="Arial" w:hAnsi="Arial" w:cs="Arial"/>
                <w:bCs/>
                <w:color w:val="000000"/>
              </w:rPr>
              <w:t>962.219</w:t>
            </w:r>
          </w:p>
        </w:tc>
      </w:tr>
    </w:tbl>
    <w:p w:rsidR="00663890" w:rsidRPr="00D00722" w:rsidRDefault="00663890" w:rsidP="00AE0484">
      <w:pPr>
        <w:rPr>
          <w:rFonts w:ascii="Arial" w:hAnsi="Arial" w:cs="Arial"/>
          <w:lang w:val="tr-TR"/>
        </w:rPr>
      </w:pPr>
    </w:p>
    <w:p w:rsidR="003F3E42" w:rsidRPr="00D00722" w:rsidRDefault="00656D03" w:rsidP="003C359E">
      <w:pPr>
        <w:pStyle w:val="body0"/>
        <w:rPr>
          <w:rFonts w:ascii="Arial" w:hAnsi="Arial" w:cs="Arial"/>
          <w:b/>
          <w:noProof/>
          <w:lang w:val="tr-TR"/>
        </w:rPr>
      </w:pPr>
      <w:r w:rsidRPr="00D00722">
        <w:rPr>
          <w:rFonts w:ascii="Arial" w:hAnsi="Arial" w:cs="Arial"/>
          <w:sz w:val="20"/>
          <w:szCs w:val="20"/>
          <w:lang w:val="tr-TR"/>
        </w:rPr>
        <w:t xml:space="preserve">Nakit ve nakit benzerlerindeki risklerin niteliği ve düzeyine ilişkin açıklamalar Not </w:t>
      </w:r>
      <w:r w:rsidR="00CB4155" w:rsidRPr="00D00722">
        <w:rPr>
          <w:rFonts w:ascii="Arial" w:hAnsi="Arial" w:cs="Arial"/>
          <w:sz w:val="20"/>
          <w:szCs w:val="20"/>
          <w:lang w:val="tr-TR"/>
        </w:rPr>
        <w:t>24</w:t>
      </w:r>
      <w:r w:rsidRPr="00D00722">
        <w:rPr>
          <w:rFonts w:ascii="Arial" w:hAnsi="Arial" w:cs="Arial"/>
          <w:sz w:val="20"/>
          <w:szCs w:val="20"/>
          <w:lang w:val="tr-TR"/>
        </w:rPr>
        <w:t>’de sunulmuştur.</w:t>
      </w:r>
    </w:p>
    <w:p w:rsidR="00245BD3" w:rsidRPr="00D00722" w:rsidRDefault="009B4E2B" w:rsidP="00151742">
      <w:pPr>
        <w:pStyle w:val="body0"/>
        <w:spacing w:after="0" w:line="240" w:lineRule="auto"/>
        <w:ind w:right="-21"/>
        <w:rPr>
          <w:rFonts w:ascii="Arial" w:hAnsi="Arial" w:cs="Arial"/>
          <w:b/>
          <w:noProof/>
          <w:sz w:val="20"/>
          <w:szCs w:val="20"/>
          <w:lang w:val="tr-TR"/>
        </w:rPr>
      </w:pPr>
      <w:r w:rsidRPr="00D00722">
        <w:rPr>
          <w:rFonts w:ascii="Arial" w:hAnsi="Arial" w:cs="Arial"/>
          <w:b/>
          <w:noProof/>
          <w:sz w:val="20"/>
          <w:szCs w:val="20"/>
          <w:lang w:val="tr-TR"/>
        </w:rPr>
        <w:t>5</w:t>
      </w:r>
      <w:r w:rsidR="004B75AE" w:rsidRPr="00D00722">
        <w:rPr>
          <w:rFonts w:ascii="Arial" w:hAnsi="Arial" w:cs="Arial"/>
          <w:b/>
          <w:noProof/>
          <w:sz w:val="20"/>
          <w:szCs w:val="20"/>
          <w:lang w:val="tr-TR"/>
        </w:rPr>
        <w:t>.</w:t>
      </w:r>
      <w:r w:rsidR="004B75AE" w:rsidRPr="00D00722">
        <w:rPr>
          <w:rFonts w:ascii="Arial" w:hAnsi="Arial" w:cs="Arial"/>
          <w:b/>
          <w:noProof/>
          <w:sz w:val="20"/>
          <w:szCs w:val="20"/>
          <w:lang w:val="tr-TR"/>
        </w:rPr>
        <w:tab/>
      </w:r>
      <w:r w:rsidR="00AB50B6" w:rsidRPr="00D00722">
        <w:rPr>
          <w:rFonts w:ascii="Arial" w:hAnsi="Arial" w:cs="Arial"/>
          <w:b/>
          <w:noProof/>
          <w:sz w:val="20"/>
          <w:szCs w:val="20"/>
          <w:lang w:val="tr-TR"/>
        </w:rPr>
        <w:t>Finansal yatırımlar</w:t>
      </w:r>
    </w:p>
    <w:p w:rsidR="00F60B8B" w:rsidRPr="00D00722" w:rsidRDefault="00F60B8B" w:rsidP="00AE0484">
      <w:pPr>
        <w:pStyle w:val="body0"/>
        <w:spacing w:after="0" w:line="240" w:lineRule="auto"/>
        <w:ind w:left="567" w:right="-21" w:hanging="567"/>
        <w:rPr>
          <w:rFonts w:ascii="Arial" w:hAnsi="Arial" w:cs="Arial"/>
          <w:b/>
          <w:noProof/>
          <w:sz w:val="20"/>
          <w:szCs w:val="20"/>
          <w:lang w:val="tr-TR"/>
        </w:rPr>
      </w:pPr>
    </w:p>
    <w:p w:rsidR="00BC33EC" w:rsidRPr="00D00722" w:rsidRDefault="00BC33EC" w:rsidP="00AE0484">
      <w:pPr>
        <w:pStyle w:val="body0"/>
        <w:spacing w:after="0" w:line="240" w:lineRule="auto"/>
        <w:ind w:left="567" w:right="-21" w:hanging="567"/>
        <w:rPr>
          <w:rFonts w:ascii="Arial" w:hAnsi="Arial" w:cs="Arial"/>
          <w:b/>
          <w:noProof/>
          <w:sz w:val="20"/>
          <w:szCs w:val="20"/>
          <w:lang w:val="tr-TR"/>
        </w:rPr>
      </w:pPr>
      <w:r w:rsidRPr="00D00722">
        <w:rPr>
          <w:rFonts w:ascii="Arial" w:hAnsi="Arial" w:cs="Arial"/>
          <w:b/>
          <w:sz w:val="20"/>
          <w:szCs w:val="20"/>
          <w:lang w:val="tr-TR"/>
        </w:rPr>
        <w:t>Kısa vadeli finansal yatırımlar</w:t>
      </w:r>
    </w:p>
    <w:p w:rsidR="00BC33EC" w:rsidRPr="00D00722" w:rsidRDefault="00BC33EC" w:rsidP="00AE0484">
      <w:pPr>
        <w:pStyle w:val="body0"/>
        <w:spacing w:after="0" w:line="240" w:lineRule="auto"/>
        <w:ind w:left="567" w:right="-21" w:hanging="567"/>
        <w:rPr>
          <w:rFonts w:ascii="Arial" w:hAnsi="Arial" w:cs="Arial"/>
          <w:b/>
          <w:noProof/>
          <w:sz w:val="20"/>
          <w:szCs w:val="20"/>
          <w:lang w:val="tr-TR"/>
        </w:rPr>
      </w:pPr>
    </w:p>
    <w:tbl>
      <w:tblPr>
        <w:tblW w:w="9072" w:type="dxa"/>
        <w:tblInd w:w="108" w:type="dxa"/>
        <w:tblLayout w:type="fixed"/>
        <w:tblLook w:val="01E0"/>
      </w:tblPr>
      <w:tblGrid>
        <w:gridCol w:w="5670"/>
        <w:gridCol w:w="1701"/>
        <w:gridCol w:w="1701"/>
      </w:tblGrid>
      <w:tr w:rsidR="001E7D62" w:rsidRPr="00D00722" w:rsidTr="001E7D62">
        <w:tc>
          <w:tcPr>
            <w:tcW w:w="5670" w:type="dxa"/>
            <w:tcBorders>
              <w:top w:val="single" w:sz="4" w:space="0" w:color="auto"/>
              <w:bottom w:val="single" w:sz="4" w:space="0" w:color="auto"/>
            </w:tcBorders>
          </w:tcPr>
          <w:p w:rsidR="001E7D62" w:rsidRPr="00D00722" w:rsidRDefault="001E7D62" w:rsidP="003F2B3E">
            <w:pPr>
              <w:autoSpaceDE w:val="0"/>
              <w:autoSpaceDN w:val="0"/>
              <w:adjustRightInd w:val="0"/>
              <w:ind w:left="176" w:hanging="284"/>
              <w:jc w:val="both"/>
              <w:rPr>
                <w:rFonts w:ascii="Arial" w:hAnsi="Arial" w:cs="Arial"/>
                <w:lang w:val="tr-TR"/>
              </w:rPr>
            </w:pPr>
          </w:p>
        </w:tc>
        <w:tc>
          <w:tcPr>
            <w:tcW w:w="1701" w:type="dxa"/>
            <w:tcBorders>
              <w:top w:val="single" w:sz="4" w:space="0" w:color="auto"/>
              <w:bottom w:val="single" w:sz="4" w:space="0" w:color="auto"/>
            </w:tcBorders>
            <w:vAlign w:val="bottom"/>
          </w:tcPr>
          <w:p w:rsidR="001E7D62" w:rsidRPr="00D00722" w:rsidRDefault="001E7D62" w:rsidP="001E7D62">
            <w:pPr>
              <w:tabs>
                <w:tab w:val="left" w:pos="1422"/>
              </w:tabs>
              <w:autoSpaceDE w:val="0"/>
              <w:autoSpaceDN w:val="0"/>
              <w:adjustRightInd w:val="0"/>
              <w:jc w:val="right"/>
              <w:rPr>
                <w:rFonts w:ascii="Arial" w:hAnsi="Arial" w:cs="Arial"/>
                <w:b/>
                <w:lang w:val="tr-TR"/>
              </w:rPr>
            </w:pPr>
            <w:r w:rsidRPr="00D00722">
              <w:rPr>
                <w:rFonts w:ascii="Arial" w:hAnsi="Arial" w:cs="Arial"/>
                <w:b/>
                <w:lang w:val="tr-TR"/>
              </w:rPr>
              <w:t>31 Mart 2014</w:t>
            </w:r>
          </w:p>
        </w:tc>
        <w:tc>
          <w:tcPr>
            <w:tcW w:w="1701" w:type="dxa"/>
            <w:tcBorders>
              <w:top w:val="single" w:sz="4" w:space="0" w:color="auto"/>
              <w:bottom w:val="single" w:sz="4" w:space="0" w:color="auto"/>
            </w:tcBorders>
            <w:vAlign w:val="bottom"/>
          </w:tcPr>
          <w:p w:rsidR="001E7D62" w:rsidRPr="00D00722" w:rsidRDefault="001E7D62" w:rsidP="002B5FEF">
            <w:pPr>
              <w:tabs>
                <w:tab w:val="left" w:pos="1422"/>
              </w:tabs>
              <w:autoSpaceDE w:val="0"/>
              <w:autoSpaceDN w:val="0"/>
              <w:adjustRightInd w:val="0"/>
              <w:jc w:val="right"/>
              <w:rPr>
                <w:rFonts w:ascii="Arial" w:hAnsi="Arial" w:cs="Arial"/>
                <w:lang w:val="tr-TR"/>
              </w:rPr>
            </w:pPr>
            <w:r w:rsidRPr="00D00722">
              <w:rPr>
                <w:rFonts w:ascii="Arial" w:hAnsi="Arial" w:cs="Arial"/>
                <w:lang w:val="tr-TR"/>
              </w:rPr>
              <w:t>31 Aralık 2013</w:t>
            </w:r>
          </w:p>
        </w:tc>
      </w:tr>
      <w:tr w:rsidR="001E7D62" w:rsidRPr="00D00722" w:rsidTr="001E7D62">
        <w:tc>
          <w:tcPr>
            <w:tcW w:w="5670" w:type="dxa"/>
            <w:tcBorders>
              <w:top w:val="single" w:sz="4" w:space="0" w:color="auto"/>
            </w:tcBorders>
          </w:tcPr>
          <w:p w:rsidR="001E7D62" w:rsidRPr="00D00722" w:rsidRDefault="001E7D62" w:rsidP="003F2B3E">
            <w:pPr>
              <w:autoSpaceDE w:val="0"/>
              <w:autoSpaceDN w:val="0"/>
              <w:adjustRightInd w:val="0"/>
              <w:ind w:left="176" w:hanging="284"/>
              <w:jc w:val="both"/>
              <w:rPr>
                <w:rFonts w:ascii="Arial" w:hAnsi="Arial" w:cs="Arial"/>
                <w:lang w:val="tr-TR"/>
              </w:rPr>
            </w:pPr>
          </w:p>
        </w:tc>
        <w:tc>
          <w:tcPr>
            <w:tcW w:w="1701" w:type="dxa"/>
            <w:tcBorders>
              <w:top w:val="single" w:sz="4" w:space="0" w:color="auto"/>
            </w:tcBorders>
            <w:vAlign w:val="center"/>
          </w:tcPr>
          <w:p w:rsidR="001E7D62" w:rsidRPr="00D00722" w:rsidRDefault="001E7D62" w:rsidP="001A2951">
            <w:pPr>
              <w:tabs>
                <w:tab w:val="left" w:pos="1422"/>
              </w:tabs>
              <w:autoSpaceDE w:val="0"/>
              <w:autoSpaceDN w:val="0"/>
              <w:adjustRightInd w:val="0"/>
              <w:jc w:val="right"/>
              <w:rPr>
                <w:rFonts w:ascii="Arial" w:hAnsi="Arial" w:cs="Arial"/>
                <w:b/>
                <w:lang w:val="tr-TR"/>
              </w:rPr>
            </w:pPr>
          </w:p>
        </w:tc>
        <w:tc>
          <w:tcPr>
            <w:tcW w:w="1701" w:type="dxa"/>
            <w:tcBorders>
              <w:top w:val="single" w:sz="4" w:space="0" w:color="auto"/>
            </w:tcBorders>
            <w:vAlign w:val="center"/>
          </w:tcPr>
          <w:p w:rsidR="001E7D62" w:rsidRPr="00D00722" w:rsidRDefault="001E7D62" w:rsidP="002B5FEF">
            <w:pPr>
              <w:tabs>
                <w:tab w:val="left" w:pos="1422"/>
              </w:tabs>
              <w:autoSpaceDE w:val="0"/>
              <w:autoSpaceDN w:val="0"/>
              <w:adjustRightInd w:val="0"/>
              <w:jc w:val="right"/>
              <w:rPr>
                <w:rFonts w:ascii="Arial" w:hAnsi="Arial" w:cs="Arial"/>
                <w:lang w:val="tr-TR"/>
              </w:rPr>
            </w:pPr>
          </w:p>
        </w:tc>
      </w:tr>
      <w:tr w:rsidR="001E7D62" w:rsidRPr="00D00722" w:rsidTr="001E7D62">
        <w:tc>
          <w:tcPr>
            <w:tcW w:w="5670" w:type="dxa"/>
          </w:tcPr>
          <w:p w:rsidR="001E7D62" w:rsidRPr="00D00722" w:rsidRDefault="001E7D62" w:rsidP="003F2B3E">
            <w:pPr>
              <w:autoSpaceDE w:val="0"/>
              <w:autoSpaceDN w:val="0"/>
              <w:adjustRightInd w:val="0"/>
              <w:ind w:left="176" w:hanging="284"/>
              <w:jc w:val="both"/>
              <w:rPr>
                <w:rFonts w:ascii="Arial" w:hAnsi="Arial" w:cs="Arial"/>
                <w:lang w:val="tr-TR"/>
              </w:rPr>
            </w:pPr>
            <w:r w:rsidRPr="00D00722">
              <w:rPr>
                <w:rFonts w:ascii="Arial" w:hAnsi="Arial" w:cs="Arial"/>
                <w:lang w:val="tr-TR"/>
              </w:rPr>
              <w:t>Gerçeğe uygun değer farkı kar veya zarara yansıtılan finansal yatırımlar</w:t>
            </w:r>
          </w:p>
        </w:tc>
        <w:tc>
          <w:tcPr>
            <w:tcW w:w="1701" w:type="dxa"/>
            <w:vAlign w:val="bottom"/>
          </w:tcPr>
          <w:p w:rsidR="001E7D62" w:rsidRPr="00D00722" w:rsidRDefault="00280996" w:rsidP="00F731DE">
            <w:pPr>
              <w:tabs>
                <w:tab w:val="left" w:pos="1422"/>
              </w:tabs>
              <w:jc w:val="right"/>
              <w:rPr>
                <w:rFonts w:ascii="Arial" w:hAnsi="Arial" w:cs="Arial"/>
                <w:b/>
              </w:rPr>
            </w:pPr>
            <w:r w:rsidRPr="00D00722">
              <w:rPr>
                <w:rFonts w:ascii="Arial" w:hAnsi="Arial" w:cs="Arial"/>
                <w:b/>
              </w:rPr>
              <w:t>98.454</w:t>
            </w:r>
          </w:p>
        </w:tc>
        <w:tc>
          <w:tcPr>
            <w:tcW w:w="1701" w:type="dxa"/>
            <w:vAlign w:val="bottom"/>
          </w:tcPr>
          <w:p w:rsidR="001E7D62" w:rsidRPr="00D00722" w:rsidRDefault="001E7D62" w:rsidP="002B5FEF">
            <w:pPr>
              <w:tabs>
                <w:tab w:val="left" w:pos="1422"/>
              </w:tabs>
              <w:jc w:val="right"/>
              <w:rPr>
                <w:rFonts w:ascii="Arial" w:hAnsi="Arial" w:cs="Arial"/>
              </w:rPr>
            </w:pPr>
            <w:r w:rsidRPr="00D00722">
              <w:rPr>
                <w:rFonts w:ascii="Arial" w:hAnsi="Arial" w:cs="Arial"/>
              </w:rPr>
              <w:t>103.038</w:t>
            </w:r>
          </w:p>
        </w:tc>
      </w:tr>
      <w:tr w:rsidR="001E7D62" w:rsidRPr="00D00722" w:rsidTr="001E7D62">
        <w:tc>
          <w:tcPr>
            <w:tcW w:w="5670" w:type="dxa"/>
            <w:tcBorders>
              <w:bottom w:val="single" w:sz="8" w:space="0" w:color="auto"/>
            </w:tcBorders>
          </w:tcPr>
          <w:p w:rsidR="001E7D62" w:rsidRPr="00D00722" w:rsidRDefault="001E7D62" w:rsidP="003F2B3E">
            <w:pPr>
              <w:autoSpaceDE w:val="0"/>
              <w:autoSpaceDN w:val="0"/>
              <w:adjustRightInd w:val="0"/>
              <w:ind w:left="176" w:hanging="284"/>
              <w:jc w:val="both"/>
              <w:rPr>
                <w:rFonts w:ascii="Arial" w:hAnsi="Arial" w:cs="Arial"/>
                <w:lang w:val="tr-TR"/>
              </w:rPr>
            </w:pPr>
          </w:p>
        </w:tc>
        <w:tc>
          <w:tcPr>
            <w:tcW w:w="1701" w:type="dxa"/>
            <w:tcBorders>
              <w:bottom w:val="single" w:sz="8" w:space="0" w:color="auto"/>
            </w:tcBorders>
            <w:vAlign w:val="bottom"/>
          </w:tcPr>
          <w:p w:rsidR="001E7D62" w:rsidRPr="00D00722" w:rsidRDefault="001E7D62" w:rsidP="001A2951">
            <w:pPr>
              <w:tabs>
                <w:tab w:val="left" w:pos="1422"/>
              </w:tabs>
              <w:jc w:val="right"/>
              <w:rPr>
                <w:rFonts w:ascii="Arial" w:hAnsi="Arial" w:cs="Arial"/>
                <w:b/>
              </w:rPr>
            </w:pPr>
          </w:p>
        </w:tc>
        <w:tc>
          <w:tcPr>
            <w:tcW w:w="1701" w:type="dxa"/>
            <w:tcBorders>
              <w:bottom w:val="single" w:sz="8" w:space="0" w:color="auto"/>
            </w:tcBorders>
            <w:vAlign w:val="bottom"/>
          </w:tcPr>
          <w:p w:rsidR="001E7D62" w:rsidRPr="00D00722" w:rsidRDefault="001E7D62" w:rsidP="002B5FEF">
            <w:pPr>
              <w:tabs>
                <w:tab w:val="left" w:pos="1422"/>
              </w:tabs>
              <w:jc w:val="right"/>
              <w:rPr>
                <w:rFonts w:ascii="Arial" w:hAnsi="Arial" w:cs="Arial"/>
              </w:rPr>
            </w:pPr>
          </w:p>
        </w:tc>
      </w:tr>
      <w:tr w:rsidR="001E7D62" w:rsidRPr="00D00722" w:rsidTr="001E7D62">
        <w:tc>
          <w:tcPr>
            <w:tcW w:w="5670" w:type="dxa"/>
            <w:tcBorders>
              <w:top w:val="single" w:sz="8" w:space="0" w:color="auto"/>
              <w:bottom w:val="double" w:sz="4" w:space="0" w:color="auto"/>
            </w:tcBorders>
          </w:tcPr>
          <w:p w:rsidR="001E7D62" w:rsidRPr="00D00722" w:rsidRDefault="001E7D62" w:rsidP="003F2B3E">
            <w:pPr>
              <w:autoSpaceDE w:val="0"/>
              <w:autoSpaceDN w:val="0"/>
              <w:adjustRightInd w:val="0"/>
              <w:ind w:left="176" w:hanging="284"/>
              <w:jc w:val="both"/>
              <w:rPr>
                <w:rFonts w:ascii="Arial" w:hAnsi="Arial" w:cs="Arial"/>
                <w:lang w:val="tr-TR"/>
              </w:rPr>
            </w:pPr>
          </w:p>
        </w:tc>
        <w:tc>
          <w:tcPr>
            <w:tcW w:w="1701" w:type="dxa"/>
            <w:tcBorders>
              <w:top w:val="single" w:sz="8" w:space="0" w:color="auto"/>
              <w:bottom w:val="double" w:sz="4" w:space="0" w:color="auto"/>
            </w:tcBorders>
            <w:vAlign w:val="bottom"/>
          </w:tcPr>
          <w:p w:rsidR="001E7D62" w:rsidRPr="00D00722" w:rsidRDefault="00280996" w:rsidP="001A2951">
            <w:pPr>
              <w:tabs>
                <w:tab w:val="left" w:pos="1422"/>
              </w:tabs>
              <w:jc w:val="right"/>
              <w:rPr>
                <w:rFonts w:ascii="Arial" w:hAnsi="Arial" w:cs="Arial"/>
                <w:b/>
              </w:rPr>
            </w:pPr>
            <w:r w:rsidRPr="00D00722">
              <w:rPr>
                <w:rFonts w:ascii="Arial" w:hAnsi="Arial" w:cs="Arial"/>
                <w:b/>
              </w:rPr>
              <w:t>98.454</w:t>
            </w:r>
          </w:p>
        </w:tc>
        <w:tc>
          <w:tcPr>
            <w:tcW w:w="1701" w:type="dxa"/>
            <w:tcBorders>
              <w:top w:val="single" w:sz="8" w:space="0" w:color="auto"/>
              <w:bottom w:val="double" w:sz="4" w:space="0" w:color="auto"/>
            </w:tcBorders>
            <w:vAlign w:val="bottom"/>
          </w:tcPr>
          <w:p w:rsidR="001E7D62" w:rsidRPr="00D00722" w:rsidRDefault="001E7D62" w:rsidP="002B5FEF">
            <w:pPr>
              <w:tabs>
                <w:tab w:val="left" w:pos="1422"/>
              </w:tabs>
              <w:jc w:val="right"/>
              <w:rPr>
                <w:rFonts w:ascii="Arial" w:hAnsi="Arial" w:cs="Arial"/>
              </w:rPr>
            </w:pPr>
            <w:r w:rsidRPr="00D00722">
              <w:rPr>
                <w:rFonts w:ascii="Arial" w:hAnsi="Arial" w:cs="Arial"/>
              </w:rPr>
              <w:t>103.038</w:t>
            </w:r>
          </w:p>
        </w:tc>
      </w:tr>
    </w:tbl>
    <w:p w:rsidR="00B37F4A" w:rsidRPr="00D00722" w:rsidRDefault="00B37F4A">
      <w:pPr>
        <w:rPr>
          <w:rFonts w:ascii="Arial" w:hAnsi="Arial" w:cs="Arial"/>
          <w:noProof/>
          <w:lang w:val="tr-TR"/>
        </w:rPr>
      </w:pPr>
    </w:p>
    <w:p w:rsidR="001E7D62" w:rsidRPr="00D00722" w:rsidRDefault="001E7D62" w:rsidP="001E7D62">
      <w:pPr>
        <w:spacing w:line="230" w:lineRule="auto"/>
        <w:rPr>
          <w:rFonts w:ascii="Arial" w:hAnsi="Arial" w:cs="Arial"/>
          <w:noProof/>
          <w:sz w:val="16"/>
          <w:szCs w:val="16"/>
          <w:lang w:val="tr-TR"/>
        </w:rPr>
      </w:pPr>
    </w:p>
    <w:tbl>
      <w:tblPr>
        <w:tblW w:w="9072" w:type="dxa"/>
        <w:tblInd w:w="108" w:type="dxa"/>
        <w:tblLook w:val="0000"/>
      </w:tblPr>
      <w:tblGrid>
        <w:gridCol w:w="4820"/>
        <w:gridCol w:w="1301"/>
        <w:gridCol w:w="1487"/>
        <w:gridCol w:w="1464"/>
      </w:tblGrid>
      <w:tr w:rsidR="001E7D62" w:rsidRPr="00D00722" w:rsidTr="002B5FEF">
        <w:trPr>
          <w:trHeight w:val="113"/>
        </w:trPr>
        <w:tc>
          <w:tcPr>
            <w:tcW w:w="4820" w:type="dxa"/>
            <w:tcBorders>
              <w:top w:val="single" w:sz="4" w:space="0" w:color="auto"/>
              <w:bottom w:val="single" w:sz="4" w:space="0" w:color="auto"/>
            </w:tcBorders>
          </w:tcPr>
          <w:p w:rsidR="001E7D62" w:rsidRPr="00D00722" w:rsidRDefault="001E7D62" w:rsidP="002B5FEF">
            <w:pPr>
              <w:spacing w:line="230" w:lineRule="auto"/>
              <w:ind w:left="-108"/>
              <w:rPr>
                <w:rFonts w:ascii="Arial" w:hAnsi="Arial" w:cs="Arial"/>
                <w:lang w:val="tr-TR"/>
              </w:rPr>
            </w:pPr>
          </w:p>
        </w:tc>
        <w:tc>
          <w:tcPr>
            <w:tcW w:w="4252" w:type="dxa"/>
            <w:gridSpan w:val="3"/>
            <w:tcBorders>
              <w:top w:val="single" w:sz="4" w:space="0" w:color="auto"/>
              <w:bottom w:val="single" w:sz="4" w:space="0" w:color="auto"/>
            </w:tcBorders>
          </w:tcPr>
          <w:p w:rsidR="001E7D62" w:rsidRPr="00D00722" w:rsidRDefault="001E7D62" w:rsidP="001E7D62">
            <w:pPr>
              <w:spacing w:line="230" w:lineRule="auto"/>
              <w:jc w:val="center"/>
              <w:rPr>
                <w:rFonts w:ascii="Arial" w:hAnsi="Arial" w:cs="Arial"/>
                <w:b/>
                <w:lang w:val="tr-TR"/>
              </w:rPr>
            </w:pPr>
            <w:r w:rsidRPr="00D00722">
              <w:rPr>
                <w:rFonts w:ascii="Arial" w:hAnsi="Arial" w:cs="Arial"/>
                <w:b/>
                <w:lang w:val="tr-TR"/>
              </w:rPr>
              <w:t>31 Mart 2014</w:t>
            </w:r>
          </w:p>
        </w:tc>
      </w:tr>
      <w:tr w:rsidR="001E7D62" w:rsidRPr="00D00722" w:rsidTr="002B5FEF">
        <w:trPr>
          <w:trHeight w:val="113"/>
        </w:trPr>
        <w:tc>
          <w:tcPr>
            <w:tcW w:w="4820" w:type="dxa"/>
            <w:tcBorders>
              <w:top w:val="single" w:sz="4" w:space="0" w:color="auto"/>
            </w:tcBorders>
          </w:tcPr>
          <w:p w:rsidR="001E7D62" w:rsidRPr="00D00722" w:rsidRDefault="001E7D62" w:rsidP="002B5FEF">
            <w:pPr>
              <w:spacing w:line="230" w:lineRule="auto"/>
              <w:ind w:left="318" w:hanging="426"/>
              <w:rPr>
                <w:rFonts w:ascii="Arial" w:hAnsi="Arial" w:cs="Arial"/>
                <w:lang w:val="tr-TR"/>
              </w:rPr>
            </w:pPr>
            <w:r w:rsidRPr="00D00722">
              <w:rPr>
                <w:rFonts w:ascii="Arial" w:hAnsi="Arial" w:cs="Arial"/>
                <w:lang w:val="tr-TR"/>
              </w:rPr>
              <w:t>Gerçeğe uygun değer farkı kar veya zarara yansıtılan finansal varlıklar:</w:t>
            </w:r>
          </w:p>
        </w:tc>
        <w:tc>
          <w:tcPr>
            <w:tcW w:w="1301" w:type="dxa"/>
            <w:tcBorders>
              <w:top w:val="single" w:sz="4" w:space="0" w:color="auto"/>
            </w:tcBorders>
            <w:vAlign w:val="bottom"/>
          </w:tcPr>
          <w:p w:rsidR="001E7D62" w:rsidRPr="00D00722" w:rsidRDefault="001E7D62" w:rsidP="002B5FEF">
            <w:pPr>
              <w:spacing w:line="230" w:lineRule="auto"/>
              <w:jc w:val="right"/>
              <w:rPr>
                <w:rFonts w:ascii="Arial" w:hAnsi="Arial" w:cs="Arial"/>
                <w:b/>
                <w:lang w:val="tr-TR"/>
              </w:rPr>
            </w:pPr>
            <w:r w:rsidRPr="00D00722">
              <w:rPr>
                <w:rFonts w:ascii="Arial" w:hAnsi="Arial" w:cs="Arial"/>
                <w:b/>
                <w:lang w:val="tr-TR"/>
              </w:rPr>
              <w:t>Maliyet</w:t>
            </w:r>
          </w:p>
        </w:tc>
        <w:tc>
          <w:tcPr>
            <w:tcW w:w="1487" w:type="dxa"/>
            <w:tcBorders>
              <w:top w:val="single" w:sz="4" w:space="0" w:color="auto"/>
            </w:tcBorders>
            <w:vAlign w:val="bottom"/>
          </w:tcPr>
          <w:p w:rsidR="001E7D62" w:rsidRPr="00D00722" w:rsidRDefault="001E7D62" w:rsidP="002B5FEF">
            <w:pPr>
              <w:spacing w:line="230" w:lineRule="auto"/>
              <w:jc w:val="right"/>
              <w:rPr>
                <w:rFonts w:ascii="Arial" w:hAnsi="Arial" w:cs="Arial"/>
                <w:b/>
                <w:lang w:val="tr-TR"/>
              </w:rPr>
            </w:pPr>
            <w:r w:rsidRPr="00D00722">
              <w:rPr>
                <w:rFonts w:ascii="Arial" w:hAnsi="Arial" w:cs="Arial"/>
                <w:b/>
                <w:lang w:val="tr-TR"/>
              </w:rPr>
              <w:t>Makul değeri</w:t>
            </w:r>
          </w:p>
        </w:tc>
        <w:tc>
          <w:tcPr>
            <w:tcW w:w="1464" w:type="dxa"/>
            <w:tcBorders>
              <w:top w:val="single" w:sz="4" w:space="0" w:color="auto"/>
            </w:tcBorders>
            <w:vAlign w:val="bottom"/>
          </w:tcPr>
          <w:p w:rsidR="001E7D62" w:rsidRPr="00D00722" w:rsidRDefault="001E7D62" w:rsidP="002B5FEF">
            <w:pPr>
              <w:spacing w:line="230" w:lineRule="auto"/>
              <w:ind w:left="-61"/>
              <w:jc w:val="right"/>
              <w:rPr>
                <w:rFonts w:ascii="Arial" w:hAnsi="Arial" w:cs="Arial"/>
                <w:b/>
                <w:lang w:val="tr-TR"/>
              </w:rPr>
            </w:pPr>
            <w:r w:rsidRPr="00D00722">
              <w:rPr>
                <w:rFonts w:ascii="Arial" w:hAnsi="Arial" w:cs="Arial"/>
                <w:b/>
                <w:lang w:val="tr-TR"/>
              </w:rPr>
              <w:t>Kayıtlı değeri</w:t>
            </w:r>
          </w:p>
        </w:tc>
      </w:tr>
      <w:tr w:rsidR="001E7D62" w:rsidRPr="00D00722" w:rsidTr="002B5FEF">
        <w:trPr>
          <w:trHeight w:val="113"/>
        </w:trPr>
        <w:tc>
          <w:tcPr>
            <w:tcW w:w="4820" w:type="dxa"/>
            <w:tcBorders>
              <w:top w:val="single" w:sz="4" w:space="0" w:color="auto"/>
            </w:tcBorders>
          </w:tcPr>
          <w:p w:rsidR="001E7D62" w:rsidRPr="00D00722" w:rsidRDefault="001E7D62" w:rsidP="002B5FEF">
            <w:pPr>
              <w:spacing w:line="230" w:lineRule="auto"/>
              <w:ind w:left="318" w:hanging="426"/>
              <w:rPr>
                <w:rFonts w:ascii="Arial" w:hAnsi="Arial" w:cs="Arial"/>
                <w:lang w:val="tr-TR"/>
              </w:rPr>
            </w:pPr>
          </w:p>
        </w:tc>
        <w:tc>
          <w:tcPr>
            <w:tcW w:w="1301" w:type="dxa"/>
            <w:tcBorders>
              <w:top w:val="single" w:sz="4" w:space="0" w:color="auto"/>
            </w:tcBorders>
            <w:vAlign w:val="bottom"/>
          </w:tcPr>
          <w:p w:rsidR="001E7D62" w:rsidRPr="00D00722" w:rsidRDefault="001E7D62" w:rsidP="002B5FEF">
            <w:pPr>
              <w:spacing w:line="230" w:lineRule="auto"/>
              <w:jc w:val="right"/>
              <w:rPr>
                <w:rFonts w:ascii="Arial" w:hAnsi="Arial" w:cs="Arial"/>
                <w:b/>
                <w:lang w:val="tr-TR"/>
              </w:rPr>
            </w:pPr>
          </w:p>
        </w:tc>
        <w:tc>
          <w:tcPr>
            <w:tcW w:w="1487" w:type="dxa"/>
            <w:tcBorders>
              <w:top w:val="single" w:sz="4" w:space="0" w:color="auto"/>
            </w:tcBorders>
            <w:vAlign w:val="bottom"/>
          </w:tcPr>
          <w:p w:rsidR="001E7D62" w:rsidRPr="00D00722" w:rsidRDefault="001E7D62" w:rsidP="002B5FEF">
            <w:pPr>
              <w:spacing w:line="230" w:lineRule="auto"/>
              <w:jc w:val="right"/>
              <w:rPr>
                <w:rFonts w:ascii="Arial" w:hAnsi="Arial" w:cs="Arial"/>
                <w:b/>
                <w:lang w:val="tr-TR"/>
              </w:rPr>
            </w:pPr>
          </w:p>
        </w:tc>
        <w:tc>
          <w:tcPr>
            <w:tcW w:w="1464" w:type="dxa"/>
            <w:tcBorders>
              <w:top w:val="single" w:sz="4" w:space="0" w:color="auto"/>
            </w:tcBorders>
            <w:vAlign w:val="bottom"/>
          </w:tcPr>
          <w:p w:rsidR="001E7D62" w:rsidRPr="00D00722" w:rsidRDefault="001E7D62" w:rsidP="002B5FEF">
            <w:pPr>
              <w:spacing w:line="230" w:lineRule="auto"/>
              <w:jc w:val="right"/>
              <w:rPr>
                <w:rFonts w:ascii="Arial" w:hAnsi="Arial" w:cs="Arial"/>
                <w:b/>
                <w:lang w:val="tr-TR"/>
              </w:rPr>
            </w:pPr>
          </w:p>
        </w:tc>
      </w:tr>
      <w:tr w:rsidR="001E7D62" w:rsidRPr="00D00722" w:rsidTr="002B5FEF">
        <w:trPr>
          <w:trHeight w:val="113"/>
        </w:trPr>
        <w:tc>
          <w:tcPr>
            <w:tcW w:w="4820" w:type="dxa"/>
          </w:tcPr>
          <w:p w:rsidR="001E7D62" w:rsidRPr="00D00722" w:rsidRDefault="001E7D62" w:rsidP="002B5FEF">
            <w:pPr>
              <w:spacing w:line="230" w:lineRule="auto"/>
              <w:ind w:left="-108"/>
              <w:rPr>
                <w:rFonts w:ascii="Arial" w:hAnsi="Arial" w:cs="Arial"/>
                <w:lang w:val="tr-TR"/>
              </w:rPr>
            </w:pPr>
            <w:r w:rsidRPr="00D00722">
              <w:rPr>
                <w:rFonts w:ascii="Arial" w:hAnsi="Arial" w:cs="Arial"/>
                <w:lang w:val="tr-TR"/>
              </w:rPr>
              <w:t>Alım-satım amaçlı finansal varlıklar:</w:t>
            </w:r>
          </w:p>
        </w:tc>
        <w:tc>
          <w:tcPr>
            <w:tcW w:w="1301" w:type="dxa"/>
            <w:vAlign w:val="bottom"/>
          </w:tcPr>
          <w:p w:rsidR="001E7D62" w:rsidRPr="00D00722" w:rsidRDefault="001E7D62" w:rsidP="002B5FEF">
            <w:pPr>
              <w:spacing w:line="230" w:lineRule="auto"/>
              <w:jc w:val="right"/>
              <w:rPr>
                <w:rFonts w:ascii="Arial" w:hAnsi="Arial" w:cs="Arial"/>
                <w:b/>
                <w:lang w:val="tr-TR"/>
              </w:rPr>
            </w:pPr>
          </w:p>
        </w:tc>
        <w:tc>
          <w:tcPr>
            <w:tcW w:w="1487" w:type="dxa"/>
            <w:vAlign w:val="bottom"/>
          </w:tcPr>
          <w:p w:rsidR="001E7D62" w:rsidRPr="00D00722" w:rsidRDefault="001E7D62" w:rsidP="002B5FEF">
            <w:pPr>
              <w:spacing w:line="230" w:lineRule="auto"/>
              <w:jc w:val="right"/>
              <w:rPr>
                <w:rFonts w:ascii="Arial" w:hAnsi="Arial" w:cs="Arial"/>
                <w:b/>
                <w:lang w:val="tr-TR"/>
              </w:rPr>
            </w:pPr>
          </w:p>
        </w:tc>
        <w:tc>
          <w:tcPr>
            <w:tcW w:w="1464" w:type="dxa"/>
            <w:vAlign w:val="bottom"/>
          </w:tcPr>
          <w:p w:rsidR="001E7D62" w:rsidRPr="00D00722" w:rsidRDefault="001E7D62" w:rsidP="002B5FEF">
            <w:pPr>
              <w:spacing w:line="230" w:lineRule="auto"/>
              <w:jc w:val="right"/>
              <w:rPr>
                <w:rFonts w:ascii="Arial" w:hAnsi="Arial" w:cs="Arial"/>
                <w:b/>
                <w:lang w:val="tr-TR"/>
              </w:rPr>
            </w:pPr>
          </w:p>
        </w:tc>
      </w:tr>
      <w:tr w:rsidR="001E7D62" w:rsidRPr="00D00722" w:rsidTr="002B5FEF">
        <w:trPr>
          <w:trHeight w:val="113"/>
        </w:trPr>
        <w:tc>
          <w:tcPr>
            <w:tcW w:w="4820" w:type="dxa"/>
          </w:tcPr>
          <w:p w:rsidR="001E7D62" w:rsidRPr="00D00722" w:rsidRDefault="001E7D62" w:rsidP="002B5FEF">
            <w:pPr>
              <w:spacing w:line="230" w:lineRule="auto"/>
              <w:ind w:left="-108"/>
              <w:rPr>
                <w:rFonts w:ascii="Arial" w:hAnsi="Arial" w:cs="Arial"/>
                <w:lang w:val="tr-TR"/>
              </w:rPr>
            </w:pPr>
          </w:p>
        </w:tc>
        <w:tc>
          <w:tcPr>
            <w:tcW w:w="1301" w:type="dxa"/>
            <w:vAlign w:val="bottom"/>
          </w:tcPr>
          <w:p w:rsidR="001E7D62" w:rsidRPr="00D00722" w:rsidRDefault="001E7D62" w:rsidP="002B5FEF">
            <w:pPr>
              <w:spacing w:line="230" w:lineRule="auto"/>
              <w:jc w:val="right"/>
              <w:rPr>
                <w:rFonts w:ascii="Arial" w:hAnsi="Arial" w:cs="Arial"/>
                <w:b/>
                <w:lang w:val="tr-TR"/>
              </w:rPr>
            </w:pPr>
          </w:p>
        </w:tc>
        <w:tc>
          <w:tcPr>
            <w:tcW w:w="1487" w:type="dxa"/>
            <w:vAlign w:val="bottom"/>
          </w:tcPr>
          <w:p w:rsidR="001E7D62" w:rsidRPr="00D00722" w:rsidRDefault="001E7D62" w:rsidP="002B5FEF">
            <w:pPr>
              <w:spacing w:line="230" w:lineRule="auto"/>
              <w:jc w:val="right"/>
              <w:rPr>
                <w:rFonts w:ascii="Arial" w:hAnsi="Arial" w:cs="Arial"/>
                <w:b/>
                <w:lang w:val="tr-TR"/>
              </w:rPr>
            </w:pPr>
          </w:p>
        </w:tc>
        <w:tc>
          <w:tcPr>
            <w:tcW w:w="1464" w:type="dxa"/>
            <w:vAlign w:val="bottom"/>
          </w:tcPr>
          <w:p w:rsidR="001E7D62" w:rsidRPr="00D00722" w:rsidRDefault="001E7D62" w:rsidP="002B5FEF">
            <w:pPr>
              <w:spacing w:line="230" w:lineRule="auto"/>
              <w:jc w:val="right"/>
              <w:rPr>
                <w:rFonts w:ascii="Arial" w:hAnsi="Arial" w:cs="Arial"/>
                <w:b/>
                <w:lang w:val="tr-TR"/>
              </w:rPr>
            </w:pPr>
          </w:p>
        </w:tc>
      </w:tr>
      <w:tr w:rsidR="001E7D62" w:rsidRPr="00D00722" w:rsidTr="002B5FEF">
        <w:trPr>
          <w:trHeight w:val="113"/>
        </w:trPr>
        <w:tc>
          <w:tcPr>
            <w:tcW w:w="4820" w:type="dxa"/>
          </w:tcPr>
          <w:p w:rsidR="001E7D62" w:rsidRPr="00D00722" w:rsidRDefault="001E7D62" w:rsidP="002B5FEF">
            <w:pPr>
              <w:spacing w:line="230" w:lineRule="auto"/>
              <w:ind w:left="-108"/>
              <w:rPr>
                <w:rFonts w:ascii="Arial" w:hAnsi="Arial" w:cs="Arial"/>
                <w:lang w:val="tr-TR"/>
              </w:rPr>
            </w:pPr>
            <w:r w:rsidRPr="00D00722">
              <w:rPr>
                <w:rFonts w:ascii="Arial" w:hAnsi="Arial" w:cs="Arial"/>
                <w:lang w:val="tr-TR"/>
              </w:rPr>
              <w:t>Devlet tahvili</w:t>
            </w:r>
          </w:p>
        </w:tc>
        <w:tc>
          <w:tcPr>
            <w:tcW w:w="1301" w:type="dxa"/>
            <w:vAlign w:val="bottom"/>
          </w:tcPr>
          <w:p w:rsidR="001E7D62" w:rsidRPr="00D00722" w:rsidRDefault="00280996" w:rsidP="002B5FEF">
            <w:pPr>
              <w:spacing w:line="230" w:lineRule="auto"/>
              <w:jc w:val="right"/>
              <w:rPr>
                <w:rFonts w:ascii="Arial" w:hAnsi="Arial" w:cs="Arial"/>
                <w:b/>
                <w:color w:val="000000"/>
              </w:rPr>
            </w:pPr>
            <w:r w:rsidRPr="00D00722">
              <w:rPr>
                <w:rFonts w:ascii="Arial" w:hAnsi="Arial" w:cs="Arial"/>
                <w:b/>
                <w:color w:val="000000"/>
              </w:rPr>
              <w:t>100.000</w:t>
            </w:r>
          </w:p>
        </w:tc>
        <w:tc>
          <w:tcPr>
            <w:tcW w:w="1487" w:type="dxa"/>
          </w:tcPr>
          <w:p w:rsidR="001E7D62" w:rsidRPr="00D00722" w:rsidRDefault="00280996" w:rsidP="002B5FEF">
            <w:pPr>
              <w:spacing w:line="230" w:lineRule="auto"/>
              <w:jc w:val="right"/>
              <w:rPr>
                <w:rFonts w:ascii="Arial" w:hAnsi="Arial" w:cs="Arial"/>
                <w:b/>
                <w:color w:val="000000"/>
              </w:rPr>
            </w:pPr>
            <w:r w:rsidRPr="00D00722">
              <w:rPr>
                <w:rFonts w:ascii="Arial" w:hAnsi="Arial" w:cs="Arial"/>
                <w:b/>
                <w:color w:val="000000"/>
              </w:rPr>
              <w:t>98.454</w:t>
            </w:r>
          </w:p>
        </w:tc>
        <w:tc>
          <w:tcPr>
            <w:tcW w:w="1464" w:type="dxa"/>
          </w:tcPr>
          <w:p w:rsidR="001E7D62" w:rsidRPr="00D00722" w:rsidRDefault="00280996" w:rsidP="002B5FEF">
            <w:pPr>
              <w:spacing w:line="230" w:lineRule="auto"/>
              <w:jc w:val="right"/>
              <w:rPr>
                <w:rFonts w:ascii="Arial" w:hAnsi="Arial" w:cs="Arial"/>
                <w:b/>
                <w:color w:val="000000"/>
              </w:rPr>
            </w:pPr>
            <w:r w:rsidRPr="00D00722">
              <w:rPr>
                <w:rFonts w:ascii="Arial" w:hAnsi="Arial" w:cs="Arial"/>
                <w:b/>
                <w:color w:val="000000"/>
              </w:rPr>
              <w:t>98.454</w:t>
            </w:r>
          </w:p>
        </w:tc>
      </w:tr>
      <w:tr w:rsidR="001E7D62" w:rsidRPr="00D00722" w:rsidTr="002B5FEF">
        <w:trPr>
          <w:trHeight w:val="113"/>
        </w:trPr>
        <w:tc>
          <w:tcPr>
            <w:tcW w:w="4820" w:type="dxa"/>
            <w:tcBorders>
              <w:bottom w:val="single" w:sz="8" w:space="0" w:color="auto"/>
            </w:tcBorders>
          </w:tcPr>
          <w:p w:rsidR="001E7D62" w:rsidRPr="00D00722" w:rsidRDefault="001E7D62" w:rsidP="002B5FEF">
            <w:pPr>
              <w:spacing w:line="230" w:lineRule="auto"/>
              <w:ind w:left="-108"/>
              <w:rPr>
                <w:rFonts w:ascii="Arial" w:hAnsi="Arial" w:cs="Arial"/>
                <w:lang w:val="tr-TR"/>
              </w:rPr>
            </w:pPr>
          </w:p>
        </w:tc>
        <w:tc>
          <w:tcPr>
            <w:tcW w:w="1301" w:type="dxa"/>
            <w:tcBorders>
              <w:bottom w:val="single" w:sz="8" w:space="0" w:color="auto"/>
            </w:tcBorders>
            <w:vAlign w:val="bottom"/>
          </w:tcPr>
          <w:p w:rsidR="001E7D62" w:rsidRPr="00D00722" w:rsidRDefault="001E7D62" w:rsidP="002B5FEF">
            <w:pPr>
              <w:spacing w:line="230" w:lineRule="auto"/>
              <w:jc w:val="right"/>
              <w:rPr>
                <w:rFonts w:ascii="Arial" w:hAnsi="Arial" w:cs="Arial"/>
                <w:b/>
                <w:lang w:val="sv-SE"/>
              </w:rPr>
            </w:pPr>
          </w:p>
        </w:tc>
        <w:tc>
          <w:tcPr>
            <w:tcW w:w="1487" w:type="dxa"/>
            <w:tcBorders>
              <w:bottom w:val="single" w:sz="8" w:space="0" w:color="auto"/>
            </w:tcBorders>
            <w:vAlign w:val="bottom"/>
          </w:tcPr>
          <w:p w:rsidR="001E7D62" w:rsidRPr="00D00722" w:rsidRDefault="001E7D62" w:rsidP="002B5FEF">
            <w:pPr>
              <w:spacing w:line="230" w:lineRule="auto"/>
              <w:jc w:val="right"/>
              <w:rPr>
                <w:rFonts w:ascii="Arial" w:hAnsi="Arial" w:cs="Arial"/>
                <w:b/>
                <w:lang w:val="sv-SE"/>
              </w:rPr>
            </w:pPr>
          </w:p>
        </w:tc>
        <w:tc>
          <w:tcPr>
            <w:tcW w:w="1464" w:type="dxa"/>
            <w:tcBorders>
              <w:bottom w:val="single" w:sz="8" w:space="0" w:color="auto"/>
            </w:tcBorders>
            <w:vAlign w:val="bottom"/>
          </w:tcPr>
          <w:p w:rsidR="001E7D62" w:rsidRPr="00D00722" w:rsidRDefault="001E7D62" w:rsidP="002B5FEF">
            <w:pPr>
              <w:spacing w:line="230" w:lineRule="auto"/>
              <w:jc w:val="right"/>
              <w:rPr>
                <w:rFonts w:ascii="Arial" w:hAnsi="Arial" w:cs="Arial"/>
                <w:b/>
                <w:lang w:val="sv-SE"/>
              </w:rPr>
            </w:pPr>
          </w:p>
        </w:tc>
      </w:tr>
      <w:tr w:rsidR="001E7D62" w:rsidRPr="00D00722" w:rsidTr="002B5FEF">
        <w:trPr>
          <w:trHeight w:val="113"/>
        </w:trPr>
        <w:tc>
          <w:tcPr>
            <w:tcW w:w="4820" w:type="dxa"/>
            <w:tcBorders>
              <w:top w:val="single" w:sz="8" w:space="0" w:color="auto"/>
              <w:bottom w:val="double" w:sz="4" w:space="0" w:color="auto"/>
            </w:tcBorders>
          </w:tcPr>
          <w:p w:rsidR="001E7D62" w:rsidRPr="00D00722" w:rsidRDefault="001E7D62" w:rsidP="002B5FEF">
            <w:pPr>
              <w:spacing w:line="230" w:lineRule="auto"/>
              <w:rPr>
                <w:rFonts w:ascii="Arial" w:hAnsi="Arial" w:cs="Arial"/>
                <w:lang w:val="tr-TR"/>
              </w:rPr>
            </w:pPr>
          </w:p>
        </w:tc>
        <w:tc>
          <w:tcPr>
            <w:tcW w:w="1301" w:type="dxa"/>
            <w:tcBorders>
              <w:top w:val="single" w:sz="8" w:space="0" w:color="auto"/>
              <w:bottom w:val="double" w:sz="4" w:space="0" w:color="auto"/>
            </w:tcBorders>
            <w:vAlign w:val="bottom"/>
          </w:tcPr>
          <w:p w:rsidR="001E7D62" w:rsidRPr="00D00722" w:rsidRDefault="001E7D62" w:rsidP="002B5FEF">
            <w:pPr>
              <w:spacing w:line="230" w:lineRule="auto"/>
              <w:jc w:val="right"/>
              <w:rPr>
                <w:rFonts w:ascii="Arial" w:hAnsi="Arial" w:cs="Arial"/>
                <w:b/>
                <w:color w:val="000000"/>
              </w:rPr>
            </w:pPr>
            <w:r w:rsidRPr="00D00722">
              <w:rPr>
                <w:rFonts w:ascii="Arial" w:hAnsi="Arial" w:cs="Arial"/>
                <w:b/>
                <w:color w:val="000000"/>
              </w:rPr>
              <w:t>100.000</w:t>
            </w:r>
          </w:p>
        </w:tc>
        <w:tc>
          <w:tcPr>
            <w:tcW w:w="1487" w:type="dxa"/>
            <w:tcBorders>
              <w:top w:val="single" w:sz="8" w:space="0" w:color="auto"/>
              <w:bottom w:val="double" w:sz="4" w:space="0" w:color="auto"/>
            </w:tcBorders>
          </w:tcPr>
          <w:p w:rsidR="001E7D62" w:rsidRPr="00D00722" w:rsidRDefault="00280996" w:rsidP="00280996">
            <w:pPr>
              <w:spacing w:line="230" w:lineRule="auto"/>
              <w:jc w:val="right"/>
              <w:rPr>
                <w:rFonts w:ascii="Arial" w:hAnsi="Arial" w:cs="Arial"/>
                <w:b/>
                <w:lang w:val="tr-TR"/>
              </w:rPr>
            </w:pPr>
            <w:r w:rsidRPr="00D00722">
              <w:rPr>
                <w:rFonts w:ascii="Arial" w:hAnsi="Arial" w:cs="Arial"/>
                <w:b/>
                <w:lang w:val="tr-TR"/>
              </w:rPr>
              <w:t>98.454</w:t>
            </w:r>
          </w:p>
        </w:tc>
        <w:tc>
          <w:tcPr>
            <w:tcW w:w="1464" w:type="dxa"/>
            <w:tcBorders>
              <w:top w:val="single" w:sz="8" w:space="0" w:color="auto"/>
              <w:bottom w:val="double" w:sz="4" w:space="0" w:color="auto"/>
            </w:tcBorders>
          </w:tcPr>
          <w:p w:rsidR="001E7D62" w:rsidRPr="00D00722" w:rsidRDefault="00280996" w:rsidP="00280996">
            <w:pPr>
              <w:spacing w:line="230" w:lineRule="auto"/>
              <w:jc w:val="right"/>
              <w:rPr>
                <w:rFonts w:ascii="Arial" w:hAnsi="Arial" w:cs="Arial"/>
                <w:b/>
                <w:lang w:val="tr-TR"/>
              </w:rPr>
            </w:pPr>
            <w:r w:rsidRPr="00D00722">
              <w:rPr>
                <w:rFonts w:ascii="Arial" w:hAnsi="Arial" w:cs="Arial"/>
                <w:b/>
                <w:lang w:val="tr-TR"/>
              </w:rPr>
              <w:t>98.454</w:t>
            </w:r>
          </w:p>
        </w:tc>
      </w:tr>
    </w:tbl>
    <w:p w:rsidR="001E7D62" w:rsidRPr="00D00722" w:rsidRDefault="001E7D62" w:rsidP="00B37F4A">
      <w:pPr>
        <w:spacing w:line="230" w:lineRule="auto"/>
        <w:rPr>
          <w:rFonts w:ascii="Arial" w:hAnsi="Arial" w:cs="Arial"/>
          <w:noProof/>
          <w:sz w:val="16"/>
          <w:szCs w:val="16"/>
          <w:lang w:val="tr-TR"/>
        </w:rPr>
      </w:pPr>
    </w:p>
    <w:p w:rsidR="001E7D62" w:rsidRPr="00D00722" w:rsidRDefault="001E7D62" w:rsidP="00B37F4A">
      <w:pPr>
        <w:spacing w:line="230" w:lineRule="auto"/>
        <w:rPr>
          <w:rFonts w:ascii="Arial" w:hAnsi="Arial" w:cs="Arial"/>
          <w:noProof/>
          <w:sz w:val="16"/>
          <w:szCs w:val="16"/>
          <w:lang w:val="tr-TR"/>
        </w:rPr>
      </w:pPr>
    </w:p>
    <w:p w:rsidR="00ED0BCD" w:rsidRPr="00D00722" w:rsidRDefault="008600ED" w:rsidP="00B37F4A">
      <w:pPr>
        <w:spacing w:line="230" w:lineRule="auto"/>
        <w:rPr>
          <w:rFonts w:ascii="Arial" w:hAnsi="Arial" w:cs="Arial"/>
          <w:lang w:val="tr-TR"/>
        </w:rPr>
      </w:pPr>
      <w:r w:rsidRPr="00D00722">
        <w:rPr>
          <w:rFonts w:ascii="Arial" w:hAnsi="Arial" w:cs="Arial"/>
          <w:lang w:val="tr-TR"/>
        </w:rPr>
        <w:t xml:space="preserve">Şirket’in faaliyeti gereği finansal yatırımlar hesabında bulunan kıymetler, alım satım amaçlı menkul kıymetler olup, gerçeğe uygun değerleri ile değerlenmişlerdir. Gerçeğe uygun  değer </w:t>
      </w:r>
      <w:r w:rsidR="003972A7" w:rsidRPr="00D00722">
        <w:rPr>
          <w:rFonts w:ascii="Arial" w:hAnsi="Arial" w:cs="Arial"/>
          <w:lang w:val="tr-TR"/>
        </w:rPr>
        <w:t xml:space="preserve">31 </w:t>
      </w:r>
      <w:r w:rsidR="006102ED" w:rsidRPr="00D00722">
        <w:rPr>
          <w:rFonts w:ascii="Arial" w:hAnsi="Arial" w:cs="Arial"/>
          <w:lang w:val="tr-TR"/>
        </w:rPr>
        <w:t>Mart</w:t>
      </w:r>
      <w:r w:rsidR="003972A7" w:rsidRPr="00D00722">
        <w:rPr>
          <w:rFonts w:ascii="Arial" w:hAnsi="Arial" w:cs="Arial"/>
          <w:lang w:val="tr-TR"/>
        </w:rPr>
        <w:t xml:space="preserve"> </w:t>
      </w:r>
      <w:r w:rsidR="00C27A17" w:rsidRPr="00D00722">
        <w:rPr>
          <w:rFonts w:ascii="Arial" w:hAnsi="Arial" w:cs="Arial"/>
          <w:lang w:val="tr-TR"/>
        </w:rPr>
        <w:t>201</w:t>
      </w:r>
      <w:r w:rsidR="006102ED" w:rsidRPr="00D00722">
        <w:rPr>
          <w:rFonts w:ascii="Arial" w:hAnsi="Arial" w:cs="Arial"/>
          <w:lang w:val="tr-TR"/>
        </w:rPr>
        <w:t>4</w:t>
      </w:r>
      <w:r w:rsidRPr="00D00722">
        <w:rPr>
          <w:rFonts w:ascii="Arial" w:hAnsi="Arial" w:cs="Arial"/>
          <w:lang w:val="tr-TR"/>
        </w:rPr>
        <w:t xml:space="preserve"> tarihi itibar</w:t>
      </w:r>
      <w:r w:rsidR="00200AA8" w:rsidRPr="00D00722">
        <w:rPr>
          <w:rFonts w:ascii="Arial" w:hAnsi="Arial" w:cs="Arial"/>
          <w:lang w:val="tr-TR"/>
        </w:rPr>
        <w:t>i</w:t>
      </w:r>
      <w:r w:rsidRPr="00D00722">
        <w:rPr>
          <w:rFonts w:ascii="Arial" w:hAnsi="Arial" w:cs="Arial"/>
          <w:lang w:val="tr-TR"/>
        </w:rPr>
        <w:t>yl</w:t>
      </w:r>
      <w:r w:rsidR="00200AA8" w:rsidRPr="00D00722">
        <w:rPr>
          <w:rFonts w:ascii="Arial" w:hAnsi="Arial" w:cs="Arial"/>
          <w:lang w:val="tr-TR"/>
        </w:rPr>
        <w:t>e</w:t>
      </w:r>
      <w:r w:rsidR="00CB4155" w:rsidRPr="00D00722">
        <w:rPr>
          <w:rFonts w:ascii="Arial" w:hAnsi="Arial" w:cs="Arial"/>
          <w:lang w:val="tr-TR"/>
        </w:rPr>
        <w:t xml:space="preserve"> BİST</w:t>
      </w:r>
      <w:r w:rsidRPr="00D00722">
        <w:rPr>
          <w:rFonts w:ascii="Arial" w:hAnsi="Arial" w:cs="Arial"/>
          <w:lang w:val="tr-TR"/>
        </w:rPr>
        <w:t>’de bekleyen güncel emirler arasındaki en iyi alış emirlerini, bunların bulunmaması durumunda gerçekleşen en yakın zamanlı işlemin fiyatını, bunun da olmaması durumunda ise ağırlıklı ortalama fiyatını ifade etmektedir.</w:t>
      </w:r>
    </w:p>
    <w:p w:rsidR="002C74D8" w:rsidRPr="00D00722" w:rsidRDefault="002C74D8" w:rsidP="00B37F4A">
      <w:pPr>
        <w:spacing w:line="230" w:lineRule="auto"/>
        <w:rPr>
          <w:rFonts w:ascii="Arial" w:hAnsi="Arial" w:cs="Arial"/>
          <w:sz w:val="16"/>
          <w:szCs w:val="16"/>
          <w:lang w:val="tr-TR"/>
        </w:rPr>
      </w:pPr>
    </w:p>
    <w:tbl>
      <w:tblPr>
        <w:tblW w:w="9072" w:type="dxa"/>
        <w:tblInd w:w="108" w:type="dxa"/>
        <w:tblLook w:val="0000"/>
      </w:tblPr>
      <w:tblGrid>
        <w:gridCol w:w="4820"/>
        <w:gridCol w:w="1301"/>
        <w:gridCol w:w="1487"/>
        <w:gridCol w:w="1464"/>
      </w:tblGrid>
      <w:tr w:rsidR="001E7D62" w:rsidRPr="00D00722" w:rsidTr="002B5FEF">
        <w:trPr>
          <w:trHeight w:val="113"/>
        </w:trPr>
        <w:tc>
          <w:tcPr>
            <w:tcW w:w="4820" w:type="dxa"/>
            <w:tcBorders>
              <w:top w:val="single" w:sz="4" w:space="0" w:color="auto"/>
            </w:tcBorders>
          </w:tcPr>
          <w:p w:rsidR="001E7D62" w:rsidRPr="00D00722" w:rsidRDefault="001E7D62" w:rsidP="002B5FEF">
            <w:pPr>
              <w:spacing w:line="230" w:lineRule="auto"/>
              <w:ind w:left="318" w:hanging="426"/>
              <w:rPr>
                <w:rFonts w:ascii="Arial" w:hAnsi="Arial" w:cs="Arial"/>
                <w:lang w:val="tr-TR"/>
              </w:rPr>
            </w:pPr>
            <w:r w:rsidRPr="00D00722">
              <w:rPr>
                <w:rFonts w:ascii="Arial" w:hAnsi="Arial" w:cs="Arial"/>
                <w:lang w:val="tr-TR"/>
              </w:rPr>
              <w:t>Gerçeğe uygun değer farkı kar veya zarara yansıtılan finansal varlıklar:</w:t>
            </w:r>
          </w:p>
        </w:tc>
        <w:tc>
          <w:tcPr>
            <w:tcW w:w="1301" w:type="dxa"/>
            <w:tcBorders>
              <w:top w:val="single" w:sz="4" w:space="0" w:color="auto"/>
            </w:tcBorders>
            <w:vAlign w:val="bottom"/>
          </w:tcPr>
          <w:p w:rsidR="001E7D62" w:rsidRPr="00D00722" w:rsidRDefault="001E7D62" w:rsidP="002B5FEF">
            <w:pPr>
              <w:spacing w:line="230" w:lineRule="auto"/>
              <w:jc w:val="right"/>
              <w:rPr>
                <w:rFonts w:ascii="Arial" w:hAnsi="Arial" w:cs="Arial"/>
                <w:lang w:val="tr-TR"/>
              </w:rPr>
            </w:pPr>
            <w:r w:rsidRPr="00D00722">
              <w:rPr>
                <w:rFonts w:ascii="Arial" w:hAnsi="Arial" w:cs="Arial"/>
                <w:lang w:val="tr-TR"/>
              </w:rPr>
              <w:t>Maliyet</w:t>
            </w:r>
          </w:p>
        </w:tc>
        <w:tc>
          <w:tcPr>
            <w:tcW w:w="1487" w:type="dxa"/>
            <w:tcBorders>
              <w:top w:val="single" w:sz="4" w:space="0" w:color="auto"/>
            </w:tcBorders>
            <w:vAlign w:val="bottom"/>
          </w:tcPr>
          <w:p w:rsidR="001E7D62" w:rsidRPr="00D00722" w:rsidRDefault="001E7D62" w:rsidP="002B5FEF">
            <w:pPr>
              <w:spacing w:line="230" w:lineRule="auto"/>
              <w:jc w:val="right"/>
              <w:rPr>
                <w:rFonts w:ascii="Arial" w:hAnsi="Arial" w:cs="Arial"/>
                <w:lang w:val="tr-TR"/>
              </w:rPr>
            </w:pPr>
            <w:r w:rsidRPr="00D00722">
              <w:rPr>
                <w:rFonts w:ascii="Arial" w:hAnsi="Arial" w:cs="Arial"/>
                <w:lang w:val="tr-TR"/>
              </w:rPr>
              <w:t>Makul değeri</w:t>
            </w:r>
          </w:p>
        </w:tc>
        <w:tc>
          <w:tcPr>
            <w:tcW w:w="1464" w:type="dxa"/>
            <w:tcBorders>
              <w:top w:val="single" w:sz="4" w:space="0" w:color="auto"/>
            </w:tcBorders>
            <w:vAlign w:val="bottom"/>
          </w:tcPr>
          <w:p w:rsidR="001E7D62" w:rsidRPr="00D00722" w:rsidRDefault="001E7D62" w:rsidP="002B5FEF">
            <w:pPr>
              <w:spacing w:line="230" w:lineRule="auto"/>
              <w:ind w:left="-61"/>
              <w:jc w:val="right"/>
              <w:rPr>
                <w:rFonts w:ascii="Arial" w:hAnsi="Arial" w:cs="Arial"/>
                <w:lang w:val="tr-TR"/>
              </w:rPr>
            </w:pPr>
            <w:r w:rsidRPr="00D00722">
              <w:rPr>
                <w:rFonts w:ascii="Arial" w:hAnsi="Arial" w:cs="Arial"/>
                <w:lang w:val="tr-TR"/>
              </w:rPr>
              <w:t>Kayıtlı değeri</w:t>
            </w:r>
          </w:p>
        </w:tc>
      </w:tr>
      <w:tr w:rsidR="001E7D62" w:rsidRPr="00D00722" w:rsidTr="002B5FEF">
        <w:trPr>
          <w:trHeight w:val="113"/>
        </w:trPr>
        <w:tc>
          <w:tcPr>
            <w:tcW w:w="4820" w:type="dxa"/>
            <w:tcBorders>
              <w:top w:val="single" w:sz="4" w:space="0" w:color="auto"/>
            </w:tcBorders>
          </w:tcPr>
          <w:p w:rsidR="001E7D62" w:rsidRPr="00D00722" w:rsidRDefault="001E7D62" w:rsidP="002B5FEF">
            <w:pPr>
              <w:spacing w:line="230" w:lineRule="auto"/>
              <w:ind w:left="318" w:hanging="426"/>
              <w:rPr>
                <w:rFonts w:ascii="Arial" w:hAnsi="Arial" w:cs="Arial"/>
                <w:lang w:val="tr-TR"/>
              </w:rPr>
            </w:pPr>
          </w:p>
        </w:tc>
        <w:tc>
          <w:tcPr>
            <w:tcW w:w="1301" w:type="dxa"/>
            <w:tcBorders>
              <w:top w:val="single" w:sz="4" w:space="0" w:color="auto"/>
            </w:tcBorders>
            <w:vAlign w:val="bottom"/>
          </w:tcPr>
          <w:p w:rsidR="001E7D62" w:rsidRPr="00D00722" w:rsidRDefault="001E7D62" w:rsidP="002B5FEF">
            <w:pPr>
              <w:spacing w:line="230" w:lineRule="auto"/>
              <w:jc w:val="right"/>
              <w:rPr>
                <w:rFonts w:ascii="Arial" w:hAnsi="Arial" w:cs="Arial"/>
                <w:lang w:val="tr-TR"/>
              </w:rPr>
            </w:pPr>
          </w:p>
        </w:tc>
        <w:tc>
          <w:tcPr>
            <w:tcW w:w="1487" w:type="dxa"/>
            <w:tcBorders>
              <w:top w:val="single" w:sz="4" w:space="0" w:color="auto"/>
            </w:tcBorders>
            <w:vAlign w:val="bottom"/>
          </w:tcPr>
          <w:p w:rsidR="001E7D62" w:rsidRPr="00D00722" w:rsidRDefault="001E7D62" w:rsidP="002B5FEF">
            <w:pPr>
              <w:spacing w:line="230" w:lineRule="auto"/>
              <w:jc w:val="right"/>
              <w:rPr>
                <w:rFonts w:ascii="Arial" w:hAnsi="Arial" w:cs="Arial"/>
                <w:lang w:val="tr-TR"/>
              </w:rPr>
            </w:pPr>
          </w:p>
        </w:tc>
        <w:tc>
          <w:tcPr>
            <w:tcW w:w="1464" w:type="dxa"/>
            <w:tcBorders>
              <w:top w:val="single" w:sz="4" w:space="0" w:color="auto"/>
            </w:tcBorders>
            <w:vAlign w:val="bottom"/>
          </w:tcPr>
          <w:p w:rsidR="001E7D62" w:rsidRPr="00D00722" w:rsidRDefault="001E7D62" w:rsidP="002B5FEF">
            <w:pPr>
              <w:spacing w:line="230" w:lineRule="auto"/>
              <w:jc w:val="right"/>
              <w:rPr>
                <w:rFonts w:ascii="Arial" w:hAnsi="Arial" w:cs="Arial"/>
                <w:lang w:val="tr-TR"/>
              </w:rPr>
            </w:pPr>
          </w:p>
        </w:tc>
      </w:tr>
      <w:tr w:rsidR="001E7D62" w:rsidRPr="00D00722" w:rsidTr="002B5FEF">
        <w:trPr>
          <w:trHeight w:val="113"/>
        </w:trPr>
        <w:tc>
          <w:tcPr>
            <w:tcW w:w="4820" w:type="dxa"/>
          </w:tcPr>
          <w:p w:rsidR="001E7D62" w:rsidRPr="00D00722" w:rsidRDefault="001E7D62" w:rsidP="002B5FEF">
            <w:pPr>
              <w:spacing w:line="230" w:lineRule="auto"/>
              <w:ind w:left="-108"/>
              <w:rPr>
                <w:rFonts w:ascii="Arial" w:hAnsi="Arial" w:cs="Arial"/>
                <w:lang w:val="tr-TR"/>
              </w:rPr>
            </w:pPr>
            <w:r w:rsidRPr="00D00722">
              <w:rPr>
                <w:rFonts w:ascii="Arial" w:hAnsi="Arial" w:cs="Arial"/>
                <w:lang w:val="tr-TR"/>
              </w:rPr>
              <w:t>Alım-satım amaçlı finansal varlıklar:</w:t>
            </w:r>
          </w:p>
        </w:tc>
        <w:tc>
          <w:tcPr>
            <w:tcW w:w="1301" w:type="dxa"/>
            <w:vAlign w:val="bottom"/>
          </w:tcPr>
          <w:p w:rsidR="001E7D62" w:rsidRPr="00D00722" w:rsidRDefault="001E7D62" w:rsidP="002B5FEF">
            <w:pPr>
              <w:spacing w:line="230" w:lineRule="auto"/>
              <w:jc w:val="right"/>
              <w:rPr>
                <w:rFonts w:ascii="Arial" w:hAnsi="Arial" w:cs="Arial"/>
                <w:lang w:val="tr-TR"/>
              </w:rPr>
            </w:pPr>
          </w:p>
        </w:tc>
        <w:tc>
          <w:tcPr>
            <w:tcW w:w="1487" w:type="dxa"/>
            <w:vAlign w:val="bottom"/>
          </w:tcPr>
          <w:p w:rsidR="001E7D62" w:rsidRPr="00D00722" w:rsidRDefault="001E7D62" w:rsidP="002B5FEF">
            <w:pPr>
              <w:spacing w:line="230" w:lineRule="auto"/>
              <w:jc w:val="right"/>
              <w:rPr>
                <w:rFonts w:ascii="Arial" w:hAnsi="Arial" w:cs="Arial"/>
                <w:lang w:val="tr-TR"/>
              </w:rPr>
            </w:pPr>
          </w:p>
        </w:tc>
        <w:tc>
          <w:tcPr>
            <w:tcW w:w="1464" w:type="dxa"/>
            <w:vAlign w:val="bottom"/>
          </w:tcPr>
          <w:p w:rsidR="001E7D62" w:rsidRPr="00D00722" w:rsidRDefault="001E7D62" w:rsidP="002B5FEF">
            <w:pPr>
              <w:spacing w:line="230" w:lineRule="auto"/>
              <w:jc w:val="right"/>
              <w:rPr>
                <w:rFonts w:ascii="Arial" w:hAnsi="Arial" w:cs="Arial"/>
                <w:lang w:val="tr-TR"/>
              </w:rPr>
            </w:pPr>
          </w:p>
        </w:tc>
      </w:tr>
      <w:tr w:rsidR="001E7D62" w:rsidRPr="00D00722" w:rsidTr="002B5FEF">
        <w:trPr>
          <w:trHeight w:val="113"/>
        </w:trPr>
        <w:tc>
          <w:tcPr>
            <w:tcW w:w="4820" w:type="dxa"/>
          </w:tcPr>
          <w:p w:rsidR="001E7D62" w:rsidRPr="00D00722" w:rsidRDefault="001E7D62" w:rsidP="002B5FEF">
            <w:pPr>
              <w:spacing w:line="230" w:lineRule="auto"/>
              <w:ind w:left="-108"/>
              <w:rPr>
                <w:rFonts w:ascii="Arial" w:hAnsi="Arial" w:cs="Arial"/>
                <w:lang w:val="tr-TR"/>
              </w:rPr>
            </w:pPr>
          </w:p>
        </w:tc>
        <w:tc>
          <w:tcPr>
            <w:tcW w:w="1301" w:type="dxa"/>
            <w:vAlign w:val="bottom"/>
          </w:tcPr>
          <w:p w:rsidR="001E7D62" w:rsidRPr="00D00722" w:rsidRDefault="001E7D62" w:rsidP="002B5FEF">
            <w:pPr>
              <w:spacing w:line="230" w:lineRule="auto"/>
              <w:jc w:val="right"/>
              <w:rPr>
                <w:rFonts w:ascii="Arial" w:hAnsi="Arial" w:cs="Arial"/>
                <w:lang w:val="tr-TR"/>
              </w:rPr>
            </w:pPr>
          </w:p>
        </w:tc>
        <w:tc>
          <w:tcPr>
            <w:tcW w:w="1487" w:type="dxa"/>
            <w:vAlign w:val="bottom"/>
          </w:tcPr>
          <w:p w:rsidR="001E7D62" w:rsidRPr="00D00722" w:rsidRDefault="001E7D62" w:rsidP="002B5FEF">
            <w:pPr>
              <w:spacing w:line="230" w:lineRule="auto"/>
              <w:jc w:val="right"/>
              <w:rPr>
                <w:rFonts w:ascii="Arial" w:hAnsi="Arial" w:cs="Arial"/>
                <w:lang w:val="tr-TR"/>
              </w:rPr>
            </w:pPr>
          </w:p>
        </w:tc>
        <w:tc>
          <w:tcPr>
            <w:tcW w:w="1464" w:type="dxa"/>
            <w:vAlign w:val="bottom"/>
          </w:tcPr>
          <w:p w:rsidR="001E7D62" w:rsidRPr="00D00722" w:rsidRDefault="001E7D62" w:rsidP="002B5FEF">
            <w:pPr>
              <w:spacing w:line="230" w:lineRule="auto"/>
              <w:jc w:val="right"/>
              <w:rPr>
                <w:rFonts w:ascii="Arial" w:hAnsi="Arial" w:cs="Arial"/>
                <w:lang w:val="tr-TR"/>
              </w:rPr>
            </w:pPr>
          </w:p>
        </w:tc>
      </w:tr>
      <w:tr w:rsidR="001E7D62" w:rsidRPr="00D00722" w:rsidTr="002B5FEF">
        <w:trPr>
          <w:trHeight w:val="113"/>
        </w:trPr>
        <w:tc>
          <w:tcPr>
            <w:tcW w:w="4820" w:type="dxa"/>
          </w:tcPr>
          <w:p w:rsidR="001E7D62" w:rsidRPr="00D00722" w:rsidRDefault="001E7D62" w:rsidP="002B5FEF">
            <w:pPr>
              <w:spacing w:line="230" w:lineRule="auto"/>
              <w:ind w:left="-108"/>
              <w:rPr>
                <w:rFonts w:ascii="Arial" w:hAnsi="Arial" w:cs="Arial"/>
                <w:lang w:val="tr-TR"/>
              </w:rPr>
            </w:pPr>
            <w:r w:rsidRPr="00D00722">
              <w:rPr>
                <w:rFonts w:ascii="Arial" w:hAnsi="Arial" w:cs="Arial"/>
                <w:lang w:val="tr-TR"/>
              </w:rPr>
              <w:t>Devlet tahvili</w:t>
            </w:r>
          </w:p>
        </w:tc>
        <w:tc>
          <w:tcPr>
            <w:tcW w:w="1301" w:type="dxa"/>
            <w:vAlign w:val="bottom"/>
          </w:tcPr>
          <w:p w:rsidR="001E7D62" w:rsidRPr="00D00722" w:rsidRDefault="001E7D62" w:rsidP="002B5FEF">
            <w:pPr>
              <w:spacing w:line="230" w:lineRule="auto"/>
              <w:jc w:val="right"/>
              <w:rPr>
                <w:rFonts w:ascii="Arial" w:hAnsi="Arial" w:cs="Arial"/>
                <w:color w:val="000000"/>
              </w:rPr>
            </w:pPr>
            <w:r w:rsidRPr="00D00722">
              <w:rPr>
                <w:rFonts w:ascii="Arial" w:hAnsi="Arial" w:cs="Arial"/>
                <w:color w:val="000000"/>
              </w:rPr>
              <w:t>100.000</w:t>
            </w:r>
          </w:p>
        </w:tc>
        <w:tc>
          <w:tcPr>
            <w:tcW w:w="1487" w:type="dxa"/>
          </w:tcPr>
          <w:p w:rsidR="001E7D62" w:rsidRPr="00D00722" w:rsidRDefault="001E7D62" w:rsidP="002B5FEF">
            <w:pPr>
              <w:spacing w:line="230" w:lineRule="auto"/>
              <w:jc w:val="right"/>
              <w:rPr>
                <w:rFonts w:ascii="Arial" w:hAnsi="Arial" w:cs="Arial"/>
                <w:color w:val="000000"/>
              </w:rPr>
            </w:pPr>
            <w:r w:rsidRPr="00D00722">
              <w:rPr>
                <w:rFonts w:ascii="Arial" w:hAnsi="Arial" w:cs="Arial"/>
                <w:color w:val="000000"/>
              </w:rPr>
              <w:t>103.038</w:t>
            </w:r>
          </w:p>
        </w:tc>
        <w:tc>
          <w:tcPr>
            <w:tcW w:w="1464" w:type="dxa"/>
          </w:tcPr>
          <w:p w:rsidR="001E7D62" w:rsidRPr="00D00722" w:rsidRDefault="001E7D62" w:rsidP="002B5FEF">
            <w:pPr>
              <w:spacing w:line="230" w:lineRule="auto"/>
              <w:jc w:val="right"/>
              <w:rPr>
                <w:rFonts w:ascii="Arial" w:hAnsi="Arial" w:cs="Arial"/>
                <w:color w:val="000000"/>
              </w:rPr>
            </w:pPr>
            <w:r w:rsidRPr="00D00722">
              <w:rPr>
                <w:rFonts w:ascii="Arial" w:hAnsi="Arial" w:cs="Arial"/>
                <w:color w:val="000000"/>
              </w:rPr>
              <w:t>103.038</w:t>
            </w:r>
          </w:p>
        </w:tc>
      </w:tr>
      <w:tr w:rsidR="001E7D62" w:rsidRPr="00D00722" w:rsidTr="002B5FEF">
        <w:trPr>
          <w:trHeight w:val="113"/>
        </w:trPr>
        <w:tc>
          <w:tcPr>
            <w:tcW w:w="4820" w:type="dxa"/>
            <w:tcBorders>
              <w:bottom w:val="single" w:sz="8" w:space="0" w:color="auto"/>
            </w:tcBorders>
          </w:tcPr>
          <w:p w:rsidR="001E7D62" w:rsidRPr="00D00722" w:rsidRDefault="001E7D62" w:rsidP="002B5FEF">
            <w:pPr>
              <w:spacing w:line="230" w:lineRule="auto"/>
              <w:ind w:left="-108"/>
              <w:rPr>
                <w:rFonts w:ascii="Arial" w:hAnsi="Arial" w:cs="Arial"/>
                <w:lang w:val="tr-TR"/>
              </w:rPr>
            </w:pPr>
          </w:p>
        </w:tc>
        <w:tc>
          <w:tcPr>
            <w:tcW w:w="1301" w:type="dxa"/>
            <w:tcBorders>
              <w:bottom w:val="single" w:sz="8" w:space="0" w:color="auto"/>
            </w:tcBorders>
            <w:vAlign w:val="bottom"/>
          </w:tcPr>
          <w:p w:rsidR="001E7D62" w:rsidRPr="00D00722" w:rsidRDefault="001E7D62" w:rsidP="002B5FEF">
            <w:pPr>
              <w:spacing w:line="230" w:lineRule="auto"/>
              <w:jc w:val="right"/>
              <w:rPr>
                <w:rFonts w:ascii="Arial" w:hAnsi="Arial" w:cs="Arial"/>
                <w:lang w:val="sv-SE"/>
              </w:rPr>
            </w:pPr>
          </w:p>
        </w:tc>
        <w:tc>
          <w:tcPr>
            <w:tcW w:w="1487" w:type="dxa"/>
            <w:tcBorders>
              <w:bottom w:val="single" w:sz="8" w:space="0" w:color="auto"/>
            </w:tcBorders>
            <w:vAlign w:val="bottom"/>
          </w:tcPr>
          <w:p w:rsidR="001E7D62" w:rsidRPr="00D00722" w:rsidRDefault="001E7D62" w:rsidP="002B5FEF">
            <w:pPr>
              <w:spacing w:line="230" w:lineRule="auto"/>
              <w:jc w:val="right"/>
              <w:rPr>
                <w:rFonts w:ascii="Arial" w:hAnsi="Arial" w:cs="Arial"/>
                <w:lang w:val="sv-SE"/>
              </w:rPr>
            </w:pPr>
          </w:p>
        </w:tc>
        <w:tc>
          <w:tcPr>
            <w:tcW w:w="1464" w:type="dxa"/>
            <w:tcBorders>
              <w:bottom w:val="single" w:sz="8" w:space="0" w:color="auto"/>
            </w:tcBorders>
            <w:vAlign w:val="bottom"/>
          </w:tcPr>
          <w:p w:rsidR="001E7D62" w:rsidRPr="00D00722" w:rsidRDefault="001E7D62" w:rsidP="002B5FEF">
            <w:pPr>
              <w:spacing w:line="230" w:lineRule="auto"/>
              <w:jc w:val="right"/>
              <w:rPr>
                <w:rFonts w:ascii="Arial" w:hAnsi="Arial" w:cs="Arial"/>
                <w:lang w:val="sv-SE"/>
              </w:rPr>
            </w:pPr>
          </w:p>
        </w:tc>
      </w:tr>
      <w:tr w:rsidR="001E7D62" w:rsidRPr="00D00722" w:rsidTr="002B5FEF">
        <w:trPr>
          <w:trHeight w:val="113"/>
        </w:trPr>
        <w:tc>
          <w:tcPr>
            <w:tcW w:w="4820" w:type="dxa"/>
            <w:tcBorders>
              <w:top w:val="single" w:sz="8" w:space="0" w:color="auto"/>
              <w:bottom w:val="double" w:sz="4" w:space="0" w:color="auto"/>
            </w:tcBorders>
          </w:tcPr>
          <w:p w:rsidR="001E7D62" w:rsidRPr="00D00722" w:rsidRDefault="001E7D62" w:rsidP="002B5FEF">
            <w:pPr>
              <w:spacing w:line="230" w:lineRule="auto"/>
              <w:rPr>
                <w:rFonts w:ascii="Arial" w:hAnsi="Arial" w:cs="Arial"/>
                <w:lang w:val="tr-TR"/>
              </w:rPr>
            </w:pPr>
          </w:p>
        </w:tc>
        <w:tc>
          <w:tcPr>
            <w:tcW w:w="1301" w:type="dxa"/>
            <w:tcBorders>
              <w:top w:val="single" w:sz="8" w:space="0" w:color="auto"/>
              <w:bottom w:val="double" w:sz="4" w:space="0" w:color="auto"/>
            </w:tcBorders>
            <w:vAlign w:val="bottom"/>
          </w:tcPr>
          <w:p w:rsidR="001E7D62" w:rsidRPr="00D00722" w:rsidRDefault="001E7D62" w:rsidP="002B5FEF">
            <w:pPr>
              <w:spacing w:line="230" w:lineRule="auto"/>
              <w:jc w:val="right"/>
              <w:rPr>
                <w:rFonts w:ascii="Arial" w:hAnsi="Arial" w:cs="Arial"/>
                <w:color w:val="000000"/>
              </w:rPr>
            </w:pPr>
            <w:r w:rsidRPr="00D00722">
              <w:rPr>
                <w:rFonts w:ascii="Arial" w:hAnsi="Arial" w:cs="Arial"/>
                <w:color w:val="000000"/>
              </w:rPr>
              <w:t>100.000</w:t>
            </w:r>
          </w:p>
        </w:tc>
        <w:tc>
          <w:tcPr>
            <w:tcW w:w="1487" w:type="dxa"/>
            <w:tcBorders>
              <w:top w:val="single" w:sz="8" w:space="0" w:color="auto"/>
              <w:bottom w:val="double" w:sz="4" w:space="0" w:color="auto"/>
            </w:tcBorders>
          </w:tcPr>
          <w:p w:rsidR="001E7D62" w:rsidRPr="00D00722" w:rsidRDefault="001E7D62" w:rsidP="002B5FEF">
            <w:pPr>
              <w:spacing w:line="230" w:lineRule="auto"/>
              <w:jc w:val="right"/>
              <w:rPr>
                <w:rFonts w:ascii="Arial" w:hAnsi="Arial" w:cs="Arial"/>
                <w:lang w:val="tr-TR"/>
              </w:rPr>
            </w:pPr>
            <w:r w:rsidRPr="00D00722">
              <w:rPr>
                <w:rFonts w:ascii="Arial" w:hAnsi="Arial" w:cs="Arial"/>
                <w:lang w:val="tr-TR"/>
              </w:rPr>
              <w:t>103.038</w:t>
            </w:r>
          </w:p>
        </w:tc>
        <w:tc>
          <w:tcPr>
            <w:tcW w:w="1464" w:type="dxa"/>
            <w:tcBorders>
              <w:top w:val="single" w:sz="8" w:space="0" w:color="auto"/>
              <w:bottom w:val="double" w:sz="4" w:space="0" w:color="auto"/>
            </w:tcBorders>
          </w:tcPr>
          <w:p w:rsidR="001E7D62" w:rsidRPr="00D00722" w:rsidRDefault="001E7D62" w:rsidP="002B5FEF">
            <w:pPr>
              <w:spacing w:line="230" w:lineRule="auto"/>
              <w:jc w:val="right"/>
              <w:rPr>
                <w:rFonts w:ascii="Arial" w:hAnsi="Arial" w:cs="Arial"/>
                <w:lang w:val="tr-TR"/>
              </w:rPr>
            </w:pPr>
            <w:r w:rsidRPr="00D00722">
              <w:rPr>
                <w:rFonts w:ascii="Arial" w:hAnsi="Arial" w:cs="Arial"/>
                <w:lang w:val="tr-TR"/>
              </w:rPr>
              <w:t>103.038</w:t>
            </w:r>
          </w:p>
        </w:tc>
      </w:tr>
    </w:tbl>
    <w:p w:rsidR="001E7D62" w:rsidRPr="00D00722" w:rsidRDefault="001E7D62" w:rsidP="001E7D62">
      <w:pPr>
        <w:spacing w:line="230" w:lineRule="auto"/>
        <w:rPr>
          <w:rFonts w:ascii="Arial" w:hAnsi="Arial" w:cs="Arial"/>
          <w:sz w:val="16"/>
          <w:szCs w:val="16"/>
          <w:lang w:val="tr-TR"/>
        </w:rPr>
      </w:pPr>
    </w:p>
    <w:p w:rsidR="00C63DAB" w:rsidRPr="00D00722" w:rsidRDefault="001F3370" w:rsidP="00C63DAB">
      <w:pPr>
        <w:widowControl w:val="0"/>
        <w:spacing w:line="230" w:lineRule="auto"/>
        <w:rPr>
          <w:rFonts w:ascii="Arial" w:hAnsi="Arial" w:cs="Arial"/>
          <w:lang w:val="tr-TR"/>
        </w:rPr>
      </w:pPr>
      <w:r w:rsidRPr="00D00722">
        <w:rPr>
          <w:rFonts w:ascii="Arial" w:hAnsi="Arial" w:cs="Arial"/>
          <w:lang w:val="tr-TR"/>
        </w:rPr>
        <w:t xml:space="preserve">Şirket’in 31 </w:t>
      </w:r>
      <w:r w:rsidR="00280996" w:rsidRPr="00D00722">
        <w:rPr>
          <w:rFonts w:ascii="Arial" w:hAnsi="Arial" w:cs="Arial"/>
          <w:lang w:val="tr-TR"/>
        </w:rPr>
        <w:t>Mart</w:t>
      </w:r>
      <w:r w:rsidRPr="00D00722">
        <w:rPr>
          <w:rFonts w:ascii="Arial" w:hAnsi="Arial" w:cs="Arial"/>
          <w:lang w:val="tr-TR"/>
        </w:rPr>
        <w:t xml:space="preserve"> 201</w:t>
      </w:r>
      <w:r w:rsidR="00280996" w:rsidRPr="00D00722">
        <w:rPr>
          <w:rFonts w:ascii="Arial" w:hAnsi="Arial" w:cs="Arial"/>
          <w:lang w:val="tr-TR"/>
        </w:rPr>
        <w:t>4</w:t>
      </w:r>
      <w:r w:rsidRPr="00D00722">
        <w:rPr>
          <w:rFonts w:ascii="Arial" w:hAnsi="Arial" w:cs="Arial"/>
          <w:lang w:val="tr-TR"/>
        </w:rPr>
        <w:t xml:space="preserve"> tarihi itibariyle kayıtlı değeri </w:t>
      </w:r>
      <w:r w:rsidR="00280996" w:rsidRPr="00D00722">
        <w:rPr>
          <w:rFonts w:ascii="Arial" w:hAnsi="Arial" w:cs="Arial"/>
          <w:lang w:val="tr-TR"/>
        </w:rPr>
        <w:t>98.454</w:t>
      </w:r>
      <w:r w:rsidRPr="00D00722">
        <w:rPr>
          <w:rFonts w:ascii="Arial" w:hAnsi="Arial" w:cs="Arial"/>
          <w:lang w:val="tr-TR"/>
        </w:rPr>
        <w:t xml:space="preserve"> TL (31 Aralık 201</w:t>
      </w:r>
      <w:r w:rsidR="00280996" w:rsidRPr="00D00722">
        <w:rPr>
          <w:rFonts w:ascii="Arial" w:hAnsi="Arial" w:cs="Arial"/>
          <w:lang w:val="tr-TR"/>
        </w:rPr>
        <w:t>3</w:t>
      </w:r>
      <w:r w:rsidRPr="00D00722">
        <w:rPr>
          <w:rFonts w:ascii="Arial" w:hAnsi="Arial" w:cs="Arial"/>
          <w:lang w:val="tr-TR"/>
        </w:rPr>
        <w:t>: 10</w:t>
      </w:r>
      <w:r w:rsidR="00280996" w:rsidRPr="00D00722">
        <w:rPr>
          <w:rFonts w:ascii="Arial" w:hAnsi="Arial" w:cs="Arial"/>
          <w:lang w:val="tr-TR"/>
        </w:rPr>
        <w:t>3</w:t>
      </w:r>
      <w:r w:rsidRPr="00D00722">
        <w:rPr>
          <w:rFonts w:ascii="Arial" w:hAnsi="Arial" w:cs="Arial"/>
          <w:lang w:val="tr-TR"/>
        </w:rPr>
        <w:t>.</w:t>
      </w:r>
      <w:r w:rsidR="00280996" w:rsidRPr="00D00722">
        <w:rPr>
          <w:rFonts w:ascii="Arial" w:hAnsi="Arial" w:cs="Arial"/>
          <w:lang w:val="tr-TR"/>
        </w:rPr>
        <w:t>038</w:t>
      </w:r>
      <w:r w:rsidRPr="00D00722">
        <w:rPr>
          <w:rFonts w:ascii="Arial" w:hAnsi="Arial" w:cs="Arial"/>
          <w:lang w:val="tr-TR"/>
        </w:rPr>
        <w:t xml:space="preserve"> TL) ve nominal değeri 100.000 TL (31 Aralık 201</w:t>
      </w:r>
      <w:r w:rsidR="00280996" w:rsidRPr="00D00722">
        <w:rPr>
          <w:rFonts w:ascii="Arial" w:hAnsi="Arial" w:cs="Arial"/>
          <w:lang w:val="tr-TR"/>
        </w:rPr>
        <w:t>3</w:t>
      </w:r>
      <w:r w:rsidRPr="00D00722">
        <w:rPr>
          <w:rFonts w:ascii="Arial" w:hAnsi="Arial" w:cs="Arial"/>
          <w:lang w:val="tr-TR"/>
        </w:rPr>
        <w:t>: 100.000 TL) olan devlet tahvili ve hazine bonoları İstanbul Takas ve Saklama Bankası A.Ş.’ye Sermaye Piyasası Kurulu sermaye taahhüdüne karşılık teminat olarak verilmiştir</w:t>
      </w:r>
      <w:r w:rsidR="006231B2" w:rsidRPr="00D00722">
        <w:rPr>
          <w:rFonts w:ascii="Arial" w:hAnsi="Arial" w:cs="Arial"/>
          <w:lang w:val="tr-TR"/>
        </w:rPr>
        <w:t>.</w:t>
      </w:r>
    </w:p>
    <w:p w:rsidR="000118C8" w:rsidRPr="00D00722" w:rsidRDefault="000118C8" w:rsidP="00B37F4A">
      <w:pPr>
        <w:spacing w:line="230" w:lineRule="auto"/>
        <w:ind w:right="-1"/>
        <w:jc w:val="both"/>
        <w:rPr>
          <w:rFonts w:ascii="Arial" w:hAnsi="Arial" w:cs="Arial"/>
          <w:b/>
          <w:lang w:val="tr-TR"/>
        </w:rPr>
      </w:pPr>
    </w:p>
    <w:p w:rsidR="003B42C2" w:rsidRPr="00D00722" w:rsidRDefault="003B42C2">
      <w:pPr>
        <w:rPr>
          <w:rFonts w:ascii="Arial" w:hAnsi="Arial" w:cs="Arial"/>
          <w:b/>
          <w:bCs/>
          <w:noProof/>
          <w:lang w:val="tr-TR"/>
        </w:rPr>
      </w:pPr>
      <w:r w:rsidRPr="00D00722">
        <w:rPr>
          <w:rFonts w:ascii="Arial" w:hAnsi="Arial" w:cs="Arial"/>
          <w:b/>
          <w:bCs/>
          <w:noProof/>
          <w:lang w:val="tr-TR"/>
        </w:rPr>
        <w:br w:type="page"/>
      </w:r>
    </w:p>
    <w:p w:rsidR="00245BD3" w:rsidRPr="00D00722" w:rsidRDefault="009B4E2B" w:rsidP="00B37F4A">
      <w:pPr>
        <w:pStyle w:val="body0"/>
        <w:spacing w:after="0" w:line="230" w:lineRule="auto"/>
        <w:rPr>
          <w:rFonts w:ascii="Arial" w:hAnsi="Arial" w:cs="Arial"/>
          <w:b/>
          <w:bCs/>
          <w:noProof/>
          <w:sz w:val="20"/>
          <w:szCs w:val="20"/>
          <w:lang w:val="tr-TR"/>
        </w:rPr>
      </w:pPr>
      <w:r w:rsidRPr="00D00722">
        <w:rPr>
          <w:rFonts w:ascii="Arial" w:hAnsi="Arial" w:cs="Arial"/>
          <w:b/>
          <w:bCs/>
          <w:noProof/>
          <w:sz w:val="20"/>
          <w:szCs w:val="20"/>
          <w:lang w:val="tr-TR"/>
        </w:rPr>
        <w:t>6</w:t>
      </w:r>
      <w:r w:rsidR="00245BD3" w:rsidRPr="00D00722">
        <w:rPr>
          <w:rFonts w:ascii="Arial" w:hAnsi="Arial" w:cs="Arial"/>
          <w:b/>
          <w:bCs/>
          <w:noProof/>
          <w:sz w:val="20"/>
          <w:szCs w:val="20"/>
          <w:lang w:val="tr-TR"/>
        </w:rPr>
        <w:t>.</w:t>
      </w:r>
      <w:r w:rsidR="00245BD3" w:rsidRPr="00D00722">
        <w:rPr>
          <w:rFonts w:ascii="Arial" w:hAnsi="Arial" w:cs="Arial"/>
          <w:b/>
          <w:bCs/>
          <w:noProof/>
          <w:sz w:val="20"/>
          <w:szCs w:val="20"/>
          <w:lang w:val="tr-TR"/>
        </w:rPr>
        <w:tab/>
      </w:r>
      <w:r w:rsidR="00AB50B6" w:rsidRPr="00D00722">
        <w:rPr>
          <w:rFonts w:ascii="Arial" w:hAnsi="Arial" w:cs="Arial"/>
          <w:b/>
          <w:bCs/>
          <w:noProof/>
          <w:sz w:val="20"/>
          <w:szCs w:val="20"/>
          <w:lang w:val="tr-TR"/>
        </w:rPr>
        <w:t>Ticari alacak ve borçlar</w:t>
      </w:r>
    </w:p>
    <w:p w:rsidR="00436181" w:rsidRPr="00D00722" w:rsidRDefault="00436181" w:rsidP="00B37F4A">
      <w:pPr>
        <w:pStyle w:val="body0"/>
        <w:spacing w:after="0" w:line="230" w:lineRule="auto"/>
        <w:rPr>
          <w:rFonts w:ascii="Arial" w:hAnsi="Arial" w:cs="Arial"/>
          <w:sz w:val="16"/>
          <w:szCs w:val="16"/>
          <w:lang w:val="tr-TR"/>
        </w:rPr>
      </w:pPr>
    </w:p>
    <w:p w:rsidR="00F60B8B" w:rsidRPr="00D00722" w:rsidRDefault="00436181" w:rsidP="00B37F4A">
      <w:pPr>
        <w:pStyle w:val="body0"/>
        <w:spacing w:after="0" w:line="230" w:lineRule="auto"/>
        <w:rPr>
          <w:rFonts w:ascii="Arial" w:hAnsi="Arial" w:cs="Arial"/>
          <w:b/>
          <w:sz w:val="20"/>
          <w:szCs w:val="20"/>
          <w:lang w:val="tr-TR"/>
        </w:rPr>
      </w:pPr>
      <w:r w:rsidRPr="00D00722">
        <w:rPr>
          <w:rFonts w:ascii="Arial" w:hAnsi="Arial" w:cs="Arial"/>
          <w:b/>
          <w:sz w:val="20"/>
          <w:szCs w:val="20"/>
          <w:lang w:val="tr-TR"/>
        </w:rPr>
        <w:t>Kısa vadeli ticari alacaklar</w:t>
      </w:r>
    </w:p>
    <w:p w:rsidR="00436181" w:rsidRPr="00D00722" w:rsidRDefault="00436181" w:rsidP="00B37F4A">
      <w:pPr>
        <w:pStyle w:val="body0"/>
        <w:spacing w:after="0" w:line="230" w:lineRule="auto"/>
        <w:rPr>
          <w:rFonts w:ascii="Arial" w:hAnsi="Arial" w:cs="Arial"/>
          <w:b/>
          <w:bCs/>
          <w:noProof/>
          <w:sz w:val="16"/>
          <w:szCs w:val="16"/>
          <w:lang w:val="tr-TR"/>
        </w:rPr>
      </w:pPr>
    </w:p>
    <w:tbl>
      <w:tblPr>
        <w:tblW w:w="9072" w:type="dxa"/>
        <w:tblInd w:w="108" w:type="dxa"/>
        <w:tblLayout w:type="fixed"/>
        <w:tblLook w:val="01E0"/>
      </w:tblPr>
      <w:tblGrid>
        <w:gridCol w:w="5387"/>
        <w:gridCol w:w="1843"/>
        <w:gridCol w:w="1842"/>
      </w:tblGrid>
      <w:tr w:rsidR="001E7D62" w:rsidRPr="00D00722" w:rsidTr="001E7D62">
        <w:tc>
          <w:tcPr>
            <w:tcW w:w="5387" w:type="dxa"/>
            <w:tcBorders>
              <w:top w:val="single" w:sz="4" w:space="0" w:color="auto"/>
              <w:bottom w:val="single" w:sz="4" w:space="0" w:color="auto"/>
            </w:tcBorders>
          </w:tcPr>
          <w:p w:rsidR="001E7D62" w:rsidRPr="00D00722" w:rsidRDefault="001E7D62" w:rsidP="00B37F4A">
            <w:pPr>
              <w:autoSpaceDE w:val="0"/>
              <w:autoSpaceDN w:val="0"/>
              <w:adjustRightInd w:val="0"/>
              <w:spacing w:line="230" w:lineRule="auto"/>
              <w:ind w:left="-108"/>
              <w:jc w:val="both"/>
              <w:rPr>
                <w:rFonts w:ascii="Arial" w:hAnsi="Arial" w:cs="Arial"/>
                <w:lang w:val="tr-TR"/>
              </w:rPr>
            </w:pPr>
          </w:p>
        </w:tc>
        <w:tc>
          <w:tcPr>
            <w:tcW w:w="1843" w:type="dxa"/>
            <w:tcBorders>
              <w:top w:val="single" w:sz="4" w:space="0" w:color="auto"/>
              <w:bottom w:val="single" w:sz="4" w:space="0" w:color="auto"/>
            </w:tcBorders>
            <w:vAlign w:val="bottom"/>
          </w:tcPr>
          <w:p w:rsidR="001E7D62" w:rsidRPr="00D00722" w:rsidRDefault="001E7D62" w:rsidP="001E7D62">
            <w:pPr>
              <w:autoSpaceDE w:val="0"/>
              <w:autoSpaceDN w:val="0"/>
              <w:adjustRightInd w:val="0"/>
              <w:spacing w:line="230" w:lineRule="auto"/>
              <w:jc w:val="right"/>
              <w:rPr>
                <w:rFonts w:ascii="Arial" w:hAnsi="Arial" w:cs="Arial"/>
                <w:b/>
                <w:lang w:val="tr-TR"/>
              </w:rPr>
            </w:pPr>
            <w:r w:rsidRPr="00D00722">
              <w:rPr>
                <w:rFonts w:ascii="Arial" w:hAnsi="Arial" w:cs="Arial"/>
                <w:b/>
                <w:lang w:val="tr-TR"/>
              </w:rPr>
              <w:t>31 Mart 2014</w:t>
            </w:r>
          </w:p>
        </w:tc>
        <w:tc>
          <w:tcPr>
            <w:tcW w:w="1842" w:type="dxa"/>
            <w:tcBorders>
              <w:top w:val="single" w:sz="4" w:space="0" w:color="auto"/>
              <w:bottom w:val="single" w:sz="4" w:space="0" w:color="auto"/>
            </w:tcBorders>
            <w:vAlign w:val="bottom"/>
          </w:tcPr>
          <w:p w:rsidR="001E7D62" w:rsidRPr="00D00722" w:rsidRDefault="001E7D62" w:rsidP="002B5FEF">
            <w:pPr>
              <w:autoSpaceDE w:val="0"/>
              <w:autoSpaceDN w:val="0"/>
              <w:adjustRightInd w:val="0"/>
              <w:spacing w:line="230" w:lineRule="auto"/>
              <w:jc w:val="right"/>
              <w:rPr>
                <w:rFonts w:ascii="Arial" w:hAnsi="Arial" w:cs="Arial"/>
                <w:lang w:val="tr-TR"/>
              </w:rPr>
            </w:pPr>
            <w:r w:rsidRPr="00D00722">
              <w:rPr>
                <w:rFonts w:ascii="Arial" w:hAnsi="Arial" w:cs="Arial"/>
                <w:lang w:val="tr-TR"/>
              </w:rPr>
              <w:t>31 Aralık 2013</w:t>
            </w:r>
          </w:p>
        </w:tc>
      </w:tr>
      <w:tr w:rsidR="001E7D62" w:rsidRPr="00D00722" w:rsidTr="001E7D62">
        <w:tc>
          <w:tcPr>
            <w:tcW w:w="5387" w:type="dxa"/>
            <w:tcBorders>
              <w:top w:val="single" w:sz="4" w:space="0" w:color="auto"/>
            </w:tcBorders>
          </w:tcPr>
          <w:p w:rsidR="001E7D62" w:rsidRPr="00D00722" w:rsidRDefault="001E7D62" w:rsidP="00B37F4A">
            <w:pPr>
              <w:autoSpaceDE w:val="0"/>
              <w:autoSpaceDN w:val="0"/>
              <w:adjustRightInd w:val="0"/>
              <w:spacing w:line="230" w:lineRule="auto"/>
              <w:ind w:left="-108"/>
              <w:jc w:val="both"/>
              <w:rPr>
                <w:rFonts w:ascii="Arial" w:hAnsi="Arial" w:cs="Arial"/>
                <w:lang w:val="tr-TR"/>
              </w:rPr>
            </w:pPr>
          </w:p>
        </w:tc>
        <w:tc>
          <w:tcPr>
            <w:tcW w:w="1843" w:type="dxa"/>
            <w:tcBorders>
              <w:top w:val="single" w:sz="4" w:space="0" w:color="auto"/>
            </w:tcBorders>
            <w:vAlign w:val="center"/>
          </w:tcPr>
          <w:p w:rsidR="001E7D62" w:rsidRPr="00D00722" w:rsidRDefault="001E7D62" w:rsidP="00B37F4A">
            <w:pPr>
              <w:autoSpaceDE w:val="0"/>
              <w:autoSpaceDN w:val="0"/>
              <w:adjustRightInd w:val="0"/>
              <w:spacing w:line="230" w:lineRule="auto"/>
              <w:jc w:val="right"/>
              <w:rPr>
                <w:rFonts w:ascii="Arial" w:hAnsi="Arial" w:cs="Arial"/>
                <w:b/>
                <w:lang w:val="tr-TR"/>
              </w:rPr>
            </w:pPr>
          </w:p>
        </w:tc>
        <w:tc>
          <w:tcPr>
            <w:tcW w:w="1842" w:type="dxa"/>
            <w:tcBorders>
              <w:top w:val="single" w:sz="4" w:space="0" w:color="auto"/>
            </w:tcBorders>
            <w:vAlign w:val="center"/>
          </w:tcPr>
          <w:p w:rsidR="001E7D62" w:rsidRPr="00D00722" w:rsidRDefault="001E7D62" w:rsidP="002B5FEF">
            <w:pPr>
              <w:autoSpaceDE w:val="0"/>
              <w:autoSpaceDN w:val="0"/>
              <w:adjustRightInd w:val="0"/>
              <w:spacing w:line="230" w:lineRule="auto"/>
              <w:jc w:val="right"/>
              <w:rPr>
                <w:rFonts w:ascii="Arial" w:hAnsi="Arial" w:cs="Arial"/>
                <w:lang w:val="tr-TR"/>
              </w:rPr>
            </w:pPr>
          </w:p>
        </w:tc>
      </w:tr>
      <w:tr w:rsidR="001E7D62" w:rsidRPr="00D00722" w:rsidTr="001E7D62">
        <w:tc>
          <w:tcPr>
            <w:tcW w:w="5387" w:type="dxa"/>
          </w:tcPr>
          <w:p w:rsidR="001E7D62" w:rsidRPr="00D00722" w:rsidRDefault="001E7D62" w:rsidP="00B37F4A">
            <w:pPr>
              <w:autoSpaceDE w:val="0"/>
              <w:autoSpaceDN w:val="0"/>
              <w:adjustRightInd w:val="0"/>
              <w:spacing w:line="230" w:lineRule="auto"/>
              <w:ind w:left="-108"/>
              <w:jc w:val="both"/>
              <w:rPr>
                <w:rFonts w:ascii="Arial" w:hAnsi="Arial" w:cs="Arial"/>
                <w:lang w:val="tr-TR"/>
              </w:rPr>
            </w:pPr>
            <w:r w:rsidRPr="00D00722">
              <w:rPr>
                <w:rFonts w:ascii="Arial" w:hAnsi="Arial" w:cs="Arial"/>
                <w:lang w:val="tr-TR"/>
              </w:rPr>
              <w:t xml:space="preserve"> - İlişkili taraflardan ticari alacaklar (Not 23)</w:t>
            </w:r>
          </w:p>
        </w:tc>
        <w:tc>
          <w:tcPr>
            <w:tcW w:w="1843" w:type="dxa"/>
            <w:vAlign w:val="bottom"/>
          </w:tcPr>
          <w:p w:rsidR="001E7D62" w:rsidRPr="00D00722" w:rsidRDefault="006102ED" w:rsidP="00B37F4A">
            <w:pPr>
              <w:spacing w:line="230" w:lineRule="auto"/>
              <w:jc w:val="right"/>
              <w:rPr>
                <w:rFonts w:ascii="Arial" w:hAnsi="Arial" w:cs="Arial"/>
                <w:b/>
                <w:lang w:val="tr-TR"/>
              </w:rPr>
            </w:pPr>
            <w:r w:rsidRPr="00D00722">
              <w:rPr>
                <w:rFonts w:ascii="Arial" w:hAnsi="Arial" w:cs="Arial"/>
                <w:b/>
                <w:lang w:val="tr-TR"/>
              </w:rPr>
              <w:t>1.242</w:t>
            </w:r>
          </w:p>
        </w:tc>
        <w:tc>
          <w:tcPr>
            <w:tcW w:w="1842" w:type="dxa"/>
            <w:vAlign w:val="bottom"/>
          </w:tcPr>
          <w:p w:rsidR="001E7D62" w:rsidRPr="00D00722" w:rsidRDefault="001E7D62" w:rsidP="002B5FEF">
            <w:pPr>
              <w:spacing w:line="230" w:lineRule="auto"/>
              <w:jc w:val="right"/>
              <w:rPr>
                <w:rFonts w:ascii="Arial" w:hAnsi="Arial" w:cs="Arial"/>
                <w:lang w:val="tr-TR"/>
              </w:rPr>
            </w:pPr>
            <w:r w:rsidRPr="00D00722">
              <w:rPr>
                <w:rFonts w:ascii="Arial" w:hAnsi="Arial" w:cs="Arial"/>
                <w:lang w:val="tr-TR"/>
              </w:rPr>
              <w:t>-</w:t>
            </w:r>
          </w:p>
        </w:tc>
      </w:tr>
      <w:tr w:rsidR="001E7D62" w:rsidRPr="00D00722" w:rsidTr="001E7D62">
        <w:tc>
          <w:tcPr>
            <w:tcW w:w="5387" w:type="dxa"/>
          </w:tcPr>
          <w:p w:rsidR="001E7D62" w:rsidRPr="00D00722" w:rsidRDefault="001E7D62" w:rsidP="00B37F4A">
            <w:pPr>
              <w:autoSpaceDE w:val="0"/>
              <w:autoSpaceDN w:val="0"/>
              <w:adjustRightInd w:val="0"/>
              <w:spacing w:line="230" w:lineRule="auto"/>
              <w:ind w:left="-108"/>
              <w:jc w:val="both"/>
              <w:rPr>
                <w:rFonts w:ascii="Arial" w:hAnsi="Arial" w:cs="Arial"/>
                <w:lang w:val="tr-TR"/>
              </w:rPr>
            </w:pPr>
            <w:r w:rsidRPr="00D00722">
              <w:rPr>
                <w:rFonts w:ascii="Arial" w:hAnsi="Arial" w:cs="Arial"/>
                <w:lang w:val="tr-TR"/>
              </w:rPr>
              <w:t xml:space="preserve"> - Diğer ticari alacaklar</w:t>
            </w:r>
          </w:p>
        </w:tc>
        <w:tc>
          <w:tcPr>
            <w:tcW w:w="1843" w:type="dxa"/>
            <w:vAlign w:val="bottom"/>
          </w:tcPr>
          <w:p w:rsidR="001E7D62" w:rsidRPr="00D00722" w:rsidRDefault="006102ED" w:rsidP="00B37F4A">
            <w:pPr>
              <w:spacing w:line="230" w:lineRule="auto"/>
              <w:jc w:val="right"/>
              <w:rPr>
                <w:rFonts w:ascii="Arial" w:hAnsi="Arial" w:cs="Arial"/>
                <w:b/>
                <w:lang w:val="tr-TR"/>
              </w:rPr>
            </w:pPr>
            <w:r w:rsidRPr="00D00722">
              <w:rPr>
                <w:rFonts w:ascii="Arial" w:hAnsi="Arial" w:cs="Arial"/>
                <w:b/>
                <w:lang w:val="tr-TR"/>
              </w:rPr>
              <w:t>3.666</w:t>
            </w:r>
          </w:p>
        </w:tc>
        <w:tc>
          <w:tcPr>
            <w:tcW w:w="1842" w:type="dxa"/>
            <w:vAlign w:val="bottom"/>
          </w:tcPr>
          <w:p w:rsidR="001E7D62" w:rsidRPr="00D00722" w:rsidRDefault="001E7D62" w:rsidP="002B5FEF">
            <w:pPr>
              <w:spacing w:line="230" w:lineRule="auto"/>
              <w:jc w:val="right"/>
              <w:rPr>
                <w:rFonts w:ascii="Arial" w:hAnsi="Arial" w:cs="Arial"/>
                <w:lang w:val="tr-TR"/>
              </w:rPr>
            </w:pPr>
            <w:r w:rsidRPr="00D00722">
              <w:rPr>
                <w:rFonts w:ascii="Arial" w:hAnsi="Arial" w:cs="Arial"/>
                <w:lang w:val="tr-TR"/>
              </w:rPr>
              <w:t>1.408</w:t>
            </w:r>
          </w:p>
        </w:tc>
      </w:tr>
      <w:tr w:rsidR="001E7D62" w:rsidRPr="00D00722" w:rsidTr="001E7D62">
        <w:tc>
          <w:tcPr>
            <w:tcW w:w="5387" w:type="dxa"/>
            <w:tcBorders>
              <w:bottom w:val="single" w:sz="8" w:space="0" w:color="auto"/>
            </w:tcBorders>
          </w:tcPr>
          <w:p w:rsidR="001E7D62" w:rsidRPr="00D00722" w:rsidRDefault="001E7D62" w:rsidP="00B37F4A">
            <w:pPr>
              <w:autoSpaceDE w:val="0"/>
              <w:autoSpaceDN w:val="0"/>
              <w:adjustRightInd w:val="0"/>
              <w:spacing w:line="230" w:lineRule="auto"/>
              <w:ind w:left="-108"/>
              <w:jc w:val="both"/>
              <w:rPr>
                <w:rFonts w:ascii="Arial" w:hAnsi="Arial" w:cs="Arial"/>
                <w:lang w:val="tr-TR"/>
              </w:rPr>
            </w:pPr>
          </w:p>
        </w:tc>
        <w:tc>
          <w:tcPr>
            <w:tcW w:w="1843" w:type="dxa"/>
            <w:tcBorders>
              <w:bottom w:val="single" w:sz="8" w:space="0" w:color="auto"/>
            </w:tcBorders>
            <w:vAlign w:val="center"/>
          </w:tcPr>
          <w:p w:rsidR="001E7D62" w:rsidRPr="00D00722" w:rsidRDefault="001E7D62" w:rsidP="00B37F4A">
            <w:pPr>
              <w:spacing w:line="230" w:lineRule="auto"/>
              <w:jc w:val="right"/>
              <w:rPr>
                <w:rFonts w:ascii="Arial" w:hAnsi="Arial" w:cs="Arial"/>
                <w:b/>
                <w:lang w:val="tr-TR"/>
              </w:rPr>
            </w:pPr>
          </w:p>
        </w:tc>
        <w:tc>
          <w:tcPr>
            <w:tcW w:w="1842" w:type="dxa"/>
            <w:tcBorders>
              <w:bottom w:val="single" w:sz="8" w:space="0" w:color="auto"/>
            </w:tcBorders>
            <w:vAlign w:val="center"/>
          </w:tcPr>
          <w:p w:rsidR="001E7D62" w:rsidRPr="00D00722" w:rsidRDefault="001E7D62" w:rsidP="002B5FEF">
            <w:pPr>
              <w:spacing w:line="230" w:lineRule="auto"/>
              <w:jc w:val="right"/>
              <w:rPr>
                <w:rFonts w:ascii="Arial" w:hAnsi="Arial" w:cs="Arial"/>
                <w:lang w:val="tr-TR"/>
              </w:rPr>
            </w:pPr>
          </w:p>
        </w:tc>
      </w:tr>
      <w:tr w:rsidR="001E7D62" w:rsidRPr="00D00722" w:rsidTr="001E7D62">
        <w:tc>
          <w:tcPr>
            <w:tcW w:w="5387" w:type="dxa"/>
            <w:tcBorders>
              <w:top w:val="single" w:sz="8" w:space="0" w:color="auto"/>
              <w:bottom w:val="double" w:sz="4" w:space="0" w:color="auto"/>
            </w:tcBorders>
          </w:tcPr>
          <w:p w:rsidR="001E7D62" w:rsidRPr="00D00722" w:rsidRDefault="001E7D62" w:rsidP="00B37F4A">
            <w:pPr>
              <w:autoSpaceDE w:val="0"/>
              <w:autoSpaceDN w:val="0"/>
              <w:adjustRightInd w:val="0"/>
              <w:spacing w:line="230" w:lineRule="auto"/>
              <w:jc w:val="both"/>
              <w:rPr>
                <w:rFonts w:ascii="Arial" w:hAnsi="Arial" w:cs="Arial"/>
                <w:lang w:val="tr-TR"/>
              </w:rPr>
            </w:pPr>
          </w:p>
        </w:tc>
        <w:tc>
          <w:tcPr>
            <w:tcW w:w="1843" w:type="dxa"/>
            <w:tcBorders>
              <w:top w:val="single" w:sz="8" w:space="0" w:color="auto"/>
              <w:bottom w:val="double" w:sz="4" w:space="0" w:color="auto"/>
            </w:tcBorders>
            <w:vAlign w:val="center"/>
          </w:tcPr>
          <w:p w:rsidR="001E7D62" w:rsidRPr="00D00722" w:rsidRDefault="006102ED" w:rsidP="00B37F4A">
            <w:pPr>
              <w:spacing w:line="230" w:lineRule="auto"/>
              <w:jc w:val="right"/>
              <w:rPr>
                <w:rFonts w:ascii="Arial" w:hAnsi="Arial" w:cs="Arial"/>
                <w:b/>
                <w:lang w:val="tr-TR"/>
              </w:rPr>
            </w:pPr>
            <w:r w:rsidRPr="00D00722">
              <w:rPr>
                <w:rFonts w:ascii="Arial" w:hAnsi="Arial" w:cs="Arial"/>
                <w:b/>
                <w:lang w:val="tr-TR"/>
              </w:rPr>
              <w:t>4.908</w:t>
            </w:r>
          </w:p>
        </w:tc>
        <w:tc>
          <w:tcPr>
            <w:tcW w:w="1842" w:type="dxa"/>
            <w:tcBorders>
              <w:top w:val="single" w:sz="8" w:space="0" w:color="auto"/>
              <w:bottom w:val="double" w:sz="4" w:space="0" w:color="auto"/>
            </w:tcBorders>
            <w:vAlign w:val="center"/>
          </w:tcPr>
          <w:p w:rsidR="001E7D62" w:rsidRPr="00D00722" w:rsidRDefault="001E7D62" w:rsidP="002B5FEF">
            <w:pPr>
              <w:spacing w:line="230" w:lineRule="auto"/>
              <w:jc w:val="right"/>
              <w:rPr>
                <w:rFonts w:ascii="Arial" w:hAnsi="Arial" w:cs="Arial"/>
                <w:lang w:val="tr-TR"/>
              </w:rPr>
            </w:pPr>
            <w:r w:rsidRPr="00D00722">
              <w:rPr>
                <w:rFonts w:ascii="Arial" w:hAnsi="Arial" w:cs="Arial"/>
                <w:lang w:val="tr-TR"/>
              </w:rPr>
              <w:t>1.408</w:t>
            </w:r>
          </w:p>
        </w:tc>
      </w:tr>
    </w:tbl>
    <w:p w:rsidR="007D4DD0" w:rsidRPr="00D00722" w:rsidRDefault="007D4DD0" w:rsidP="00B37F4A">
      <w:pPr>
        <w:spacing w:line="230" w:lineRule="auto"/>
        <w:jc w:val="both"/>
        <w:rPr>
          <w:rFonts w:ascii="Arial" w:hAnsi="Arial" w:cs="Arial"/>
          <w:sz w:val="16"/>
          <w:szCs w:val="16"/>
          <w:lang w:val="tr-TR"/>
        </w:rPr>
      </w:pPr>
    </w:p>
    <w:p w:rsidR="00D3515B" w:rsidRPr="00D00722" w:rsidRDefault="00D3515B" w:rsidP="00B37F4A">
      <w:pPr>
        <w:spacing w:line="230" w:lineRule="auto"/>
        <w:jc w:val="both"/>
        <w:rPr>
          <w:rFonts w:ascii="Arial" w:hAnsi="Arial" w:cs="Arial"/>
          <w:lang w:val="tr-TR"/>
        </w:rPr>
      </w:pPr>
      <w:r w:rsidRPr="00D00722">
        <w:rPr>
          <w:rFonts w:ascii="Arial" w:hAnsi="Arial" w:cs="Arial"/>
          <w:lang w:val="tr-TR"/>
        </w:rPr>
        <w:t xml:space="preserve">Ticari alacaklardaki risklerin niteliği ve düzeyine ilişkin açıklamalar Not </w:t>
      </w:r>
      <w:r w:rsidR="008F3B48" w:rsidRPr="00D00722">
        <w:rPr>
          <w:rFonts w:ascii="Arial" w:hAnsi="Arial" w:cs="Arial"/>
          <w:lang w:val="tr-TR"/>
        </w:rPr>
        <w:t>24</w:t>
      </w:r>
      <w:r w:rsidRPr="00D00722">
        <w:rPr>
          <w:rFonts w:ascii="Arial" w:hAnsi="Arial" w:cs="Arial"/>
          <w:lang w:val="tr-TR"/>
        </w:rPr>
        <w:t xml:space="preserve">’de </w:t>
      </w:r>
      <w:r w:rsidR="00A175F5" w:rsidRPr="00D00722">
        <w:rPr>
          <w:rFonts w:ascii="Arial" w:hAnsi="Arial" w:cs="Arial"/>
          <w:lang w:val="tr-TR"/>
        </w:rPr>
        <w:t>sunulmuştur.</w:t>
      </w:r>
    </w:p>
    <w:p w:rsidR="00B37F4A" w:rsidRPr="00D00722" w:rsidRDefault="00B37F4A" w:rsidP="00B37F4A">
      <w:pPr>
        <w:spacing w:line="230" w:lineRule="auto"/>
        <w:jc w:val="both"/>
        <w:rPr>
          <w:rFonts w:ascii="Arial" w:hAnsi="Arial" w:cs="Arial"/>
          <w:b/>
          <w:sz w:val="16"/>
          <w:szCs w:val="16"/>
          <w:lang w:val="tr-TR"/>
        </w:rPr>
      </w:pPr>
    </w:p>
    <w:p w:rsidR="0035400E" w:rsidRPr="00D00722" w:rsidRDefault="00436181" w:rsidP="00B37F4A">
      <w:pPr>
        <w:spacing w:line="230" w:lineRule="auto"/>
        <w:jc w:val="both"/>
        <w:rPr>
          <w:rFonts w:ascii="Arial" w:hAnsi="Arial" w:cs="Arial"/>
          <w:b/>
          <w:lang w:val="tr-TR"/>
        </w:rPr>
      </w:pPr>
      <w:r w:rsidRPr="00D00722">
        <w:rPr>
          <w:rFonts w:ascii="Arial" w:hAnsi="Arial" w:cs="Arial"/>
          <w:b/>
          <w:lang w:val="tr-TR"/>
        </w:rPr>
        <w:t>Kısa vadeli ticari borçlar</w:t>
      </w:r>
    </w:p>
    <w:p w:rsidR="00436181" w:rsidRPr="00D00722" w:rsidRDefault="00436181" w:rsidP="00B37F4A">
      <w:pPr>
        <w:spacing w:line="230" w:lineRule="auto"/>
        <w:jc w:val="both"/>
        <w:rPr>
          <w:rFonts w:ascii="Arial" w:hAnsi="Arial" w:cs="Arial"/>
          <w:lang w:val="tr-TR"/>
        </w:rPr>
      </w:pPr>
    </w:p>
    <w:tbl>
      <w:tblPr>
        <w:tblW w:w="9072" w:type="dxa"/>
        <w:tblInd w:w="108" w:type="dxa"/>
        <w:tblLayout w:type="fixed"/>
        <w:tblLook w:val="01E0"/>
      </w:tblPr>
      <w:tblGrid>
        <w:gridCol w:w="5670"/>
        <w:gridCol w:w="1701"/>
        <w:gridCol w:w="1701"/>
      </w:tblGrid>
      <w:tr w:rsidR="001E7D62" w:rsidRPr="00D00722" w:rsidTr="001E7D62">
        <w:tc>
          <w:tcPr>
            <w:tcW w:w="5670" w:type="dxa"/>
            <w:tcBorders>
              <w:top w:val="single" w:sz="4" w:space="0" w:color="auto"/>
              <w:bottom w:val="single" w:sz="4" w:space="0" w:color="auto"/>
            </w:tcBorders>
          </w:tcPr>
          <w:p w:rsidR="001E7D62" w:rsidRPr="00D00722" w:rsidRDefault="001E7D62" w:rsidP="00B37F4A">
            <w:pPr>
              <w:autoSpaceDE w:val="0"/>
              <w:autoSpaceDN w:val="0"/>
              <w:adjustRightInd w:val="0"/>
              <w:spacing w:line="230" w:lineRule="auto"/>
              <w:ind w:left="-108"/>
              <w:jc w:val="both"/>
              <w:rPr>
                <w:rFonts w:ascii="Arial" w:hAnsi="Arial" w:cs="Arial"/>
                <w:lang w:val="tr-TR"/>
              </w:rPr>
            </w:pPr>
          </w:p>
        </w:tc>
        <w:tc>
          <w:tcPr>
            <w:tcW w:w="1701" w:type="dxa"/>
            <w:tcBorders>
              <w:top w:val="single" w:sz="4" w:space="0" w:color="auto"/>
              <w:bottom w:val="single" w:sz="4" w:space="0" w:color="auto"/>
            </w:tcBorders>
            <w:vAlign w:val="bottom"/>
          </w:tcPr>
          <w:p w:rsidR="001E7D62" w:rsidRPr="00D00722" w:rsidRDefault="001E7D62" w:rsidP="001E7D62">
            <w:pPr>
              <w:autoSpaceDE w:val="0"/>
              <w:autoSpaceDN w:val="0"/>
              <w:adjustRightInd w:val="0"/>
              <w:spacing w:line="230" w:lineRule="auto"/>
              <w:jc w:val="right"/>
              <w:rPr>
                <w:rFonts w:ascii="Arial" w:hAnsi="Arial" w:cs="Arial"/>
                <w:b/>
                <w:lang w:val="tr-TR"/>
              </w:rPr>
            </w:pPr>
            <w:r w:rsidRPr="00D00722">
              <w:rPr>
                <w:rFonts w:ascii="Arial" w:hAnsi="Arial" w:cs="Arial"/>
                <w:b/>
                <w:lang w:val="tr-TR"/>
              </w:rPr>
              <w:t>31 Mart 2014</w:t>
            </w:r>
          </w:p>
        </w:tc>
        <w:tc>
          <w:tcPr>
            <w:tcW w:w="1701" w:type="dxa"/>
            <w:tcBorders>
              <w:top w:val="single" w:sz="4" w:space="0" w:color="auto"/>
              <w:bottom w:val="single" w:sz="4" w:space="0" w:color="auto"/>
            </w:tcBorders>
            <w:vAlign w:val="bottom"/>
          </w:tcPr>
          <w:p w:rsidR="001E7D62" w:rsidRPr="00D00722" w:rsidRDefault="001E7D62" w:rsidP="002B5FEF">
            <w:pPr>
              <w:autoSpaceDE w:val="0"/>
              <w:autoSpaceDN w:val="0"/>
              <w:adjustRightInd w:val="0"/>
              <w:spacing w:line="230" w:lineRule="auto"/>
              <w:jc w:val="right"/>
              <w:rPr>
                <w:rFonts w:ascii="Arial" w:hAnsi="Arial" w:cs="Arial"/>
                <w:lang w:val="tr-TR"/>
              </w:rPr>
            </w:pPr>
            <w:r w:rsidRPr="00D00722">
              <w:rPr>
                <w:rFonts w:ascii="Arial" w:hAnsi="Arial" w:cs="Arial"/>
                <w:lang w:val="tr-TR"/>
              </w:rPr>
              <w:t>31 Aralık 2013</w:t>
            </w:r>
          </w:p>
        </w:tc>
      </w:tr>
      <w:tr w:rsidR="001E7D62" w:rsidRPr="00D00722" w:rsidTr="001E7D62">
        <w:tc>
          <w:tcPr>
            <w:tcW w:w="5670" w:type="dxa"/>
            <w:tcBorders>
              <w:top w:val="single" w:sz="4" w:space="0" w:color="auto"/>
            </w:tcBorders>
          </w:tcPr>
          <w:p w:rsidR="001E7D62" w:rsidRPr="00D00722" w:rsidRDefault="001E7D62" w:rsidP="00B37F4A">
            <w:pPr>
              <w:autoSpaceDE w:val="0"/>
              <w:autoSpaceDN w:val="0"/>
              <w:adjustRightInd w:val="0"/>
              <w:spacing w:line="230" w:lineRule="auto"/>
              <w:ind w:left="-108"/>
              <w:jc w:val="both"/>
              <w:rPr>
                <w:rFonts w:ascii="Arial" w:hAnsi="Arial" w:cs="Arial"/>
                <w:lang w:val="tr-TR"/>
              </w:rPr>
            </w:pPr>
          </w:p>
        </w:tc>
        <w:tc>
          <w:tcPr>
            <w:tcW w:w="1701" w:type="dxa"/>
            <w:tcBorders>
              <w:top w:val="single" w:sz="4" w:space="0" w:color="auto"/>
            </w:tcBorders>
            <w:vAlign w:val="center"/>
          </w:tcPr>
          <w:p w:rsidR="001E7D62" w:rsidRPr="00D00722" w:rsidRDefault="001E7D62" w:rsidP="00B37F4A">
            <w:pPr>
              <w:autoSpaceDE w:val="0"/>
              <w:autoSpaceDN w:val="0"/>
              <w:adjustRightInd w:val="0"/>
              <w:spacing w:line="230" w:lineRule="auto"/>
              <w:jc w:val="right"/>
              <w:rPr>
                <w:rFonts w:ascii="Arial" w:hAnsi="Arial" w:cs="Arial"/>
                <w:b/>
                <w:lang w:val="tr-TR"/>
              </w:rPr>
            </w:pPr>
          </w:p>
        </w:tc>
        <w:tc>
          <w:tcPr>
            <w:tcW w:w="1701" w:type="dxa"/>
            <w:tcBorders>
              <w:top w:val="single" w:sz="4" w:space="0" w:color="auto"/>
            </w:tcBorders>
            <w:vAlign w:val="center"/>
          </w:tcPr>
          <w:p w:rsidR="001E7D62" w:rsidRPr="00D00722" w:rsidRDefault="001E7D62" w:rsidP="002B5FEF">
            <w:pPr>
              <w:autoSpaceDE w:val="0"/>
              <w:autoSpaceDN w:val="0"/>
              <w:adjustRightInd w:val="0"/>
              <w:spacing w:line="230" w:lineRule="auto"/>
              <w:jc w:val="right"/>
              <w:rPr>
                <w:rFonts w:ascii="Arial" w:hAnsi="Arial" w:cs="Arial"/>
                <w:lang w:val="tr-TR"/>
              </w:rPr>
            </w:pPr>
          </w:p>
        </w:tc>
      </w:tr>
      <w:tr w:rsidR="001E7D62" w:rsidRPr="00D00722" w:rsidTr="001E7D62">
        <w:tc>
          <w:tcPr>
            <w:tcW w:w="5670" w:type="dxa"/>
          </w:tcPr>
          <w:p w:rsidR="001E7D62" w:rsidRPr="00D00722" w:rsidRDefault="001E7D62" w:rsidP="008F3B48">
            <w:pPr>
              <w:autoSpaceDE w:val="0"/>
              <w:autoSpaceDN w:val="0"/>
              <w:adjustRightInd w:val="0"/>
              <w:spacing w:line="230" w:lineRule="auto"/>
              <w:ind w:left="-108"/>
              <w:jc w:val="both"/>
              <w:rPr>
                <w:rFonts w:ascii="Arial" w:hAnsi="Arial" w:cs="Arial"/>
                <w:lang w:val="tr-TR"/>
              </w:rPr>
            </w:pPr>
            <w:r w:rsidRPr="00D00722">
              <w:rPr>
                <w:rFonts w:ascii="Arial" w:hAnsi="Arial" w:cs="Arial"/>
                <w:color w:val="000000"/>
              </w:rPr>
              <w:t xml:space="preserve"> - İlişkili taraflara ticari borçlar </w:t>
            </w:r>
            <w:r w:rsidRPr="00D00722">
              <w:rPr>
                <w:rFonts w:ascii="Arial" w:hAnsi="Arial" w:cs="Arial"/>
                <w:lang w:val="tr-TR"/>
              </w:rPr>
              <w:t>(Not 23)</w:t>
            </w:r>
          </w:p>
        </w:tc>
        <w:tc>
          <w:tcPr>
            <w:tcW w:w="1701" w:type="dxa"/>
            <w:vAlign w:val="bottom"/>
          </w:tcPr>
          <w:p w:rsidR="001E7D62" w:rsidRPr="00D00722" w:rsidRDefault="00AF71E3" w:rsidP="002F77AE">
            <w:pPr>
              <w:spacing w:line="230" w:lineRule="auto"/>
              <w:jc w:val="right"/>
              <w:rPr>
                <w:rFonts w:ascii="Arial" w:hAnsi="Arial" w:cs="Arial"/>
                <w:b/>
                <w:lang w:val="tr-TR"/>
              </w:rPr>
            </w:pPr>
            <w:r w:rsidRPr="00D00722">
              <w:rPr>
                <w:rFonts w:ascii="Arial" w:hAnsi="Arial" w:cs="Arial"/>
                <w:b/>
                <w:lang w:val="tr-TR"/>
              </w:rPr>
              <w:t>12.20</w:t>
            </w:r>
            <w:r w:rsidR="002F77AE" w:rsidRPr="00D00722">
              <w:rPr>
                <w:rFonts w:ascii="Arial" w:hAnsi="Arial" w:cs="Arial"/>
                <w:b/>
                <w:lang w:val="tr-TR"/>
              </w:rPr>
              <w:t>8</w:t>
            </w:r>
          </w:p>
        </w:tc>
        <w:tc>
          <w:tcPr>
            <w:tcW w:w="1701" w:type="dxa"/>
            <w:vAlign w:val="bottom"/>
          </w:tcPr>
          <w:p w:rsidR="001E7D62" w:rsidRPr="00D00722" w:rsidRDefault="001E7D62" w:rsidP="002B5FEF">
            <w:pPr>
              <w:spacing w:line="230" w:lineRule="auto"/>
              <w:jc w:val="right"/>
              <w:rPr>
                <w:rFonts w:ascii="Arial" w:hAnsi="Arial" w:cs="Arial"/>
                <w:lang w:val="tr-TR"/>
              </w:rPr>
            </w:pPr>
            <w:r w:rsidRPr="00D00722">
              <w:rPr>
                <w:rFonts w:ascii="Arial" w:hAnsi="Arial" w:cs="Arial"/>
                <w:lang w:val="tr-TR"/>
              </w:rPr>
              <w:t>14.707</w:t>
            </w:r>
          </w:p>
        </w:tc>
      </w:tr>
      <w:tr w:rsidR="001E7D62" w:rsidRPr="00D00722" w:rsidTr="001E7D62">
        <w:tc>
          <w:tcPr>
            <w:tcW w:w="5670" w:type="dxa"/>
          </w:tcPr>
          <w:p w:rsidR="001E7D62" w:rsidRPr="00D00722" w:rsidRDefault="001E7D62" w:rsidP="00B37F4A">
            <w:pPr>
              <w:autoSpaceDE w:val="0"/>
              <w:autoSpaceDN w:val="0"/>
              <w:adjustRightInd w:val="0"/>
              <w:spacing w:line="230" w:lineRule="auto"/>
              <w:ind w:left="-108"/>
              <w:jc w:val="both"/>
              <w:rPr>
                <w:rFonts w:ascii="Arial" w:hAnsi="Arial" w:cs="Arial"/>
                <w:lang w:val="tr-TR"/>
              </w:rPr>
            </w:pPr>
            <w:r w:rsidRPr="00D00722">
              <w:rPr>
                <w:rFonts w:ascii="Arial" w:hAnsi="Arial" w:cs="Arial"/>
                <w:color w:val="000000"/>
              </w:rPr>
              <w:t xml:space="preserve"> - Diğer taraflara ticari borçlar</w:t>
            </w:r>
          </w:p>
        </w:tc>
        <w:tc>
          <w:tcPr>
            <w:tcW w:w="1701" w:type="dxa"/>
            <w:vAlign w:val="bottom"/>
          </w:tcPr>
          <w:p w:rsidR="001E7D62" w:rsidRPr="00D00722" w:rsidRDefault="00AF71E3" w:rsidP="00B37F4A">
            <w:pPr>
              <w:spacing w:line="230" w:lineRule="auto"/>
              <w:jc w:val="right"/>
              <w:rPr>
                <w:rFonts w:ascii="Arial" w:hAnsi="Arial" w:cs="Arial"/>
                <w:b/>
                <w:lang w:val="tr-TR"/>
              </w:rPr>
            </w:pPr>
            <w:r w:rsidRPr="00D00722">
              <w:rPr>
                <w:rFonts w:ascii="Arial" w:hAnsi="Arial" w:cs="Arial"/>
                <w:b/>
                <w:lang w:val="tr-TR"/>
              </w:rPr>
              <w:t>8.218</w:t>
            </w:r>
          </w:p>
        </w:tc>
        <w:tc>
          <w:tcPr>
            <w:tcW w:w="1701" w:type="dxa"/>
            <w:vAlign w:val="bottom"/>
          </w:tcPr>
          <w:p w:rsidR="001E7D62" w:rsidRPr="00D00722" w:rsidRDefault="001E7D62" w:rsidP="002B5FEF">
            <w:pPr>
              <w:spacing w:line="230" w:lineRule="auto"/>
              <w:jc w:val="right"/>
              <w:rPr>
                <w:rFonts w:ascii="Arial" w:hAnsi="Arial" w:cs="Arial"/>
                <w:lang w:val="tr-TR"/>
              </w:rPr>
            </w:pPr>
            <w:r w:rsidRPr="00D00722">
              <w:rPr>
                <w:rFonts w:ascii="Arial" w:hAnsi="Arial" w:cs="Arial"/>
                <w:lang w:val="tr-TR"/>
              </w:rPr>
              <w:t>35.666</w:t>
            </w:r>
          </w:p>
        </w:tc>
      </w:tr>
      <w:tr w:rsidR="001E7D62" w:rsidRPr="00D00722" w:rsidTr="001E7D62">
        <w:trPr>
          <w:trHeight w:val="211"/>
        </w:trPr>
        <w:tc>
          <w:tcPr>
            <w:tcW w:w="5670" w:type="dxa"/>
            <w:tcBorders>
              <w:bottom w:val="single" w:sz="8" w:space="0" w:color="auto"/>
            </w:tcBorders>
          </w:tcPr>
          <w:p w:rsidR="001E7D62" w:rsidRPr="00D00722" w:rsidRDefault="001E7D62" w:rsidP="00B37F4A">
            <w:pPr>
              <w:autoSpaceDE w:val="0"/>
              <w:autoSpaceDN w:val="0"/>
              <w:adjustRightInd w:val="0"/>
              <w:spacing w:line="230" w:lineRule="auto"/>
              <w:ind w:left="-108"/>
              <w:jc w:val="both"/>
              <w:rPr>
                <w:rFonts w:ascii="Arial" w:hAnsi="Arial" w:cs="Arial"/>
                <w:lang w:val="tr-TR"/>
              </w:rPr>
            </w:pPr>
          </w:p>
        </w:tc>
        <w:tc>
          <w:tcPr>
            <w:tcW w:w="1701" w:type="dxa"/>
            <w:tcBorders>
              <w:bottom w:val="single" w:sz="8" w:space="0" w:color="auto"/>
            </w:tcBorders>
            <w:vAlign w:val="center"/>
          </w:tcPr>
          <w:p w:rsidR="001E7D62" w:rsidRPr="00D00722" w:rsidRDefault="001E7D62" w:rsidP="00B37F4A">
            <w:pPr>
              <w:autoSpaceDE w:val="0"/>
              <w:autoSpaceDN w:val="0"/>
              <w:adjustRightInd w:val="0"/>
              <w:spacing w:line="230" w:lineRule="auto"/>
              <w:jc w:val="right"/>
              <w:rPr>
                <w:rFonts w:ascii="Arial" w:hAnsi="Arial" w:cs="Arial"/>
                <w:b/>
                <w:lang w:val="tr-TR"/>
              </w:rPr>
            </w:pPr>
          </w:p>
        </w:tc>
        <w:tc>
          <w:tcPr>
            <w:tcW w:w="1701" w:type="dxa"/>
            <w:tcBorders>
              <w:bottom w:val="single" w:sz="8" w:space="0" w:color="auto"/>
            </w:tcBorders>
            <w:vAlign w:val="center"/>
          </w:tcPr>
          <w:p w:rsidR="001E7D62" w:rsidRPr="00D00722" w:rsidRDefault="001E7D62" w:rsidP="002B5FEF">
            <w:pPr>
              <w:autoSpaceDE w:val="0"/>
              <w:autoSpaceDN w:val="0"/>
              <w:adjustRightInd w:val="0"/>
              <w:spacing w:line="230" w:lineRule="auto"/>
              <w:jc w:val="right"/>
              <w:rPr>
                <w:rFonts w:ascii="Arial" w:hAnsi="Arial" w:cs="Arial"/>
                <w:lang w:val="tr-TR"/>
              </w:rPr>
            </w:pPr>
          </w:p>
        </w:tc>
      </w:tr>
      <w:tr w:rsidR="001E7D62" w:rsidRPr="00D00722" w:rsidTr="001E7D62">
        <w:tc>
          <w:tcPr>
            <w:tcW w:w="5670" w:type="dxa"/>
            <w:tcBorders>
              <w:top w:val="single" w:sz="8" w:space="0" w:color="auto"/>
              <w:bottom w:val="double" w:sz="4" w:space="0" w:color="auto"/>
            </w:tcBorders>
          </w:tcPr>
          <w:p w:rsidR="001E7D62" w:rsidRPr="00D00722" w:rsidRDefault="001E7D62" w:rsidP="00B37F4A">
            <w:pPr>
              <w:autoSpaceDE w:val="0"/>
              <w:autoSpaceDN w:val="0"/>
              <w:adjustRightInd w:val="0"/>
              <w:spacing w:line="230" w:lineRule="auto"/>
              <w:jc w:val="both"/>
              <w:rPr>
                <w:rFonts w:ascii="Arial" w:hAnsi="Arial" w:cs="Arial"/>
                <w:lang w:val="tr-TR"/>
              </w:rPr>
            </w:pPr>
            <w:r w:rsidRPr="00D00722">
              <w:rPr>
                <w:rFonts w:ascii="Arial" w:hAnsi="Arial" w:cs="Arial"/>
              </w:rPr>
              <w:br w:type="page"/>
            </w:r>
          </w:p>
        </w:tc>
        <w:tc>
          <w:tcPr>
            <w:tcW w:w="1701" w:type="dxa"/>
            <w:tcBorders>
              <w:top w:val="single" w:sz="8" w:space="0" w:color="auto"/>
              <w:bottom w:val="double" w:sz="4" w:space="0" w:color="auto"/>
            </w:tcBorders>
            <w:vAlign w:val="bottom"/>
          </w:tcPr>
          <w:p w:rsidR="001E7D62" w:rsidRPr="00D00722" w:rsidRDefault="00AF71E3" w:rsidP="00B37F4A">
            <w:pPr>
              <w:spacing w:line="230" w:lineRule="auto"/>
              <w:jc w:val="right"/>
              <w:rPr>
                <w:rFonts w:ascii="Arial" w:hAnsi="Arial" w:cs="Arial"/>
                <w:b/>
                <w:lang w:val="tr-TR"/>
              </w:rPr>
            </w:pPr>
            <w:r w:rsidRPr="00D00722">
              <w:rPr>
                <w:rFonts w:ascii="Arial" w:hAnsi="Arial" w:cs="Arial"/>
                <w:b/>
                <w:lang w:val="tr-TR"/>
              </w:rPr>
              <w:t>20.426</w:t>
            </w:r>
          </w:p>
        </w:tc>
        <w:tc>
          <w:tcPr>
            <w:tcW w:w="1701" w:type="dxa"/>
            <w:tcBorders>
              <w:top w:val="single" w:sz="8" w:space="0" w:color="auto"/>
              <w:bottom w:val="double" w:sz="4" w:space="0" w:color="auto"/>
            </w:tcBorders>
            <w:vAlign w:val="bottom"/>
          </w:tcPr>
          <w:p w:rsidR="001E7D62" w:rsidRPr="00D00722" w:rsidRDefault="001E7D62" w:rsidP="002B5FEF">
            <w:pPr>
              <w:spacing w:line="230" w:lineRule="auto"/>
              <w:jc w:val="right"/>
              <w:rPr>
                <w:rFonts w:ascii="Arial" w:hAnsi="Arial" w:cs="Arial"/>
                <w:lang w:val="tr-TR"/>
              </w:rPr>
            </w:pPr>
            <w:r w:rsidRPr="00D00722">
              <w:rPr>
                <w:rFonts w:ascii="Arial" w:hAnsi="Arial" w:cs="Arial"/>
                <w:lang w:val="tr-TR"/>
              </w:rPr>
              <w:t>50.373</w:t>
            </w:r>
          </w:p>
        </w:tc>
      </w:tr>
    </w:tbl>
    <w:p w:rsidR="00B37F4A" w:rsidRPr="00D00722" w:rsidRDefault="00B37F4A">
      <w:pPr>
        <w:rPr>
          <w:rFonts w:ascii="Arial" w:hAnsi="Arial" w:cs="Arial"/>
          <w:b/>
          <w:bCs/>
          <w:noProof/>
          <w:lang w:val="tr-TR"/>
        </w:rPr>
      </w:pPr>
    </w:p>
    <w:p w:rsidR="003B42C2" w:rsidRPr="00D00722" w:rsidRDefault="003B42C2">
      <w:pPr>
        <w:rPr>
          <w:rFonts w:ascii="Arial" w:hAnsi="Arial" w:cs="Arial"/>
          <w:b/>
          <w:bCs/>
          <w:noProof/>
          <w:lang w:val="tr-TR"/>
        </w:rPr>
      </w:pPr>
    </w:p>
    <w:p w:rsidR="00681EF0" w:rsidRPr="00D00722" w:rsidRDefault="00461705" w:rsidP="00B37F4A">
      <w:pPr>
        <w:pStyle w:val="body0"/>
        <w:tabs>
          <w:tab w:val="left" w:pos="567"/>
        </w:tabs>
        <w:spacing w:after="0" w:line="240" w:lineRule="auto"/>
        <w:rPr>
          <w:rFonts w:ascii="Arial" w:hAnsi="Arial" w:cs="Arial"/>
          <w:b/>
          <w:bCs/>
          <w:noProof/>
          <w:sz w:val="20"/>
          <w:szCs w:val="20"/>
          <w:lang w:val="tr-TR"/>
        </w:rPr>
      </w:pPr>
      <w:r w:rsidRPr="00D00722">
        <w:rPr>
          <w:rFonts w:ascii="Arial" w:hAnsi="Arial" w:cs="Arial"/>
          <w:b/>
          <w:bCs/>
          <w:noProof/>
          <w:sz w:val="20"/>
          <w:szCs w:val="20"/>
          <w:lang w:val="tr-TR"/>
        </w:rPr>
        <w:t>7</w:t>
      </w:r>
      <w:r w:rsidR="00CF3B37" w:rsidRPr="00D00722">
        <w:rPr>
          <w:rFonts w:ascii="Arial" w:hAnsi="Arial" w:cs="Arial"/>
          <w:b/>
          <w:bCs/>
          <w:noProof/>
          <w:sz w:val="20"/>
          <w:szCs w:val="20"/>
          <w:lang w:val="tr-TR"/>
        </w:rPr>
        <w:t>.</w:t>
      </w:r>
      <w:r w:rsidR="00CF3B37" w:rsidRPr="00D00722">
        <w:rPr>
          <w:rFonts w:ascii="Arial" w:hAnsi="Arial" w:cs="Arial"/>
          <w:b/>
          <w:bCs/>
          <w:noProof/>
          <w:sz w:val="20"/>
          <w:szCs w:val="20"/>
          <w:lang w:val="tr-TR"/>
        </w:rPr>
        <w:tab/>
      </w:r>
      <w:r w:rsidR="008F3B48" w:rsidRPr="00D00722">
        <w:rPr>
          <w:rFonts w:ascii="Arial" w:hAnsi="Arial" w:cs="Arial"/>
          <w:b/>
          <w:bCs/>
          <w:noProof/>
          <w:sz w:val="20"/>
          <w:szCs w:val="20"/>
          <w:lang w:val="tr-TR"/>
        </w:rPr>
        <w:t>Peşin ödenmiş giderler</w:t>
      </w:r>
    </w:p>
    <w:p w:rsidR="00600EEB" w:rsidRPr="00D00722" w:rsidRDefault="00600EEB" w:rsidP="00AB1D41">
      <w:pPr>
        <w:pStyle w:val="body0"/>
        <w:spacing w:after="0" w:line="240" w:lineRule="auto"/>
        <w:rPr>
          <w:rFonts w:ascii="Arial" w:hAnsi="Arial" w:cs="Arial"/>
          <w:b/>
          <w:bCs/>
          <w:noProof/>
          <w:sz w:val="20"/>
          <w:szCs w:val="20"/>
          <w:lang w:val="tr-TR"/>
        </w:rPr>
      </w:pPr>
    </w:p>
    <w:tbl>
      <w:tblPr>
        <w:tblW w:w="9072" w:type="dxa"/>
        <w:tblInd w:w="108" w:type="dxa"/>
        <w:tblLayout w:type="fixed"/>
        <w:tblLook w:val="01E0"/>
      </w:tblPr>
      <w:tblGrid>
        <w:gridCol w:w="5670"/>
        <w:gridCol w:w="1701"/>
        <w:gridCol w:w="1701"/>
      </w:tblGrid>
      <w:tr w:rsidR="001E7D62" w:rsidRPr="00D00722" w:rsidTr="001E7D62">
        <w:tc>
          <w:tcPr>
            <w:tcW w:w="5670" w:type="dxa"/>
            <w:tcBorders>
              <w:top w:val="single" w:sz="4" w:space="0" w:color="auto"/>
              <w:bottom w:val="single" w:sz="4" w:space="0" w:color="auto"/>
            </w:tcBorders>
          </w:tcPr>
          <w:p w:rsidR="001E7D62" w:rsidRPr="00D00722" w:rsidRDefault="001E7D62" w:rsidP="00987ED0">
            <w:pPr>
              <w:autoSpaceDE w:val="0"/>
              <w:autoSpaceDN w:val="0"/>
              <w:adjustRightInd w:val="0"/>
              <w:ind w:left="-108"/>
              <w:jc w:val="both"/>
              <w:rPr>
                <w:rFonts w:ascii="Arial" w:hAnsi="Arial" w:cs="Arial"/>
                <w:lang w:val="tr-TR"/>
              </w:rPr>
            </w:pPr>
          </w:p>
        </w:tc>
        <w:tc>
          <w:tcPr>
            <w:tcW w:w="1701" w:type="dxa"/>
            <w:tcBorders>
              <w:top w:val="single" w:sz="4" w:space="0" w:color="auto"/>
              <w:bottom w:val="single" w:sz="4" w:space="0" w:color="auto"/>
            </w:tcBorders>
            <w:vAlign w:val="bottom"/>
          </w:tcPr>
          <w:p w:rsidR="001E7D62" w:rsidRPr="00D00722" w:rsidRDefault="001E7D62" w:rsidP="001E7D62">
            <w:pPr>
              <w:autoSpaceDE w:val="0"/>
              <w:autoSpaceDN w:val="0"/>
              <w:adjustRightInd w:val="0"/>
              <w:jc w:val="right"/>
              <w:rPr>
                <w:rFonts w:ascii="Arial" w:hAnsi="Arial" w:cs="Arial"/>
                <w:b/>
                <w:lang w:val="tr-TR"/>
              </w:rPr>
            </w:pPr>
            <w:r w:rsidRPr="00D00722">
              <w:rPr>
                <w:rFonts w:ascii="Arial" w:hAnsi="Arial" w:cs="Arial"/>
                <w:b/>
                <w:lang w:val="tr-TR"/>
              </w:rPr>
              <w:t>31 AMart 2014</w:t>
            </w:r>
          </w:p>
        </w:tc>
        <w:tc>
          <w:tcPr>
            <w:tcW w:w="1701" w:type="dxa"/>
            <w:tcBorders>
              <w:top w:val="single" w:sz="4" w:space="0" w:color="auto"/>
              <w:bottom w:val="single" w:sz="4" w:space="0" w:color="auto"/>
            </w:tcBorders>
            <w:vAlign w:val="bottom"/>
          </w:tcPr>
          <w:p w:rsidR="001E7D62" w:rsidRPr="00D00722" w:rsidRDefault="001E7D62" w:rsidP="002B5FEF">
            <w:pPr>
              <w:autoSpaceDE w:val="0"/>
              <w:autoSpaceDN w:val="0"/>
              <w:adjustRightInd w:val="0"/>
              <w:jc w:val="right"/>
              <w:rPr>
                <w:rFonts w:ascii="Arial" w:hAnsi="Arial" w:cs="Arial"/>
                <w:lang w:val="tr-TR"/>
              </w:rPr>
            </w:pPr>
            <w:r w:rsidRPr="00D00722">
              <w:rPr>
                <w:rFonts w:ascii="Arial" w:hAnsi="Arial" w:cs="Arial"/>
                <w:lang w:val="tr-TR"/>
              </w:rPr>
              <w:t>31 Aralık 2013</w:t>
            </w:r>
          </w:p>
        </w:tc>
      </w:tr>
      <w:tr w:rsidR="001E7D62" w:rsidRPr="00D00722" w:rsidTr="001E7D62">
        <w:tc>
          <w:tcPr>
            <w:tcW w:w="5670" w:type="dxa"/>
            <w:tcBorders>
              <w:top w:val="single" w:sz="4" w:space="0" w:color="auto"/>
            </w:tcBorders>
          </w:tcPr>
          <w:p w:rsidR="001E7D62" w:rsidRPr="00D00722" w:rsidRDefault="001E7D62" w:rsidP="00AE0484">
            <w:pPr>
              <w:autoSpaceDE w:val="0"/>
              <w:autoSpaceDN w:val="0"/>
              <w:adjustRightInd w:val="0"/>
              <w:ind w:left="-108"/>
              <w:jc w:val="both"/>
              <w:rPr>
                <w:rFonts w:ascii="Arial" w:hAnsi="Arial" w:cs="Arial"/>
                <w:lang w:val="tr-TR"/>
              </w:rPr>
            </w:pPr>
          </w:p>
        </w:tc>
        <w:tc>
          <w:tcPr>
            <w:tcW w:w="1701" w:type="dxa"/>
            <w:tcBorders>
              <w:top w:val="single" w:sz="4" w:space="0" w:color="auto"/>
            </w:tcBorders>
            <w:vAlign w:val="center"/>
          </w:tcPr>
          <w:p w:rsidR="001E7D62" w:rsidRPr="00D00722" w:rsidRDefault="001E7D62" w:rsidP="001A2951">
            <w:pPr>
              <w:autoSpaceDE w:val="0"/>
              <w:autoSpaceDN w:val="0"/>
              <w:adjustRightInd w:val="0"/>
              <w:jc w:val="right"/>
              <w:rPr>
                <w:rFonts w:ascii="Arial" w:hAnsi="Arial" w:cs="Arial"/>
                <w:b/>
                <w:lang w:val="tr-TR"/>
              </w:rPr>
            </w:pPr>
          </w:p>
        </w:tc>
        <w:tc>
          <w:tcPr>
            <w:tcW w:w="1701" w:type="dxa"/>
            <w:tcBorders>
              <w:top w:val="single" w:sz="4" w:space="0" w:color="auto"/>
            </w:tcBorders>
            <w:vAlign w:val="center"/>
          </w:tcPr>
          <w:p w:rsidR="001E7D62" w:rsidRPr="00D00722" w:rsidRDefault="001E7D62" w:rsidP="002B5FEF">
            <w:pPr>
              <w:autoSpaceDE w:val="0"/>
              <w:autoSpaceDN w:val="0"/>
              <w:adjustRightInd w:val="0"/>
              <w:jc w:val="right"/>
              <w:rPr>
                <w:rFonts w:ascii="Arial" w:hAnsi="Arial" w:cs="Arial"/>
                <w:lang w:val="tr-TR"/>
              </w:rPr>
            </w:pPr>
          </w:p>
        </w:tc>
      </w:tr>
      <w:tr w:rsidR="001E7D62" w:rsidRPr="00D00722" w:rsidTr="001E7D62">
        <w:tc>
          <w:tcPr>
            <w:tcW w:w="5670" w:type="dxa"/>
          </w:tcPr>
          <w:p w:rsidR="001E7D62" w:rsidRPr="00D00722" w:rsidRDefault="001E7D62" w:rsidP="00AE0484">
            <w:pPr>
              <w:autoSpaceDE w:val="0"/>
              <w:autoSpaceDN w:val="0"/>
              <w:adjustRightInd w:val="0"/>
              <w:ind w:left="-108"/>
              <w:jc w:val="both"/>
              <w:rPr>
                <w:rFonts w:ascii="Arial" w:hAnsi="Arial" w:cs="Arial"/>
                <w:lang w:val="tr-TR"/>
              </w:rPr>
            </w:pPr>
            <w:r w:rsidRPr="00D00722">
              <w:rPr>
                <w:rFonts w:ascii="Arial" w:hAnsi="Arial" w:cs="Arial"/>
                <w:lang w:val="tr-TR"/>
              </w:rPr>
              <w:t>Gelecek aylara ait giderler(*)</w:t>
            </w:r>
          </w:p>
        </w:tc>
        <w:tc>
          <w:tcPr>
            <w:tcW w:w="1701" w:type="dxa"/>
            <w:vAlign w:val="bottom"/>
          </w:tcPr>
          <w:p w:rsidR="001E7D62" w:rsidRPr="00D00722" w:rsidRDefault="00AF71E3" w:rsidP="003779D1">
            <w:pPr>
              <w:jc w:val="right"/>
              <w:rPr>
                <w:rFonts w:ascii="Arial" w:hAnsi="Arial" w:cs="Arial"/>
                <w:b/>
              </w:rPr>
            </w:pPr>
            <w:r w:rsidRPr="00D00722">
              <w:rPr>
                <w:rFonts w:ascii="Arial" w:hAnsi="Arial" w:cs="Arial"/>
                <w:b/>
              </w:rPr>
              <w:t>48.03</w:t>
            </w:r>
            <w:r w:rsidR="003779D1" w:rsidRPr="00D00722">
              <w:rPr>
                <w:rFonts w:ascii="Arial" w:hAnsi="Arial" w:cs="Arial"/>
                <w:b/>
              </w:rPr>
              <w:t>7</w:t>
            </w:r>
          </w:p>
        </w:tc>
        <w:tc>
          <w:tcPr>
            <w:tcW w:w="1701" w:type="dxa"/>
            <w:vAlign w:val="bottom"/>
          </w:tcPr>
          <w:p w:rsidR="001E7D62" w:rsidRPr="00D00722" w:rsidRDefault="001E7D62" w:rsidP="002B5FEF">
            <w:pPr>
              <w:jc w:val="right"/>
              <w:rPr>
                <w:rFonts w:ascii="Arial" w:hAnsi="Arial" w:cs="Arial"/>
              </w:rPr>
            </w:pPr>
            <w:r w:rsidRPr="00D00722">
              <w:rPr>
                <w:rFonts w:ascii="Arial" w:hAnsi="Arial" w:cs="Arial"/>
              </w:rPr>
              <w:t>14.146</w:t>
            </w:r>
          </w:p>
        </w:tc>
      </w:tr>
      <w:tr w:rsidR="001E7D62" w:rsidRPr="00D00722" w:rsidTr="001E7D62">
        <w:tc>
          <w:tcPr>
            <w:tcW w:w="5670" w:type="dxa"/>
            <w:tcBorders>
              <w:bottom w:val="single" w:sz="8" w:space="0" w:color="auto"/>
            </w:tcBorders>
          </w:tcPr>
          <w:p w:rsidR="001E7D62" w:rsidRPr="00D00722" w:rsidRDefault="001E7D62" w:rsidP="00AE0484">
            <w:pPr>
              <w:autoSpaceDE w:val="0"/>
              <w:autoSpaceDN w:val="0"/>
              <w:adjustRightInd w:val="0"/>
              <w:ind w:left="-108"/>
              <w:jc w:val="both"/>
              <w:rPr>
                <w:rFonts w:ascii="Arial" w:hAnsi="Arial" w:cs="Arial"/>
                <w:lang w:val="tr-TR"/>
              </w:rPr>
            </w:pPr>
          </w:p>
        </w:tc>
        <w:tc>
          <w:tcPr>
            <w:tcW w:w="1701" w:type="dxa"/>
            <w:tcBorders>
              <w:bottom w:val="single" w:sz="8" w:space="0" w:color="auto"/>
            </w:tcBorders>
            <w:vAlign w:val="bottom"/>
          </w:tcPr>
          <w:p w:rsidR="001E7D62" w:rsidRPr="00D00722" w:rsidRDefault="001E7D62" w:rsidP="001A2951">
            <w:pPr>
              <w:jc w:val="right"/>
              <w:rPr>
                <w:rFonts w:ascii="Arial" w:hAnsi="Arial" w:cs="Arial"/>
                <w:b/>
              </w:rPr>
            </w:pPr>
          </w:p>
        </w:tc>
        <w:tc>
          <w:tcPr>
            <w:tcW w:w="1701" w:type="dxa"/>
            <w:tcBorders>
              <w:bottom w:val="single" w:sz="8" w:space="0" w:color="auto"/>
            </w:tcBorders>
            <w:vAlign w:val="bottom"/>
          </w:tcPr>
          <w:p w:rsidR="001E7D62" w:rsidRPr="00D00722" w:rsidRDefault="001E7D62" w:rsidP="002B5FEF">
            <w:pPr>
              <w:jc w:val="right"/>
              <w:rPr>
                <w:rFonts w:ascii="Arial" w:hAnsi="Arial" w:cs="Arial"/>
              </w:rPr>
            </w:pPr>
          </w:p>
        </w:tc>
      </w:tr>
      <w:tr w:rsidR="001E7D62" w:rsidRPr="00D00722" w:rsidTr="001E7D62">
        <w:tc>
          <w:tcPr>
            <w:tcW w:w="5670" w:type="dxa"/>
            <w:tcBorders>
              <w:top w:val="single" w:sz="8" w:space="0" w:color="auto"/>
              <w:bottom w:val="double" w:sz="4" w:space="0" w:color="auto"/>
            </w:tcBorders>
          </w:tcPr>
          <w:p w:rsidR="001E7D62" w:rsidRPr="00D00722" w:rsidRDefault="001E7D62" w:rsidP="00AE0484">
            <w:pPr>
              <w:autoSpaceDE w:val="0"/>
              <w:autoSpaceDN w:val="0"/>
              <w:adjustRightInd w:val="0"/>
              <w:jc w:val="both"/>
              <w:rPr>
                <w:rFonts w:ascii="Arial" w:hAnsi="Arial" w:cs="Arial"/>
                <w:lang w:val="tr-TR"/>
              </w:rPr>
            </w:pPr>
          </w:p>
        </w:tc>
        <w:tc>
          <w:tcPr>
            <w:tcW w:w="1701" w:type="dxa"/>
            <w:tcBorders>
              <w:top w:val="single" w:sz="8" w:space="0" w:color="auto"/>
              <w:bottom w:val="double" w:sz="4" w:space="0" w:color="auto"/>
            </w:tcBorders>
            <w:vAlign w:val="bottom"/>
          </w:tcPr>
          <w:p w:rsidR="001E7D62" w:rsidRPr="00D00722" w:rsidRDefault="00AF71E3" w:rsidP="003779D1">
            <w:pPr>
              <w:jc w:val="right"/>
              <w:rPr>
                <w:rFonts w:ascii="Arial" w:hAnsi="Arial" w:cs="Arial"/>
                <w:b/>
                <w:lang w:val="tr-TR"/>
              </w:rPr>
            </w:pPr>
            <w:r w:rsidRPr="00D00722">
              <w:rPr>
                <w:rFonts w:ascii="Arial" w:hAnsi="Arial" w:cs="Arial"/>
                <w:b/>
                <w:lang w:val="tr-TR"/>
              </w:rPr>
              <w:t>48.03</w:t>
            </w:r>
            <w:r w:rsidR="003779D1" w:rsidRPr="00D00722">
              <w:rPr>
                <w:rFonts w:ascii="Arial" w:hAnsi="Arial" w:cs="Arial"/>
                <w:b/>
                <w:lang w:val="tr-TR"/>
              </w:rPr>
              <w:t>7</w:t>
            </w:r>
          </w:p>
        </w:tc>
        <w:tc>
          <w:tcPr>
            <w:tcW w:w="1701" w:type="dxa"/>
            <w:tcBorders>
              <w:top w:val="single" w:sz="8" w:space="0" w:color="auto"/>
              <w:bottom w:val="double" w:sz="4" w:space="0" w:color="auto"/>
            </w:tcBorders>
            <w:vAlign w:val="bottom"/>
          </w:tcPr>
          <w:p w:rsidR="001E7D62" w:rsidRPr="00D00722" w:rsidRDefault="001E7D62" w:rsidP="002B5FEF">
            <w:pPr>
              <w:jc w:val="right"/>
              <w:rPr>
                <w:rFonts w:ascii="Arial" w:hAnsi="Arial" w:cs="Arial"/>
                <w:lang w:val="tr-TR"/>
              </w:rPr>
            </w:pPr>
            <w:r w:rsidRPr="00D00722">
              <w:rPr>
                <w:rFonts w:ascii="Arial" w:hAnsi="Arial" w:cs="Arial"/>
                <w:lang w:val="tr-TR"/>
              </w:rPr>
              <w:t>14.146</w:t>
            </w:r>
          </w:p>
        </w:tc>
      </w:tr>
    </w:tbl>
    <w:p w:rsidR="00D9040F" w:rsidRPr="00D00722" w:rsidRDefault="00D9040F" w:rsidP="00AE0484">
      <w:pPr>
        <w:pStyle w:val="body0"/>
        <w:spacing w:after="0" w:line="240" w:lineRule="auto"/>
        <w:rPr>
          <w:rFonts w:ascii="Arial" w:hAnsi="Arial" w:cs="Arial"/>
          <w:b/>
          <w:bCs/>
          <w:noProof/>
          <w:sz w:val="20"/>
          <w:szCs w:val="20"/>
          <w:lang w:val="tr-TR"/>
        </w:rPr>
      </w:pPr>
    </w:p>
    <w:p w:rsidR="00574FAE" w:rsidRPr="00D00722" w:rsidRDefault="00574FAE" w:rsidP="003C359E">
      <w:pPr>
        <w:pStyle w:val="body0"/>
        <w:tabs>
          <w:tab w:val="left" w:pos="567"/>
        </w:tabs>
        <w:spacing w:after="0" w:line="240" w:lineRule="auto"/>
        <w:ind w:left="567" w:hanging="567"/>
        <w:jc w:val="left"/>
        <w:rPr>
          <w:rFonts w:ascii="Arial" w:hAnsi="Arial" w:cs="Arial"/>
          <w:bCs/>
          <w:noProof/>
          <w:sz w:val="20"/>
          <w:szCs w:val="20"/>
          <w:lang w:val="tr-TR"/>
        </w:rPr>
      </w:pPr>
      <w:r w:rsidRPr="00D00722">
        <w:rPr>
          <w:rFonts w:ascii="Arial" w:hAnsi="Arial" w:cs="Arial"/>
          <w:bCs/>
          <w:noProof/>
          <w:sz w:val="20"/>
          <w:szCs w:val="20"/>
          <w:lang w:val="tr-TR"/>
        </w:rPr>
        <w:t>(*)</w:t>
      </w:r>
      <w:r w:rsidR="0009307B" w:rsidRPr="00D00722">
        <w:rPr>
          <w:rFonts w:ascii="Arial" w:hAnsi="Arial" w:cs="Arial"/>
          <w:bCs/>
          <w:noProof/>
          <w:sz w:val="20"/>
          <w:szCs w:val="20"/>
          <w:lang w:val="tr-TR"/>
        </w:rPr>
        <w:t xml:space="preserve"> </w:t>
      </w:r>
      <w:r w:rsidR="003B42C2" w:rsidRPr="00D00722">
        <w:rPr>
          <w:rFonts w:ascii="Arial" w:hAnsi="Arial" w:cs="Arial"/>
          <w:bCs/>
          <w:noProof/>
          <w:sz w:val="20"/>
          <w:szCs w:val="20"/>
          <w:lang w:val="tr-TR"/>
        </w:rPr>
        <w:tab/>
      </w:r>
      <w:r w:rsidR="0009307B" w:rsidRPr="00D00722">
        <w:rPr>
          <w:rFonts w:ascii="Arial" w:hAnsi="Arial" w:cs="Arial"/>
          <w:bCs/>
          <w:noProof/>
          <w:sz w:val="20"/>
          <w:szCs w:val="20"/>
          <w:lang w:val="tr-TR"/>
        </w:rPr>
        <w:t xml:space="preserve">Gelecek aylara ait giderlerin </w:t>
      </w:r>
      <w:r w:rsidR="00F9481B" w:rsidRPr="00D00722">
        <w:rPr>
          <w:rFonts w:ascii="Arial" w:hAnsi="Arial" w:cs="Arial"/>
          <w:bCs/>
          <w:noProof/>
          <w:sz w:val="20"/>
          <w:szCs w:val="20"/>
          <w:lang w:val="tr-TR"/>
        </w:rPr>
        <w:t>5</w:t>
      </w:r>
      <w:r w:rsidR="0009307B" w:rsidRPr="00D00722">
        <w:rPr>
          <w:rFonts w:ascii="Arial" w:hAnsi="Arial" w:cs="Arial"/>
          <w:bCs/>
          <w:noProof/>
          <w:sz w:val="20"/>
          <w:szCs w:val="20"/>
          <w:lang w:val="tr-TR"/>
        </w:rPr>
        <w:t>.</w:t>
      </w:r>
      <w:r w:rsidR="00F9481B" w:rsidRPr="00D00722">
        <w:rPr>
          <w:rFonts w:ascii="Arial" w:hAnsi="Arial" w:cs="Arial"/>
          <w:bCs/>
          <w:noProof/>
          <w:sz w:val="20"/>
          <w:szCs w:val="20"/>
          <w:lang w:val="tr-TR"/>
        </w:rPr>
        <w:t>843.-</w:t>
      </w:r>
      <w:r w:rsidR="0009307B" w:rsidRPr="00D00722">
        <w:rPr>
          <w:rFonts w:ascii="Arial" w:hAnsi="Arial" w:cs="Arial"/>
          <w:bCs/>
          <w:noProof/>
          <w:sz w:val="20"/>
          <w:szCs w:val="20"/>
          <w:lang w:val="tr-TR"/>
        </w:rPr>
        <w:t xml:space="preserve">TL tutarındaki kısmı </w:t>
      </w:r>
      <w:r w:rsidR="003A287D" w:rsidRPr="00D00722">
        <w:rPr>
          <w:rFonts w:ascii="Arial" w:hAnsi="Arial" w:cs="Arial"/>
          <w:bCs/>
          <w:noProof/>
          <w:sz w:val="20"/>
          <w:szCs w:val="20"/>
          <w:lang w:val="tr-TR"/>
        </w:rPr>
        <w:t xml:space="preserve">peşin ödenen </w:t>
      </w:r>
      <w:r w:rsidR="0009307B" w:rsidRPr="00D00722">
        <w:rPr>
          <w:rFonts w:ascii="Arial" w:hAnsi="Arial" w:cs="Arial"/>
          <w:bCs/>
          <w:noProof/>
          <w:sz w:val="20"/>
          <w:szCs w:val="20"/>
          <w:lang w:val="tr-TR"/>
        </w:rPr>
        <w:t>sağlık sigortası giderlerinden oluşmaktadır.</w:t>
      </w:r>
    </w:p>
    <w:p w:rsidR="00574FAE" w:rsidRPr="00D00722" w:rsidRDefault="00574FAE" w:rsidP="00AA0364">
      <w:pPr>
        <w:pStyle w:val="body0"/>
        <w:tabs>
          <w:tab w:val="left" w:pos="567"/>
        </w:tabs>
        <w:spacing w:after="0" w:line="240" w:lineRule="auto"/>
        <w:rPr>
          <w:rFonts w:ascii="Arial" w:hAnsi="Arial" w:cs="Arial"/>
          <w:b/>
          <w:bCs/>
          <w:noProof/>
          <w:sz w:val="20"/>
          <w:szCs w:val="20"/>
          <w:lang w:val="tr-TR"/>
        </w:rPr>
      </w:pPr>
    </w:p>
    <w:p w:rsidR="003B42C2" w:rsidRPr="00D00722" w:rsidRDefault="003B42C2" w:rsidP="00AA0364">
      <w:pPr>
        <w:pStyle w:val="body0"/>
        <w:tabs>
          <w:tab w:val="left" w:pos="567"/>
        </w:tabs>
        <w:spacing w:after="0" w:line="240" w:lineRule="auto"/>
        <w:rPr>
          <w:rFonts w:ascii="Arial" w:hAnsi="Arial" w:cs="Arial"/>
          <w:b/>
          <w:bCs/>
          <w:noProof/>
          <w:sz w:val="20"/>
          <w:szCs w:val="20"/>
          <w:lang w:val="tr-TR"/>
        </w:rPr>
      </w:pPr>
    </w:p>
    <w:p w:rsidR="00AA0364" w:rsidRPr="00D00722" w:rsidRDefault="00AA0364" w:rsidP="00AA0364">
      <w:pPr>
        <w:pStyle w:val="body0"/>
        <w:tabs>
          <w:tab w:val="left" w:pos="567"/>
        </w:tabs>
        <w:spacing w:after="0" w:line="240" w:lineRule="auto"/>
        <w:rPr>
          <w:rFonts w:ascii="Arial" w:hAnsi="Arial" w:cs="Arial"/>
          <w:b/>
          <w:bCs/>
          <w:noProof/>
          <w:sz w:val="20"/>
          <w:szCs w:val="20"/>
          <w:lang w:val="tr-TR"/>
        </w:rPr>
      </w:pPr>
      <w:r w:rsidRPr="00D00722">
        <w:rPr>
          <w:rFonts w:ascii="Arial" w:hAnsi="Arial" w:cs="Arial"/>
          <w:b/>
          <w:bCs/>
          <w:noProof/>
          <w:sz w:val="20"/>
          <w:szCs w:val="20"/>
          <w:lang w:val="tr-TR"/>
        </w:rPr>
        <w:t>8.</w:t>
      </w:r>
      <w:r w:rsidRPr="00D00722">
        <w:rPr>
          <w:rFonts w:ascii="Arial" w:hAnsi="Arial" w:cs="Arial"/>
          <w:b/>
          <w:bCs/>
          <w:noProof/>
          <w:sz w:val="20"/>
          <w:szCs w:val="20"/>
          <w:lang w:val="tr-TR"/>
        </w:rPr>
        <w:tab/>
        <w:t>Cari dönem vergisiyle ilgili alacaklar</w:t>
      </w:r>
    </w:p>
    <w:p w:rsidR="00AA0364" w:rsidRPr="00D00722" w:rsidRDefault="00AA0364" w:rsidP="00AA0364">
      <w:pPr>
        <w:pStyle w:val="body0"/>
        <w:tabs>
          <w:tab w:val="left" w:pos="567"/>
        </w:tabs>
        <w:spacing w:after="0" w:line="240" w:lineRule="auto"/>
        <w:rPr>
          <w:rFonts w:ascii="Arial" w:hAnsi="Arial" w:cs="Arial"/>
          <w:b/>
          <w:bCs/>
          <w:noProof/>
          <w:sz w:val="20"/>
          <w:szCs w:val="20"/>
          <w:lang w:val="tr-TR"/>
        </w:rPr>
      </w:pPr>
    </w:p>
    <w:tbl>
      <w:tblPr>
        <w:tblW w:w="9072" w:type="dxa"/>
        <w:tblInd w:w="108" w:type="dxa"/>
        <w:tblLayout w:type="fixed"/>
        <w:tblLook w:val="01E0"/>
      </w:tblPr>
      <w:tblGrid>
        <w:gridCol w:w="5670"/>
        <w:gridCol w:w="1701"/>
        <w:gridCol w:w="1701"/>
      </w:tblGrid>
      <w:tr w:rsidR="001E7D62" w:rsidRPr="00D00722" w:rsidTr="001E7D62">
        <w:tc>
          <w:tcPr>
            <w:tcW w:w="5670" w:type="dxa"/>
            <w:tcBorders>
              <w:top w:val="single" w:sz="4" w:space="0" w:color="auto"/>
              <w:bottom w:val="single" w:sz="4" w:space="0" w:color="auto"/>
            </w:tcBorders>
          </w:tcPr>
          <w:p w:rsidR="001E7D62" w:rsidRPr="00D00722" w:rsidRDefault="001E7D62" w:rsidP="00BE1B0F">
            <w:pPr>
              <w:autoSpaceDE w:val="0"/>
              <w:autoSpaceDN w:val="0"/>
              <w:adjustRightInd w:val="0"/>
              <w:ind w:left="-108"/>
              <w:jc w:val="both"/>
              <w:rPr>
                <w:rFonts w:ascii="Arial" w:hAnsi="Arial" w:cs="Arial"/>
                <w:lang w:val="tr-TR"/>
              </w:rPr>
            </w:pPr>
          </w:p>
        </w:tc>
        <w:tc>
          <w:tcPr>
            <w:tcW w:w="1701" w:type="dxa"/>
            <w:tcBorders>
              <w:top w:val="single" w:sz="4" w:space="0" w:color="auto"/>
              <w:bottom w:val="single" w:sz="4" w:space="0" w:color="auto"/>
            </w:tcBorders>
            <w:vAlign w:val="bottom"/>
          </w:tcPr>
          <w:p w:rsidR="001E7D62" w:rsidRPr="00D00722" w:rsidRDefault="001E7D62" w:rsidP="001E7D62">
            <w:pPr>
              <w:autoSpaceDE w:val="0"/>
              <w:autoSpaceDN w:val="0"/>
              <w:adjustRightInd w:val="0"/>
              <w:jc w:val="right"/>
              <w:rPr>
                <w:rFonts w:ascii="Arial" w:hAnsi="Arial" w:cs="Arial"/>
                <w:b/>
                <w:lang w:val="tr-TR"/>
              </w:rPr>
            </w:pPr>
            <w:r w:rsidRPr="00D00722">
              <w:rPr>
                <w:rFonts w:ascii="Arial" w:hAnsi="Arial" w:cs="Arial"/>
                <w:b/>
                <w:lang w:val="tr-TR"/>
              </w:rPr>
              <w:t>31 Mart 2014</w:t>
            </w:r>
          </w:p>
        </w:tc>
        <w:tc>
          <w:tcPr>
            <w:tcW w:w="1701" w:type="dxa"/>
            <w:tcBorders>
              <w:top w:val="single" w:sz="4" w:space="0" w:color="auto"/>
              <w:bottom w:val="single" w:sz="4" w:space="0" w:color="auto"/>
            </w:tcBorders>
            <w:vAlign w:val="bottom"/>
          </w:tcPr>
          <w:p w:rsidR="001E7D62" w:rsidRPr="00D00722" w:rsidRDefault="001E7D62" w:rsidP="002B5FEF">
            <w:pPr>
              <w:autoSpaceDE w:val="0"/>
              <w:autoSpaceDN w:val="0"/>
              <w:adjustRightInd w:val="0"/>
              <w:jc w:val="right"/>
              <w:rPr>
                <w:rFonts w:ascii="Arial" w:hAnsi="Arial" w:cs="Arial"/>
                <w:lang w:val="tr-TR"/>
              </w:rPr>
            </w:pPr>
            <w:r w:rsidRPr="00D00722">
              <w:rPr>
                <w:rFonts w:ascii="Arial" w:hAnsi="Arial" w:cs="Arial"/>
                <w:lang w:val="tr-TR"/>
              </w:rPr>
              <w:t>31 Aralık 2013</w:t>
            </w:r>
          </w:p>
        </w:tc>
      </w:tr>
      <w:tr w:rsidR="001E7D62" w:rsidRPr="00D00722" w:rsidTr="001E7D62">
        <w:tc>
          <w:tcPr>
            <w:tcW w:w="5670" w:type="dxa"/>
            <w:tcBorders>
              <w:top w:val="single" w:sz="4" w:space="0" w:color="auto"/>
            </w:tcBorders>
          </w:tcPr>
          <w:p w:rsidR="001E7D62" w:rsidRPr="00D00722" w:rsidRDefault="001E7D62" w:rsidP="00BE1B0F">
            <w:pPr>
              <w:autoSpaceDE w:val="0"/>
              <w:autoSpaceDN w:val="0"/>
              <w:adjustRightInd w:val="0"/>
              <w:ind w:left="-108"/>
              <w:jc w:val="both"/>
              <w:rPr>
                <w:rFonts w:ascii="Arial" w:hAnsi="Arial" w:cs="Arial"/>
                <w:lang w:val="tr-TR"/>
              </w:rPr>
            </w:pPr>
          </w:p>
        </w:tc>
        <w:tc>
          <w:tcPr>
            <w:tcW w:w="1701" w:type="dxa"/>
            <w:tcBorders>
              <w:top w:val="single" w:sz="4" w:space="0" w:color="auto"/>
            </w:tcBorders>
            <w:vAlign w:val="center"/>
          </w:tcPr>
          <w:p w:rsidR="001E7D62" w:rsidRPr="00D00722" w:rsidRDefault="001E7D62" w:rsidP="00BE1B0F">
            <w:pPr>
              <w:autoSpaceDE w:val="0"/>
              <w:autoSpaceDN w:val="0"/>
              <w:adjustRightInd w:val="0"/>
              <w:jc w:val="right"/>
              <w:rPr>
                <w:rFonts w:ascii="Arial" w:hAnsi="Arial" w:cs="Arial"/>
                <w:b/>
                <w:lang w:val="tr-TR"/>
              </w:rPr>
            </w:pPr>
          </w:p>
        </w:tc>
        <w:tc>
          <w:tcPr>
            <w:tcW w:w="1701" w:type="dxa"/>
            <w:tcBorders>
              <w:top w:val="single" w:sz="4" w:space="0" w:color="auto"/>
            </w:tcBorders>
            <w:vAlign w:val="center"/>
          </w:tcPr>
          <w:p w:rsidR="001E7D62" w:rsidRPr="00D00722" w:rsidRDefault="001E7D62" w:rsidP="002B5FEF">
            <w:pPr>
              <w:autoSpaceDE w:val="0"/>
              <w:autoSpaceDN w:val="0"/>
              <w:adjustRightInd w:val="0"/>
              <w:jc w:val="right"/>
              <w:rPr>
                <w:rFonts w:ascii="Arial" w:hAnsi="Arial" w:cs="Arial"/>
                <w:lang w:val="tr-TR"/>
              </w:rPr>
            </w:pPr>
          </w:p>
        </w:tc>
      </w:tr>
      <w:tr w:rsidR="001E7D62" w:rsidRPr="00D00722" w:rsidTr="001E7D62">
        <w:tc>
          <w:tcPr>
            <w:tcW w:w="5670" w:type="dxa"/>
          </w:tcPr>
          <w:p w:rsidR="001E7D62" w:rsidRPr="00D00722" w:rsidRDefault="001E7D62" w:rsidP="00BE1B0F">
            <w:pPr>
              <w:autoSpaceDE w:val="0"/>
              <w:autoSpaceDN w:val="0"/>
              <w:adjustRightInd w:val="0"/>
              <w:ind w:left="-108"/>
              <w:jc w:val="both"/>
              <w:rPr>
                <w:rFonts w:ascii="Arial" w:hAnsi="Arial" w:cs="Arial"/>
                <w:lang w:val="tr-TR"/>
              </w:rPr>
            </w:pPr>
            <w:r w:rsidRPr="00D00722">
              <w:rPr>
                <w:rFonts w:ascii="Arial" w:hAnsi="Arial" w:cs="Arial"/>
                <w:lang w:val="tr-TR"/>
              </w:rPr>
              <w:t>Peşin ödenen vergi ve fonlar</w:t>
            </w:r>
          </w:p>
        </w:tc>
        <w:tc>
          <w:tcPr>
            <w:tcW w:w="1701" w:type="dxa"/>
            <w:vAlign w:val="bottom"/>
          </w:tcPr>
          <w:p w:rsidR="001E7D62" w:rsidRPr="00D00722" w:rsidRDefault="00AF71E3" w:rsidP="00BE1B0F">
            <w:pPr>
              <w:jc w:val="right"/>
              <w:rPr>
                <w:rFonts w:ascii="Arial" w:hAnsi="Arial" w:cs="Arial"/>
                <w:b/>
              </w:rPr>
            </w:pPr>
            <w:r w:rsidRPr="00D00722">
              <w:rPr>
                <w:rFonts w:ascii="Arial" w:hAnsi="Arial" w:cs="Arial"/>
                <w:b/>
              </w:rPr>
              <w:t>12.220</w:t>
            </w:r>
          </w:p>
        </w:tc>
        <w:tc>
          <w:tcPr>
            <w:tcW w:w="1701" w:type="dxa"/>
            <w:vAlign w:val="bottom"/>
          </w:tcPr>
          <w:p w:rsidR="001E7D62" w:rsidRPr="00D00722" w:rsidRDefault="001E7D62" w:rsidP="002B5FEF">
            <w:pPr>
              <w:jc w:val="right"/>
              <w:rPr>
                <w:rFonts w:ascii="Arial" w:hAnsi="Arial" w:cs="Arial"/>
              </w:rPr>
            </w:pPr>
            <w:r w:rsidRPr="00D00722">
              <w:rPr>
                <w:rFonts w:ascii="Arial" w:hAnsi="Arial" w:cs="Arial"/>
              </w:rPr>
              <w:t>9.848</w:t>
            </w:r>
          </w:p>
        </w:tc>
      </w:tr>
      <w:tr w:rsidR="001E7D62" w:rsidRPr="00D00722" w:rsidTr="001E7D62">
        <w:tc>
          <w:tcPr>
            <w:tcW w:w="5670" w:type="dxa"/>
            <w:tcBorders>
              <w:bottom w:val="single" w:sz="8" w:space="0" w:color="auto"/>
            </w:tcBorders>
          </w:tcPr>
          <w:p w:rsidR="001E7D62" w:rsidRPr="00D00722" w:rsidRDefault="001E7D62" w:rsidP="00BE1B0F">
            <w:pPr>
              <w:autoSpaceDE w:val="0"/>
              <w:autoSpaceDN w:val="0"/>
              <w:adjustRightInd w:val="0"/>
              <w:ind w:left="-108"/>
              <w:jc w:val="both"/>
              <w:rPr>
                <w:rFonts w:ascii="Arial" w:hAnsi="Arial" w:cs="Arial"/>
                <w:lang w:val="tr-TR"/>
              </w:rPr>
            </w:pPr>
          </w:p>
        </w:tc>
        <w:tc>
          <w:tcPr>
            <w:tcW w:w="1701" w:type="dxa"/>
            <w:tcBorders>
              <w:bottom w:val="single" w:sz="8" w:space="0" w:color="auto"/>
            </w:tcBorders>
            <w:vAlign w:val="bottom"/>
          </w:tcPr>
          <w:p w:rsidR="001E7D62" w:rsidRPr="00D00722" w:rsidRDefault="001E7D62" w:rsidP="00BE1B0F">
            <w:pPr>
              <w:jc w:val="right"/>
              <w:rPr>
                <w:rFonts w:ascii="Arial" w:hAnsi="Arial" w:cs="Arial"/>
                <w:b/>
              </w:rPr>
            </w:pPr>
          </w:p>
        </w:tc>
        <w:tc>
          <w:tcPr>
            <w:tcW w:w="1701" w:type="dxa"/>
            <w:tcBorders>
              <w:bottom w:val="single" w:sz="8" w:space="0" w:color="auto"/>
            </w:tcBorders>
            <w:vAlign w:val="bottom"/>
          </w:tcPr>
          <w:p w:rsidR="001E7D62" w:rsidRPr="00D00722" w:rsidRDefault="001E7D62" w:rsidP="002B5FEF">
            <w:pPr>
              <w:jc w:val="right"/>
              <w:rPr>
                <w:rFonts w:ascii="Arial" w:hAnsi="Arial" w:cs="Arial"/>
              </w:rPr>
            </w:pPr>
          </w:p>
        </w:tc>
      </w:tr>
      <w:tr w:rsidR="001E7D62" w:rsidRPr="00D00722" w:rsidTr="001E7D62">
        <w:tc>
          <w:tcPr>
            <w:tcW w:w="5670" w:type="dxa"/>
            <w:tcBorders>
              <w:top w:val="single" w:sz="8" w:space="0" w:color="auto"/>
              <w:bottom w:val="double" w:sz="4" w:space="0" w:color="auto"/>
            </w:tcBorders>
          </w:tcPr>
          <w:p w:rsidR="001E7D62" w:rsidRPr="00D00722" w:rsidRDefault="001E7D62" w:rsidP="00BE1B0F">
            <w:pPr>
              <w:autoSpaceDE w:val="0"/>
              <w:autoSpaceDN w:val="0"/>
              <w:adjustRightInd w:val="0"/>
              <w:jc w:val="both"/>
              <w:rPr>
                <w:rFonts w:ascii="Arial" w:hAnsi="Arial" w:cs="Arial"/>
                <w:lang w:val="tr-TR"/>
              </w:rPr>
            </w:pPr>
          </w:p>
        </w:tc>
        <w:tc>
          <w:tcPr>
            <w:tcW w:w="1701" w:type="dxa"/>
            <w:tcBorders>
              <w:top w:val="single" w:sz="8" w:space="0" w:color="auto"/>
              <w:bottom w:val="double" w:sz="4" w:space="0" w:color="auto"/>
            </w:tcBorders>
            <w:vAlign w:val="bottom"/>
          </w:tcPr>
          <w:p w:rsidR="001E7D62" w:rsidRPr="00D00722" w:rsidRDefault="00AF71E3" w:rsidP="00BE1B0F">
            <w:pPr>
              <w:jc w:val="right"/>
              <w:rPr>
                <w:rFonts w:ascii="Arial" w:hAnsi="Arial" w:cs="Arial"/>
                <w:b/>
                <w:lang w:val="tr-TR"/>
              </w:rPr>
            </w:pPr>
            <w:r w:rsidRPr="00D00722">
              <w:rPr>
                <w:rFonts w:ascii="Arial" w:hAnsi="Arial" w:cs="Arial"/>
                <w:b/>
                <w:lang w:val="tr-TR"/>
              </w:rPr>
              <w:t>12.220</w:t>
            </w:r>
          </w:p>
        </w:tc>
        <w:tc>
          <w:tcPr>
            <w:tcW w:w="1701" w:type="dxa"/>
            <w:tcBorders>
              <w:top w:val="single" w:sz="8" w:space="0" w:color="auto"/>
              <w:bottom w:val="double" w:sz="4" w:space="0" w:color="auto"/>
            </w:tcBorders>
            <w:vAlign w:val="bottom"/>
          </w:tcPr>
          <w:p w:rsidR="001E7D62" w:rsidRPr="00D00722" w:rsidRDefault="001E7D62" w:rsidP="002B5FEF">
            <w:pPr>
              <w:jc w:val="right"/>
              <w:rPr>
                <w:rFonts w:ascii="Arial" w:hAnsi="Arial" w:cs="Arial"/>
                <w:lang w:val="tr-TR"/>
              </w:rPr>
            </w:pPr>
            <w:r w:rsidRPr="00D00722">
              <w:rPr>
                <w:rFonts w:ascii="Arial" w:hAnsi="Arial" w:cs="Arial"/>
                <w:lang w:val="tr-TR"/>
              </w:rPr>
              <w:t>9.848</w:t>
            </w:r>
          </w:p>
        </w:tc>
      </w:tr>
    </w:tbl>
    <w:p w:rsidR="00FA13EE" w:rsidRPr="00D00722" w:rsidRDefault="00FA13EE" w:rsidP="00D9040F">
      <w:pPr>
        <w:pStyle w:val="000normal"/>
        <w:autoSpaceDE w:val="0"/>
        <w:autoSpaceDN w:val="0"/>
        <w:adjustRightInd w:val="0"/>
        <w:spacing w:before="0" w:after="0" w:afterAutospacing="0"/>
        <w:ind w:right="-327"/>
        <w:rPr>
          <w:lang w:val="tr-TR"/>
        </w:rPr>
      </w:pPr>
    </w:p>
    <w:p w:rsidR="003B42C2" w:rsidRPr="00D00722" w:rsidRDefault="003B42C2" w:rsidP="00D9040F">
      <w:pPr>
        <w:pStyle w:val="000normal"/>
        <w:autoSpaceDE w:val="0"/>
        <w:autoSpaceDN w:val="0"/>
        <w:adjustRightInd w:val="0"/>
        <w:spacing w:before="0" w:after="0" w:afterAutospacing="0"/>
        <w:ind w:right="-327"/>
        <w:rPr>
          <w:lang w:val="tr-TR"/>
        </w:rPr>
      </w:pPr>
    </w:p>
    <w:p w:rsidR="00AA0364" w:rsidRPr="00D00722" w:rsidRDefault="00AA0364" w:rsidP="00AA0364">
      <w:pPr>
        <w:pStyle w:val="body0"/>
        <w:tabs>
          <w:tab w:val="left" w:pos="567"/>
        </w:tabs>
        <w:spacing w:after="0" w:line="240" w:lineRule="auto"/>
        <w:rPr>
          <w:rFonts w:ascii="Arial" w:hAnsi="Arial" w:cs="Arial"/>
          <w:b/>
          <w:bCs/>
          <w:noProof/>
          <w:sz w:val="20"/>
          <w:szCs w:val="20"/>
          <w:lang w:val="tr-TR"/>
        </w:rPr>
      </w:pPr>
      <w:r w:rsidRPr="00D00722">
        <w:rPr>
          <w:rFonts w:ascii="Arial" w:hAnsi="Arial" w:cs="Arial"/>
          <w:b/>
          <w:bCs/>
          <w:noProof/>
          <w:sz w:val="20"/>
          <w:szCs w:val="20"/>
          <w:lang w:val="tr-TR"/>
        </w:rPr>
        <w:t>9.</w:t>
      </w:r>
      <w:r w:rsidRPr="00D00722">
        <w:rPr>
          <w:rFonts w:ascii="Arial" w:hAnsi="Arial" w:cs="Arial"/>
          <w:b/>
          <w:bCs/>
          <w:noProof/>
          <w:sz w:val="20"/>
          <w:szCs w:val="20"/>
          <w:lang w:val="tr-TR"/>
        </w:rPr>
        <w:tab/>
        <w:t>Diğer alacaklar ve diğer borçlar</w:t>
      </w:r>
    </w:p>
    <w:p w:rsidR="00AA0364" w:rsidRPr="00D00722" w:rsidRDefault="00AA0364" w:rsidP="00AA0364">
      <w:pPr>
        <w:pStyle w:val="body0"/>
        <w:tabs>
          <w:tab w:val="left" w:pos="567"/>
        </w:tabs>
        <w:spacing w:after="0" w:line="240" w:lineRule="auto"/>
        <w:rPr>
          <w:rFonts w:ascii="Arial" w:hAnsi="Arial" w:cs="Arial"/>
          <w:b/>
          <w:bCs/>
          <w:noProof/>
          <w:sz w:val="20"/>
          <w:szCs w:val="20"/>
          <w:lang w:val="tr-TR"/>
        </w:rPr>
      </w:pPr>
    </w:p>
    <w:p w:rsidR="00AA0364" w:rsidRPr="00D00722" w:rsidRDefault="00AA0364" w:rsidP="00AA0364">
      <w:pPr>
        <w:pStyle w:val="body0"/>
        <w:tabs>
          <w:tab w:val="left" w:pos="567"/>
        </w:tabs>
        <w:spacing w:after="0" w:line="240" w:lineRule="auto"/>
        <w:rPr>
          <w:rFonts w:ascii="Arial" w:hAnsi="Arial" w:cs="Arial"/>
          <w:b/>
          <w:bCs/>
          <w:noProof/>
          <w:sz w:val="20"/>
          <w:szCs w:val="20"/>
          <w:lang w:val="tr-TR"/>
        </w:rPr>
      </w:pPr>
      <w:r w:rsidRPr="00D00722">
        <w:rPr>
          <w:rFonts w:ascii="Arial" w:hAnsi="Arial" w:cs="Arial"/>
          <w:b/>
          <w:bCs/>
          <w:noProof/>
          <w:sz w:val="20"/>
          <w:szCs w:val="20"/>
          <w:lang w:val="tr-TR"/>
        </w:rPr>
        <w:t>Diğer uzun vadeli alacaklar</w:t>
      </w:r>
    </w:p>
    <w:p w:rsidR="00AA0364" w:rsidRPr="00D00722" w:rsidRDefault="00AA0364" w:rsidP="00D9040F">
      <w:pPr>
        <w:pStyle w:val="000normal"/>
        <w:autoSpaceDE w:val="0"/>
        <w:autoSpaceDN w:val="0"/>
        <w:adjustRightInd w:val="0"/>
        <w:spacing w:before="0" w:after="0" w:afterAutospacing="0"/>
        <w:ind w:right="-327"/>
        <w:rPr>
          <w:lang w:val="tr-TR"/>
        </w:rPr>
      </w:pPr>
    </w:p>
    <w:tbl>
      <w:tblPr>
        <w:tblW w:w="9072" w:type="dxa"/>
        <w:tblInd w:w="108" w:type="dxa"/>
        <w:tblLayout w:type="fixed"/>
        <w:tblLook w:val="01E0"/>
      </w:tblPr>
      <w:tblGrid>
        <w:gridCol w:w="5670"/>
        <w:gridCol w:w="1701"/>
        <w:gridCol w:w="1701"/>
      </w:tblGrid>
      <w:tr w:rsidR="00AA0364" w:rsidRPr="00D00722" w:rsidTr="00BE1B0F">
        <w:tc>
          <w:tcPr>
            <w:tcW w:w="5670" w:type="dxa"/>
            <w:tcBorders>
              <w:top w:val="single" w:sz="4" w:space="0" w:color="auto"/>
              <w:bottom w:val="single" w:sz="4" w:space="0" w:color="auto"/>
            </w:tcBorders>
          </w:tcPr>
          <w:p w:rsidR="00AA0364" w:rsidRPr="00D00722" w:rsidRDefault="00AA0364" w:rsidP="00BE1B0F">
            <w:pPr>
              <w:autoSpaceDE w:val="0"/>
              <w:autoSpaceDN w:val="0"/>
              <w:adjustRightInd w:val="0"/>
              <w:ind w:left="-108"/>
              <w:jc w:val="both"/>
              <w:rPr>
                <w:rFonts w:ascii="Arial" w:hAnsi="Arial" w:cs="Arial"/>
                <w:lang w:val="tr-TR"/>
              </w:rPr>
            </w:pPr>
          </w:p>
        </w:tc>
        <w:tc>
          <w:tcPr>
            <w:tcW w:w="1701" w:type="dxa"/>
            <w:tcBorders>
              <w:top w:val="single" w:sz="4" w:space="0" w:color="auto"/>
              <w:bottom w:val="single" w:sz="4" w:space="0" w:color="auto"/>
            </w:tcBorders>
            <w:vAlign w:val="bottom"/>
          </w:tcPr>
          <w:p w:rsidR="00AA0364" w:rsidRPr="00D00722" w:rsidRDefault="00AA0364" w:rsidP="001E7D62">
            <w:pPr>
              <w:autoSpaceDE w:val="0"/>
              <w:autoSpaceDN w:val="0"/>
              <w:adjustRightInd w:val="0"/>
              <w:jc w:val="right"/>
              <w:rPr>
                <w:rFonts w:ascii="Arial" w:hAnsi="Arial" w:cs="Arial"/>
                <w:b/>
                <w:lang w:val="tr-TR"/>
              </w:rPr>
            </w:pPr>
            <w:r w:rsidRPr="00D00722">
              <w:rPr>
                <w:rFonts w:ascii="Arial" w:hAnsi="Arial" w:cs="Arial"/>
                <w:b/>
                <w:lang w:val="tr-TR"/>
              </w:rPr>
              <w:t xml:space="preserve">31 </w:t>
            </w:r>
            <w:r w:rsidR="001E7D62" w:rsidRPr="00D00722">
              <w:rPr>
                <w:rFonts w:ascii="Arial" w:hAnsi="Arial" w:cs="Arial"/>
                <w:b/>
                <w:lang w:val="tr-TR"/>
              </w:rPr>
              <w:t>Mart</w:t>
            </w:r>
            <w:r w:rsidRPr="00D00722">
              <w:rPr>
                <w:rFonts w:ascii="Arial" w:hAnsi="Arial" w:cs="Arial"/>
                <w:b/>
                <w:lang w:val="tr-TR"/>
              </w:rPr>
              <w:t xml:space="preserve"> 201</w:t>
            </w:r>
            <w:r w:rsidR="001E7D62" w:rsidRPr="00D00722">
              <w:rPr>
                <w:rFonts w:ascii="Arial" w:hAnsi="Arial" w:cs="Arial"/>
                <w:b/>
                <w:lang w:val="tr-TR"/>
              </w:rPr>
              <w:t>4</w:t>
            </w:r>
          </w:p>
        </w:tc>
        <w:tc>
          <w:tcPr>
            <w:tcW w:w="1701" w:type="dxa"/>
            <w:tcBorders>
              <w:top w:val="single" w:sz="4" w:space="0" w:color="auto"/>
              <w:bottom w:val="single" w:sz="4" w:space="0" w:color="auto"/>
            </w:tcBorders>
            <w:vAlign w:val="bottom"/>
          </w:tcPr>
          <w:p w:rsidR="00AA0364" w:rsidRPr="00D00722" w:rsidRDefault="00AA0364" w:rsidP="001E7D62">
            <w:pPr>
              <w:autoSpaceDE w:val="0"/>
              <w:autoSpaceDN w:val="0"/>
              <w:adjustRightInd w:val="0"/>
              <w:jc w:val="right"/>
              <w:rPr>
                <w:rFonts w:ascii="Arial" w:hAnsi="Arial" w:cs="Arial"/>
                <w:b/>
                <w:lang w:val="tr-TR"/>
              </w:rPr>
            </w:pPr>
            <w:r w:rsidRPr="00D00722">
              <w:rPr>
                <w:rFonts w:ascii="Arial" w:hAnsi="Arial" w:cs="Arial"/>
                <w:b/>
                <w:lang w:val="tr-TR"/>
              </w:rPr>
              <w:t>31 Aralık 201</w:t>
            </w:r>
            <w:r w:rsidR="001E7D62" w:rsidRPr="00D00722">
              <w:rPr>
                <w:rFonts w:ascii="Arial" w:hAnsi="Arial" w:cs="Arial"/>
                <w:b/>
                <w:lang w:val="tr-TR"/>
              </w:rPr>
              <w:t>3</w:t>
            </w:r>
          </w:p>
        </w:tc>
      </w:tr>
      <w:tr w:rsidR="00AA0364" w:rsidRPr="00D00722" w:rsidTr="00BE1B0F">
        <w:tc>
          <w:tcPr>
            <w:tcW w:w="5670" w:type="dxa"/>
            <w:tcBorders>
              <w:top w:val="single" w:sz="4" w:space="0" w:color="auto"/>
            </w:tcBorders>
          </w:tcPr>
          <w:p w:rsidR="00AA0364" w:rsidRPr="00D00722" w:rsidRDefault="00AA0364" w:rsidP="00BE1B0F">
            <w:pPr>
              <w:autoSpaceDE w:val="0"/>
              <w:autoSpaceDN w:val="0"/>
              <w:adjustRightInd w:val="0"/>
              <w:ind w:left="-108"/>
              <w:jc w:val="both"/>
              <w:rPr>
                <w:rFonts w:ascii="Arial" w:hAnsi="Arial" w:cs="Arial"/>
                <w:lang w:val="tr-TR"/>
              </w:rPr>
            </w:pPr>
          </w:p>
        </w:tc>
        <w:tc>
          <w:tcPr>
            <w:tcW w:w="1701" w:type="dxa"/>
            <w:tcBorders>
              <w:top w:val="single" w:sz="4" w:space="0" w:color="auto"/>
            </w:tcBorders>
            <w:vAlign w:val="center"/>
          </w:tcPr>
          <w:p w:rsidR="00AA0364" w:rsidRPr="00D00722" w:rsidRDefault="00AA0364" w:rsidP="00BE1B0F">
            <w:pPr>
              <w:autoSpaceDE w:val="0"/>
              <w:autoSpaceDN w:val="0"/>
              <w:adjustRightInd w:val="0"/>
              <w:jc w:val="right"/>
              <w:rPr>
                <w:rFonts w:ascii="Arial" w:hAnsi="Arial" w:cs="Arial"/>
                <w:b/>
                <w:lang w:val="tr-TR"/>
              </w:rPr>
            </w:pPr>
          </w:p>
        </w:tc>
        <w:tc>
          <w:tcPr>
            <w:tcW w:w="1701" w:type="dxa"/>
            <w:tcBorders>
              <w:top w:val="single" w:sz="4" w:space="0" w:color="auto"/>
            </w:tcBorders>
            <w:vAlign w:val="center"/>
          </w:tcPr>
          <w:p w:rsidR="00AA0364" w:rsidRPr="00D00722" w:rsidRDefault="00AA0364" w:rsidP="00BE1B0F">
            <w:pPr>
              <w:autoSpaceDE w:val="0"/>
              <w:autoSpaceDN w:val="0"/>
              <w:adjustRightInd w:val="0"/>
              <w:jc w:val="right"/>
              <w:rPr>
                <w:rFonts w:ascii="Arial" w:hAnsi="Arial" w:cs="Arial"/>
                <w:b/>
                <w:lang w:val="tr-TR"/>
              </w:rPr>
            </w:pPr>
          </w:p>
        </w:tc>
      </w:tr>
      <w:tr w:rsidR="00AA0364" w:rsidRPr="00D00722" w:rsidTr="00BE1B0F">
        <w:tc>
          <w:tcPr>
            <w:tcW w:w="5670" w:type="dxa"/>
          </w:tcPr>
          <w:p w:rsidR="00AA0364" w:rsidRPr="00D00722" w:rsidRDefault="00AA0364" w:rsidP="00BE1B0F">
            <w:pPr>
              <w:autoSpaceDE w:val="0"/>
              <w:autoSpaceDN w:val="0"/>
              <w:adjustRightInd w:val="0"/>
              <w:ind w:left="-108"/>
              <w:jc w:val="both"/>
              <w:rPr>
                <w:rFonts w:ascii="Arial" w:hAnsi="Arial" w:cs="Arial"/>
                <w:lang w:val="tr-TR"/>
              </w:rPr>
            </w:pPr>
            <w:r w:rsidRPr="00D00722">
              <w:rPr>
                <w:rFonts w:ascii="Arial" w:hAnsi="Arial" w:cs="Arial"/>
                <w:lang w:val="tr-TR"/>
              </w:rPr>
              <w:t>Verilen depozito ve teminatlar</w:t>
            </w:r>
          </w:p>
        </w:tc>
        <w:tc>
          <w:tcPr>
            <w:tcW w:w="1701" w:type="dxa"/>
            <w:vAlign w:val="bottom"/>
          </w:tcPr>
          <w:p w:rsidR="00AA0364" w:rsidRPr="00D00722" w:rsidRDefault="00AF71E3" w:rsidP="00BE1B0F">
            <w:pPr>
              <w:jc w:val="right"/>
              <w:rPr>
                <w:rFonts w:ascii="Arial" w:hAnsi="Arial" w:cs="Arial"/>
                <w:b/>
              </w:rPr>
            </w:pPr>
            <w:r w:rsidRPr="00D00722">
              <w:rPr>
                <w:rFonts w:ascii="Arial" w:hAnsi="Arial" w:cs="Arial"/>
                <w:b/>
              </w:rPr>
              <w:t>1.000</w:t>
            </w:r>
          </w:p>
        </w:tc>
        <w:tc>
          <w:tcPr>
            <w:tcW w:w="1701" w:type="dxa"/>
            <w:vAlign w:val="bottom"/>
          </w:tcPr>
          <w:p w:rsidR="00AA0364" w:rsidRPr="00D00722" w:rsidRDefault="00AA0364" w:rsidP="00BE1B0F">
            <w:pPr>
              <w:jc w:val="right"/>
              <w:rPr>
                <w:rFonts w:ascii="Arial" w:hAnsi="Arial" w:cs="Arial"/>
                <w:b/>
              </w:rPr>
            </w:pPr>
            <w:r w:rsidRPr="00D00722">
              <w:rPr>
                <w:rFonts w:ascii="Arial" w:hAnsi="Arial" w:cs="Arial"/>
                <w:b/>
                <w:bCs/>
                <w:color w:val="000000"/>
              </w:rPr>
              <w:t>1.000</w:t>
            </w:r>
          </w:p>
        </w:tc>
      </w:tr>
      <w:tr w:rsidR="00AA0364" w:rsidRPr="00D00722" w:rsidTr="00BE1B0F">
        <w:tc>
          <w:tcPr>
            <w:tcW w:w="5670" w:type="dxa"/>
            <w:tcBorders>
              <w:bottom w:val="single" w:sz="8" w:space="0" w:color="auto"/>
            </w:tcBorders>
          </w:tcPr>
          <w:p w:rsidR="00AA0364" w:rsidRPr="00D00722" w:rsidRDefault="00AA0364" w:rsidP="00BE1B0F">
            <w:pPr>
              <w:autoSpaceDE w:val="0"/>
              <w:autoSpaceDN w:val="0"/>
              <w:adjustRightInd w:val="0"/>
              <w:ind w:left="-108"/>
              <w:jc w:val="both"/>
              <w:rPr>
                <w:rFonts w:ascii="Arial" w:hAnsi="Arial" w:cs="Arial"/>
                <w:lang w:val="tr-TR"/>
              </w:rPr>
            </w:pPr>
          </w:p>
        </w:tc>
        <w:tc>
          <w:tcPr>
            <w:tcW w:w="1701" w:type="dxa"/>
            <w:tcBorders>
              <w:bottom w:val="single" w:sz="8" w:space="0" w:color="auto"/>
            </w:tcBorders>
            <w:vAlign w:val="bottom"/>
          </w:tcPr>
          <w:p w:rsidR="00AA0364" w:rsidRPr="00D00722" w:rsidRDefault="00AA0364" w:rsidP="00BE1B0F">
            <w:pPr>
              <w:jc w:val="right"/>
              <w:rPr>
                <w:rFonts w:ascii="Arial" w:hAnsi="Arial" w:cs="Arial"/>
                <w:b/>
              </w:rPr>
            </w:pPr>
          </w:p>
        </w:tc>
        <w:tc>
          <w:tcPr>
            <w:tcW w:w="1701" w:type="dxa"/>
            <w:tcBorders>
              <w:bottom w:val="single" w:sz="8" w:space="0" w:color="auto"/>
            </w:tcBorders>
            <w:vAlign w:val="bottom"/>
          </w:tcPr>
          <w:p w:rsidR="00AA0364" w:rsidRPr="00D00722" w:rsidRDefault="00AA0364" w:rsidP="00BE1B0F">
            <w:pPr>
              <w:jc w:val="right"/>
              <w:rPr>
                <w:rFonts w:ascii="Arial" w:hAnsi="Arial" w:cs="Arial"/>
                <w:b/>
              </w:rPr>
            </w:pPr>
          </w:p>
        </w:tc>
      </w:tr>
      <w:tr w:rsidR="00AA0364" w:rsidRPr="00D00722" w:rsidTr="00BE1B0F">
        <w:tc>
          <w:tcPr>
            <w:tcW w:w="5670" w:type="dxa"/>
            <w:tcBorders>
              <w:top w:val="single" w:sz="8" w:space="0" w:color="auto"/>
              <w:bottom w:val="double" w:sz="4" w:space="0" w:color="auto"/>
            </w:tcBorders>
          </w:tcPr>
          <w:p w:rsidR="00AA0364" w:rsidRPr="00D00722" w:rsidRDefault="00AA0364" w:rsidP="00BE1B0F">
            <w:pPr>
              <w:autoSpaceDE w:val="0"/>
              <w:autoSpaceDN w:val="0"/>
              <w:adjustRightInd w:val="0"/>
              <w:jc w:val="both"/>
              <w:rPr>
                <w:rFonts w:ascii="Arial" w:hAnsi="Arial" w:cs="Arial"/>
                <w:lang w:val="tr-TR"/>
              </w:rPr>
            </w:pPr>
          </w:p>
        </w:tc>
        <w:tc>
          <w:tcPr>
            <w:tcW w:w="1701" w:type="dxa"/>
            <w:tcBorders>
              <w:top w:val="single" w:sz="8" w:space="0" w:color="auto"/>
              <w:bottom w:val="double" w:sz="4" w:space="0" w:color="auto"/>
            </w:tcBorders>
            <w:vAlign w:val="bottom"/>
          </w:tcPr>
          <w:p w:rsidR="00AA0364" w:rsidRPr="00D00722" w:rsidRDefault="00AF71E3" w:rsidP="00BE1B0F">
            <w:pPr>
              <w:jc w:val="right"/>
              <w:rPr>
                <w:rFonts w:ascii="Arial" w:hAnsi="Arial" w:cs="Arial"/>
                <w:b/>
                <w:lang w:val="tr-TR"/>
              </w:rPr>
            </w:pPr>
            <w:r w:rsidRPr="00D00722">
              <w:rPr>
                <w:rFonts w:ascii="Arial" w:hAnsi="Arial" w:cs="Arial"/>
                <w:b/>
                <w:lang w:val="tr-TR"/>
              </w:rPr>
              <w:t>1.000</w:t>
            </w:r>
          </w:p>
        </w:tc>
        <w:tc>
          <w:tcPr>
            <w:tcW w:w="1701" w:type="dxa"/>
            <w:tcBorders>
              <w:top w:val="single" w:sz="8" w:space="0" w:color="auto"/>
              <w:bottom w:val="double" w:sz="4" w:space="0" w:color="auto"/>
            </w:tcBorders>
            <w:vAlign w:val="bottom"/>
          </w:tcPr>
          <w:p w:rsidR="00AA0364" w:rsidRPr="00D00722" w:rsidRDefault="00AA0364" w:rsidP="00BE1B0F">
            <w:pPr>
              <w:jc w:val="right"/>
              <w:rPr>
                <w:rFonts w:ascii="Arial" w:hAnsi="Arial" w:cs="Arial"/>
                <w:b/>
                <w:lang w:val="tr-TR"/>
              </w:rPr>
            </w:pPr>
            <w:r w:rsidRPr="00D00722">
              <w:rPr>
                <w:rFonts w:ascii="Arial" w:hAnsi="Arial" w:cs="Arial"/>
                <w:b/>
                <w:bCs/>
                <w:color w:val="000000"/>
              </w:rPr>
              <w:t>1.000</w:t>
            </w:r>
          </w:p>
        </w:tc>
      </w:tr>
    </w:tbl>
    <w:p w:rsidR="00AA0364" w:rsidRPr="00D00722" w:rsidRDefault="00AA0364" w:rsidP="00D9040F">
      <w:pPr>
        <w:pStyle w:val="000normal"/>
        <w:autoSpaceDE w:val="0"/>
        <w:autoSpaceDN w:val="0"/>
        <w:adjustRightInd w:val="0"/>
        <w:spacing w:before="0" w:after="0" w:afterAutospacing="0"/>
        <w:ind w:right="-327"/>
        <w:rPr>
          <w:lang w:val="tr-TR"/>
        </w:rPr>
      </w:pPr>
    </w:p>
    <w:p w:rsidR="003B42C2" w:rsidRPr="00D00722" w:rsidRDefault="003B42C2">
      <w:pPr>
        <w:rPr>
          <w:rFonts w:ascii="Arial" w:eastAsia="Arial Unicode MS" w:hAnsi="Arial" w:cs="Arial"/>
          <w:lang w:val="tr-TR"/>
        </w:rPr>
      </w:pPr>
      <w:r w:rsidRPr="00D00722">
        <w:rPr>
          <w:lang w:val="tr-TR"/>
        </w:rPr>
        <w:br w:type="page"/>
      </w:r>
    </w:p>
    <w:p w:rsidR="002D74CC" w:rsidRPr="00D00722" w:rsidRDefault="002D74CC" w:rsidP="002D74CC">
      <w:pPr>
        <w:pStyle w:val="body0"/>
        <w:tabs>
          <w:tab w:val="left" w:pos="567"/>
        </w:tabs>
        <w:spacing w:after="0" w:line="240" w:lineRule="auto"/>
        <w:rPr>
          <w:rFonts w:ascii="Arial" w:hAnsi="Arial" w:cs="Arial"/>
          <w:b/>
          <w:bCs/>
          <w:noProof/>
          <w:sz w:val="20"/>
          <w:szCs w:val="20"/>
          <w:lang w:val="tr-TR"/>
        </w:rPr>
      </w:pPr>
      <w:r w:rsidRPr="00D00722">
        <w:rPr>
          <w:rFonts w:ascii="Arial" w:hAnsi="Arial" w:cs="Arial"/>
          <w:b/>
          <w:bCs/>
          <w:noProof/>
          <w:sz w:val="20"/>
          <w:szCs w:val="20"/>
          <w:lang w:val="tr-TR"/>
        </w:rPr>
        <w:t>9.</w:t>
      </w:r>
      <w:r w:rsidRPr="00D00722">
        <w:rPr>
          <w:rFonts w:ascii="Arial" w:hAnsi="Arial" w:cs="Arial"/>
          <w:b/>
          <w:bCs/>
          <w:noProof/>
          <w:sz w:val="20"/>
          <w:szCs w:val="20"/>
          <w:lang w:val="tr-TR"/>
        </w:rPr>
        <w:tab/>
        <w:t>Diğer alacaklar ve diğer borçlar (devamı)</w:t>
      </w:r>
    </w:p>
    <w:p w:rsidR="002D74CC" w:rsidRPr="00D00722" w:rsidRDefault="002D74CC" w:rsidP="002D74CC">
      <w:pPr>
        <w:pStyle w:val="body0"/>
        <w:tabs>
          <w:tab w:val="left" w:pos="567"/>
        </w:tabs>
        <w:spacing w:after="0" w:line="240" w:lineRule="auto"/>
        <w:rPr>
          <w:rFonts w:ascii="Arial" w:hAnsi="Arial" w:cs="Arial"/>
          <w:b/>
          <w:bCs/>
          <w:noProof/>
          <w:sz w:val="20"/>
          <w:szCs w:val="20"/>
          <w:lang w:val="tr-TR"/>
        </w:rPr>
      </w:pPr>
    </w:p>
    <w:p w:rsidR="002D74CC" w:rsidRPr="00D00722" w:rsidRDefault="002D74CC" w:rsidP="002D74CC">
      <w:pPr>
        <w:pStyle w:val="body0"/>
        <w:tabs>
          <w:tab w:val="left" w:pos="567"/>
        </w:tabs>
        <w:spacing w:after="0" w:line="240" w:lineRule="auto"/>
        <w:rPr>
          <w:rFonts w:ascii="Arial" w:hAnsi="Arial" w:cs="Arial"/>
          <w:b/>
          <w:bCs/>
          <w:noProof/>
          <w:sz w:val="20"/>
          <w:szCs w:val="20"/>
          <w:lang w:val="tr-TR"/>
        </w:rPr>
      </w:pPr>
      <w:r w:rsidRPr="00D00722">
        <w:rPr>
          <w:rFonts w:ascii="Arial" w:hAnsi="Arial" w:cs="Arial"/>
          <w:b/>
          <w:bCs/>
          <w:noProof/>
          <w:sz w:val="20"/>
          <w:szCs w:val="20"/>
          <w:lang w:val="tr-TR"/>
        </w:rPr>
        <w:t>Diğer borçlar</w:t>
      </w:r>
    </w:p>
    <w:p w:rsidR="002D74CC" w:rsidRPr="00D00722" w:rsidRDefault="002D74CC" w:rsidP="002D74CC">
      <w:pPr>
        <w:pStyle w:val="body0"/>
        <w:tabs>
          <w:tab w:val="left" w:pos="567"/>
        </w:tabs>
        <w:spacing w:after="0" w:line="240" w:lineRule="auto"/>
        <w:rPr>
          <w:rFonts w:ascii="Arial" w:hAnsi="Arial" w:cs="Arial"/>
          <w:b/>
          <w:bCs/>
          <w:noProof/>
          <w:sz w:val="20"/>
          <w:szCs w:val="20"/>
          <w:lang w:val="tr-TR"/>
        </w:rPr>
      </w:pPr>
    </w:p>
    <w:tbl>
      <w:tblPr>
        <w:tblW w:w="9072" w:type="dxa"/>
        <w:tblInd w:w="108" w:type="dxa"/>
        <w:tblLayout w:type="fixed"/>
        <w:tblLook w:val="01E0"/>
      </w:tblPr>
      <w:tblGrid>
        <w:gridCol w:w="5670"/>
        <w:gridCol w:w="1701"/>
        <w:gridCol w:w="1701"/>
      </w:tblGrid>
      <w:tr w:rsidR="001E7D62" w:rsidRPr="00D00722" w:rsidTr="001E7D62">
        <w:tc>
          <w:tcPr>
            <w:tcW w:w="5670" w:type="dxa"/>
            <w:tcBorders>
              <w:top w:val="single" w:sz="4" w:space="0" w:color="auto"/>
              <w:bottom w:val="single" w:sz="4" w:space="0" w:color="auto"/>
            </w:tcBorders>
          </w:tcPr>
          <w:p w:rsidR="001E7D62" w:rsidRPr="00D00722" w:rsidRDefault="001E7D62" w:rsidP="00BE1B0F">
            <w:pPr>
              <w:autoSpaceDE w:val="0"/>
              <w:autoSpaceDN w:val="0"/>
              <w:adjustRightInd w:val="0"/>
              <w:ind w:left="-108"/>
              <w:jc w:val="both"/>
              <w:rPr>
                <w:rFonts w:ascii="Arial" w:hAnsi="Arial" w:cs="Arial"/>
                <w:lang w:val="tr-TR"/>
              </w:rPr>
            </w:pPr>
          </w:p>
        </w:tc>
        <w:tc>
          <w:tcPr>
            <w:tcW w:w="1701" w:type="dxa"/>
            <w:tcBorders>
              <w:top w:val="single" w:sz="4" w:space="0" w:color="auto"/>
              <w:bottom w:val="single" w:sz="4" w:space="0" w:color="auto"/>
            </w:tcBorders>
            <w:vAlign w:val="bottom"/>
          </w:tcPr>
          <w:p w:rsidR="001E7D62" w:rsidRPr="00D00722" w:rsidRDefault="001E7D62" w:rsidP="001E7D62">
            <w:pPr>
              <w:autoSpaceDE w:val="0"/>
              <w:autoSpaceDN w:val="0"/>
              <w:adjustRightInd w:val="0"/>
              <w:jc w:val="right"/>
              <w:rPr>
                <w:rFonts w:ascii="Arial" w:hAnsi="Arial" w:cs="Arial"/>
                <w:b/>
                <w:lang w:val="tr-TR"/>
              </w:rPr>
            </w:pPr>
            <w:r w:rsidRPr="00D00722">
              <w:rPr>
                <w:rFonts w:ascii="Arial" w:hAnsi="Arial" w:cs="Arial"/>
                <w:b/>
                <w:lang w:val="tr-TR"/>
              </w:rPr>
              <w:t>31 Mart 2014</w:t>
            </w:r>
          </w:p>
        </w:tc>
        <w:tc>
          <w:tcPr>
            <w:tcW w:w="1701" w:type="dxa"/>
            <w:tcBorders>
              <w:top w:val="single" w:sz="4" w:space="0" w:color="auto"/>
              <w:bottom w:val="single" w:sz="4" w:space="0" w:color="auto"/>
            </w:tcBorders>
            <w:vAlign w:val="bottom"/>
          </w:tcPr>
          <w:p w:rsidR="001E7D62" w:rsidRPr="00D00722" w:rsidRDefault="001E7D62" w:rsidP="002B5FEF">
            <w:pPr>
              <w:autoSpaceDE w:val="0"/>
              <w:autoSpaceDN w:val="0"/>
              <w:adjustRightInd w:val="0"/>
              <w:jc w:val="right"/>
              <w:rPr>
                <w:rFonts w:ascii="Arial" w:hAnsi="Arial" w:cs="Arial"/>
                <w:lang w:val="tr-TR"/>
              </w:rPr>
            </w:pPr>
            <w:r w:rsidRPr="00D00722">
              <w:rPr>
                <w:rFonts w:ascii="Arial" w:hAnsi="Arial" w:cs="Arial"/>
                <w:lang w:val="tr-TR"/>
              </w:rPr>
              <w:t>31 Aralık 2013</w:t>
            </w:r>
          </w:p>
        </w:tc>
      </w:tr>
      <w:tr w:rsidR="001E7D62" w:rsidRPr="00D00722" w:rsidTr="001E7D62">
        <w:tc>
          <w:tcPr>
            <w:tcW w:w="5670" w:type="dxa"/>
            <w:tcBorders>
              <w:top w:val="single" w:sz="4" w:space="0" w:color="auto"/>
            </w:tcBorders>
          </w:tcPr>
          <w:p w:rsidR="001E7D62" w:rsidRPr="00D00722" w:rsidRDefault="001E7D62" w:rsidP="00BE1B0F">
            <w:pPr>
              <w:autoSpaceDE w:val="0"/>
              <w:autoSpaceDN w:val="0"/>
              <w:adjustRightInd w:val="0"/>
              <w:ind w:left="-108"/>
              <w:jc w:val="both"/>
              <w:rPr>
                <w:rFonts w:ascii="Arial" w:hAnsi="Arial" w:cs="Arial"/>
                <w:lang w:val="tr-TR"/>
              </w:rPr>
            </w:pPr>
          </w:p>
        </w:tc>
        <w:tc>
          <w:tcPr>
            <w:tcW w:w="1701" w:type="dxa"/>
            <w:tcBorders>
              <w:top w:val="single" w:sz="4" w:space="0" w:color="auto"/>
            </w:tcBorders>
            <w:vAlign w:val="center"/>
          </w:tcPr>
          <w:p w:rsidR="001E7D62" w:rsidRPr="00D00722" w:rsidRDefault="001E7D62" w:rsidP="00BE1B0F">
            <w:pPr>
              <w:autoSpaceDE w:val="0"/>
              <w:autoSpaceDN w:val="0"/>
              <w:adjustRightInd w:val="0"/>
              <w:jc w:val="right"/>
              <w:rPr>
                <w:rFonts w:ascii="Arial" w:hAnsi="Arial" w:cs="Arial"/>
                <w:b/>
                <w:lang w:val="tr-TR"/>
              </w:rPr>
            </w:pPr>
          </w:p>
        </w:tc>
        <w:tc>
          <w:tcPr>
            <w:tcW w:w="1701" w:type="dxa"/>
            <w:tcBorders>
              <w:top w:val="single" w:sz="4" w:space="0" w:color="auto"/>
            </w:tcBorders>
            <w:vAlign w:val="center"/>
          </w:tcPr>
          <w:p w:rsidR="001E7D62" w:rsidRPr="00D00722" w:rsidRDefault="001E7D62" w:rsidP="002B5FEF">
            <w:pPr>
              <w:autoSpaceDE w:val="0"/>
              <w:autoSpaceDN w:val="0"/>
              <w:adjustRightInd w:val="0"/>
              <w:jc w:val="right"/>
              <w:rPr>
                <w:rFonts w:ascii="Arial" w:hAnsi="Arial" w:cs="Arial"/>
                <w:lang w:val="tr-TR"/>
              </w:rPr>
            </w:pPr>
          </w:p>
        </w:tc>
      </w:tr>
      <w:tr w:rsidR="001E7D62" w:rsidRPr="00D00722" w:rsidTr="001E7D62">
        <w:tc>
          <w:tcPr>
            <w:tcW w:w="5670" w:type="dxa"/>
          </w:tcPr>
          <w:p w:rsidR="001E7D62" w:rsidRPr="00D00722" w:rsidRDefault="001E7D62" w:rsidP="00BE1B0F">
            <w:pPr>
              <w:autoSpaceDE w:val="0"/>
              <w:autoSpaceDN w:val="0"/>
              <w:adjustRightInd w:val="0"/>
              <w:ind w:left="-108"/>
              <w:jc w:val="both"/>
              <w:rPr>
                <w:rFonts w:ascii="Arial" w:hAnsi="Arial" w:cs="Arial"/>
                <w:lang w:val="tr-TR"/>
              </w:rPr>
            </w:pPr>
            <w:r w:rsidRPr="00D00722">
              <w:rPr>
                <w:rFonts w:ascii="Arial" w:hAnsi="Arial" w:cs="Arial"/>
                <w:lang w:val="tr-TR"/>
              </w:rPr>
              <w:t>Ödenecek vergi ve fonlar</w:t>
            </w:r>
          </w:p>
        </w:tc>
        <w:tc>
          <w:tcPr>
            <w:tcW w:w="1701" w:type="dxa"/>
            <w:vAlign w:val="bottom"/>
          </w:tcPr>
          <w:p w:rsidR="001E7D62" w:rsidRPr="00D00722" w:rsidRDefault="0087396E" w:rsidP="00BE1B0F">
            <w:pPr>
              <w:jc w:val="right"/>
              <w:rPr>
                <w:rFonts w:ascii="Arial" w:hAnsi="Arial" w:cs="Arial"/>
                <w:b/>
              </w:rPr>
            </w:pPr>
            <w:r w:rsidRPr="00D00722">
              <w:rPr>
                <w:rFonts w:ascii="Arial" w:hAnsi="Arial" w:cs="Arial"/>
                <w:b/>
              </w:rPr>
              <w:t>6.404</w:t>
            </w:r>
          </w:p>
        </w:tc>
        <w:tc>
          <w:tcPr>
            <w:tcW w:w="1701" w:type="dxa"/>
            <w:vAlign w:val="bottom"/>
          </w:tcPr>
          <w:p w:rsidR="001E7D62" w:rsidRPr="00D00722" w:rsidRDefault="001E7D62" w:rsidP="002B5FEF">
            <w:pPr>
              <w:jc w:val="right"/>
              <w:rPr>
                <w:rFonts w:ascii="Arial" w:hAnsi="Arial" w:cs="Arial"/>
              </w:rPr>
            </w:pPr>
            <w:r w:rsidRPr="00D00722">
              <w:rPr>
                <w:rFonts w:ascii="Arial" w:hAnsi="Arial" w:cs="Arial"/>
              </w:rPr>
              <w:t>9.343</w:t>
            </w:r>
          </w:p>
        </w:tc>
      </w:tr>
      <w:tr w:rsidR="001E7D62" w:rsidRPr="00D00722" w:rsidTr="001E7D62">
        <w:tc>
          <w:tcPr>
            <w:tcW w:w="5670" w:type="dxa"/>
            <w:tcBorders>
              <w:bottom w:val="single" w:sz="8" w:space="0" w:color="auto"/>
            </w:tcBorders>
          </w:tcPr>
          <w:p w:rsidR="001E7D62" w:rsidRPr="00D00722" w:rsidRDefault="001E7D62" w:rsidP="00BE1B0F">
            <w:pPr>
              <w:autoSpaceDE w:val="0"/>
              <w:autoSpaceDN w:val="0"/>
              <w:adjustRightInd w:val="0"/>
              <w:ind w:left="-108"/>
              <w:jc w:val="both"/>
              <w:rPr>
                <w:rFonts w:ascii="Arial" w:hAnsi="Arial" w:cs="Arial"/>
                <w:lang w:val="tr-TR"/>
              </w:rPr>
            </w:pPr>
          </w:p>
        </w:tc>
        <w:tc>
          <w:tcPr>
            <w:tcW w:w="1701" w:type="dxa"/>
            <w:tcBorders>
              <w:bottom w:val="single" w:sz="8" w:space="0" w:color="auto"/>
            </w:tcBorders>
            <w:vAlign w:val="bottom"/>
          </w:tcPr>
          <w:p w:rsidR="001E7D62" w:rsidRPr="00D00722" w:rsidRDefault="001E7D62" w:rsidP="00BE1B0F">
            <w:pPr>
              <w:jc w:val="right"/>
              <w:rPr>
                <w:rFonts w:ascii="Arial" w:hAnsi="Arial" w:cs="Arial"/>
                <w:b/>
              </w:rPr>
            </w:pPr>
          </w:p>
        </w:tc>
        <w:tc>
          <w:tcPr>
            <w:tcW w:w="1701" w:type="dxa"/>
            <w:tcBorders>
              <w:bottom w:val="single" w:sz="8" w:space="0" w:color="auto"/>
            </w:tcBorders>
            <w:vAlign w:val="bottom"/>
          </w:tcPr>
          <w:p w:rsidR="001E7D62" w:rsidRPr="00D00722" w:rsidRDefault="001E7D62" w:rsidP="002B5FEF">
            <w:pPr>
              <w:jc w:val="right"/>
              <w:rPr>
                <w:rFonts w:ascii="Arial" w:hAnsi="Arial" w:cs="Arial"/>
              </w:rPr>
            </w:pPr>
          </w:p>
        </w:tc>
      </w:tr>
      <w:tr w:rsidR="001E7D62" w:rsidRPr="00D00722" w:rsidTr="001E7D62">
        <w:tc>
          <w:tcPr>
            <w:tcW w:w="5670" w:type="dxa"/>
            <w:tcBorders>
              <w:top w:val="single" w:sz="8" w:space="0" w:color="auto"/>
              <w:bottom w:val="double" w:sz="4" w:space="0" w:color="auto"/>
            </w:tcBorders>
          </w:tcPr>
          <w:p w:rsidR="001E7D62" w:rsidRPr="00D00722" w:rsidRDefault="001E7D62" w:rsidP="00BE1B0F">
            <w:pPr>
              <w:autoSpaceDE w:val="0"/>
              <w:autoSpaceDN w:val="0"/>
              <w:adjustRightInd w:val="0"/>
              <w:jc w:val="both"/>
              <w:rPr>
                <w:rFonts w:ascii="Arial" w:hAnsi="Arial" w:cs="Arial"/>
                <w:lang w:val="tr-TR"/>
              </w:rPr>
            </w:pPr>
          </w:p>
        </w:tc>
        <w:tc>
          <w:tcPr>
            <w:tcW w:w="1701" w:type="dxa"/>
            <w:tcBorders>
              <w:top w:val="single" w:sz="8" w:space="0" w:color="auto"/>
              <w:bottom w:val="double" w:sz="4" w:space="0" w:color="auto"/>
            </w:tcBorders>
            <w:vAlign w:val="bottom"/>
          </w:tcPr>
          <w:p w:rsidR="001E7D62" w:rsidRPr="00D00722" w:rsidRDefault="0087396E" w:rsidP="00BE1B0F">
            <w:pPr>
              <w:jc w:val="right"/>
              <w:rPr>
                <w:rFonts w:ascii="Arial" w:hAnsi="Arial" w:cs="Arial"/>
                <w:b/>
                <w:lang w:val="tr-TR"/>
              </w:rPr>
            </w:pPr>
            <w:r w:rsidRPr="00D00722">
              <w:rPr>
                <w:rFonts w:ascii="Arial" w:hAnsi="Arial" w:cs="Arial"/>
                <w:b/>
                <w:lang w:val="tr-TR"/>
              </w:rPr>
              <w:t>6.404</w:t>
            </w:r>
          </w:p>
        </w:tc>
        <w:tc>
          <w:tcPr>
            <w:tcW w:w="1701" w:type="dxa"/>
            <w:tcBorders>
              <w:top w:val="single" w:sz="8" w:space="0" w:color="auto"/>
              <w:bottom w:val="double" w:sz="4" w:space="0" w:color="auto"/>
            </w:tcBorders>
            <w:vAlign w:val="bottom"/>
          </w:tcPr>
          <w:p w:rsidR="001E7D62" w:rsidRPr="00D00722" w:rsidRDefault="001E7D62" w:rsidP="002B5FEF">
            <w:pPr>
              <w:jc w:val="right"/>
              <w:rPr>
                <w:rFonts w:ascii="Arial" w:hAnsi="Arial" w:cs="Arial"/>
                <w:lang w:val="tr-TR"/>
              </w:rPr>
            </w:pPr>
            <w:r w:rsidRPr="00D00722">
              <w:rPr>
                <w:rFonts w:ascii="Arial" w:hAnsi="Arial" w:cs="Arial"/>
                <w:lang w:val="tr-TR"/>
              </w:rPr>
              <w:t>9.343</w:t>
            </w:r>
          </w:p>
        </w:tc>
      </w:tr>
    </w:tbl>
    <w:p w:rsidR="002D74CC" w:rsidRPr="00D00722" w:rsidRDefault="002D74CC" w:rsidP="002D74CC">
      <w:pPr>
        <w:pStyle w:val="body0"/>
        <w:tabs>
          <w:tab w:val="left" w:pos="567"/>
        </w:tabs>
        <w:spacing w:after="0" w:line="240" w:lineRule="auto"/>
        <w:rPr>
          <w:rFonts w:ascii="Arial" w:hAnsi="Arial" w:cs="Arial"/>
          <w:b/>
          <w:bCs/>
          <w:noProof/>
          <w:sz w:val="20"/>
          <w:szCs w:val="20"/>
          <w:lang w:val="tr-TR"/>
        </w:rPr>
      </w:pPr>
    </w:p>
    <w:p w:rsidR="005C7526" w:rsidRPr="00D00722" w:rsidRDefault="005C7526" w:rsidP="006A08DC">
      <w:pPr>
        <w:pStyle w:val="BodyText"/>
        <w:rPr>
          <w:rFonts w:ascii="Arial" w:hAnsi="Arial" w:cs="Arial"/>
          <w:b/>
          <w:sz w:val="20"/>
        </w:rPr>
      </w:pPr>
    </w:p>
    <w:p w:rsidR="006A08DC" w:rsidRPr="00D00722" w:rsidRDefault="005C7526" w:rsidP="006A08DC">
      <w:pPr>
        <w:pStyle w:val="BodyText"/>
        <w:rPr>
          <w:rFonts w:ascii="Arial" w:hAnsi="Arial" w:cs="Arial"/>
          <w:b/>
          <w:sz w:val="20"/>
        </w:rPr>
      </w:pPr>
      <w:r w:rsidRPr="00D00722">
        <w:rPr>
          <w:rFonts w:ascii="Arial" w:hAnsi="Arial" w:cs="Arial"/>
          <w:b/>
          <w:sz w:val="20"/>
        </w:rPr>
        <w:t>10</w:t>
      </w:r>
      <w:r w:rsidR="006A08DC" w:rsidRPr="00D00722">
        <w:rPr>
          <w:rFonts w:ascii="Arial" w:hAnsi="Arial" w:cs="Arial"/>
          <w:sz w:val="20"/>
        </w:rPr>
        <w:t>.</w:t>
      </w:r>
      <w:r w:rsidR="006A08DC" w:rsidRPr="00D00722">
        <w:rPr>
          <w:rFonts w:ascii="Arial" w:hAnsi="Arial" w:cs="Arial"/>
          <w:sz w:val="20"/>
        </w:rPr>
        <w:tab/>
      </w:r>
      <w:r w:rsidR="006A08DC" w:rsidRPr="00D00722">
        <w:rPr>
          <w:rFonts w:ascii="Arial" w:hAnsi="Arial" w:cs="Arial"/>
          <w:b/>
          <w:sz w:val="20"/>
        </w:rPr>
        <w:t xml:space="preserve">Maddi duran varlıklar </w:t>
      </w:r>
    </w:p>
    <w:p w:rsidR="00FA13EE" w:rsidRPr="00D00722" w:rsidRDefault="00FA13EE" w:rsidP="00D9040F">
      <w:pPr>
        <w:pStyle w:val="000normal"/>
        <w:autoSpaceDE w:val="0"/>
        <w:autoSpaceDN w:val="0"/>
        <w:adjustRightInd w:val="0"/>
        <w:spacing w:before="0" w:after="0" w:afterAutospacing="0"/>
        <w:ind w:right="-327"/>
        <w:rPr>
          <w:lang w:val="tr-TR"/>
        </w:rPr>
      </w:pPr>
    </w:p>
    <w:tbl>
      <w:tblPr>
        <w:tblW w:w="9072" w:type="dxa"/>
        <w:tblInd w:w="54" w:type="dxa"/>
        <w:tblLayout w:type="fixed"/>
        <w:tblCellMar>
          <w:left w:w="54" w:type="dxa"/>
          <w:right w:w="54" w:type="dxa"/>
        </w:tblCellMar>
        <w:tblLook w:val="0000"/>
      </w:tblPr>
      <w:tblGrid>
        <w:gridCol w:w="4253"/>
        <w:gridCol w:w="1276"/>
        <w:gridCol w:w="1417"/>
        <w:gridCol w:w="1134"/>
        <w:gridCol w:w="992"/>
      </w:tblGrid>
      <w:tr w:rsidR="00E05F82" w:rsidRPr="00D00722" w:rsidTr="003F2B3E">
        <w:trPr>
          <w:trHeight w:val="113"/>
        </w:trPr>
        <w:tc>
          <w:tcPr>
            <w:tcW w:w="4253" w:type="dxa"/>
            <w:tcBorders>
              <w:top w:val="single" w:sz="4" w:space="0" w:color="auto"/>
              <w:bottom w:val="single" w:sz="4" w:space="0" w:color="auto"/>
            </w:tcBorders>
            <w:vAlign w:val="bottom"/>
          </w:tcPr>
          <w:p w:rsidR="00E05F82" w:rsidRPr="00D00722" w:rsidRDefault="00E05F82">
            <w:pPr>
              <w:rPr>
                <w:rFonts w:ascii="Arial" w:hAnsi="Arial" w:cs="Arial"/>
                <w:sz w:val="18"/>
                <w:lang w:val="tr-TR"/>
              </w:rPr>
            </w:pPr>
          </w:p>
          <w:p w:rsidR="00E05F82" w:rsidRPr="00D00722" w:rsidRDefault="00E05F82">
            <w:pPr>
              <w:rPr>
                <w:rFonts w:ascii="Arial" w:hAnsi="Arial" w:cs="Arial"/>
                <w:sz w:val="18"/>
                <w:lang w:val="tr-TR"/>
              </w:rPr>
            </w:pPr>
          </w:p>
        </w:tc>
        <w:tc>
          <w:tcPr>
            <w:tcW w:w="1276" w:type="dxa"/>
            <w:tcBorders>
              <w:top w:val="single" w:sz="4" w:space="0" w:color="auto"/>
              <w:bottom w:val="single" w:sz="4" w:space="0" w:color="auto"/>
            </w:tcBorders>
            <w:vAlign w:val="bottom"/>
          </w:tcPr>
          <w:p w:rsidR="00E05F82" w:rsidRPr="00D00722" w:rsidRDefault="00E05F82">
            <w:pPr>
              <w:ind w:right="47"/>
              <w:jc w:val="right"/>
              <w:rPr>
                <w:rFonts w:ascii="Arial" w:hAnsi="Arial" w:cs="Arial"/>
                <w:b/>
                <w:sz w:val="18"/>
                <w:lang w:val="tr-TR"/>
              </w:rPr>
            </w:pPr>
            <w:r w:rsidRPr="00D00722">
              <w:rPr>
                <w:rFonts w:ascii="Arial" w:hAnsi="Arial" w:cs="Arial"/>
                <w:b/>
                <w:sz w:val="18"/>
                <w:lang w:val="tr-TR"/>
              </w:rPr>
              <w:t xml:space="preserve">Makine ve </w:t>
            </w:r>
            <w:r w:rsidR="003F2B3E" w:rsidRPr="00D00722">
              <w:rPr>
                <w:rFonts w:ascii="Arial" w:hAnsi="Arial" w:cs="Arial"/>
                <w:b/>
                <w:sz w:val="18"/>
                <w:lang w:val="tr-TR"/>
              </w:rPr>
              <w:t>cihazlar</w:t>
            </w:r>
          </w:p>
        </w:tc>
        <w:tc>
          <w:tcPr>
            <w:tcW w:w="1417" w:type="dxa"/>
            <w:tcBorders>
              <w:top w:val="single" w:sz="4" w:space="0" w:color="auto"/>
              <w:bottom w:val="single" w:sz="4" w:space="0" w:color="auto"/>
            </w:tcBorders>
            <w:vAlign w:val="bottom"/>
          </w:tcPr>
          <w:p w:rsidR="00E05F82" w:rsidRPr="00D00722" w:rsidRDefault="00E05F82">
            <w:pPr>
              <w:jc w:val="right"/>
              <w:rPr>
                <w:rFonts w:ascii="Arial" w:hAnsi="Arial" w:cs="Arial"/>
                <w:b/>
                <w:sz w:val="18"/>
                <w:lang w:val="tr-TR"/>
              </w:rPr>
            </w:pPr>
            <w:r w:rsidRPr="00D00722">
              <w:rPr>
                <w:rFonts w:ascii="Arial" w:hAnsi="Arial" w:cs="Arial"/>
                <w:b/>
                <w:sz w:val="18"/>
                <w:lang w:val="tr-TR"/>
              </w:rPr>
              <w:t xml:space="preserve">Döşeme ve </w:t>
            </w:r>
            <w:r w:rsidR="003F2B3E" w:rsidRPr="00D00722">
              <w:rPr>
                <w:rFonts w:ascii="Arial" w:hAnsi="Arial" w:cs="Arial"/>
                <w:b/>
                <w:sz w:val="18"/>
                <w:lang w:val="tr-TR"/>
              </w:rPr>
              <w:t>demirbaşlar</w:t>
            </w:r>
          </w:p>
        </w:tc>
        <w:tc>
          <w:tcPr>
            <w:tcW w:w="1134" w:type="dxa"/>
            <w:tcBorders>
              <w:top w:val="single" w:sz="4" w:space="0" w:color="auto"/>
              <w:bottom w:val="single" w:sz="4" w:space="0" w:color="auto"/>
            </w:tcBorders>
            <w:vAlign w:val="bottom"/>
          </w:tcPr>
          <w:p w:rsidR="00E05F82" w:rsidRPr="00D00722" w:rsidRDefault="00E05F82">
            <w:pPr>
              <w:jc w:val="right"/>
              <w:rPr>
                <w:rFonts w:ascii="Arial" w:hAnsi="Arial" w:cs="Arial"/>
                <w:b/>
                <w:sz w:val="18"/>
                <w:lang w:val="tr-TR"/>
              </w:rPr>
            </w:pPr>
            <w:r w:rsidRPr="00D00722">
              <w:rPr>
                <w:rFonts w:ascii="Arial" w:hAnsi="Arial" w:cs="Arial"/>
                <w:b/>
                <w:sz w:val="18"/>
                <w:lang w:val="tr-TR"/>
              </w:rPr>
              <w:t xml:space="preserve">Özel </w:t>
            </w:r>
            <w:r w:rsidR="003F2B3E" w:rsidRPr="00D00722">
              <w:rPr>
                <w:rFonts w:ascii="Arial" w:hAnsi="Arial" w:cs="Arial"/>
                <w:b/>
                <w:sz w:val="18"/>
                <w:lang w:val="tr-TR"/>
              </w:rPr>
              <w:t>maliyetler</w:t>
            </w:r>
          </w:p>
        </w:tc>
        <w:tc>
          <w:tcPr>
            <w:tcW w:w="992" w:type="dxa"/>
            <w:tcBorders>
              <w:top w:val="single" w:sz="4" w:space="0" w:color="auto"/>
              <w:bottom w:val="single" w:sz="4" w:space="0" w:color="auto"/>
            </w:tcBorders>
            <w:vAlign w:val="bottom"/>
          </w:tcPr>
          <w:p w:rsidR="00E05F82" w:rsidRPr="00D00722" w:rsidRDefault="00E05F82">
            <w:pPr>
              <w:jc w:val="right"/>
              <w:rPr>
                <w:rFonts w:ascii="Arial" w:hAnsi="Arial" w:cs="Arial"/>
                <w:b/>
                <w:sz w:val="18"/>
                <w:lang w:val="tr-TR"/>
              </w:rPr>
            </w:pPr>
          </w:p>
          <w:p w:rsidR="00E05F82" w:rsidRPr="00D00722" w:rsidRDefault="00E05F82">
            <w:pPr>
              <w:jc w:val="right"/>
              <w:rPr>
                <w:rFonts w:ascii="Arial" w:hAnsi="Arial" w:cs="Arial"/>
                <w:b/>
                <w:sz w:val="18"/>
                <w:lang w:val="tr-TR"/>
              </w:rPr>
            </w:pPr>
            <w:r w:rsidRPr="00D00722">
              <w:rPr>
                <w:rFonts w:ascii="Arial" w:hAnsi="Arial" w:cs="Arial"/>
                <w:b/>
                <w:sz w:val="18"/>
                <w:lang w:val="tr-TR"/>
              </w:rPr>
              <w:t>Toplam</w:t>
            </w:r>
          </w:p>
        </w:tc>
      </w:tr>
      <w:tr w:rsidR="00E05F82" w:rsidRPr="00D00722" w:rsidTr="003F2B3E">
        <w:trPr>
          <w:trHeight w:val="113"/>
        </w:trPr>
        <w:tc>
          <w:tcPr>
            <w:tcW w:w="4253" w:type="dxa"/>
            <w:tcBorders>
              <w:top w:val="single" w:sz="4" w:space="0" w:color="auto"/>
            </w:tcBorders>
            <w:vAlign w:val="bottom"/>
          </w:tcPr>
          <w:p w:rsidR="00E05F82" w:rsidRPr="00D00722" w:rsidRDefault="00E05F82">
            <w:pPr>
              <w:rPr>
                <w:rFonts w:ascii="Arial" w:hAnsi="Arial" w:cs="Arial"/>
                <w:sz w:val="18"/>
                <w:lang w:val="tr-TR"/>
              </w:rPr>
            </w:pPr>
          </w:p>
        </w:tc>
        <w:tc>
          <w:tcPr>
            <w:tcW w:w="1276" w:type="dxa"/>
            <w:tcBorders>
              <w:top w:val="single" w:sz="4" w:space="0" w:color="auto"/>
            </w:tcBorders>
            <w:vAlign w:val="bottom"/>
          </w:tcPr>
          <w:p w:rsidR="00E05F82" w:rsidRPr="00D00722" w:rsidRDefault="00E05F82">
            <w:pPr>
              <w:ind w:right="47"/>
              <w:jc w:val="right"/>
              <w:rPr>
                <w:rFonts w:ascii="Arial" w:hAnsi="Arial" w:cs="Arial"/>
                <w:b/>
                <w:sz w:val="18"/>
                <w:lang w:val="tr-TR"/>
              </w:rPr>
            </w:pPr>
          </w:p>
        </w:tc>
        <w:tc>
          <w:tcPr>
            <w:tcW w:w="1417" w:type="dxa"/>
            <w:tcBorders>
              <w:top w:val="single" w:sz="4" w:space="0" w:color="auto"/>
            </w:tcBorders>
            <w:vAlign w:val="bottom"/>
          </w:tcPr>
          <w:p w:rsidR="00E05F82" w:rsidRPr="00D00722" w:rsidRDefault="00E05F82">
            <w:pPr>
              <w:ind w:right="47"/>
              <w:jc w:val="right"/>
              <w:rPr>
                <w:rFonts w:ascii="Arial" w:hAnsi="Arial" w:cs="Arial"/>
                <w:b/>
                <w:sz w:val="18"/>
                <w:lang w:val="tr-TR"/>
              </w:rPr>
            </w:pPr>
          </w:p>
        </w:tc>
        <w:tc>
          <w:tcPr>
            <w:tcW w:w="1134" w:type="dxa"/>
            <w:tcBorders>
              <w:top w:val="single" w:sz="4" w:space="0" w:color="auto"/>
            </w:tcBorders>
            <w:vAlign w:val="bottom"/>
          </w:tcPr>
          <w:p w:rsidR="00E05F82" w:rsidRPr="00D00722" w:rsidRDefault="00E05F82">
            <w:pPr>
              <w:ind w:right="47"/>
              <w:jc w:val="right"/>
              <w:rPr>
                <w:rFonts w:ascii="Arial" w:hAnsi="Arial" w:cs="Arial"/>
                <w:b/>
                <w:sz w:val="18"/>
                <w:lang w:val="tr-TR"/>
              </w:rPr>
            </w:pPr>
          </w:p>
        </w:tc>
        <w:tc>
          <w:tcPr>
            <w:tcW w:w="992" w:type="dxa"/>
            <w:tcBorders>
              <w:top w:val="single" w:sz="4" w:space="0" w:color="auto"/>
            </w:tcBorders>
            <w:vAlign w:val="bottom"/>
          </w:tcPr>
          <w:p w:rsidR="00E05F82" w:rsidRPr="00D00722" w:rsidRDefault="00E05F82">
            <w:pPr>
              <w:ind w:right="47"/>
              <w:jc w:val="right"/>
              <w:rPr>
                <w:rFonts w:ascii="Arial" w:hAnsi="Arial" w:cs="Arial"/>
                <w:b/>
                <w:sz w:val="18"/>
                <w:lang w:val="tr-TR"/>
              </w:rPr>
            </w:pPr>
          </w:p>
        </w:tc>
      </w:tr>
      <w:tr w:rsidR="00F219A9" w:rsidRPr="00D00722" w:rsidTr="003F2B3E">
        <w:trPr>
          <w:trHeight w:val="113"/>
        </w:trPr>
        <w:tc>
          <w:tcPr>
            <w:tcW w:w="4253" w:type="dxa"/>
            <w:vAlign w:val="bottom"/>
          </w:tcPr>
          <w:p w:rsidR="00F219A9" w:rsidRPr="00D00722" w:rsidRDefault="00F219A9" w:rsidP="003C359E">
            <w:pPr>
              <w:rPr>
                <w:rFonts w:ascii="Arial" w:eastAsia="Calibri" w:hAnsi="Arial" w:cs="Arial"/>
                <w:b/>
                <w:sz w:val="18"/>
                <w:szCs w:val="22"/>
                <w:lang w:val="tr-TR"/>
              </w:rPr>
            </w:pPr>
            <w:r w:rsidRPr="00D00722">
              <w:rPr>
                <w:rFonts w:ascii="Arial" w:hAnsi="Arial" w:cs="Arial"/>
                <w:b/>
                <w:sz w:val="18"/>
                <w:lang w:val="tr-TR"/>
              </w:rPr>
              <w:t>Maliyet değeri</w:t>
            </w:r>
          </w:p>
        </w:tc>
        <w:tc>
          <w:tcPr>
            <w:tcW w:w="1276" w:type="dxa"/>
            <w:vAlign w:val="bottom"/>
          </w:tcPr>
          <w:p w:rsidR="00F219A9" w:rsidRPr="00D00722" w:rsidRDefault="00F219A9">
            <w:pPr>
              <w:ind w:right="47"/>
              <w:jc w:val="right"/>
              <w:rPr>
                <w:rFonts w:ascii="Arial" w:hAnsi="Arial" w:cs="Arial"/>
                <w:b/>
                <w:sz w:val="18"/>
                <w:lang w:val="tr-TR"/>
              </w:rPr>
            </w:pPr>
          </w:p>
        </w:tc>
        <w:tc>
          <w:tcPr>
            <w:tcW w:w="1417" w:type="dxa"/>
            <w:vAlign w:val="bottom"/>
          </w:tcPr>
          <w:p w:rsidR="00F219A9" w:rsidRPr="00D00722" w:rsidRDefault="00F219A9">
            <w:pPr>
              <w:ind w:right="47"/>
              <w:jc w:val="right"/>
              <w:rPr>
                <w:rFonts w:ascii="Arial" w:hAnsi="Arial" w:cs="Arial"/>
                <w:b/>
                <w:sz w:val="18"/>
                <w:lang w:val="tr-TR"/>
              </w:rPr>
            </w:pPr>
          </w:p>
        </w:tc>
        <w:tc>
          <w:tcPr>
            <w:tcW w:w="1134" w:type="dxa"/>
            <w:vAlign w:val="bottom"/>
          </w:tcPr>
          <w:p w:rsidR="00F219A9" w:rsidRPr="00D00722" w:rsidRDefault="00F219A9">
            <w:pPr>
              <w:ind w:right="47"/>
              <w:jc w:val="right"/>
              <w:rPr>
                <w:rFonts w:ascii="Arial" w:hAnsi="Arial" w:cs="Arial"/>
                <w:b/>
                <w:sz w:val="18"/>
                <w:lang w:val="tr-TR"/>
              </w:rPr>
            </w:pPr>
          </w:p>
        </w:tc>
        <w:tc>
          <w:tcPr>
            <w:tcW w:w="992" w:type="dxa"/>
            <w:vAlign w:val="bottom"/>
          </w:tcPr>
          <w:p w:rsidR="00F219A9" w:rsidRPr="00D00722" w:rsidRDefault="00F219A9">
            <w:pPr>
              <w:ind w:right="47"/>
              <w:jc w:val="right"/>
              <w:rPr>
                <w:rFonts w:ascii="Arial" w:hAnsi="Arial" w:cs="Arial"/>
                <w:b/>
                <w:sz w:val="18"/>
                <w:lang w:val="tr-TR"/>
              </w:rPr>
            </w:pPr>
          </w:p>
        </w:tc>
      </w:tr>
      <w:tr w:rsidR="001430A7" w:rsidRPr="00D00722" w:rsidTr="003F2B3E">
        <w:trPr>
          <w:trHeight w:val="113"/>
        </w:trPr>
        <w:tc>
          <w:tcPr>
            <w:tcW w:w="4253" w:type="dxa"/>
            <w:vAlign w:val="bottom"/>
          </w:tcPr>
          <w:p w:rsidR="001430A7" w:rsidRPr="00D00722" w:rsidRDefault="00C27A17" w:rsidP="005A077A">
            <w:pPr>
              <w:rPr>
                <w:rFonts w:ascii="Arial" w:eastAsia="Calibri" w:hAnsi="Arial" w:cs="Arial"/>
                <w:b/>
                <w:sz w:val="18"/>
                <w:szCs w:val="22"/>
                <w:lang w:val="tr-TR"/>
              </w:rPr>
            </w:pPr>
            <w:r w:rsidRPr="00D00722">
              <w:rPr>
                <w:rFonts w:ascii="Arial" w:hAnsi="Arial" w:cs="Arial"/>
                <w:b/>
                <w:sz w:val="18"/>
                <w:lang w:val="tr-TR"/>
              </w:rPr>
              <w:t>1 Ocak 201</w:t>
            </w:r>
            <w:r w:rsidR="005A077A" w:rsidRPr="00D00722">
              <w:rPr>
                <w:rFonts w:ascii="Arial" w:hAnsi="Arial" w:cs="Arial"/>
                <w:b/>
                <w:sz w:val="18"/>
                <w:lang w:val="tr-TR"/>
              </w:rPr>
              <w:t>4</w:t>
            </w:r>
            <w:r w:rsidR="001430A7" w:rsidRPr="00D00722">
              <w:rPr>
                <w:rFonts w:ascii="Arial" w:hAnsi="Arial" w:cs="Arial"/>
                <w:b/>
                <w:sz w:val="18"/>
                <w:lang w:val="tr-TR"/>
              </w:rPr>
              <w:t xml:space="preserve"> açılış bakiyesi</w:t>
            </w:r>
          </w:p>
        </w:tc>
        <w:tc>
          <w:tcPr>
            <w:tcW w:w="1276" w:type="dxa"/>
            <w:vAlign w:val="bottom"/>
          </w:tcPr>
          <w:p w:rsidR="001430A7" w:rsidRPr="00D00722" w:rsidRDefault="00A0188E" w:rsidP="003C359E">
            <w:pPr>
              <w:ind w:right="47"/>
              <w:jc w:val="right"/>
              <w:rPr>
                <w:rFonts w:ascii="Arial" w:eastAsia="Calibri" w:hAnsi="Arial" w:cs="Arial"/>
                <w:b/>
                <w:sz w:val="18"/>
                <w:szCs w:val="22"/>
                <w:lang w:val="tr-TR"/>
              </w:rPr>
            </w:pPr>
            <w:r w:rsidRPr="00D00722">
              <w:rPr>
                <w:rFonts w:ascii="Arial" w:eastAsia="Calibri" w:hAnsi="Arial" w:cs="Arial"/>
                <w:b/>
                <w:sz w:val="18"/>
                <w:szCs w:val="22"/>
                <w:lang w:val="tr-TR"/>
              </w:rPr>
              <w:t>11.635</w:t>
            </w:r>
          </w:p>
        </w:tc>
        <w:tc>
          <w:tcPr>
            <w:tcW w:w="1417" w:type="dxa"/>
            <w:vAlign w:val="bottom"/>
          </w:tcPr>
          <w:p w:rsidR="001430A7" w:rsidRPr="00D00722" w:rsidRDefault="00A0188E" w:rsidP="003C359E">
            <w:pPr>
              <w:ind w:right="47"/>
              <w:jc w:val="right"/>
              <w:rPr>
                <w:rFonts w:ascii="Arial" w:eastAsia="Calibri" w:hAnsi="Arial" w:cs="Arial"/>
                <w:b/>
                <w:sz w:val="18"/>
                <w:szCs w:val="22"/>
                <w:lang w:val="tr-TR"/>
              </w:rPr>
            </w:pPr>
            <w:r w:rsidRPr="00D00722">
              <w:rPr>
                <w:rFonts w:ascii="Arial" w:eastAsia="Calibri" w:hAnsi="Arial" w:cs="Arial"/>
                <w:b/>
                <w:sz w:val="18"/>
                <w:szCs w:val="22"/>
                <w:lang w:val="tr-TR"/>
              </w:rPr>
              <w:t>18.672</w:t>
            </w:r>
          </w:p>
        </w:tc>
        <w:tc>
          <w:tcPr>
            <w:tcW w:w="1134" w:type="dxa"/>
            <w:vAlign w:val="bottom"/>
          </w:tcPr>
          <w:p w:rsidR="001430A7" w:rsidRPr="00D00722" w:rsidRDefault="00A0188E" w:rsidP="003C359E">
            <w:pPr>
              <w:ind w:right="47"/>
              <w:jc w:val="right"/>
              <w:rPr>
                <w:rFonts w:ascii="Arial" w:eastAsia="Calibri" w:hAnsi="Arial" w:cs="Arial"/>
                <w:b/>
                <w:sz w:val="18"/>
                <w:szCs w:val="22"/>
                <w:lang w:val="tr-TR"/>
              </w:rPr>
            </w:pPr>
            <w:r w:rsidRPr="00D00722">
              <w:rPr>
                <w:rFonts w:ascii="Arial" w:eastAsia="Calibri" w:hAnsi="Arial" w:cs="Arial"/>
                <w:b/>
                <w:sz w:val="18"/>
                <w:szCs w:val="22"/>
                <w:lang w:val="tr-TR"/>
              </w:rPr>
              <w:t>52.909</w:t>
            </w:r>
          </w:p>
        </w:tc>
        <w:tc>
          <w:tcPr>
            <w:tcW w:w="992" w:type="dxa"/>
            <w:vAlign w:val="bottom"/>
          </w:tcPr>
          <w:p w:rsidR="001430A7" w:rsidRPr="00D00722" w:rsidRDefault="00A0188E" w:rsidP="003C359E">
            <w:pPr>
              <w:ind w:right="47"/>
              <w:jc w:val="right"/>
              <w:rPr>
                <w:rFonts w:ascii="Arial" w:eastAsia="Calibri" w:hAnsi="Arial" w:cs="Arial"/>
                <w:b/>
                <w:sz w:val="18"/>
                <w:szCs w:val="22"/>
                <w:lang w:val="tr-TR"/>
              </w:rPr>
            </w:pPr>
            <w:r w:rsidRPr="00D00722">
              <w:rPr>
                <w:rFonts w:ascii="Arial" w:eastAsia="Calibri" w:hAnsi="Arial" w:cs="Arial"/>
                <w:b/>
                <w:sz w:val="18"/>
                <w:szCs w:val="22"/>
                <w:lang w:val="tr-TR"/>
              </w:rPr>
              <w:t>83.216</w:t>
            </w:r>
          </w:p>
        </w:tc>
      </w:tr>
      <w:tr w:rsidR="001430A7" w:rsidRPr="00D00722" w:rsidTr="003F2B3E">
        <w:trPr>
          <w:trHeight w:val="113"/>
        </w:trPr>
        <w:tc>
          <w:tcPr>
            <w:tcW w:w="4253" w:type="dxa"/>
            <w:vAlign w:val="bottom"/>
          </w:tcPr>
          <w:p w:rsidR="001430A7" w:rsidRPr="00D00722" w:rsidRDefault="001430A7" w:rsidP="003C359E">
            <w:pPr>
              <w:rPr>
                <w:rFonts w:ascii="Arial" w:eastAsia="Calibri" w:hAnsi="Arial" w:cs="Arial"/>
                <w:b/>
                <w:sz w:val="18"/>
                <w:szCs w:val="22"/>
                <w:lang w:val="tr-TR"/>
              </w:rPr>
            </w:pPr>
            <w:r w:rsidRPr="00D00722">
              <w:rPr>
                <w:rFonts w:ascii="Arial" w:hAnsi="Arial" w:cs="Arial"/>
                <w:b/>
                <w:sz w:val="18"/>
                <w:lang w:val="tr-TR"/>
              </w:rPr>
              <w:t>Alımlar</w:t>
            </w:r>
          </w:p>
        </w:tc>
        <w:tc>
          <w:tcPr>
            <w:tcW w:w="1276" w:type="dxa"/>
            <w:vAlign w:val="bottom"/>
          </w:tcPr>
          <w:p w:rsidR="001430A7" w:rsidRPr="00D00722" w:rsidRDefault="00A0188E" w:rsidP="003C359E">
            <w:pPr>
              <w:ind w:right="47"/>
              <w:jc w:val="right"/>
              <w:rPr>
                <w:rFonts w:ascii="Arial" w:eastAsia="Calibri" w:hAnsi="Arial" w:cs="Arial"/>
                <w:b/>
                <w:sz w:val="18"/>
                <w:szCs w:val="22"/>
                <w:lang w:val="tr-TR"/>
              </w:rPr>
            </w:pPr>
            <w:r w:rsidRPr="00D00722">
              <w:rPr>
                <w:rFonts w:ascii="Arial" w:eastAsia="Calibri" w:hAnsi="Arial" w:cs="Arial"/>
                <w:b/>
                <w:sz w:val="18"/>
                <w:szCs w:val="22"/>
                <w:lang w:val="tr-TR"/>
              </w:rPr>
              <w:t>951</w:t>
            </w:r>
          </w:p>
        </w:tc>
        <w:tc>
          <w:tcPr>
            <w:tcW w:w="1417" w:type="dxa"/>
            <w:vAlign w:val="bottom"/>
          </w:tcPr>
          <w:p w:rsidR="001430A7" w:rsidRPr="00D00722" w:rsidRDefault="001430A7" w:rsidP="003C359E">
            <w:pPr>
              <w:pStyle w:val="Header"/>
              <w:tabs>
                <w:tab w:val="clear" w:pos="4320"/>
                <w:tab w:val="clear" w:pos="8640"/>
              </w:tabs>
              <w:ind w:right="47"/>
              <w:jc w:val="right"/>
              <w:rPr>
                <w:rFonts w:ascii="Arial" w:eastAsia="Calibri" w:hAnsi="Arial" w:cs="Arial"/>
                <w:b/>
                <w:sz w:val="18"/>
                <w:szCs w:val="22"/>
                <w:lang w:val="tr-TR"/>
              </w:rPr>
            </w:pPr>
          </w:p>
        </w:tc>
        <w:tc>
          <w:tcPr>
            <w:tcW w:w="1134" w:type="dxa"/>
            <w:vAlign w:val="bottom"/>
          </w:tcPr>
          <w:p w:rsidR="001430A7" w:rsidRPr="00D00722" w:rsidRDefault="001430A7" w:rsidP="003C359E">
            <w:pPr>
              <w:pStyle w:val="Header"/>
              <w:tabs>
                <w:tab w:val="clear" w:pos="4320"/>
                <w:tab w:val="clear" w:pos="8640"/>
              </w:tabs>
              <w:ind w:right="47"/>
              <w:jc w:val="right"/>
              <w:rPr>
                <w:rFonts w:ascii="Arial" w:eastAsia="Calibri" w:hAnsi="Arial" w:cs="Arial"/>
                <w:b/>
                <w:sz w:val="18"/>
                <w:szCs w:val="22"/>
                <w:lang w:val="tr-TR"/>
              </w:rPr>
            </w:pPr>
          </w:p>
        </w:tc>
        <w:tc>
          <w:tcPr>
            <w:tcW w:w="992" w:type="dxa"/>
            <w:vAlign w:val="bottom"/>
          </w:tcPr>
          <w:p w:rsidR="001430A7" w:rsidRPr="00D00722" w:rsidRDefault="00A0188E" w:rsidP="003C359E">
            <w:pPr>
              <w:pStyle w:val="Header"/>
              <w:tabs>
                <w:tab w:val="clear" w:pos="4320"/>
                <w:tab w:val="clear" w:pos="8640"/>
              </w:tabs>
              <w:ind w:right="47"/>
              <w:jc w:val="right"/>
              <w:rPr>
                <w:rFonts w:ascii="Arial" w:eastAsia="Calibri" w:hAnsi="Arial" w:cs="Arial"/>
                <w:b/>
                <w:sz w:val="18"/>
                <w:szCs w:val="22"/>
                <w:lang w:val="tr-TR"/>
              </w:rPr>
            </w:pPr>
            <w:r w:rsidRPr="00D00722">
              <w:rPr>
                <w:rFonts w:ascii="Arial" w:eastAsia="Calibri" w:hAnsi="Arial" w:cs="Arial"/>
                <w:b/>
                <w:sz w:val="18"/>
                <w:szCs w:val="22"/>
                <w:lang w:val="tr-TR"/>
              </w:rPr>
              <w:t>951</w:t>
            </w:r>
          </w:p>
        </w:tc>
      </w:tr>
      <w:tr w:rsidR="00E205DA" w:rsidRPr="00D00722" w:rsidTr="003F2B3E">
        <w:trPr>
          <w:trHeight w:val="113"/>
        </w:trPr>
        <w:tc>
          <w:tcPr>
            <w:tcW w:w="4253" w:type="dxa"/>
            <w:tcBorders>
              <w:bottom w:val="single" w:sz="4" w:space="0" w:color="auto"/>
            </w:tcBorders>
            <w:vAlign w:val="bottom"/>
          </w:tcPr>
          <w:p w:rsidR="00E205DA" w:rsidRPr="00D00722" w:rsidRDefault="00E205DA">
            <w:pPr>
              <w:rPr>
                <w:rFonts w:ascii="Arial" w:hAnsi="Arial" w:cs="Arial"/>
                <w:b/>
                <w:sz w:val="18"/>
                <w:lang w:val="tr-TR"/>
              </w:rPr>
            </w:pPr>
          </w:p>
        </w:tc>
        <w:tc>
          <w:tcPr>
            <w:tcW w:w="1276" w:type="dxa"/>
            <w:tcBorders>
              <w:bottom w:val="single" w:sz="4" w:space="0" w:color="auto"/>
            </w:tcBorders>
            <w:vAlign w:val="bottom"/>
          </w:tcPr>
          <w:p w:rsidR="00E205DA" w:rsidRPr="00D00722" w:rsidRDefault="00E205DA">
            <w:pPr>
              <w:ind w:right="47"/>
              <w:jc w:val="right"/>
              <w:rPr>
                <w:rFonts w:ascii="Arial" w:hAnsi="Arial" w:cs="Arial"/>
                <w:b/>
                <w:sz w:val="18"/>
                <w:lang w:val="tr-TR"/>
              </w:rPr>
            </w:pPr>
          </w:p>
        </w:tc>
        <w:tc>
          <w:tcPr>
            <w:tcW w:w="1417" w:type="dxa"/>
            <w:tcBorders>
              <w:bottom w:val="single" w:sz="4" w:space="0" w:color="auto"/>
            </w:tcBorders>
            <w:vAlign w:val="bottom"/>
          </w:tcPr>
          <w:p w:rsidR="00E205DA" w:rsidRPr="00D00722" w:rsidRDefault="00E205DA">
            <w:pPr>
              <w:pStyle w:val="Header"/>
              <w:tabs>
                <w:tab w:val="clear" w:pos="4320"/>
                <w:tab w:val="clear" w:pos="8640"/>
              </w:tabs>
              <w:ind w:right="47"/>
              <w:jc w:val="right"/>
              <w:rPr>
                <w:rFonts w:ascii="Arial" w:hAnsi="Arial" w:cs="Arial"/>
                <w:b/>
                <w:sz w:val="18"/>
                <w:lang w:val="tr-TR"/>
              </w:rPr>
            </w:pPr>
          </w:p>
        </w:tc>
        <w:tc>
          <w:tcPr>
            <w:tcW w:w="1134" w:type="dxa"/>
            <w:tcBorders>
              <w:bottom w:val="single" w:sz="4" w:space="0" w:color="auto"/>
            </w:tcBorders>
            <w:vAlign w:val="bottom"/>
          </w:tcPr>
          <w:p w:rsidR="00E205DA" w:rsidRPr="00D00722" w:rsidRDefault="00E205DA">
            <w:pPr>
              <w:pStyle w:val="Header"/>
              <w:tabs>
                <w:tab w:val="clear" w:pos="4320"/>
                <w:tab w:val="clear" w:pos="8640"/>
              </w:tabs>
              <w:ind w:right="47"/>
              <w:jc w:val="right"/>
              <w:rPr>
                <w:rFonts w:ascii="Arial" w:hAnsi="Arial" w:cs="Arial"/>
                <w:b/>
                <w:sz w:val="18"/>
                <w:lang w:val="tr-TR"/>
              </w:rPr>
            </w:pPr>
          </w:p>
        </w:tc>
        <w:tc>
          <w:tcPr>
            <w:tcW w:w="992" w:type="dxa"/>
            <w:tcBorders>
              <w:bottom w:val="single" w:sz="4" w:space="0" w:color="auto"/>
            </w:tcBorders>
            <w:vAlign w:val="bottom"/>
          </w:tcPr>
          <w:p w:rsidR="00E205DA" w:rsidRPr="00D00722" w:rsidRDefault="00E205DA">
            <w:pPr>
              <w:pStyle w:val="Header"/>
              <w:tabs>
                <w:tab w:val="clear" w:pos="4320"/>
                <w:tab w:val="clear" w:pos="8640"/>
              </w:tabs>
              <w:ind w:right="47"/>
              <w:jc w:val="right"/>
              <w:rPr>
                <w:rFonts w:ascii="Arial" w:hAnsi="Arial" w:cs="Arial"/>
                <w:b/>
                <w:sz w:val="18"/>
                <w:lang w:val="tr-TR"/>
              </w:rPr>
            </w:pPr>
          </w:p>
        </w:tc>
      </w:tr>
      <w:tr w:rsidR="001430A7" w:rsidRPr="00D00722" w:rsidTr="003F2B3E">
        <w:trPr>
          <w:trHeight w:val="113"/>
        </w:trPr>
        <w:tc>
          <w:tcPr>
            <w:tcW w:w="4253" w:type="dxa"/>
            <w:tcBorders>
              <w:top w:val="single" w:sz="4" w:space="0" w:color="auto"/>
              <w:bottom w:val="single" w:sz="4" w:space="0" w:color="auto"/>
            </w:tcBorders>
            <w:vAlign w:val="bottom"/>
          </w:tcPr>
          <w:p w:rsidR="001430A7" w:rsidRPr="00D00722" w:rsidRDefault="001430A7" w:rsidP="005A077A">
            <w:pPr>
              <w:rPr>
                <w:rFonts w:ascii="Arial" w:eastAsia="Calibri" w:hAnsi="Arial" w:cs="Arial"/>
                <w:b/>
                <w:sz w:val="18"/>
                <w:szCs w:val="22"/>
                <w:lang w:val="tr-TR"/>
              </w:rPr>
            </w:pPr>
            <w:r w:rsidRPr="00D00722">
              <w:rPr>
                <w:rFonts w:ascii="Arial" w:hAnsi="Arial" w:cs="Arial"/>
                <w:b/>
                <w:sz w:val="18"/>
                <w:lang w:val="tr-TR"/>
              </w:rPr>
              <w:t xml:space="preserve">31 </w:t>
            </w:r>
            <w:r w:rsidR="005A077A" w:rsidRPr="00D00722">
              <w:rPr>
                <w:rFonts w:ascii="Arial" w:hAnsi="Arial" w:cs="Arial"/>
                <w:b/>
                <w:sz w:val="18"/>
                <w:lang w:val="tr-TR"/>
              </w:rPr>
              <w:t>Mart</w:t>
            </w:r>
            <w:r w:rsidRPr="00D00722">
              <w:rPr>
                <w:rFonts w:ascii="Arial" w:hAnsi="Arial" w:cs="Arial"/>
                <w:b/>
                <w:sz w:val="18"/>
                <w:lang w:val="tr-TR"/>
              </w:rPr>
              <w:t xml:space="preserve"> </w:t>
            </w:r>
            <w:r w:rsidR="004F01F8" w:rsidRPr="00D00722">
              <w:rPr>
                <w:rFonts w:ascii="Arial" w:hAnsi="Arial" w:cs="Arial"/>
                <w:b/>
                <w:sz w:val="18"/>
                <w:lang w:val="tr-TR"/>
              </w:rPr>
              <w:t>201</w:t>
            </w:r>
            <w:r w:rsidR="005A077A" w:rsidRPr="00D00722">
              <w:rPr>
                <w:rFonts w:ascii="Arial" w:hAnsi="Arial" w:cs="Arial"/>
                <w:b/>
                <w:sz w:val="18"/>
                <w:lang w:val="tr-TR"/>
              </w:rPr>
              <w:t>4</w:t>
            </w:r>
            <w:r w:rsidRPr="00D00722">
              <w:rPr>
                <w:rFonts w:ascii="Arial" w:hAnsi="Arial" w:cs="Arial"/>
                <w:b/>
                <w:sz w:val="18"/>
                <w:lang w:val="tr-TR"/>
              </w:rPr>
              <w:t xml:space="preserve"> kapanış bakiyesi</w:t>
            </w:r>
          </w:p>
        </w:tc>
        <w:tc>
          <w:tcPr>
            <w:tcW w:w="1276" w:type="dxa"/>
            <w:tcBorders>
              <w:top w:val="single" w:sz="4" w:space="0" w:color="auto"/>
              <w:bottom w:val="single" w:sz="4" w:space="0" w:color="auto"/>
            </w:tcBorders>
            <w:vAlign w:val="bottom"/>
          </w:tcPr>
          <w:p w:rsidR="001430A7" w:rsidRPr="00D00722" w:rsidRDefault="00A0188E" w:rsidP="003C359E">
            <w:pPr>
              <w:ind w:right="47"/>
              <w:jc w:val="right"/>
              <w:rPr>
                <w:rFonts w:ascii="Arial" w:eastAsia="Calibri" w:hAnsi="Arial" w:cs="Arial"/>
                <w:b/>
                <w:sz w:val="18"/>
                <w:szCs w:val="22"/>
                <w:lang w:val="tr-TR"/>
              </w:rPr>
            </w:pPr>
            <w:r w:rsidRPr="00D00722">
              <w:rPr>
                <w:rFonts w:ascii="Arial" w:eastAsia="Calibri" w:hAnsi="Arial" w:cs="Arial"/>
                <w:b/>
                <w:sz w:val="18"/>
                <w:szCs w:val="22"/>
                <w:lang w:val="tr-TR"/>
              </w:rPr>
              <w:t>12.586</w:t>
            </w:r>
          </w:p>
        </w:tc>
        <w:tc>
          <w:tcPr>
            <w:tcW w:w="1417" w:type="dxa"/>
            <w:tcBorders>
              <w:top w:val="single" w:sz="4" w:space="0" w:color="auto"/>
              <w:bottom w:val="single" w:sz="4" w:space="0" w:color="auto"/>
            </w:tcBorders>
            <w:vAlign w:val="bottom"/>
          </w:tcPr>
          <w:p w:rsidR="001430A7" w:rsidRPr="00D00722" w:rsidRDefault="00A0188E" w:rsidP="003C359E">
            <w:pPr>
              <w:ind w:right="47"/>
              <w:jc w:val="right"/>
              <w:rPr>
                <w:rFonts w:ascii="Arial" w:eastAsia="Calibri" w:hAnsi="Arial" w:cs="Arial"/>
                <w:b/>
                <w:sz w:val="18"/>
                <w:szCs w:val="22"/>
                <w:lang w:val="tr-TR"/>
              </w:rPr>
            </w:pPr>
            <w:r w:rsidRPr="00D00722">
              <w:rPr>
                <w:rFonts w:ascii="Arial" w:eastAsia="Calibri" w:hAnsi="Arial" w:cs="Arial"/>
                <w:b/>
                <w:sz w:val="18"/>
                <w:szCs w:val="22"/>
                <w:lang w:val="tr-TR"/>
              </w:rPr>
              <w:t>18.672</w:t>
            </w:r>
          </w:p>
        </w:tc>
        <w:tc>
          <w:tcPr>
            <w:tcW w:w="1134" w:type="dxa"/>
            <w:tcBorders>
              <w:top w:val="single" w:sz="4" w:space="0" w:color="auto"/>
              <w:bottom w:val="single" w:sz="4" w:space="0" w:color="auto"/>
            </w:tcBorders>
            <w:vAlign w:val="bottom"/>
          </w:tcPr>
          <w:p w:rsidR="001430A7" w:rsidRPr="00D00722" w:rsidRDefault="00A0188E" w:rsidP="003C359E">
            <w:pPr>
              <w:ind w:right="47"/>
              <w:jc w:val="right"/>
              <w:rPr>
                <w:rFonts w:ascii="Arial" w:eastAsia="Calibri" w:hAnsi="Arial" w:cs="Arial"/>
                <w:b/>
                <w:sz w:val="18"/>
                <w:szCs w:val="22"/>
                <w:lang w:val="tr-TR"/>
              </w:rPr>
            </w:pPr>
            <w:r w:rsidRPr="00D00722">
              <w:rPr>
                <w:rFonts w:ascii="Arial" w:eastAsia="Calibri" w:hAnsi="Arial" w:cs="Arial"/>
                <w:b/>
                <w:sz w:val="18"/>
                <w:szCs w:val="22"/>
                <w:lang w:val="tr-TR"/>
              </w:rPr>
              <w:t>52.909</w:t>
            </w:r>
          </w:p>
        </w:tc>
        <w:tc>
          <w:tcPr>
            <w:tcW w:w="992" w:type="dxa"/>
            <w:tcBorders>
              <w:top w:val="single" w:sz="4" w:space="0" w:color="auto"/>
              <w:bottom w:val="single" w:sz="4" w:space="0" w:color="auto"/>
            </w:tcBorders>
            <w:vAlign w:val="bottom"/>
          </w:tcPr>
          <w:p w:rsidR="001430A7" w:rsidRPr="00D00722" w:rsidRDefault="00A0188E" w:rsidP="003C359E">
            <w:pPr>
              <w:ind w:right="47"/>
              <w:jc w:val="right"/>
              <w:rPr>
                <w:rFonts w:ascii="Arial" w:eastAsia="Calibri" w:hAnsi="Arial" w:cs="Arial"/>
                <w:b/>
                <w:sz w:val="18"/>
                <w:szCs w:val="22"/>
                <w:lang w:val="tr-TR"/>
              </w:rPr>
            </w:pPr>
            <w:r w:rsidRPr="00D00722">
              <w:rPr>
                <w:rFonts w:ascii="Arial" w:eastAsia="Calibri" w:hAnsi="Arial" w:cs="Arial"/>
                <w:b/>
                <w:sz w:val="18"/>
                <w:szCs w:val="22"/>
                <w:lang w:val="tr-TR"/>
              </w:rPr>
              <w:t>84.167</w:t>
            </w:r>
          </w:p>
        </w:tc>
      </w:tr>
      <w:tr w:rsidR="00E05F82" w:rsidRPr="00D00722" w:rsidTr="003F2B3E">
        <w:trPr>
          <w:trHeight w:val="113"/>
        </w:trPr>
        <w:tc>
          <w:tcPr>
            <w:tcW w:w="4253" w:type="dxa"/>
            <w:tcBorders>
              <w:top w:val="single" w:sz="4" w:space="0" w:color="auto"/>
            </w:tcBorders>
            <w:vAlign w:val="bottom"/>
          </w:tcPr>
          <w:p w:rsidR="00E05F82" w:rsidRPr="00D00722" w:rsidRDefault="00E05F82">
            <w:pPr>
              <w:rPr>
                <w:rFonts w:ascii="Arial" w:hAnsi="Arial" w:cs="Arial"/>
                <w:b/>
                <w:sz w:val="18"/>
                <w:lang w:val="tr-TR"/>
              </w:rPr>
            </w:pPr>
          </w:p>
        </w:tc>
        <w:tc>
          <w:tcPr>
            <w:tcW w:w="1276" w:type="dxa"/>
            <w:tcBorders>
              <w:top w:val="single" w:sz="4" w:space="0" w:color="auto"/>
            </w:tcBorders>
            <w:vAlign w:val="bottom"/>
          </w:tcPr>
          <w:p w:rsidR="00E05F82" w:rsidRPr="00D00722" w:rsidRDefault="00E05F82">
            <w:pPr>
              <w:ind w:right="47"/>
              <w:jc w:val="right"/>
              <w:rPr>
                <w:rFonts w:ascii="Arial" w:hAnsi="Arial" w:cs="Arial"/>
                <w:b/>
                <w:sz w:val="18"/>
                <w:lang w:val="tr-TR"/>
              </w:rPr>
            </w:pPr>
          </w:p>
        </w:tc>
        <w:tc>
          <w:tcPr>
            <w:tcW w:w="1417" w:type="dxa"/>
            <w:tcBorders>
              <w:top w:val="single" w:sz="4" w:space="0" w:color="auto"/>
            </w:tcBorders>
            <w:vAlign w:val="bottom"/>
          </w:tcPr>
          <w:p w:rsidR="00E05F82" w:rsidRPr="00D00722" w:rsidRDefault="00E05F82">
            <w:pPr>
              <w:ind w:right="47"/>
              <w:jc w:val="right"/>
              <w:rPr>
                <w:rFonts w:ascii="Arial" w:hAnsi="Arial" w:cs="Arial"/>
                <w:b/>
                <w:sz w:val="18"/>
                <w:lang w:val="tr-TR"/>
              </w:rPr>
            </w:pPr>
          </w:p>
        </w:tc>
        <w:tc>
          <w:tcPr>
            <w:tcW w:w="1134" w:type="dxa"/>
            <w:tcBorders>
              <w:top w:val="single" w:sz="4" w:space="0" w:color="auto"/>
            </w:tcBorders>
            <w:vAlign w:val="bottom"/>
          </w:tcPr>
          <w:p w:rsidR="00E05F82" w:rsidRPr="00D00722" w:rsidRDefault="00E05F82">
            <w:pPr>
              <w:ind w:right="47"/>
              <w:jc w:val="right"/>
              <w:rPr>
                <w:rFonts w:ascii="Arial" w:hAnsi="Arial" w:cs="Arial"/>
                <w:b/>
                <w:sz w:val="18"/>
                <w:lang w:val="tr-TR"/>
              </w:rPr>
            </w:pPr>
          </w:p>
        </w:tc>
        <w:tc>
          <w:tcPr>
            <w:tcW w:w="992" w:type="dxa"/>
            <w:tcBorders>
              <w:top w:val="single" w:sz="4" w:space="0" w:color="auto"/>
            </w:tcBorders>
            <w:vAlign w:val="bottom"/>
          </w:tcPr>
          <w:p w:rsidR="00E05F82" w:rsidRPr="00D00722" w:rsidRDefault="00E05F82">
            <w:pPr>
              <w:ind w:right="47"/>
              <w:jc w:val="right"/>
              <w:rPr>
                <w:rFonts w:ascii="Arial" w:hAnsi="Arial" w:cs="Arial"/>
                <w:b/>
                <w:sz w:val="18"/>
                <w:lang w:val="tr-TR"/>
              </w:rPr>
            </w:pPr>
          </w:p>
        </w:tc>
      </w:tr>
      <w:tr w:rsidR="00E05F82" w:rsidRPr="00D00722" w:rsidTr="003F2B3E">
        <w:trPr>
          <w:trHeight w:val="113"/>
        </w:trPr>
        <w:tc>
          <w:tcPr>
            <w:tcW w:w="4253" w:type="dxa"/>
            <w:vAlign w:val="bottom"/>
          </w:tcPr>
          <w:p w:rsidR="00E05F82" w:rsidRPr="00D00722" w:rsidRDefault="00E05F82" w:rsidP="003C359E">
            <w:pPr>
              <w:rPr>
                <w:rFonts w:ascii="Arial" w:eastAsia="Calibri" w:hAnsi="Arial" w:cs="Arial"/>
                <w:b/>
                <w:sz w:val="18"/>
                <w:szCs w:val="22"/>
                <w:lang w:val="tr-TR"/>
              </w:rPr>
            </w:pPr>
            <w:r w:rsidRPr="00D00722">
              <w:rPr>
                <w:rFonts w:ascii="Arial" w:hAnsi="Arial" w:cs="Arial"/>
                <w:b/>
                <w:sz w:val="18"/>
                <w:lang w:val="tr-TR"/>
              </w:rPr>
              <w:t>Birikmiş amortismanlar</w:t>
            </w:r>
          </w:p>
        </w:tc>
        <w:tc>
          <w:tcPr>
            <w:tcW w:w="1276" w:type="dxa"/>
            <w:vAlign w:val="bottom"/>
          </w:tcPr>
          <w:p w:rsidR="00E05F82" w:rsidRPr="00D00722" w:rsidRDefault="00E05F82">
            <w:pPr>
              <w:ind w:right="47"/>
              <w:jc w:val="right"/>
              <w:rPr>
                <w:rFonts w:ascii="Arial" w:hAnsi="Arial" w:cs="Arial"/>
                <w:b/>
                <w:sz w:val="18"/>
                <w:lang w:val="tr-TR"/>
              </w:rPr>
            </w:pPr>
          </w:p>
        </w:tc>
        <w:tc>
          <w:tcPr>
            <w:tcW w:w="1417" w:type="dxa"/>
            <w:vAlign w:val="bottom"/>
          </w:tcPr>
          <w:p w:rsidR="00E05F82" w:rsidRPr="00D00722" w:rsidRDefault="00E05F82">
            <w:pPr>
              <w:ind w:right="47"/>
              <w:jc w:val="right"/>
              <w:rPr>
                <w:rFonts w:ascii="Arial" w:hAnsi="Arial" w:cs="Arial"/>
                <w:b/>
                <w:sz w:val="18"/>
                <w:lang w:val="tr-TR"/>
              </w:rPr>
            </w:pPr>
          </w:p>
        </w:tc>
        <w:tc>
          <w:tcPr>
            <w:tcW w:w="1134" w:type="dxa"/>
            <w:vAlign w:val="bottom"/>
          </w:tcPr>
          <w:p w:rsidR="00E05F82" w:rsidRPr="00D00722" w:rsidRDefault="00E05F82">
            <w:pPr>
              <w:ind w:right="47"/>
              <w:jc w:val="right"/>
              <w:rPr>
                <w:rFonts w:ascii="Arial" w:hAnsi="Arial" w:cs="Arial"/>
                <w:b/>
                <w:sz w:val="18"/>
                <w:lang w:val="tr-TR"/>
              </w:rPr>
            </w:pPr>
          </w:p>
        </w:tc>
        <w:tc>
          <w:tcPr>
            <w:tcW w:w="992" w:type="dxa"/>
            <w:vAlign w:val="bottom"/>
          </w:tcPr>
          <w:p w:rsidR="00E05F82" w:rsidRPr="00D00722" w:rsidRDefault="00E05F82">
            <w:pPr>
              <w:ind w:right="47"/>
              <w:jc w:val="right"/>
              <w:rPr>
                <w:rFonts w:ascii="Arial" w:hAnsi="Arial" w:cs="Arial"/>
                <w:b/>
                <w:sz w:val="18"/>
                <w:lang w:val="tr-TR"/>
              </w:rPr>
            </w:pPr>
          </w:p>
        </w:tc>
      </w:tr>
      <w:tr w:rsidR="001430A7" w:rsidRPr="00D00722" w:rsidTr="003F2B3E">
        <w:trPr>
          <w:trHeight w:val="113"/>
        </w:trPr>
        <w:tc>
          <w:tcPr>
            <w:tcW w:w="4253" w:type="dxa"/>
            <w:vAlign w:val="bottom"/>
          </w:tcPr>
          <w:p w:rsidR="001430A7" w:rsidRPr="00D00722" w:rsidRDefault="001430A7" w:rsidP="005A077A">
            <w:pPr>
              <w:rPr>
                <w:rFonts w:ascii="Arial" w:eastAsia="Calibri" w:hAnsi="Arial" w:cs="Arial"/>
                <w:b/>
                <w:sz w:val="18"/>
                <w:szCs w:val="22"/>
                <w:lang w:val="tr-TR"/>
              </w:rPr>
            </w:pPr>
            <w:r w:rsidRPr="00D00722">
              <w:rPr>
                <w:rFonts w:ascii="Arial" w:hAnsi="Arial" w:cs="Arial"/>
                <w:b/>
                <w:sz w:val="18"/>
                <w:lang w:val="tr-TR"/>
              </w:rPr>
              <w:t>1 Ocak 201</w:t>
            </w:r>
            <w:r w:rsidR="005A077A" w:rsidRPr="00D00722">
              <w:rPr>
                <w:rFonts w:ascii="Arial" w:hAnsi="Arial" w:cs="Arial"/>
                <w:b/>
                <w:sz w:val="18"/>
                <w:lang w:val="tr-TR"/>
              </w:rPr>
              <w:t>4</w:t>
            </w:r>
            <w:r w:rsidRPr="00D00722">
              <w:rPr>
                <w:rFonts w:ascii="Arial" w:hAnsi="Arial" w:cs="Arial"/>
                <w:b/>
                <w:sz w:val="18"/>
                <w:lang w:val="tr-TR"/>
              </w:rPr>
              <w:t xml:space="preserve"> açılış bakiyesi</w:t>
            </w:r>
          </w:p>
        </w:tc>
        <w:tc>
          <w:tcPr>
            <w:tcW w:w="1276" w:type="dxa"/>
            <w:vAlign w:val="bottom"/>
          </w:tcPr>
          <w:p w:rsidR="001430A7" w:rsidRPr="00D00722" w:rsidRDefault="00A0188E" w:rsidP="003C359E">
            <w:pPr>
              <w:ind w:right="47"/>
              <w:jc w:val="right"/>
              <w:rPr>
                <w:rFonts w:ascii="Arial" w:eastAsia="Calibri" w:hAnsi="Arial" w:cs="Arial"/>
                <w:b/>
                <w:sz w:val="18"/>
                <w:szCs w:val="22"/>
                <w:lang w:val="tr-TR"/>
              </w:rPr>
            </w:pPr>
            <w:r w:rsidRPr="00D00722">
              <w:rPr>
                <w:rFonts w:ascii="Arial" w:eastAsia="Calibri" w:hAnsi="Arial" w:cs="Arial"/>
                <w:b/>
                <w:sz w:val="18"/>
                <w:szCs w:val="22"/>
                <w:lang w:val="tr-TR"/>
              </w:rPr>
              <w:t>(7.477)</w:t>
            </w:r>
          </w:p>
        </w:tc>
        <w:tc>
          <w:tcPr>
            <w:tcW w:w="1417" w:type="dxa"/>
            <w:vAlign w:val="bottom"/>
          </w:tcPr>
          <w:p w:rsidR="001430A7" w:rsidRPr="00D00722" w:rsidRDefault="00A0188E" w:rsidP="003C359E">
            <w:pPr>
              <w:ind w:right="47"/>
              <w:jc w:val="right"/>
              <w:rPr>
                <w:rFonts w:ascii="Arial" w:eastAsia="Calibri" w:hAnsi="Arial" w:cs="Arial"/>
                <w:b/>
                <w:sz w:val="18"/>
                <w:szCs w:val="22"/>
                <w:lang w:val="tr-TR"/>
              </w:rPr>
            </w:pPr>
            <w:r w:rsidRPr="00D00722">
              <w:rPr>
                <w:rFonts w:ascii="Arial" w:eastAsia="Calibri" w:hAnsi="Arial" w:cs="Arial"/>
                <w:b/>
                <w:sz w:val="18"/>
                <w:szCs w:val="22"/>
                <w:lang w:val="tr-TR"/>
              </w:rPr>
              <w:t>(12.818)</w:t>
            </w:r>
          </w:p>
        </w:tc>
        <w:tc>
          <w:tcPr>
            <w:tcW w:w="1134" w:type="dxa"/>
            <w:vAlign w:val="bottom"/>
          </w:tcPr>
          <w:p w:rsidR="001430A7" w:rsidRPr="00D00722" w:rsidRDefault="00A0188E" w:rsidP="003C359E">
            <w:pPr>
              <w:ind w:right="47"/>
              <w:jc w:val="right"/>
              <w:rPr>
                <w:rFonts w:ascii="Arial" w:eastAsia="Calibri" w:hAnsi="Arial" w:cs="Arial"/>
                <w:b/>
                <w:sz w:val="18"/>
                <w:szCs w:val="22"/>
                <w:lang w:val="tr-TR"/>
              </w:rPr>
            </w:pPr>
            <w:r w:rsidRPr="00D00722">
              <w:rPr>
                <w:rFonts w:ascii="Arial" w:eastAsia="Calibri" w:hAnsi="Arial" w:cs="Arial"/>
                <w:b/>
                <w:sz w:val="18"/>
                <w:szCs w:val="22"/>
                <w:lang w:val="tr-TR"/>
              </w:rPr>
              <w:t>(29.753)</w:t>
            </w:r>
          </w:p>
        </w:tc>
        <w:tc>
          <w:tcPr>
            <w:tcW w:w="992" w:type="dxa"/>
            <w:vAlign w:val="bottom"/>
          </w:tcPr>
          <w:p w:rsidR="001430A7" w:rsidRPr="00D00722" w:rsidRDefault="00A0188E" w:rsidP="003C359E">
            <w:pPr>
              <w:ind w:right="47"/>
              <w:jc w:val="right"/>
              <w:rPr>
                <w:rFonts w:ascii="Arial" w:eastAsia="Calibri" w:hAnsi="Arial" w:cs="Arial"/>
                <w:b/>
                <w:sz w:val="18"/>
                <w:szCs w:val="22"/>
                <w:lang w:val="tr-TR"/>
              </w:rPr>
            </w:pPr>
            <w:r w:rsidRPr="00D00722">
              <w:rPr>
                <w:rFonts w:ascii="Arial" w:eastAsia="Calibri" w:hAnsi="Arial" w:cs="Arial"/>
                <w:b/>
                <w:sz w:val="18"/>
                <w:szCs w:val="22"/>
                <w:lang w:val="tr-TR"/>
              </w:rPr>
              <w:t>(50.048)</w:t>
            </w:r>
          </w:p>
        </w:tc>
      </w:tr>
      <w:tr w:rsidR="001430A7" w:rsidRPr="00D00722" w:rsidTr="003F2B3E">
        <w:trPr>
          <w:trHeight w:val="113"/>
        </w:trPr>
        <w:tc>
          <w:tcPr>
            <w:tcW w:w="4253" w:type="dxa"/>
            <w:vAlign w:val="bottom"/>
          </w:tcPr>
          <w:p w:rsidR="001430A7" w:rsidRPr="00D00722" w:rsidRDefault="001430A7" w:rsidP="003C359E">
            <w:pPr>
              <w:rPr>
                <w:rFonts w:ascii="Arial" w:eastAsia="Calibri" w:hAnsi="Arial" w:cs="Arial"/>
                <w:b/>
                <w:sz w:val="18"/>
                <w:szCs w:val="22"/>
                <w:lang w:val="tr-TR"/>
              </w:rPr>
            </w:pPr>
            <w:r w:rsidRPr="00D00722">
              <w:rPr>
                <w:rFonts w:ascii="Arial" w:hAnsi="Arial" w:cs="Arial"/>
                <w:b/>
                <w:sz w:val="18"/>
                <w:lang w:val="tr-TR"/>
              </w:rPr>
              <w:t>Dönem gideri</w:t>
            </w:r>
          </w:p>
        </w:tc>
        <w:tc>
          <w:tcPr>
            <w:tcW w:w="1276" w:type="dxa"/>
            <w:vAlign w:val="bottom"/>
          </w:tcPr>
          <w:p w:rsidR="001430A7" w:rsidRPr="00D00722" w:rsidRDefault="002E2898" w:rsidP="003C359E">
            <w:pPr>
              <w:ind w:right="47"/>
              <w:jc w:val="right"/>
              <w:rPr>
                <w:rFonts w:ascii="Arial" w:eastAsia="Calibri" w:hAnsi="Arial" w:cs="Arial"/>
                <w:b/>
                <w:sz w:val="18"/>
                <w:szCs w:val="22"/>
                <w:lang w:val="tr-TR"/>
              </w:rPr>
            </w:pPr>
            <w:r w:rsidRPr="00D00722">
              <w:rPr>
                <w:rFonts w:ascii="Arial" w:eastAsia="Calibri" w:hAnsi="Arial" w:cs="Arial"/>
                <w:b/>
                <w:sz w:val="18"/>
                <w:szCs w:val="22"/>
                <w:lang w:val="tr-TR"/>
              </w:rPr>
              <w:t>(714)</w:t>
            </w:r>
          </w:p>
        </w:tc>
        <w:tc>
          <w:tcPr>
            <w:tcW w:w="1417" w:type="dxa"/>
            <w:vAlign w:val="bottom"/>
          </w:tcPr>
          <w:p w:rsidR="001430A7" w:rsidRPr="00D00722" w:rsidRDefault="002E2898" w:rsidP="003C359E">
            <w:pPr>
              <w:ind w:right="47"/>
              <w:jc w:val="right"/>
              <w:rPr>
                <w:rFonts w:ascii="Arial" w:eastAsia="Calibri" w:hAnsi="Arial" w:cs="Arial"/>
                <w:b/>
                <w:sz w:val="18"/>
                <w:szCs w:val="22"/>
                <w:lang w:val="tr-TR"/>
              </w:rPr>
            </w:pPr>
            <w:r w:rsidRPr="00D00722">
              <w:rPr>
                <w:rFonts w:ascii="Arial" w:eastAsia="Calibri" w:hAnsi="Arial" w:cs="Arial"/>
                <w:b/>
                <w:sz w:val="18"/>
                <w:szCs w:val="22"/>
                <w:lang w:val="tr-TR"/>
              </w:rPr>
              <w:t>(1.082)</w:t>
            </w:r>
          </w:p>
        </w:tc>
        <w:tc>
          <w:tcPr>
            <w:tcW w:w="1134" w:type="dxa"/>
            <w:vAlign w:val="bottom"/>
          </w:tcPr>
          <w:p w:rsidR="001430A7" w:rsidRPr="00D00722" w:rsidRDefault="002E2898" w:rsidP="003C359E">
            <w:pPr>
              <w:ind w:right="47"/>
              <w:jc w:val="right"/>
              <w:rPr>
                <w:rFonts w:ascii="Arial" w:eastAsia="Calibri" w:hAnsi="Arial" w:cs="Arial"/>
                <w:b/>
                <w:sz w:val="18"/>
                <w:szCs w:val="22"/>
                <w:lang w:val="tr-TR"/>
              </w:rPr>
            </w:pPr>
            <w:r w:rsidRPr="00D00722">
              <w:rPr>
                <w:rFonts w:ascii="Arial" w:eastAsia="Calibri" w:hAnsi="Arial" w:cs="Arial"/>
                <w:b/>
                <w:sz w:val="18"/>
                <w:szCs w:val="22"/>
                <w:lang w:val="tr-TR"/>
              </w:rPr>
              <w:t>(2.645)</w:t>
            </w:r>
          </w:p>
        </w:tc>
        <w:tc>
          <w:tcPr>
            <w:tcW w:w="992" w:type="dxa"/>
            <w:vAlign w:val="bottom"/>
          </w:tcPr>
          <w:p w:rsidR="001430A7" w:rsidRPr="00D00722" w:rsidRDefault="002E2898" w:rsidP="003C359E">
            <w:pPr>
              <w:ind w:right="47"/>
              <w:jc w:val="right"/>
              <w:rPr>
                <w:rFonts w:ascii="Arial" w:eastAsia="Calibri" w:hAnsi="Arial" w:cs="Arial"/>
                <w:b/>
                <w:sz w:val="18"/>
                <w:szCs w:val="22"/>
                <w:lang w:val="tr-TR"/>
              </w:rPr>
            </w:pPr>
            <w:r w:rsidRPr="00D00722">
              <w:rPr>
                <w:rFonts w:ascii="Arial" w:eastAsia="Calibri" w:hAnsi="Arial" w:cs="Arial"/>
                <w:b/>
                <w:sz w:val="18"/>
                <w:szCs w:val="22"/>
                <w:lang w:val="tr-TR"/>
              </w:rPr>
              <w:t>(4.441)</w:t>
            </w:r>
          </w:p>
        </w:tc>
      </w:tr>
      <w:tr w:rsidR="00C621FD" w:rsidRPr="00D00722" w:rsidTr="003F2B3E">
        <w:trPr>
          <w:trHeight w:val="113"/>
        </w:trPr>
        <w:tc>
          <w:tcPr>
            <w:tcW w:w="4253" w:type="dxa"/>
            <w:tcBorders>
              <w:bottom w:val="single" w:sz="4" w:space="0" w:color="auto"/>
            </w:tcBorders>
            <w:vAlign w:val="bottom"/>
          </w:tcPr>
          <w:p w:rsidR="00C621FD" w:rsidRPr="00D00722" w:rsidRDefault="00C621FD">
            <w:pPr>
              <w:rPr>
                <w:rFonts w:ascii="Arial" w:hAnsi="Arial" w:cs="Arial"/>
                <w:b/>
                <w:sz w:val="18"/>
                <w:lang w:val="tr-TR"/>
              </w:rPr>
            </w:pPr>
          </w:p>
        </w:tc>
        <w:tc>
          <w:tcPr>
            <w:tcW w:w="1276" w:type="dxa"/>
            <w:tcBorders>
              <w:bottom w:val="single" w:sz="4" w:space="0" w:color="auto"/>
            </w:tcBorders>
            <w:vAlign w:val="bottom"/>
          </w:tcPr>
          <w:p w:rsidR="00C621FD" w:rsidRPr="00D00722" w:rsidRDefault="00C621FD">
            <w:pPr>
              <w:ind w:right="47"/>
              <w:jc w:val="right"/>
              <w:rPr>
                <w:rFonts w:ascii="Arial" w:hAnsi="Arial" w:cs="Arial"/>
                <w:b/>
                <w:sz w:val="18"/>
                <w:lang w:val="tr-TR"/>
              </w:rPr>
            </w:pPr>
          </w:p>
        </w:tc>
        <w:tc>
          <w:tcPr>
            <w:tcW w:w="1417" w:type="dxa"/>
            <w:tcBorders>
              <w:bottom w:val="single" w:sz="4" w:space="0" w:color="auto"/>
            </w:tcBorders>
            <w:vAlign w:val="bottom"/>
          </w:tcPr>
          <w:p w:rsidR="00C621FD" w:rsidRPr="00D00722" w:rsidRDefault="00C621FD">
            <w:pPr>
              <w:ind w:right="47"/>
              <w:jc w:val="right"/>
              <w:rPr>
                <w:rFonts w:ascii="Arial" w:hAnsi="Arial" w:cs="Arial"/>
                <w:b/>
                <w:sz w:val="18"/>
                <w:lang w:val="tr-TR"/>
              </w:rPr>
            </w:pPr>
          </w:p>
        </w:tc>
        <w:tc>
          <w:tcPr>
            <w:tcW w:w="1134" w:type="dxa"/>
            <w:tcBorders>
              <w:bottom w:val="single" w:sz="4" w:space="0" w:color="auto"/>
            </w:tcBorders>
            <w:vAlign w:val="bottom"/>
          </w:tcPr>
          <w:p w:rsidR="00C621FD" w:rsidRPr="00D00722" w:rsidRDefault="00C621FD" w:rsidP="00F362BD">
            <w:pPr>
              <w:ind w:right="47"/>
              <w:jc w:val="right"/>
              <w:rPr>
                <w:rFonts w:ascii="Arial" w:hAnsi="Arial" w:cs="Arial"/>
                <w:b/>
                <w:sz w:val="18"/>
                <w:lang w:val="tr-TR"/>
              </w:rPr>
            </w:pPr>
          </w:p>
        </w:tc>
        <w:tc>
          <w:tcPr>
            <w:tcW w:w="992" w:type="dxa"/>
            <w:tcBorders>
              <w:bottom w:val="single" w:sz="4" w:space="0" w:color="auto"/>
            </w:tcBorders>
            <w:vAlign w:val="bottom"/>
          </w:tcPr>
          <w:p w:rsidR="00C621FD" w:rsidRPr="00D00722" w:rsidRDefault="00C621FD">
            <w:pPr>
              <w:ind w:right="47"/>
              <w:jc w:val="right"/>
              <w:rPr>
                <w:rFonts w:ascii="Arial" w:hAnsi="Arial" w:cs="Arial"/>
                <w:b/>
                <w:sz w:val="18"/>
                <w:lang w:val="tr-TR"/>
              </w:rPr>
            </w:pPr>
          </w:p>
        </w:tc>
      </w:tr>
      <w:tr w:rsidR="001430A7" w:rsidRPr="00D00722" w:rsidTr="003F2B3E">
        <w:trPr>
          <w:trHeight w:val="113"/>
        </w:trPr>
        <w:tc>
          <w:tcPr>
            <w:tcW w:w="4253" w:type="dxa"/>
            <w:tcBorders>
              <w:top w:val="single" w:sz="4" w:space="0" w:color="auto"/>
              <w:bottom w:val="single" w:sz="4" w:space="0" w:color="auto"/>
            </w:tcBorders>
            <w:vAlign w:val="bottom"/>
          </w:tcPr>
          <w:p w:rsidR="001430A7" w:rsidRPr="00D00722" w:rsidRDefault="004F01F8" w:rsidP="005A077A">
            <w:pPr>
              <w:rPr>
                <w:rFonts w:ascii="Arial" w:eastAsia="Calibri" w:hAnsi="Arial" w:cs="Arial"/>
                <w:b/>
                <w:sz w:val="18"/>
                <w:szCs w:val="22"/>
                <w:lang w:val="tr-TR"/>
              </w:rPr>
            </w:pPr>
            <w:r w:rsidRPr="00D00722">
              <w:rPr>
                <w:rFonts w:ascii="Arial" w:hAnsi="Arial" w:cs="Arial"/>
                <w:b/>
                <w:sz w:val="18"/>
                <w:lang w:val="tr-TR"/>
              </w:rPr>
              <w:t xml:space="preserve">31 </w:t>
            </w:r>
            <w:r w:rsidR="005A077A" w:rsidRPr="00D00722">
              <w:rPr>
                <w:rFonts w:ascii="Arial" w:hAnsi="Arial" w:cs="Arial"/>
                <w:b/>
                <w:sz w:val="18"/>
                <w:lang w:val="tr-TR"/>
              </w:rPr>
              <w:t>Mart</w:t>
            </w:r>
            <w:r w:rsidRPr="00D00722">
              <w:rPr>
                <w:rFonts w:ascii="Arial" w:hAnsi="Arial" w:cs="Arial"/>
                <w:b/>
                <w:sz w:val="18"/>
                <w:lang w:val="tr-TR"/>
              </w:rPr>
              <w:t xml:space="preserve"> 201</w:t>
            </w:r>
            <w:r w:rsidR="005A077A" w:rsidRPr="00D00722">
              <w:rPr>
                <w:rFonts w:ascii="Arial" w:hAnsi="Arial" w:cs="Arial"/>
                <w:b/>
                <w:sz w:val="18"/>
                <w:lang w:val="tr-TR"/>
              </w:rPr>
              <w:t>4</w:t>
            </w:r>
            <w:r w:rsidR="001430A7" w:rsidRPr="00D00722">
              <w:rPr>
                <w:rFonts w:ascii="Arial" w:hAnsi="Arial" w:cs="Arial"/>
                <w:b/>
                <w:sz w:val="18"/>
                <w:lang w:val="tr-TR"/>
              </w:rPr>
              <w:t xml:space="preserve"> kapanış bakiyesi</w:t>
            </w:r>
          </w:p>
        </w:tc>
        <w:tc>
          <w:tcPr>
            <w:tcW w:w="1276" w:type="dxa"/>
            <w:tcBorders>
              <w:top w:val="single" w:sz="4" w:space="0" w:color="auto"/>
              <w:bottom w:val="single" w:sz="4" w:space="0" w:color="auto"/>
            </w:tcBorders>
            <w:vAlign w:val="bottom"/>
          </w:tcPr>
          <w:p w:rsidR="001430A7" w:rsidRPr="00D00722" w:rsidRDefault="00A0188E" w:rsidP="003C359E">
            <w:pPr>
              <w:ind w:right="47"/>
              <w:jc w:val="right"/>
              <w:rPr>
                <w:rFonts w:ascii="Arial" w:eastAsia="Calibri" w:hAnsi="Arial" w:cs="Arial"/>
                <w:b/>
                <w:sz w:val="18"/>
                <w:szCs w:val="22"/>
                <w:lang w:val="tr-TR"/>
              </w:rPr>
            </w:pPr>
            <w:r w:rsidRPr="00D00722">
              <w:rPr>
                <w:rFonts w:ascii="Arial" w:eastAsia="Calibri" w:hAnsi="Arial" w:cs="Arial"/>
                <w:b/>
                <w:sz w:val="18"/>
                <w:szCs w:val="22"/>
                <w:lang w:val="tr-TR"/>
              </w:rPr>
              <w:t>(8.191)</w:t>
            </w:r>
          </w:p>
        </w:tc>
        <w:tc>
          <w:tcPr>
            <w:tcW w:w="1417" w:type="dxa"/>
            <w:tcBorders>
              <w:top w:val="single" w:sz="4" w:space="0" w:color="auto"/>
              <w:bottom w:val="single" w:sz="4" w:space="0" w:color="auto"/>
            </w:tcBorders>
            <w:vAlign w:val="bottom"/>
          </w:tcPr>
          <w:p w:rsidR="001430A7" w:rsidRPr="00D00722" w:rsidRDefault="00A0188E" w:rsidP="003C359E">
            <w:pPr>
              <w:ind w:right="47"/>
              <w:jc w:val="right"/>
              <w:rPr>
                <w:rFonts w:ascii="Arial" w:eastAsia="Calibri" w:hAnsi="Arial" w:cs="Arial"/>
                <w:b/>
                <w:sz w:val="18"/>
                <w:szCs w:val="22"/>
                <w:lang w:val="tr-TR"/>
              </w:rPr>
            </w:pPr>
            <w:r w:rsidRPr="00D00722">
              <w:rPr>
                <w:rFonts w:ascii="Arial" w:eastAsia="Calibri" w:hAnsi="Arial" w:cs="Arial"/>
                <w:b/>
                <w:sz w:val="18"/>
                <w:szCs w:val="22"/>
                <w:lang w:val="tr-TR"/>
              </w:rPr>
              <w:t>(13.900)</w:t>
            </w:r>
          </w:p>
        </w:tc>
        <w:tc>
          <w:tcPr>
            <w:tcW w:w="1134" w:type="dxa"/>
            <w:tcBorders>
              <w:top w:val="single" w:sz="4" w:space="0" w:color="auto"/>
              <w:bottom w:val="single" w:sz="4" w:space="0" w:color="auto"/>
            </w:tcBorders>
            <w:vAlign w:val="bottom"/>
          </w:tcPr>
          <w:p w:rsidR="001430A7" w:rsidRPr="00D00722" w:rsidRDefault="00A0188E" w:rsidP="003C359E">
            <w:pPr>
              <w:ind w:right="47"/>
              <w:jc w:val="right"/>
              <w:rPr>
                <w:rFonts w:ascii="Arial" w:eastAsia="Calibri" w:hAnsi="Arial" w:cs="Arial"/>
                <w:b/>
                <w:sz w:val="18"/>
                <w:szCs w:val="22"/>
                <w:lang w:val="tr-TR"/>
              </w:rPr>
            </w:pPr>
            <w:r w:rsidRPr="00D00722">
              <w:rPr>
                <w:rFonts w:ascii="Arial" w:eastAsia="Calibri" w:hAnsi="Arial" w:cs="Arial"/>
                <w:b/>
                <w:sz w:val="18"/>
                <w:szCs w:val="22"/>
                <w:lang w:val="tr-TR"/>
              </w:rPr>
              <w:t>(32.398)</w:t>
            </w:r>
          </w:p>
        </w:tc>
        <w:tc>
          <w:tcPr>
            <w:tcW w:w="992" w:type="dxa"/>
            <w:tcBorders>
              <w:top w:val="single" w:sz="4" w:space="0" w:color="auto"/>
              <w:bottom w:val="single" w:sz="4" w:space="0" w:color="auto"/>
            </w:tcBorders>
            <w:vAlign w:val="bottom"/>
          </w:tcPr>
          <w:p w:rsidR="001430A7" w:rsidRPr="00D00722" w:rsidRDefault="00A0188E" w:rsidP="003C359E">
            <w:pPr>
              <w:ind w:right="47"/>
              <w:jc w:val="right"/>
              <w:rPr>
                <w:rFonts w:ascii="Arial" w:eastAsia="Calibri" w:hAnsi="Arial" w:cs="Arial"/>
                <w:b/>
                <w:sz w:val="18"/>
                <w:szCs w:val="22"/>
                <w:lang w:val="tr-TR"/>
              </w:rPr>
            </w:pPr>
            <w:r w:rsidRPr="00D00722">
              <w:rPr>
                <w:rFonts w:ascii="Arial" w:eastAsia="Calibri" w:hAnsi="Arial" w:cs="Arial"/>
                <w:b/>
                <w:sz w:val="18"/>
                <w:szCs w:val="22"/>
                <w:lang w:val="tr-TR"/>
              </w:rPr>
              <w:t>(54.489)</w:t>
            </w:r>
          </w:p>
        </w:tc>
      </w:tr>
      <w:tr w:rsidR="00E05F82" w:rsidRPr="00D00722" w:rsidTr="003F2B3E">
        <w:trPr>
          <w:trHeight w:val="113"/>
        </w:trPr>
        <w:tc>
          <w:tcPr>
            <w:tcW w:w="4253" w:type="dxa"/>
            <w:tcBorders>
              <w:top w:val="single" w:sz="4" w:space="0" w:color="auto"/>
              <w:bottom w:val="single" w:sz="4" w:space="0" w:color="auto"/>
            </w:tcBorders>
            <w:vAlign w:val="bottom"/>
          </w:tcPr>
          <w:p w:rsidR="00E05F82" w:rsidRPr="00D00722" w:rsidRDefault="00E05F82">
            <w:pPr>
              <w:rPr>
                <w:rFonts w:ascii="Arial" w:hAnsi="Arial" w:cs="Arial"/>
                <w:b/>
                <w:sz w:val="18"/>
                <w:lang w:val="tr-TR"/>
              </w:rPr>
            </w:pPr>
          </w:p>
        </w:tc>
        <w:tc>
          <w:tcPr>
            <w:tcW w:w="1276" w:type="dxa"/>
            <w:tcBorders>
              <w:top w:val="single" w:sz="4" w:space="0" w:color="auto"/>
              <w:bottom w:val="single" w:sz="4" w:space="0" w:color="auto"/>
            </w:tcBorders>
            <w:vAlign w:val="bottom"/>
          </w:tcPr>
          <w:p w:rsidR="00E05F82" w:rsidRPr="00D00722" w:rsidRDefault="00E05F82">
            <w:pPr>
              <w:ind w:right="47"/>
              <w:jc w:val="right"/>
              <w:rPr>
                <w:rFonts w:ascii="Arial" w:hAnsi="Arial" w:cs="Arial"/>
                <w:b/>
                <w:sz w:val="18"/>
                <w:lang w:val="tr-TR"/>
              </w:rPr>
            </w:pPr>
          </w:p>
        </w:tc>
        <w:tc>
          <w:tcPr>
            <w:tcW w:w="1417" w:type="dxa"/>
            <w:tcBorders>
              <w:top w:val="single" w:sz="4" w:space="0" w:color="auto"/>
              <w:bottom w:val="single" w:sz="4" w:space="0" w:color="auto"/>
            </w:tcBorders>
            <w:vAlign w:val="bottom"/>
          </w:tcPr>
          <w:p w:rsidR="00E05F82" w:rsidRPr="00D00722" w:rsidRDefault="00E05F82">
            <w:pPr>
              <w:ind w:right="47"/>
              <w:jc w:val="right"/>
              <w:rPr>
                <w:rFonts w:ascii="Arial" w:hAnsi="Arial" w:cs="Arial"/>
                <w:b/>
                <w:sz w:val="18"/>
                <w:lang w:val="tr-TR"/>
              </w:rPr>
            </w:pPr>
          </w:p>
        </w:tc>
        <w:tc>
          <w:tcPr>
            <w:tcW w:w="1134" w:type="dxa"/>
            <w:tcBorders>
              <w:top w:val="single" w:sz="4" w:space="0" w:color="auto"/>
              <w:bottom w:val="single" w:sz="4" w:space="0" w:color="auto"/>
            </w:tcBorders>
            <w:vAlign w:val="bottom"/>
          </w:tcPr>
          <w:p w:rsidR="00E05F82" w:rsidRPr="00D00722" w:rsidRDefault="00E05F82">
            <w:pPr>
              <w:ind w:right="47"/>
              <w:jc w:val="right"/>
              <w:rPr>
                <w:rFonts w:ascii="Arial" w:hAnsi="Arial" w:cs="Arial"/>
                <w:b/>
                <w:sz w:val="18"/>
                <w:lang w:val="tr-TR"/>
              </w:rPr>
            </w:pPr>
          </w:p>
        </w:tc>
        <w:tc>
          <w:tcPr>
            <w:tcW w:w="992" w:type="dxa"/>
            <w:tcBorders>
              <w:top w:val="single" w:sz="4" w:space="0" w:color="auto"/>
              <w:bottom w:val="single" w:sz="4" w:space="0" w:color="auto"/>
            </w:tcBorders>
            <w:vAlign w:val="bottom"/>
          </w:tcPr>
          <w:p w:rsidR="00E05F82" w:rsidRPr="00D00722" w:rsidRDefault="00E05F82">
            <w:pPr>
              <w:ind w:right="47"/>
              <w:jc w:val="right"/>
              <w:rPr>
                <w:rFonts w:ascii="Arial" w:hAnsi="Arial" w:cs="Arial"/>
                <w:b/>
                <w:sz w:val="18"/>
                <w:lang w:val="tr-TR"/>
              </w:rPr>
            </w:pPr>
          </w:p>
        </w:tc>
      </w:tr>
      <w:tr w:rsidR="001430A7" w:rsidRPr="00D00722" w:rsidTr="003F2B3E">
        <w:trPr>
          <w:trHeight w:val="113"/>
        </w:trPr>
        <w:tc>
          <w:tcPr>
            <w:tcW w:w="4253" w:type="dxa"/>
            <w:tcBorders>
              <w:top w:val="single" w:sz="4" w:space="0" w:color="auto"/>
              <w:bottom w:val="single" w:sz="4" w:space="0" w:color="auto"/>
            </w:tcBorders>
            <w:vAlign w:val="bottom"/>
          </w:tcPr>
          <w:p w:rsidR="001430A7" w:rsidRPr="00D00722" w:rsidRDefault="004F01F8" w:rsidP="005A077A">
            <w:pPr>
              <w:rPr>
                <w:rFonts w:ascii="Arial" w:eastAsia="Calibri" w:hAnsi="Arial" w:cs="Arial"/>
                <w:b/>
                <w:sz w:val="18"/>
                <w:szCs w:val="22"/>
                <w:lang w:val="tr-TR"/>
              </w:rPr>
            </w:pPr>
            <w:r w:rsidRPr="00D00722">
              <w:rPr>
                <w:rFonts w:ascii="Arial" w:hAnsi="Arial" w:cs="Arial"/>
                <w:b/>
                <w:sz w:val="18"/>
                <w:lang w:val="tr-TR"/>
              </w:rPr>
              <w:t>31 Aralık 201</w:t>
            </w:r>
            <w:r w:rsidR="005A077A" w:rsidRPr="00D00722">
              <w:rPr>
                <w:rFonts w:ascii="Arial" w:hAnsi="Arial" w:cs="Arial"/>
                <w:b/>
                <w:sz w:val="18"/>
                <w:lang w:val="tr-TR"/>
              </w:rPr>
              <w:t>3</w:t>
            </w:r>
            <w:r w:rsidR="001430A7" w:rsidRPr="00D00722">
              <w:rPr>
                <w:rFonts w:ascii="Arial" w:hAnsi="Arial" w:cs="Arial"/>
                <w:b/>
                <w:sz w:val="18"/>
                <w:lang w:val="tr-TR"/>
              </w:rPr>
              <w:t xml:space="preserve"> itibariyle net defter değeri</w:t>
            </w:r>
          </w:p>
        </w:tc>
        <w:tc>
          <w:tcPr>
            <w:tcW w:w="1276" w:type="dxa"/>
            <w:tcBorders>
              <w:top w:val="single" w:sz="4" w:space="0" w:color="auto"/>
              <w:bottom w:val="single" w:sz="4" w:space="0" w:color="auto"/>
            </w:tcBorders>
            <w:vAlign w:val="bottom"/>
          </w:tcPr>
          <w:p w:rsidR="001430A7" w:rsidRPr="00D00722" w:rsidRDefault="00A0188E" w:rsidP="003C359E">
            <w:pPr>
              <w:ind w:right="47"/>
              <w:jc w:val="right"/>
              <w:rPr>
                <w:rFonts w:ascii="Arial" w:eastAsia="Calibri" w:hAnsi="Arial" w:cs="Arial"/>
                <w:b/>
                <w:sz w:val="18"/>
                <w:szCs w:val="22"/>
                <w:lang w:val="tr-TR"/>
              </w:rPr>
            </w:pPr>
            <w:r w:rsidRPr="00D00722">
              <w:rPr>
                <w:rFonts w:ascii="Arial" w:eastAsia="Calibri" w:hAnsi="Arial" w:cs="Arial"/>
                <w:b/>
                <w:sz w:val="18"/>
                <w:szCs w:val="22"/>
                <w:lang w:val="tr-TR"/>
              </w:rPr>
              <w:t>4.158</w:t>
            </w:r>
          </w:p>
        </w:tc>
        <w:tc>
          <w:tcPr>
            <w:tcW w:w="1417" w:type="dxa"/>
            <w:tcBorders>
              <w:top w:val="single" w:sz="4" w:space="0" w:color="auto"/>
              <w:bottom w:val="single" w:sz="4" w:space="0" w:color="auto"/>
            </w:tcBorders>
            <w:vAlign w:val="bottom"/>
          </w:tcPr>
          <w:p w:rsidR="001430A7" w:rsidRPr="00D00722" w:rsidRDefault="00A0188E" w:rsidP="003C359E">
            <w:pPr>
              <w:ind w:right="47"/>
              <w:jc w:val="right"/>
              <w:rPr>
                <w:rFonts w:ascii="Arial" w:eastAsia="Calibri" w:hAnsi="Arial" w:cs="Arial"/>
                <w:b/>
                <w:sz w:val="18"/>
                <w:szCs w:val="22"/>
                <w:lang w:val="tr-TR"/>
              </w:rPr>
            </w:pPr>
            <w:r w:rsidRPr="00D00722">
              <w:rPr>
                <w:rFonts w:ascii="Arial" w:eastAsia="Calibri" w:hAnsi="Arial" w:cs="Arial"/>
                <w:b/>
                <w:sz w:val="18"/>
                <w:szCs w:val="22"/>
                <w:lang w:val="tr-TR"/>
              </w:rPr>
              <w:t>5.854</w:t>
            </w:r>
          </w:p>
        </w:tc>
        <w:tc>
          <w:tcPr>
            <w:tcW w:w="1134" w:type="dxa"/>
            <w:tcBorders>
              <w:top w:val="single" w:sz="4" w:space="0" w:color="auto"/>
              <w:bottom w:val="single" w:sz="4" w:space="0" w:color="auto"/>
            </w:tcBorders>
            <w:vAlign w:val="bottom"/>
          </w:tcPr>
          <w:p w:rsidR="001430A7" w:rsidRPr="00D00722" w:rsidRDefault="00A0188E" w:rsidP="003C359E">
            <w:pPr>
              <w:ind w:right="47"/>
              <w:jc w:val="right"/>
              <w:rPr>
                <w:rFonts w:ascii="Arial" w:eastAsia="Calibri" w:hAnsi="Arial" w:cs="Arial"/>
                <w:b/>
                <w:sz w:val="18"/>
                <w:szCs w:val="22"/>
                <w:lang w:val="tr-TR"/>
              </w:rPr>
            </w:pPr>
            <w:r w:rsidRPr="00D00722">
              <w:rPr>
                <w:rFonts w:ascii="Arial" w:eastAsia="Calibri" w:hAnsi="Arial" w:cs="Arial"/>
                <w:b/>
                <w:sz w:val="18"/>
                <w:szCs w:val="22"/>
                <w:lang w:val="tr-TR"/>
              </w:rPr>
              <w:t>23.156</w:t>
            </w:r>
          </w:p>
        </w:tc>
        <w:tc>
          <w:tcPr>
            <w:tcW w:w="992" w:type="dxa"/>
            <w:tcBorders>
              <w:top w:val="single" w:sz="4" w:space="0" w:color="auto"/>
              <w:bottom w:val="single" w:sz="4" w:space="0" w:color="auto"/>
            </w:tcBorders>
            <w:vAlign w:val="bottom"/>
          </w:tcPr>
          <w:p w:rsidR="001430A7" w:rsidRPr="00D00722" w:rsidRDefault="00A0188E" w:rsidP="003C359E">
            <w:pPr>
              <w:ind w:right="47"/>
              <w:jc w:val="right"/>
              <w:rPr>
                <w:rFonts w:ascii="Arial" w:eastAsia="Calibri" w:hAnsi="Arial" w:cs="Arial"/>
                <w:b/>
                <w:sz w:val="18"/>
                <w:szCs w:val="22"/>
                <w:lang w:val="tr-TR"/>
              </w:rPr>
            </w:pPr>
            <w:r w:rsidRPr="00D00722">
              <w:rPr>
                <w:rFonts w:ascii="Arial" w:eastAsia="Calibri" w:hAnsi="Arial" w:cs="Arial"/>
                <w:b/>
                <w:sz w:val="18"/>
                <w:szCs w:val="22"/>
                <w:lang w:val="tr-TR"/>
              </w:rPr>
              <w:t>33.168</w:t>
            </w:r>
          </w:p>
        </w:tc>
      </w:tr>
      <w:tr w:rsidR="00E05F82" w:rsidRPr="00D00722" w:rsidTr="003F2B3E">
        <w:trPr>
          <w:trHeight w:val="113"/>
        </w:trPr>
        <w:tc>
          <w:tcPr>
            <w:tcW w:w="4253" w:type="dxa"/>
            <w:tcBorders>
              <w:top w:val="single" w:sz="4" w:space="0" w:color="auto"/>
              <w:bottom w:val="single" w:sz="4" w:space="0" w:color="auto"/>
            </w:tcBorders>
            <w:vAlign w:val="bottom"/>
          </w:tcPr>
          <w:p w:rsidR="00E05F82" w:rsidRPr="00D00722" w:rsidRDefault="00E05F82">
            <w:pPr>
              <w:rPr>
                <w:rFonts w:ascii="Arial" w:hAnsi="Arial" w:cs="Arial"/>
                <w:b/>
                <w:sz w:val="18"/>
                <w:lang w:val="tr-TR"/>
              </w:rPr>
            </w:pPr>
          </w:p>
        </w:tc>
        <w:tc>
          <w:tcPr>
            <w:tcW w:w="1276" w:type="dxa"/>
            <w:tcBorders>
              <w:top w:val="single" w:sz="4" w:space="0" w:color="auto"/>
              <w:bottom w:val="single" w:sz="4" w:space="0" w:color="auto"/>
            </w:tcBorders>
            <w:vAlign w:val="bottom"/>
          </w:tcPr>
          <w:p w:rsidR="00E05F82" w:rsidRPr="00D00722" w:rsidRDefault="00E05F82">
            <w:pPr>
              <w:ind w:right="47"/>
              <w:jc w:val="right"/>
              <w:rPr>
                <w:rFonts w:ascii="Arial" w:hAnsi="Arial" w:cs="Arial"/>
                <w:b/>
                <w:sz w:val="18"/>
                <w:lang w:val="tr-TR"/>
              </w:rPr>
            </w:pPr>
          </w:p>
        </w:tc>
        <w:tc>
          <w:tcPr>
            <w:tcW w:w="1417" w:type="dxa"/>
            <w:tcBorders>
              <w:top w:val="single" w:sz="4" w:space="0" w:color="auto"/>
              <w:bottom w:val="single" w:sz="4" w:space="0" w:color="auto"/>
            </w:tcBorders>
            <w:vAlign w:val="bottom"/>
          </w:tcPr>
          <w:p w:rsidR="00E05F82" w:rsidRPr="00D00722" w:rsidRDefault="00E05F82">
            <w:pPr>
              <w:ind w:right="47"/>
              <w:jc w:val="right"/>
              <w:rPr>
                <w:rFonts w:ascii="Arial" w:hAnsi="Arial" w:cs="Arial"/>
                <w:b/>
                <w:sz w:val="18"/>
                <w:lang w:val="tr-TR"/>
              </w:rPr>
            </w:pPr>
          </w:p>
        </w:tc>
        <w:tc>
          <w:tcPr>
            <w:tcW w:w="1134" w:type="dxa"/>
            <w:tcBorders>
              <w:top w:val="single" w:sz="4" w:space="0" w:color="auto"/>
              <w:bottom w:val="single" w:sz="4" w:space="0" w:color="auto"/>
            </w:tcBorders>
            <w:vAlign w:val="bottom"/>
          </w:tcPr>
          <w:p w:rsidR="00E05F82" w:rsidRPr="00D00722" w:rsidRDefault="00E05F82">
            <w:pPr>
              <w:ind w:right="47"/>
              <w:jc w:val="right"/>
              <w:rPr>
                <w:rFonts w:ascii="Arial" w:hAnsi="Arial" w:cs="Arial"/>
                <w:b/>
                <w:sz w:val="18"/>
                <w:lang w:val="tr-TR"/>
              </w:rPr>
            </w:pPr>
          </w:p>
        </w:tc>
        <w:tc>
          <w:tcPr>
            <w:tcW w:w="992" w:type="dxa"/>
            <w:tcBorders>
              <w:top w:val="single" w:sz="4" w:space="0" w:color="auto"/>
              <w:bottom w:val="single" w:sz="4" w:space="0" w:color="auto"/>
            </w:tcBorders>
            <w:vAlign w:val="bottom"/>
          </w:tcPr>
          <w:p w:rsidR="00E05F82" w:rsidRPr="00D00722" w:rsidRDefault="00E05F82">
            <w:pPr>
              <w:ind w:right="47"/>
              <w:jc w:val="right"/>
              <w:rPr>
                <w:rFonts w:ascii="Arial" w:hAnsi="Arial" w:cs="Arial"/>
                <w:b/>
                <w:sz w:val="18"/>
                <w:lang w:val="tr-TR"/>
              </w:rPr>
            </w:pPr>
          </w:p>
        </w:tc>
      </w:tr>
      <w:tr w:rsidR="001430A7" w:rsidRPr="00D00722" w:rsidTr="003F2B3E">
        <w:trPr>
          <w:trHeight w:val="113"/>
        </w:trPr>
        <w:tc>
          <w:tcPr>
            <w:tcW w:w="4253" w:type="dxa"/>
            <w:tcBorders>
              <w:top w:val="single" w:sz="4" w:space="0" w:color="auto"/>
              <w:bottom w:val="double" w:sz="4" w:space="0" w:color="auto"/>
            </w:tcBorders>
            <w:vAlign w:val="bottom"/>
          </w:tcPr>
          <w:p w:rsidR="001430A7" w:rsidRPr="00D00722" w:rsidRDefault="004F01F8" w:rsidP="005A077A">
            <w:pPr>
              <w:rPr>
                <w:rFonts w:ascii="Arial" w:eastAsia="Calibri" w:hAnsi="Arial" w:cs="Arial"/>
                <w:b/>
                <w:sz w:val="18"/>
                <w:szCs w:val="22"/>
                <w:lang w:val="tr-TR"/>
              </w:rPr>
            </w:pPr>
            <w:r w:rsidRPr="00D00722">
              <w:rPr>
                <w:rFonts w:ascii="Arial" w:hAnsi="Arial" w:cs="Arial"/>
                <w:b/>
                <w:sz w:val="18"/>
                <w:lang w:val="tr-TR"/>
              </w:rPr>
              <w:t xml:space="preserve">31 </w:t>
            </w:r>
            <w:r w:rsidR="005A077A" w:rsidRPr="00D00722">
              <w:rPr>
                <w:rFonts w:ascii="Arial" w:hAnsi="Arial" w:cs="Arial"/>
                <w:b/>
                <w:sz w:val="18"/>
                <w:lang w:val="tr-TR"/>
              </w:rPr>
              <w:t>Mart</w:t>
            </w:r>
            <w:r w:rsidRPr="00D00722">
              <w:rPr>
                <w:rFonts w:ascii="Arial" w:hAnsi="Arial" w:cs="Arial"/>
                <w:b/>
                <w:sz w:val="18"/>
                <w:lang w:val="tr-TR"/>
              </w:rPr>
              <w:t xml:space="preserve"> 201</w:t>
            </w:r>
            <w:r w:rsidR="005A077A" w:rsidRPr="00D00722">
              <w:rPr>
                <w:rFonts w:ascii="Arial" w:hAnsi="Arial" w:cs="Arial"/>
                <w:b/>
                <w:sz w:val="18"/>
                <w:lang w:val="tr-TR"/>
              </w:rPr>
              <w:t>4</w:t>
            </w:r>
            <w:r w:rsidR="001430A7" w:rsidRPr="00D00722">
              <w:rPr>
                <w:rFonts w:ascii="Arial" w:hAnsi="Arial" w:cs="Arial"/>
                <w:b/>
                <w:sz w:val="18"/>
                <w:lang w:val="tr-TR"/>
              </w:rPr>
              <w:t xml:space="preserve"> itibariyle net defter değeri</w:t>
            </w:r>
          </w:p>
        </w:tc>
        <w:tc>
          <w:tcPr>
            <w:tcW w:w="1276" w:type="dxa"/>
            <w:tcBorders>
              <w:top w:val="single" w:sz="4" w:space="0" w:color="auto"/>
              <w:bottom w:val="double" w:sz="4" w:space="0" w:color="auto"/>
            </w:tcBorders>
            <w:vAlign w:val="bottom"/>
          </w:tcPr>
          <w:p w:rsidR="001430A7" w:rsidRPr="00D00722" w:rsidRDefault="00A0188E" w:rsidP="003C359E">
            <w:pPr>
              <w:ind w:right="47"/>
              <w:jc w:val="right"/>
              <w:rPr>
                <w:rFonts w:ascii="Arial" w:eastAsia="Calibri" w:hAnsi="Arial" w:cs="Arial"/>
                <w:b/>
                <w:sz w:val="18"/>
                <w:szCs w:val="22"/>
                <w:lang w:val="tr-TR"/>
              </w:rPr>
            </w:pPr>
            <w:r w:rsidRPr="00D00722">
              <w:rPr>
                <w:rFonts w:ascii="Arial" w:eastAsia="Calibri" w:hAnsi="Arial" w:cs="Arial"/>
                <w:b/>
                <w:sz w:val="18"/>
                <w:szCs w:val="22"/>
                <w:lang w:val="tr-TR"/>
              </w:rPr>
              <w:t>4.395</w:t>
            </w:r>
          </w:p>
        </w:tc>
        <w:tc>
          <w:tcPr>
            <w:tcW w:w="1417" w:type="dxa"/>
            <w:tcBorders>
              <w:top w:val="single" w:sz="4" w:space="0" w:color="auto"/>
              <w:bottom w:val="double" w:sz="4" w:space="0" w:color="auto"/>
            </w:tcBorders>
            <w:vAlign w:val="bottom"/>
          </w:tcPr>
          <w:p w:rsidR="001430A7" w:rsidRPr="00D00722" w:rsidRDefault="00A0188E" w:rsidP="003C359E">
            <w:pPr>
              <w:ind w:right="47"/>
              <w:jc w:val="right"/>
              <w:rPr>
                <w:rFonts w:ascii="Arial" w:eastAsia="Calibri" w:hAnsi="Arial" w:cs="Arial"/>
                <w:b/>
                <w:sz w:val="18"/>
                <w:szCs w:val="22"/>
                <w:lang w:val="tr-TR"/>
              </w:rPr>
            </w:pPr>
            <w:r w:rsidRPr="00D00722">
              <w:rPr>
                <w:rFonts w:ascii="Arial" w:eastAsia="Calibri" w:hAnsi="Arial" w:cs="Arial"/>
                <w:b/>
                <w:sz w:val="18"/>
                <w:szCs w:val="22"/>
                <w:lang w:val="tr-TR"/>
              </w:rPr>
              <w:t>4.771</w:t>
            </w:r>
          </w:p>
        </w:tc>
        <w:tc>
          <w:tcPr>
            <w:tcW w:w="1134" w:type="dxa"/>
            <w:tcBorders>
              <w:top w:val="single" w:sz="4" w:space="0" w:color="auto"/>
              <w:bottom w:val="double" w:sz="4" w:space="0" w:color="auto"/>
            </w:tcBorders>
            <w:vAlign w:val="bottom"/>
          </w:tcPr>
          <w:p w:rsidR="001430A7" w:rsidRPr="00D00722" w:rsidRDefault="00A0188E" w:rsidP="003C359E">
            <w:pPr>
              <w:ind w:right="47"/>
              <w:jc w:val="right"/>
              <w:rPr>
                <w:rFonts w:ascii="Arial" w:eastAsia="Calibri" w:hAnsi="Arial" w:cs="Arial"/>
                <w:b/>
                <w:sz w:val="18"/>
                <w:szCs w:val="22"/>
                <w:lang w:val="tr-TR"/>
              </w:rPr>
            </w:pPr>
            <w:r w:rsidRPr="00D00722">
              <w:rPr>
                <w:rFonts w:ascii="Arial" w:eastAsia="Calibri" w:hAnsi="Arial" w:cs="Arial"/>
                <w:b/>
                <w:sz w:val="18"/>
                <w:szCs w:val="22"/>
                <w:lang w:val="tr-TR"/>
              </w:rPr>
              <w:t>20.511</w:t>
            </w:r>
          </w:p>
        </w:tc>
        <w:tc>
          <w:tcPr>
            <w:tcW w:w="992" w:type="dxa"/>
            <w:tcBorders>
              <w:top w:val="single" w:sz="4" w:space="0" w:color="auto"/>
              <w:bottom w:val="double" w:sz="4" w:space="0" w:color="auto"/>
            </w:tcBorders>
            <w:vAlign w:val="bottom"/>
          </w:tcPr>
          <w:p w:rsidR="001430A7" w:rsidRPr="00D00722" w:rsidRDefault="00A0188E" w:rsidP="003C359E">
            <w:pPr>
              <w:ind w:right="47"/>
              <w:jc w:val="right"/>
              <w:rPr>
                <w:rFonts w:ascii="Arial" w:eastAsia="Calibri" w:hAnsi="Arial" w:cs="Arial"/>
                <w:b/>
                <w:sz w:val="18"/>
                <w:szCs w:val="22"/>
                <w:lang w:val="tr-TR"/>
              </w:rPr>
            </w:pPr>
            <w:r w:rsidRPr="00D00722">
              <w:rPr>
                <w:rFonts w:ascii="Arial" w:eastAsia="Calibri" w:hAnsi="Arial" w:cs="Arial"/>
                <w:b/>
                <w:sz w:val="18"/>
                <w:szCs w:val="22"/>
                <w:lang w:val="tr-TR"/>
              </w:rPr>
              <w:t>29.678</w:t>
            </w:r>
          </w:p>
        </w:tc>
      </w:tr>
    </w:tbl>
    <w:p w:rsidR="00AA0364" w:rsidRPr="00D00722" w:rsidRDefault="00AA0364" w:rsidP="007F71BF">
      <w:pPr>
        <w:pStyle w:val="000normal"/>
        <w:autoSpaceDE w:val="0"/>
        <w:autoSpaceDN w:val="0"/>
        <w:adjustRightInd w:val="0"/>
        <w:spacing w:before="0" w:after="0" w:afterAutospacing="0"/>
        <w:jc w:val="left"/>
        <w:rPr>
          <w:rFonts w:eastAsia="Times New Roman"/>
          <w:b/>
          <w:lang w:val="tr-TR"/>
        </w:rPr>
      </w:pPr>
    </w:p>
    <w:p w:rsidR="005A077A" w:rsidRPr="00D00722" w:rsidRDefault="005A077A" w:rsidP="005A077A">
      <w:pPr>
        <w:pStyle w:val="000normal"/>
        <w:autoSpaceDE w:val="0"/>
        <w:autoSpaceDN w:val="0"/>
        <w:adjustRightInd w:val="0"/>
        <w:spacing w:before="0" w:after="0" w:afterAutospacing="0"/>
        <w:ind w:right="-327"/>
        <w:rPr>
          <w:lang w:val="tr-TR"/>
        </w:rPr>
      </w:pPr>
    </w:p>
    <w:tbl>
      <w:tblPr>
        <w:tblW w:w="9072" w:type="dxa"/>
        <w:tblInd w:w="54" w:type="dxa"/>
        <w:tblLayout w:type="fixed"/>
        <w:tblCellMar>
          <w:left w:w="54" w:type="dxa"/>
          <w:right w:w="54" w:type="dxa"/>
        </w:tblCellMar>
        <w:tblLook w:val="0000"/>
      </w:tblPr>
      <w:tblGrid>
        <w:gridCol w:w="4253"/>
        <w:gridCol w:w="1276"/>
        <w:gridCol w:w="1417"/>
        <w:gridCol w:w="1134"/>
        <w:gridCol w:w="992"/>
      </w:tblGrid>
      <w:tr w:rsidR="005A077A" w:rsidRPr="00D00722" w:rsidTr="002B5FEF">
        <w:trPr>
          <w:trHeight w:val="113"/>
        </w:trPr>
        <w:tc>
          <w:tcPr>
            <w:tcW w:w="4253" w:type="dxa"/>
            <w:tcBorders>
              <w:top w:val="single" w:sz="4" w:space="0" w:color="auto"/>
              <w:bottom w:val="single" w:sz="4" w:space="0" w:color="auto"/>
            </w:tcBorders>
            <w:vAlign w:val="bottom"/>
          </w:tcPr>
          <w:p w:rsidR="005A077A" w:rsidRPr="00D00722" w:rsidRDefault="005A077A" w:rsidP="002B5FEF">
            <w:pPr>
              <w:rPr>
                <w:rFonts w:ascii="Arial" w:hAnsi="Arial" w:cs="Arial"/>
                <w:sz w:val="18"/>
                <w:lang w:val="tr-TR"/>
              </w:rPr>
            </w:pPr>
          </w:p>
          <w:p w:rsidR="005A077A" w:rsidRPr="00D00722" w:rsidRDefault="005A077A" w:rsidP="002B5FEF">
            <w:pPr>
              <w:rPr>
                <w:rFonts w:ascii="Arial" w:hAnsi="Arial" w:cs="Arial"/>
                <w:sz w:val="18"/>
                <w:lang w:val="tr-TR"/>
              </w:rPr>
            </w:pPr>
          </w:p>
        </w:tc>
        <w:tc>
          <w:tcPr>
            <w:tcW w:w="1276" w:type="dxa"/>
            <w:tcBorders>
              <w:top w:val="single" w:sz="4" w:space="0" w:color="auto"/>
              <w:bottom w:val="single" w:sz="4" w:space="0" w:color="auto"/>
            </w:tcBorders>
            <w:vAlign w:val="bottom"/>
          </w:tcPr>
          <w:p w:rsidR="005A077A" w:rsidRPr="00D00722" w:rsidRDefault="005A077A" w:rsidP="002B5FEF">
            <w:pPr>
              <w:ind w:right="47"/>
              <w:jc w:val="right"/>
              <w:rPr>
                <w:rFonts w:ascii="Arial" w:hAnsi="Arial" w:cs="Arial"/>
                <w:sz w:val="18"/>
                <w:lang w:val="tr-TR"/>
              </w:rPr>
            </w:pPr>
            <w:r w:rsidRPr="00D00722">
              <w:rPr>
                <w:rFonts w:ascii="Arial" w:hAnsi="Arial" w:cs="Arial"/>
                <w:sz w:val="18"/>
                <w:lang w:val="tr-TR"/>
              </w:rPr>
              <w:t>Makine ve cihazlar</w:t>
            </w:r>
          </w:p>
        </w:tc>
        <w:tc>
          <w:tcPr>
            <w:tcW w:w="1417" w:type="dxa"/>
            <w:tcBorders>
              <w:top w:val="single" w:sz="4" w:space="0" w:color="auto"/>
              <w:bottom w:val="single" w:sz="4" w:space="0" w:color="auto"/>
            </w:tcBorders>
            <w:vAlign w:val="bottom"/>
          </w:tcPr>
          <w:p w:rsidR="005A077A" w:rsidRPr="00D00722" w:rsidRDefault="005A077A" w:rsidP="002B5FEF">
            <w:pPr>
              <w:jc w:val="right"/>
              <w:rPr>
                <w:rFonts w:ascii="Arial" w:hAnsi="Arial" w:cs="Arial"/>
                <w:sz w:val="18"/>
                <w:lang w:val="tr-TR"/>
              </w:rPr>
            </w:pPr>
            <w:r w:rsidRPr="00D00722">
              <w:rPr>
                <w:rFonts w:ascii="Arial" w:hAnsi="Arial" w:cs="Arial"/>
                <w:sz w:val="18"/>
                <w:lang w:val="tr-TR"/>
              </w:rPr>
              <w:t>Döşeme ve demirbaşlar</w:t>
            </w:r>
          </w:p>
        </w:tc>
        <w:tc>
          <w:tcPr>
            <w:tcW w:w="1134" w:type="dxa"/>
            <w:tcBorders>
              <w:top w:val="single" w:sz="4" w:space="0" w:color="auto"/>
              <w:bottom w:val="single" w:sz="4" w:space="0" w:color="auto"/>
            </w:tcBorders>
            <w:vAlign w:val="bottom"/>
          </w:tcPr>
          <w:p w:rsidR="005A077A" w:rsidRPr="00D00722" w:rsidRDefault="005A077A" w:rsidP="002B5FEF">
            <w:pPr>
              <w:jc w:val="right"/>
              <w:rPr>
                <w:rFonts w:ascii="Arial" w:hAnsi="Arial" w:cs="Arial"/>
                <w:sz w:val="18"/>
                <w:lang w:val="tr-TR"/>
              </w:rPr>
            </w:pPr>
            <w:r w:rsidRPr="00D00722">
              <w:rPr>
                <w:rFonts w:ascii="Arial" w:hAnsi="Arial" w:cs="Arial"/>
                <w:sz w:val="18"/>
                <w:lang w:val="tr-TR"/>
              </w:rPr>
              <w:t>Özel maliyetler</w:t>
            </w:r>
          </w:p>
        </w:tc>
        <w:tc>
          <w:tcPr>
            <w:tcW w:w="992" w:type="dxa"/>
            <w:tcBorders>
              <w:top w:val="single" w:sz="4" w:space="0" w:color="auto"/>
              <w:bottom w:val="single" w:sz="4" w:space="0" w:color="auto"/>
            </w:tcBorders>
            <w:vAlign w:val="bottom"/>
          </w:tcPr>
          <w:p w:rsidR="005A077A" w:rsidRPr="00D00722" w:rsidRDefault="005A077A" w:rsidP="002B5FEF">
            <w:pPr>
              <w:jc w:val="right"/>
              <w:rPr>
                <w:rFonts w:ascii="Arial" w:hAnsi="Arial" w:cs="Arial"/>
                <w:sz w:val="18"/>
                <w:lang w:val="tr-TR"/>
              </w:rPr>
            </w:pPr>
          </w:p>
          <w:p w:rsidR="005A077A" w:rsidRPr="00D00722" w:rsidRDefault="005A077A" w:rsidP="002B5FEF">
            <w:pPr>
              <w:jc w:val="right"/>
              <w:rPr>
                <w:rFonts w:ascii="Arial" w:hAnsi="Arial" w:cs="Arial"/>
                <w:sz w:val="18"/>
                <w:lang w:val="tr-TR"/>
              </w:rPr>
            </w:pPr>
            <w:r w:rsidRPr="00D00722">
              <w:rPr>
                <w:rFonts w:ascii="Arial" w:hAnsi="Arial" w:cs="Arial"/>
                <w:sz w:val="18"/>
                <w:lang w:val="tr-TR"/>
              </w:rPr>
              <w:t>Toplam</w:t>
            </w:r>
          </w:p>
        </w:tc>
      </w:tr>
      <w:tr w:rsidR="005A077A" w:rsidRPr="00D00722" w:rsidTr="002B5FEF">
        <w:trPr>
          <w:trHeight w:val="113"/>
        </w:trPr>
        <w:tc>
          <w:tcPr>
            <w:tcW w:w="4253" w:type="dxa"/>
            <w:tcBorders>
              <w:top w:val="single" w:sz="4" w:space="0" w:color="auto"/>
            </w:tcBorders>
            <w:vAlign w:val="bottom"/>
          </w:tcPr>
          <w:p w:rsidR="005A077A" w:rsidRPr="00D00722" w:rsidRDefault="005A077A" w:rsidP="002B5FEF">
            <w:pPr>
              <w:rPr>
                <w:rFonts w:ascii="Arial" w:hAnsi="Arial" w:cs="Arial"/>
                <w:sz w:val="18"/>
                <w:lang w:val="tr-TR"/>
              </w:rPr>
            </w:pPr>
          </w:p>
        </w:tc>
        <w:tc>
          <w:tcPr>
            <w:tcW w:w="1276" w:type="dxa"/>
            <w:tcBorders>
              <w:top w:val="single" w:sz="4" w:space="0" w:color="auto"/>
            </w:tcBorders>
            <w:vAlign w:val="bottom"/>
          </w:tcPr>
          <w:p w:rsidR="005A077A" w:rsidRPr="00D00722" w:rsidRDefault="005A077A" w:rsidP="002B5FEF">
            <w:pPr>
              <w:ind w:right="47"/>
              <w:jc w:val="right"/>
              <w:rPr>
                <w:rFonts w:ascii="Arial" w:hAnsi="Arial" w:cs="Arial"/>
                <w:sz w:val="18"/>
                <w:lang w:val="tr-TR"/>
              </w:rPr>
            </w:pPr>
          </w:p>
        </w:tc>
        <w:tc>
          <w:tcPr>
            <w:tcW w:w="1417" w:type="dxa"/>
            <w:tcBorders>
              <w:top w:val="single" w:sz="4" w:space="0" w:color="auto"/>
            </w:tcBorders>
            <w:vAlign w:val="bottom"/>
          </w:tcPr>
          <w:p w:rsidR="005A077A" w:rsidRPr="00D00722" w:rsidRDefault="005A077A" w:rsidP="002B5FEF">
            <w:pPr>
              <w:ind w:right="47"/>
              <w:jc w:val="right"/>
              <w:rPr>
                <w:rFonts w:ascii="Arial" w:hAnsi="Arial" w:cs="Arial"/>
                <w:sz w:val="18"/>
                <w:lang w:val="tr-TR"/>
              </w:rPr>
            </w:pPr>
          </w:p>
        </w:tc>
        <w:tc>
          <w:tcPr>
            <w:tcW w:w="1134" w:type="dxa"/>
            <w:tcBorders>
              <w:top w:val="single" w:sz="4" w:space="0" w:color="auto"/>
            </w:tcBorders>
            <w:vAlign w:val="bottom"/>
          </w:tcPr>
          <w:p w:rsidR="005A077A" w:rsidRPr="00D00722" w:rsidRDefault="005A077A" w:rsidP="002B5FEF">
            <w:pPr>
              <w:ind w:right="47"/>
              <w:jc w:val="right"/>
              <w:rPr>
                <w:rFonts w:ascii="Arial" w:hAnsi="Arial" w:cs="Arial"/>
                <w:sz w:val="18"/>
                <w:lang w:val="tr-TR"/>
              </w:rPr>
            </w:pPr>
          </w:p>
        </w:tc>
        <w:tc>
          <w:tcPr>
            <w:tcW w:w="992" w:type="dxa"/>
            <w:tcBorders>
              <w:top w:val="single" w:sz="4" w:space="0" w:color="auto"/>
            </w:tcBorders>
            <w:vAlign w:val="bottom"/>
          </w:tcPr>
          <w:p w:rsidR="005A077A" w:rsidRPr="00D00722" w:rsidRDefault="005A077A" w:rsidP="002B5FEF">
            <w:pPr>
              <w:ind w:right="47"/>
              <w:jc w:val="right"/>
              <w:rPr>
                <w:rFonts w:ascii="Arial" w:hAnsi="Arial" w:cs="Arial"/>
                <w:sz w:val="18"/>
                <w:lang w:val="tr-TR"/>
              </w:rPr>
            </w:pPr>
          </w:p>
        </w:tc>
      </w:tr>
      <w:tr w:rsidR="005A077A" w:rsidRPr="00D00722" w:rsidTr="002B5FEF">
        <w:trPr>
          <w:trHeight w:val="113"/>
        </w:trPr>
        <w:tc>
          <w:tcPr>
            <w:tcW w:w="4253" w:type="dxa"/>
            <w:vAlign w:val="bottom"/>
          </w:tcPr>
          <w:p w:rsidR="005A077A" w:rsidRPr="00D00722" w:rsidRDefault="005A077A" w:rsidP="002B5FEF">
            <w:pPr>
              <w:rPr>
                <w:rFonts w:ascii="Arial" w:eastAsia="Calibri" w:hAnsi="Arial" w:cs="Arial"/>
                <w:sz w:val="18"/>
                <w:szCs w:val="22"/>
                <w:lang w:val="tr-TR"/>
              </w:rPr>
            </w:pPr>
            <w:r w:rsidRPr="00D00722">
              <w:rPr>
                <w:rFonts w:ascii="Arial" w:hAnsi="Arial" w:cs="Arial"/>
                <w:sz w:val="18"/>
                <w:lang w:val="tr-TR"/>
              </w:rPr>
              <w:t>Maliyet değeri</w:t>
            </w:r>
          </w:p>
        </w:tc>
        <w:tc>
          <w:tcPr>
            <w:tcW w:w="1276" w:type="dxa"/>
            <w:vAlign w:val="bottom"/>
          </w:tcPr>
          <w:p w:rsidR="005A077A" w:rsidRPr="00D00722" w:rsidRDefault="005A077A" w:rsidP="002B5FEF">
            <w:pPr>
              <w:ind w:right="47"/>
              <w:jc w:val="right"/>
              <w:rPr>
                <w:rFonts w:ascii="Arial" w:hAnsi="Arial" w:cs="Arial"/>
                <w:sz w:val="18"/>
                <w:lang w:val="tr-TR"/>
              </w:rPr>
            </w:pPr>
          </w:p>
        </w:tc>
        <w:tc>
          <w:tcPr>
            <w:tcW w:w="1417" w:type="dxa"/>
            <w:vAlign w:val="bottom"/>
          </w:tcPr>
          <w:p w:rsidR="005A077A" w:rsidRPr="00D00722" w:rsidRDefault="005A077A" w:rsidP="002B5FEF">
            <w:pPr>
              <w:ind w:right="47"/>
              <w:jc w:val="right"/>
              <w:rPr>
                <w:rFonts w:ascii="Arial" w:hAnsi="Arial" w:cs="Arial"/>
                <w:sz w:val="18"/>
                <w:lang w:val="tr-TR"/>
              </w:rPr>
            </w:pPr>
          </w:p>
        </w:tc>
        <w:tc>
          <w:tcPr>
            <w:tcW w:w="1134" w:type="dxa"/>
            <w:vAlign w:val="bottom"/>
          </w:tcPr>
          <w:p w:rsidR="005A077A" w:rsidRPr="00D00722" w:rsidRDefault="005A077A" w:rsidP="002B5FEF">
            <w:pPr>
              <w:ind w:right="47"/>
              <w:jc w:val="right"/>
              <w:rPr>
                <w:rFonts w:ascii="Arial" w:hAnsi="Arial" w:cs="Arial"/>
                <w:sz w:val="18"/>
                <w:lang w:val="tr-TR"/>
              </w:rPr>
            </w:pPr>
          </w:p>
        </w:tc>
        <w:tc>
          <w:tcPr>
            <w:tcW w:w="992" w:type="dxa"/>
            <w:vAlign w:val="bottom"/>
          </w:tcPr>
          <w:p w:rsidR="005A077A" w:rsidRPr="00D00722" w:rsidRDefault="005A077A" w:rsidP="002B5FEF">
            <w:pPr>
              <w:ind w:right="47"/>
              <w:jc w:val="right"/>
              <w:rPr>
                <w:rFonts w:ascii="Arial" w:hAnsi="Arial" w:cs="Arial"/>
                <w:sz w:val="18"/>
                <w:lang w:val="tr-TR"/>
              </w:rPr>
            </w:pPr>
          </w:p>
        </w:tc>
      </w:tr>
      <w:tr w:rsidR="005A077A" w:rsidRPr="00D00722" w:rsidTr="002B5FEF">
        <w:trPr>
          <w:trHeight w:val="113"/>
        </w:trPr>
        <w:tc>
          <w:tcPr>
            <w:tcW w:w="4253" w:type="dxa"/>
            <w:vAlign w:val="bottom"/>
          </w:tcPr>
          <w:p w:rsidR="005A077A" w:rsidRPr="00D00722" w:rsidRDefault="005A077A" w:rsidP="002B5FEF">
            <w:pPr>
              <w:rPr>
                <w:rFonts w:ascii="Arial" w:eastAsia="Calibri" w:hAnsi="Arial" w:cs="Arial"/>
                <w:sz w:val="18"/>
                <w:szCs w:val="22"/>
                <w:lang w:val="tr-TR"/>
              </w:rPr>
            </w:pPr>
            <w:r w:rsidRPr="00D00722">
              <w:rPr>
                <w:rFonts w:ascii="Arial" w:hAnsi="Arial" w:cs="Arial"/>
                <w:sz w:val="18"/>
                <w:lang w:val="tr-TR"/>
              </w:rPr>
              <w:t>1 Ocak 2013 açılış bakiyesi</w:t>
            </w:r>
          </w:p>
        </w:tc>
        <w:tc>
          <w:tcPr>
            <w:tcW w:w="1276" w:type="dxa"/>
            <w:vAlign w:val="bottom"/>
          </w:tcPr>
          <w:p w:rsidR="005A077A" w:rsidRPr="00D00722" w:rsidRDefault="005A077A" w:rsidP="002B5FEF">
            <w:pPr>
              <w:ind w:right="47"/>
              <w:jc w:val="right"/>
              <w:rPr>
                <w:rFonts w:ascii="Arial" w:eastAsia="Calibri" w:hAnsi="Arial" w:cs="Arial"/>
                <w:sz w:val="18"/>
                <w:szCs w:val="22"/>
                <w:lang w:val="tr-TR"/>
              </w:rPr>
            </w:pPr>
            <w:r w:rsidRPr="00D00722">
              <w:rPr>
                <w:rFonts w:ascii="Arial" w:hAnsi="Arial" w:cs="Arial"/>
                <w:sz w:val="18"/>
                <w:lang w:val="tr-TR"/>
              </w:rPr>
              <w:t>10.310</w:t>
            </w:r>
          </w:p>
        </w:tc>
        <w:tc>
          <w:tcPr>
            <w:tcW w:w="1417" w:type="dxa"/>
            <w:vAlign w:val="bottom"/>
          </w:tcPr>
          <w:p w:rsidR="005A077A" w:rsidRPr="00D00722" w:rsidRDefault="005A077A" w:rsidP="002B5FEF">
            <w:pPr>
              <w:ind w:right="47"/>
              <w:jc w:val="right"/>
              <w:rPr>
                <w:rFonts w:ascii="Arial" w:eastAsia="Calibri" w:hAnsi="Arial" w:cs="Arial"/>
                <w:sz w:val="18"/>
                <w:szCs w:val="22"/>
                <w:lang w:val="tr-TR"/>
              </w:rPr>
            </w:pPr>
            <w:r w:rsidRPr="00D00722">
              <w:rPr>
                <w:rFonts w:ascii="Arial" w:hAnsi="Arial" w:cs="Arial"/>
                <w:sz w:val="18"/>
                <w:lang w:val="tr-TR"/>
              </w:rPr>
              <w:t>18.672</w:t>
            </w:r>
          </w:p>
        </w:tc>
        <w:tc>
          <w:tcPr>
            <w:tcW w:w="1134" w:type="dxa"/>
            <w:vAlign w:val="bottom"/>
          </w:tcPr>
          <w:p w:rsidR="005A077A" w:rsidRPr="00D00722" w:rsidRDefault="005A077A" w:rsidP="002B5FEF">
            <w:pPr>
              <w:ind w:right="47"/>
              <w:jc w:val="right"/>
              <w:rPr>
                <w:rFonts w:ascii="Arial" w:eastAsia="Calibri" w:hAnsi="Arial" w:cs="Arial"/>
                <w:sz w:val="18"/>
                <w:szCs w:val="22"/>
                <w:lang w:val="tr-TR"/>
              </w:rPr>
            </w:pPr>
            <w:r w:rsidRPr="00D00722">
              <w:rPr>
                <w:rFonts w:ascii="Arial" w:hAnsi="Arial" w:cs="Arial"/>
                <w:sz w:val="18"/>
                <w:lang w:val="tr-TR"/>
              </w:rPr>
              <w:t>52.909</w:t>
            </w:r>
          </w:p>
        </w:tc>
        <w:tc>
          <w:tcPr>
            <w:tcW w:w="992" w:type="dxa"/>
            <w:vAlign w:val="bottom"/>
          </w:tcPr>
          <w:p w:rsidR="005A077A" w:rsidRPr="00D00722" w:rsidRDefault="005A077A" w:rsidP="002B5FEF">
            <w:pPr>
              <w:ind w:right="47"/>
              <w:jc w:val="right"/>
              <w:rPr>
                <w:rFonts w:ascii="Arial" w:eastAsia="Calibri" w:hAnsi="Arial" w:cs="Arial"/>
                <w:sz w:val="18"/>
                <w:szCs w:val="22"/>
                <w:lang w:val="tr-TR"/>
              </w:rPr>
            </w:pPr>
            <w:r w:rsidRPr="00D00722">
              <w:rPr>
                <w:rFonts w:ascii="Arial" w:hAnsi="Arial" w:cs="Arial"/>
                <w:sz w:val="18"/>
                <w:lang w:val="tr-TR"/>
              </w:rPr>
              <w:t>81.891</w:t>
            </w:r>
          </w:p>
        </w:tc>
      </w:tr>
      <w:tr w:rsidR="005A077A" w:rsidRPr="00D00722" w:rsidTr="002B5FEF">
        <w:trPr>
          <w:trHeight w:val="113"/>
        </w:trPr>
        <w:tc>
          <w:tcPr>
            <w:tcW w:w="4253" w:type="dxa"/>
            <w:vAlign w:val="bottom"/>
          </w:tcPr>
          <w:p w:rsidR="005A077A" w:rsidRPr="00D00722" w:rsidRDefault="005A077A" w:rsidP="002B5FEF">
            <w:pPr>
              <w:rPr>
                <w:rFonts w:ascii="Arial" w:eastAsia="Calibri" w:hAnsi="Arial" w:cs="Arial"/>
                <w:sz w:val="18"/>
                <w:szCs w:val="22"/>
                <w:lang w:val="tr-TR"/>
              </w:rPr>
            </w:pPr>
            <w:r w:rsidRPr="00D00722">
              <w:rPr>
                <w:rFonts w:ascii="Arial" w:hAnsi="Arial" w:cs="Arial"/>
                <w:sz w:val="18"/>
                <w:lang w:val="tr-TR"/>
              </w:rPr>
              <w:t>Alımlar</w:t>
            </w:r>
          </w:p>
        </w:tc>
        <w:tc>
          <w:tcPr>
            <w:tcW w:w="1276" w:type="dxa"/>
            <w:vAlign w:val="bottom"/>
          </w:tcPr>
          <w:p w:rsidR="005A077A" w:rsidRPr="00D00722" w:rsidRDefault="005A077A" w:rsidP="002B5FEF">
            <w:pPr>
              <w:ind w:right="47"/>
              <w:jc w:val="right"/>
              <w:rPr>
                <w:rFonts w:ascii="Arial" w:eastAsia="Calibri" w:hAnsi="Arial" w:cs="Arial"/>
                <w:sz w:val="18"/>
                <w:szCs w:val="22"/>
                <w:lang w:val="tr-TR"/>
              </w:rPr>
            </w:pPr>
            <w:r w:rsidRPr="00D00722">
              <w:rPr>
                <w:rFonts w:ascii="Arial" w:hAnsi="Arial" w:cs="Arial"/>
                <w:sz w:val="18"/>
                <w:lang w:val="tr-TR"/>
              </w:rPr>
              <w:t>1.325</w:t>
            </w:r>
          </w:p>
        </w:tc>
        <w:tc>
          <w:tcPr>
            <w:tcW w:w="1417" w:type="dxa"/>
            <w:vAlign w:val="bottom"/>
          </w:tcPr>
          <w:p w:rsidR="005A077A" w:rsidRPr="00D00722" w:rsidRDefault="005A077A" w:rsidP="002B5FEF">
            <w:pPr>
              <w:pStyle w:val="Header"/>
              <w:tabs>
                <w:tab w:val="clear" w:pos="4320"/>
                <w:tab w:val="clear" w:pos="8640"/>
              </w:tabs>
              <w:ind w:right="47"/>
              <w:jc w:val="right"/>
              <w:rPr>
                <w:rFonts w:ascii="Arial" w:eastAsia="Calibri" w:hAnsi="Arial" w:cs="Arial"/>
                <w:sz w:val="18"/>
                <w:szCs w:val="22"/>
                <w:lang w:val="tr-TR"/>
              </w:rPr>
            </w:pPr>
            <w:r w:rsidRPr="00D00722">
              <w:rPr>
                <w:rFonts w:ascii="Arial" w:hAnsi="Arial" w:cs="Arial"/>
                <w:sz w:val="18"/>
                <w:lang w:val="tr-TR"/>
              </w:rPr>
              <w:t>-</w:t>
            </w:r>
          </w:p>
        </w:tc>
        <w:tc>
          <w:tcPr>
            <w:tcW w:w="1134" w:type="dxa"/>
            <w:vAlign w:val="bottom"/>
          </w:tcPr>
          <w:p w:rsidR="005A077A" w:rsidRPr="00D00722" w:rsidRDefault="005A077A" w:rsidP="002B5FEF">
            <w:pPr>
              <w:pStyle w:val="Header"/>
              <w:tabs>
                <w:tab w:val="clear" w:pos="4320"/>
                <w:tab w:val="clear" w:pos="8640"/>
              </w:tabs>
              <w:ind w:right="47"/>
              <w:jc w:val="right"/>
              <w:rPr>
                <w:rFonts w:ascii="Arial" w:eastAsia="Calibri" w:hAnsi="Arial" w:cs="Arial"/>
                <w:sz w:val="18"/>
                <w:szCs w:val="22"/>
                <w:lang w:val="tr-TR"/>
              </w:rPr>
            </w:pPr>
            <w:r w:rsidRPr="00D00722">
              <w:rPr>
                <w:rFonts w:ascii="Arial" w:hAnsi="Arial" w:cs="Arial"/>
                <w:sz w:val="18"/>
                <w:lang w:val="tr-TR"/>
              </w:rPr>
              <w:t>-</w:t>
            </w:r>
          </w:p>
        </w:tc>
        <w:tc>
          <w:tcPr>
            <w:tcW w:w="992" w:type="dxa"/>
            <w:vAlign w:val="bottom"/>
          </w:tcPr>
          <w:p w:rsidR="005A077A" w:rsidRPr="00D00722" w:rsidRDefault="005A077A" w:rsidP="002B5FEF">
            <w:pPr>
              <w:pStyle w:val="Header"/>
              <w:tabs>
                <w:tab w:val="clear" w:pos="4320"/>
                <w:tab w:val="clear" w:pos="8640"/>
              </w:tabs>
              <w:ind w:right="47"/>
              <w:jc w:val="right"/>
              <w:rPr>
                <w:rFonts w:ascii="Arial" w:eastAsia="Calibri" w:hAnsi="Arial" w:cs="Arial"/>
                <w:sz w:val="18"/>
                <w:szCs w:val="22"/>
                <w:lang w:val="tr-TR"/>
              </w:rPr>
            </w:pPr>
            <w:r w:rsidRPr="00D00722">
              <w:rPr>
                <w:rFonts w:ascii="Arial" w:hAnsi="Arial" w:cs="Arial"/>
                <w:sz w:val="18"/>
                <w:lang w:val="tr-TR"/>
              </w:rPr>
              <w:t>1.325</w:t>
            </w:r>
          </w:p>
        </w:tc>
      </w:tr>
      <w:tr w:rsidR="005A077A" w:rsidRPr="00D00722" w:rsidTr="002B5FEF">
        <w:trPr>
          <w:trHeight w:val="113"/>
        </w:trPr>
        <w:tc>
          <w:tcPr>
            <w:tcW w:w="4253" w:type="dxa"/>
            <w:tcBorders>
              <w:bottom w:val="single" w:sz="4" w:space="0" w:color="auto"/>
            </w:tcBorders>
            <w:vAlign w:val="bottom"/>
          </w:tcPr>
          <w:p w:rsidR="005A077A" w:rsidRPr="00D00722" w:rsidRDefault="005A077A" w:rsidP="002B5FEF">
            <w:pPr>
              <w:rPr>
                <w:rFonts w:ascii="Arial" w:hAnsi="Arial" w:cs="Arial"/>
                <w:sz w:val="18"/>
                <w:lang w:val="tr-TR"/>
              </w:rPr>
            </w:pPr>
          </w:p>
        </w:tc>
        <w:tc>
          <w:tcPr>
            <w:tcW w:w="1276" w:type="dxa"/>
            <w:tcBorders>
              <w:bottom w:val="single" w:sz="4" w:space="0" w:color="auto"/>
            </w:tcBorders>
            <w:vAlign w:val="bottom"/>
          </w:tcPr>
          <w:p w:rsidR="005A077A" w:rsidRPr="00D00722" w:rsidRDefault="005A077A" w:rsidP="002B5FEF">
            <w:pPr>
              <w:ind w:right="47"/>
              <w:jc w:val="right"/>
              <w:rPr>
                <w:rFonts w:ascii="Arial" w:hAnsi="Arial" w:cs="Arial"/>
                <w:sz w:val="18"/>
                <w:lang w:val="tr-TR"/>
              </w:rPr>
            </w:pPr>
          </w:p>
        </w:tc>
        <w:tc>
          <w:tcPr>
            <w:tcW w:w="1417" w:type="dxa"/>
            <w:tcBorders>
              <w:bottom w:val="single" w:sz="4" w:space="0" w:color="auto"/>
            </w:tcBorders>
            <w:vAlign w:val="bottom"/>
          </w:tcPr>
          <w:p w:rsidR="005A077A" w:rsidRPr="00D00722" w:rsidRDefault="005A077A" w:rsidP="002B5FEF">
            <w:pPr>
              <w:pStyle w:val="Header"/>
              <w:tabs>
                <w:tab w:val="clear" w:pos="4320"/>
                <w:tab w:val="clear" w:pos="8640"/>
              </w:tabs>
              <w:ind w:right="47"/>
              <w:jc w:val="right"/>
              <w:rPr>
                <w:rFonts w:ascii="Arial" w:hAnsi="Arial" w:cs="Arial"/>
                <w:sz w:val="18"/>
                <w:lang w:val="tr-TR"/>
              </w:rPr>
            </w:pPr>
          </w:p>
        </w:tc>
        <w:tc>
          <w:tcPr>
            <w:tcW w:w="1134" w:type="dxa"/>
            <w:tcBorders>
              <w:bottom w:val="single" w:sz="4" w:space="0" w:color="auto"/>
            </w:tcBorders>
            <w:vAlign w:val="bottom"/>
          </w:tcPr>
          <w:p w:rsidR="005A077A" w:rsidRPr="00D00722" w:rsidRDefault="005A077A" w:rsidP="002B5FEF">
            <w:pPr>
              <w:pStyle w:val="Header"/>
              <w:tabs>
                <w:tab w:val="clear" w:pos="4320"/>
                <w:tab w:val="clear" w:pos="8640"/>
              </w:tabs>
              <w:ind w:right="47"/>
              <w:jc w:val="right"/>
              <w:rPr>
                <w:rFonts w:ascii="Arial" w:hAnsi="Arial" w:cs="Arial"/>
                <w:sz w:val="18"/>
                <w:lang w:val="tr-TR"/>
              </w:rPr>
            </w:pPr>
          </w:p>
        </w:tc>
        <w:tc>
          <w:tcPr>
            <w:tcW w:w="992" w:type="dxa"/>
            <w:tcBorders>
              <w:bottom w:val="single" w:sz="4" w:space="0" w:color="auto"/>
            </w:tcBorders>
            <w:vAlign w:val="bottom"/>
          </w:tcPr>
          <w:p w:rsidR="005A077A" w:rsidRPr="00D00722" w:rsidRDefault="005A077A" w:rsidP="002B5FEF">
            <w:pPr>
              <w:pStyle w:val="Header"/>
              <w:tabs>
                <w:tab w:val="clear" w:pos="4320"/>
                <w:tab w:val="clear" w:pos="8640"/>
              </w:tabs>
              <w:ind w:right="47"/>
              <w:jc w:val="right"/>
              <w:rPr>
                <w:rFonts w:ascii="Arial" w:hAnsi="Arial" w:cs="Arial"/>
                <w:sz w:val="18"/>
                <w:lang w:val="tr-TR"/>
              </w:rPr>
            </w:pPr>
          </w:p>
        </w:tc>
      </w:tr>
      <w:tr w:rsidR="005A077A" w:rsidRPr="00D00722" w:rsidTr="002B5FEF">
        <w:trPr>
          <w:trHeight w:val="113"/>
        </w:trPr>
        <w:tc>
          <w:tcPr>
            <w:tcW w:w="4253" w:type="dxa"/>
            <w:tcBorders>
              <w:top w:val="single" w:sz="4" w:space="0" w:color="auto"/>
              <w:bottom w:val="single" w:sz="4" w:space="0" w:color="auto"/>
            </w:tcBorders>
            <w:vAlign w:val="bottom"/>
          </w:tcPr>
          <w:p w:rsidR="005A077A" w:rsidRPr="00D00722" w:rsidRDefault="005A077A" w:rsidP="002B5FEF">
            <w:pPr>
              <w:rPr>
                <w:rFonts w:ascii="Arial" w:eastAsia="Calibri" w:hAnsi="Arial" w:cs="Arial"/>
                <w:sz w:val="18"/>
                <w:szCs w:val="22"/>
                <w:lang w:val="tr-TR"/>
              </w:rPr>
            </w:pPr>
            <w:r w:rsidRPr="00D00722">
              <w:rPr>
                <w:rFonts w:ascii="Arial" w:hAnsi="Arial" w:cs="Arial"/>
                <w:sz w:val="18"/>
                <w:lang w:val="tr-TR"/>
              </w:rPr>
              <w:t>31 Aralık 2013 kapanış bakiyesi</w:t>
            </w:r>
          </w:p>
        </w:tc>
        <w:tc>
          <w:tcPr>
            <w:tcW w:w="1276" w:type="dxa"/>
            <w:tcBorders>
              <w:top w:val="single" w:sz="4" w:space="0" w:color="auto"/>
              <w:bottom w:val="single" w:sz="4" w:space="0" w:color="auto"/>
            </w:tcBorders>
            <w:vAlign w:val="bottom"/>
          </w:tcPr>
          <w:p w:rsidR="005A077A" w:rsidRPr="00D00722" w:rsidRDefault="005A077A" w:rsidP="002B5FEF">
            <w:pPr>
              <w:ind w:right="47"/>
              <w:jc w:val="right"/>
              <w:rPr>
                <w:rFonts w:ascii="Arial" w:eastAsia="Calibri" w:hAnsi="Arial" w:cs="Arial"/>
                <w:sz w:val="18"/>
                <w:szCs w:val="22"/>
                <w:lang w:val="tr-TR"/>
              </w:rPr>
            </w:pPr>
            <w:r w:rsidRPr="00D00722">
              <w:rPr>
                <w:rFonts w:ascii="Arial" w:hAnsi="Arial" w:cs="Arial"/>
                <w:sz w:val="18"/>
                <w:lang w:val="tr-TR"/>
              </w:rPr>
              <w:t>11.635</w:t>
            </w:r>
          </w:p>
        </w:tc>
        <w:tc>
          <w:tcPr>
            <w:tcW w:w="1417" w:type="dxa"/>
            <w:tcBorders>
              <w:top w:val="single" w:sz="4" w:space="0" w:color="auto"/>
              <w:bottom w:val="single" w:sz="4" w:space="0" w:color="auto"/>
            </w:tcBorders>
            <w:vAlign w:val="bottom"/>
          </w:tcPr>
          <w:p w:rsidR="005A077A" w:rsidRPr="00D00722" w:rsidRDefault="005A077A" w:rsidP="002B5FEF">
            <w:pPr>
              <w:ind w:right="47"/>
              <w:jc w:val="right"/>
              <w:rPr>
                <w:rFonts w:ascii="Arial" w:eastAsia="Calibri" w:hAnsi="Arial" w:cs="Arial"/>
                <w:sz w:val="18"/>
                <w:szCs w:val="22"/>
                <w:lang w:val="tr-TR"/>
              </w:rPr>
            </w:pPr>
            <w:r w:rsidRPr="00D00722">
              <w:rPr>
                <w:rFonts w:ascii="Arial" w:hAnsi="Arial" w:cs="Arial"/>
                <w:sz w:val="18"/>
                <w:lang w:val="tr-TR"/>
              </w:rPr>
              <w:t>18.672</w:t>
            </w:r>
          </w:p>
        </w:tc>
        <w:tc>
          <w:tcPr>
            <w:tcW w:w="1134" w:type="dxa"/>
            <w:tcBorders>
              <w:top w:val="single" w:sz="4" w:space="0" w:color="auto"/>
              <w:bottom w:val="single" w:sz="4" w:space="0" w:color="auto"/>
            </w:tcBorders>
            <w:vAlign w:val="bottom"/>
          </w:tcPr>
          <w:p w:rsidR="005A077A" w:rsidRPr="00D00722" w:rsidRDefault="005A077A" w:rsidP="002B5FEF">
            <w:pPr>
              <w:ind w:right="47"/>
              <w:jc w:val="right"/>
              <w:rPr>
                <w:rFonts w:ascii="Arial" w:eastAsia="Calibri" w:hAnsi="Arial" w:cs="Arial"/>
                <w:sz w:val="18"/>
                <w:szCs w:val="22"/>
                <w:lang w:val="tr-TR"/>
              </w:rPr>
            </w:pPr>
            <w:r w:rsidRPr="00D00722">
              <w:rPr>
                <w:rFonts w:ascii="Arial" w:hAnsi="Arial" w:cs="Arial"/>
                <w:sz w:val="18"/>
                <w:lang w:val="tr-TR"/>
              </w:rPr>
              <w:t>52.909</w:t>
            </w:r>
          </w:p>
        </w:tc>
        <w:tc>
          <w:tcPr>
            <w:tcW w:w="992" w:type="dxa"/>
            <w:tcBorders>
              <w:top w:val="single" w:sz="4" w:space="0" w:color="auto"/>
              <w:bottom w:val="single" w:sz="4" w:space="0" w:color="auto"/>
            </w:tcBorders>
            <w:vAlign w:val="bottom"/>
          </w:tcPr>
          <w:p w:rsidR="005A077A" w:rsidRPr="00D00722" w:rsidRDefault="005A077A" w:rsidP="002B5FEF">
            <w:pPr>
              <w:ind w:right="47"/>
              <w:jc w:val="right"/>
              <w:rPr>
                <w:rFonts w:ascii="Arial" w:eastAsia="Calibri" w:hAnsi="Arial" w:cs="Arial"/>
                <w:sz w:val="18"/>
                <w:szCs w:val="22"/>
                <w:lang w:val="tr-TR"/>
              </w:rPr>
            </w:pPr>
            <w:r w:rsidRPr="00D00722">
              <w:rPr>
                <w:rFonts w:ascii="Arial" w:hAnsi="Arial" w:cs="Arial"/>
                <w:sz w:val="18"/>
                <w:lang w:val="tr-TR"/>
              </w:rPr>
              <w:t>83.216</w:t>
            </w:r>
          </w:p>
        </w:tc>
      </w:tr>
      <w:tr w:rsidR="005A077A" w:rsidRPr="00D00722" w:rsidTr="002B5FEF">
        <w:trPr>
          <w:trHeight w:val="113"/>
        </w:trPr>
        <w:tc>
          <w:tcPr>
            <w:tcW w:w="4253" w:type="dxa"/>
            <w:tcBorders>
              <w:top w:val="single" w:sz="4" w:space="0" w:color="auto"/>
            </w:tcBorders>
            <w:vAlign w:val="bottom"/>
          </w:tcPr>
          <w:p w:rsidR="005A077A" w:rsidRPr="00D00722" w:rsidRDefault="005A077A" w:rsidP="002B5FEF">
            <w:pPr>
              <w:rPr>
                <w:rFonts w:ascii="Arial" w:hAnsi="Arial" w:cs="Arial"/>
                <w:sz w:val="18"/>
                <w:lang w:val="tr-TR"/>
              </w:rPr>
            </w:pPr>
          </w:p>
        </w:tc>
        <w:tc>
          <w:tcPr>
            <w:tcW w:w="1276" w:type="dxa"/>
            <w:tcBorders>
              <w:top w:val="single" w:sz="4" w:space="0" w:color="auto"/>
            </w:tcBorders>
            <w:vAlign w:val="bottom"/>
          </w:tcPr>
          <w:p w:rsidR="005A077A" w:rsidRPr="00D00722" w:rsidRDefault="005A077A" w:rsidP="002B5FEF">
            <w:pPr>
              <w:ind w:right="47"/>
              <w:jc w:val="right"/>
              <w:rPr>
                <w:rFonts w:ascii="Arial" w:hAnsi="Arial" w:cs="Arial"/>
                <w:sz w:val="18"/>
                <w:lang w:val="tr-TR"/>
              </w:rPr>
            </w:pPr>
          </w:p>
        </w:tc>
        <w:tc>
          <w:tcPr>
            <w:tcW w:w="1417" w:type="dxa"/>
            <w:tcBorders>
              <w:top w:val="single" w:sz="4" w:space="0" w:color="auto"/>
            </w:tcBorders>
            <w:vAlign w:val="bottom"/>
          </w:tcPr>
          <w:p w:rsidR="005A077A" w:rsidRPr="00D00722" w:rsidRDefault="005A077A" w:rsidP="002B5FEF">
            <w:pPr>
              <w:ind w:right="47"/>
              <w:jc w:val="right"/>
              <w:rPr>
                <w:rFonts w:ascii="Arial" w:hAnsi="Arial" w:cs="Arial"/>
                <w:sz w:val="18"/>
                <w:lang w:val="tr-TR"/>
              </w:rPr>
            </w:pPr>
          </w:p>
        </w:tc>
        <w:tc>
          <w:tcPr>
            <w:tcW w:w="1134" w:type="dxa"/>
            <w:tcBorders>
              <w:top w:val="single" w:sz="4" w:space="0" w:color="auto"/>
            </w:tcBorders>
            <w:vAlign w:val="bottom"/>
          </w:tcPr>
          <w:p w:rsidR="005A077A" w:rsidRPr="00D00722" w:rsidRDefault="005A077A" w:rsidP="002B5FEF">
            <w:pPr>
              <w:ind w:right="47"/>
              <w:jc w:val="right"/>
              <w:rPr>
                <w:rFonts w:ascii="Arial" w:hAnsi="Arial" w:cs="Arial"/>
                <w:sz w:val="18"/>
                <w:lang w:val="tr-TR"/>
              </w:rPr>
            </w:pPr>
          </w:p>
        </w:tc>
        <w:tc>
          <w:tcPr>
            <w:tcW w:w="992" w:type="dxa"/>
            <w:tcBorders>
              <w:top w:val="single" w:sz="4" w:space="0" w:color="auto"/>
            </w:tcBorders>
            <w:vAlign w:val="bottom"/>
          </w:tcPr>
          <w:p w:rsidR="005A077A" w:rsidRPr="00D00722" w:rsidRDefault="005A077A" w:rsidP="002B5FEF">
            <w:pPr>
              <w:ind w:right="47"/>
              <w:jc w:val="right"/>
              <w:rPr>
                <w:rFonts w:ascii="Arial" w:hAnsi="Arial" w:cs="Arial"/>
                <w:sz w:val="18"/>
                <w:lang w:val="tr-TR"/>
              </w:rPr>
            </w:pPr>
          </w:p>
        </w:tc>
      </w:tr>
      <w:tr w:rsidR="005A077A" w:rsidRPr="00D00722" w:rsidTr="002B5FEF">
        <w:trPr>
          <w:trHeight w:val="113"/>
        </w:trPr>
        <w:tc>
          <w:tcPr>
            <w:tcW w:w="4253" w:type="dxa"/>
            <w:vAlign w:val="bottom"/>
          </w:tcPr>
          <w:p w:rsidR="005A077A" w:rsidRPr="00D00722" w:rsidRDefault="005A077A" w:rsidP="002B5FEF">
            <w:pPr>
              <w:rPr>
                <w:rFonts w:ascii="Arial" w:eastAsia="Calibri" w:hAnsi="Arial" w:cs="Arial"/>
                <w:sz w:val="18"/>
                <w:szCs w:val="22"/>
                <w:lang w:val="tr-TR"/>
              </w:rPr>
            </w:pPr>
            <w:r w:rsidRPr="00D00722">
              <w:rPr>
                <w:rFonts w:ascii="Arial" w:hAnsi="Arial" w:cs="Arial"/>
                <w:sz w:val="18"/>
                <w:lang w:val="tr-TR"/>
              </w:rPr>
              <w:t>Birikmiş amortismanlar</w:t>
            </w:r>
          </w:p>
        </w:tc>
        <w:tc>
          <w:tcPr>
            <w:tcW w:w="1276" w:type="dxa"/>
            <w:vAlign w:val="bottom"/>
          </w:tcPr>
          <w:p w:rsidR="005A077A" w:rsidRPr="00D00722" w:rsidRDefault="005A077A" w:rsidP="002B5FEF">
            <w:pPr>
              <w:ind w:right="47"/>
              <w:jc w:val="right"/>
              <w:rPr>
                <w:rFonts w:ascii="Arial" w:hAnsi="Arial" w:cs="Arial"/>
                <w:sz w:val="18"/>
                <w:lang w:val="tr-TR"/>
              </w:rPr>
            </w:pPr>
          </w:p>
        </w:tc>
        <w:tc>
          <w:tcPr>
            <w:tcW w:w="1417" w:type="dxa"/>
            <w:vAlign w:val="bottom"/>
          </w:tcPr>
          <w:p w:rsidR="005A077A" w:rsidRPr="00D00722" w:rsidRDefault="005A077A" w:rsidP="002B5FEF">
            <w:pPr>
              <w:ind w:right="47"/>
              <w:jc w:val="right"/>
              <w:rPr>
                <w:rFonts w:ascii="Arial" w:hAnsi="Arial" w:cs="Arial"/>
                <w:sz w:val="18"/>
                <w:lang w:val="tr-TR"/>
              </w:rPr>
            </w:pPr>
          </w:p>
        </w:tc>
        <w:tc>
          <w:tcPr>
            <w:tcW w:w="1134" w:type="dxa"/>
            <w:vAlign w:val="bottom"/>
          </w:tcPr>
          <w:p w:rsidR="005A077A" w:rsidRPr="00D00722" w:rsidRDefault="005A077A" w:rsidP="002B5FEF">
            <w:pPr>
              <w:ind w:right="47"/>
              <w:jc w:val="right"/>
              <w:rPr>
                <w:rFonts w:ascii="Arial" w:hAnsi="Arial" w:cs="Arial"/>
                <w:sz w:val="18"/>
                <w:lang w:val="tr-TR"/>
              </w:rPr>
            </w:pPr>
          </w:p>
        </w:tc>
        <w:tc>
          <w:tcPr>
            <w:tcW w:w="992" w:type="dxa"/>
            <w:vAlign w:val="bottom"/>
          </w:tcPr>
          <w:p w:rsidR="005A077A" w:rsidRPr="00D00722" w:rsidRDefault="005A077A" w:rsidP="002B5FEF">
            <w:pPr>
              <w:ind w:right="47"/>
              <w:jc w:val="right"/>
              <w:rPr>
                <w:rFonts w:ascii="Arial" w:hAnsi="Arial" w:cs="Arial"/>
                <w:sz w:val="18"/>
                <w:lang w:val="tr-TR"/>
              </w:rPr>
            </w:pPr>
          </w:p>
        </w:tc>
      </w:tr>
      <w:tr w:rsidR="005A077A" w:rsidRPr="00D00722" w:rsidTr="002B5FEF">
        <w:trPr>
          <w:trHeight w:val="113"/>
        </w:trPr>
        <w:tc>
          <w:tcPr>
            <w:tcW w:w="4253" w:type="dxa"/>
            <w:vAlign w:val="bottom"/>
          </w:tcPr>
          <w:p w:rsidR="005A077A" w:rsidRPr="00D00722" w:rsidRDefault="005A077A" w:rsidP="002B5FEF">
            <w:pPr>
              <w:rPr>
                <w:rFonts w:ascii="Arial" w:eastAsia="Calibri" w:hAnsi="Arial" w:cs="Arial"/>
                <w:sz w:val="18"/>
                <w:szCs w:val="22"/>
                <w:lang w:val="tr-TR"/>
              </w:rPr>
            </w:pPr>
            <w:r w:rsidRPr="00D00722">
              <w:rPr>
                <w:rFonts w:ascii="Arial" w:hAnsi="Arial" w:cs="Arial"/>
                <w:sz w:val="18"/>
                <w:lang w:val="tr-TR"/>
              </w:rPr>
              <w:t>1 Ocak 2013 açılış bakiyesi</w:t>
            </w:r>
          </w:p>
        </w:tc>
        <w:tc>
          <w:tcPr>
            <w:tcW w:w="1276" w:type="dxa"/>
            <w:vAlign w:val="bottom"/>
          </w:tcPr>
          <w:p w:rsidR="005A077A" w:rsidRPr="00D00722" w:rsidRDefault="005A077A" w:rsidP="002B5FEF">
            <w:pPr>
              <w:ind w:right="47"/>
              <w:jc w:val="right"/>
              <w:rPr>
                <w:rFonts w:ascii="Arial" w:eastAsia="Calibri" w:hAnsi="Arial" w:cs="Arial"/>
                <w:sz w:val="18"/>
                <w:szCs w:val="22"/>
                <w:lang w:val="tr-TR"/>
              </w:rPr>
            </w:pPr>
            <w:r w:rsidRPr="00D00722">
              <w:rPr>
                <w:rFonts w:ascii="Arial" w:hAnsi="Arial" w:cs="Arial"/>
                <w:sz w:val="18"/>
                <w:lang w:val="tr-TR"/>
              </w:rPr>
              <w:t>(4.839)</w:t>
            </w:r>
          </w:p>
        </w:tc>
        <w:tc>
          <w:tcPr>
            <w:tcW w:w="1417" w:type="dxa"/>
            <w:vAlign w:val="bottom"/>
          </w:tcPr>
          <w:p w:rsidR="005A077A" w:rsidRPr="00D00722" w:rsidRDefault="005A077A" w:rsidP="002B5FEF">
            <w:pPr>
              <w:ind w:right="47"/>
              <w:jc w:val="right"/>
              <w:rPr>
                <w:rFonts w:ascii="Arial" w:eastAsia="Calibri" w:hAnsi="Arial" w:cs="Arial"/>
                <w:sz w:val="18"/>
                <w:szCs w:val="22"/>
                <w:lang w:val="tr-TR"/>
              </w:rPr>
            </w:pPr>
            <w:r w:rsidRPr="00D00722">
              <w:rPr>
                <w:rFonts w:ascii="Arial" w:hAnsi="Arial" w:cs="Arial"/>
                <w:sz w:val="18"/>
                <w:lang w:val="tr-TR"/>
              </w:rPr>
              <w:t>(8.490)</w:t>
            </w:r>
          </w:p>
        </w:tc>
        <w:tc>
          <w:tcPr>
            <w:tcW w:w="1134" w:type="dxa"/>
            <w:vAlign w:val="bottom"/>
          </w:tcPr>
          <w:p w:rsidR="005A077A" w:rsidRPr="00D00722" w:rsidRDefault="005A077A" w:rsidP="002B5FEF">
            <w:pPr>
              <w:ind w:right="47"/>
              <w:jc w:val="right"/>
              <w:rPr>
                <w:rFonts w:ascii="Arial" w:eastAsia="Calibri" w:hAnsi="Arial" w:cs="Arial"/>
                <w:sz w:val="18"/>
                <w:szCs w:val="22"/>
                <w:lang w:val="tr-TR"/>
              </w:rPr>
            </w:pPr>
            <w:r w:rsidRPr="00D00722">
              <w:rPr>
                <w:rFonts w:ascii="Arial" w:hAnsi="Arial" w:cs="Arial"/>
                <w:sz w:val="18"/>
                <w:lang w:val="tr-TR"/>
              </w:rPr>
              <w:t>(19.171)</w:t>
            </w:r>
          </w:p>
        </w:tc>
        <w:tc>
          <w:tcPr>
            <w:tcW w:w="992" w:type="dxa"/>
            <w:vAlign w:val="bottom"/>
          </w:tcPr>
          <w:p w:rsidR="005A077A" w:rsidRPr="00D00722" w:rsidRDefault="005A077A" w:rsidP="002B5FEF">
            <w:pPr>
              <w:ind w:right="47"/>
              <w:jc w:val="right"/>
              <w:rPr>
                <w:rFonts w:ascii="Arial" w:eastAsia="Calibri" w:hAnsi="Arial" w:cs="Arial"/>
                <w:sz w:val="18"/>
                <w:szCs w:val="22"/>
                <w:lang w:val="tr-TR"/>
              </w:rPr>
            </w:pPr>
            <w:r w:rsidRPr="00D00722">
              <w:rPr>
                <w:rFonts w:ascii="Arial" w:hAnsi="Arial" w:cs="Arial"/>
                <w:sz w:val="18"/>
                <w:lang w:val="tr-TR"/>
              </w:rPr>
              <w:t>(32.500)</w:t>
            </w:r>
          </w:p>
        </w:tc>
      </w:tr>
      <w:tr w:rsidR="005A077A" w:rsidRPr="00D00722" w:rsidTr="002B5FEF">
        <w:trPr>
          <w:trHeight w:val="113"/>
        </w:trPr>
        <w:tc>
          <w:tcPr>
            <w:tcW w:w="4253" w:type="dxa"/>
            <w:vAlign w:val="bottom"/>
          </w:tcPr>
          <w:p w:rsidR="005A077A" w:rsidRPr="00D00722" w:rsidRDefault="005A077A" w:rsidP="002B5FEF">
            <w:pPr>
              <w:rPr>
                <w:rFonts w:ascii="Arial" w:eastAsia="Calibri" w:hAnsi="Arial" w:cs="Arial"/>
                <w:sz w:val="18"/>
                <w:szCs w:val="22"/>
                <w:lang w:val="tr-TR"/>
              </w:rPr>
            </w:pPr>
            <w:r w:rsidRPr="00D00722">
              <w:rPr>
                <w:rFonts w:ascii="Arial" w:hAnsi="Arial" w:cs="Arial"/>
                <w:sz w:val="18"/>
                <w:lang w:val="tr-TR"/>
              </w:rPr>
              <w:t>Dönem gideri</w:t>
            </w:r>
          </w:p>
        </w:tc>
        <w:tc>
          <w:tcPr>
            <w:tcW w:w="1276" w:type="dxa"/>
            <w:vAlign w:val="bottom"/>
          </w:tcPr>
          <w:p w:rsidR="005A077A" w:rsidRPr="00D00722" w:rsidRDefault="005A077A" w:rsidP="002B5FEF">
            <w:pPr>
              <w:ind w:right="47"/>
              <w:jc w:val="right"/>
              <w:rPr>
                <w:rFonts w:ascii="Arial" w:eastAsia="Calibri" w:hAnsi="Arial" w:cs="Arial"/>
                <w:sz w:val="18"/>
                <w:szCs w:val="22"/>
                <w:lang w:val="tr-TR"/>
              </w:rPr>
            </w:pPr>
            <w:r w:rsidRPr="00D00722">
              <w:rPr>
                <w:rFonts w:ascii="Arial" w:hAnsi="Arial" w:cs="Arial"/>
                <w:sz w:val="18"/>
                <w:lang w:val="tr-TR"/>
              </w:rPr>
              <w:t>(2.638)</w:t>
            </w:r>
          </w:p>
        </w:tc>
        <w:tc>
          <w:tcPr>
            <w:tcW w:w="1417" w:type="dxa"/>
            <w:vAlign w:val="bottom"/>
          </w:tcPr>
          <w:p w:rsidR="005A077A" w:rsidRPr="00D00722" w:rsidRDefault="005A077A" w:rsidP="002B5FEF">
            <w:pPr>
              <w:ind w:right="47"/>
              <w:jc w:val="right"/>
              <w:rPr>
                <w:rFonts w:ascii="Arial" w:eastAsia="Calibri" w:hAnsi="Arial" w:cs="Arial"/>
                <w:sz w:val="18"/>
                <w:szCs w:val="22"/>
                <w:lang w:val="tr-TR"/>
              </w:rPr>
            </w:pPr>
            <w:r w:rsidRPr="00D00722">
              <w:rPr>
                <w:rFonts w:ascii="Arial" w:hAnsi="Arial" w:cs="Arial"/>
                <w:sz w:val="18"/>
                <w:lang w:val="tr-TR"/>
              </w:rPr>
              <w:t>(4.328)</w:t>
            </w:r>
          </w:p>
        </w:tc>
        <w:tc>
          <w:tcPr>
            <w:tcW w:w="1134" w:type="dxa"/>
            <w:vAlign w:val="bottom"/>
          </w:tcPr>
          <w:p w:rsidR="005A077A" w:rsidRPr="00D00722" w:rsidRDefault="005A077A" w:rsidP="002B5FEF">
            <w:pPr>
              <w:ind w:right="47"/>
              <w:jc w:val="right"/>
              <w:rPr>
                <w:rFonts w:ascii="Arial" w:eastAsia="Calibri" w:hAnsi="Arial" w:cs="Arial"/>
                <w:sz w:val="18"/>
                <w:szCs w:val="22"/>
                <w:lang w:val="tr-TR"/>
              </w:rPr>
            </w:pPr>
            <w:r w:rsidRPr="00D00722">
              <w:rPr>
                <w:rFonts w:ascii="Arial" w:hAnsi="Arial" w:cs="Arial"/>
                <w:sz w:val="18"/>
                <w:lang w:val="tr-TR"/>
              </w:rPr>
              <w:t>(10.582)</w:t>
            </w:r>
          </w:p>
        </w:tc>
        <w:tc>
          <w:tcPr>
            <w:tcW w:w="992" w:type="dxa"/>
            <w:vAlign w:val="bottom"/>
          </w:tcPr>
          <w:p w:rsidR="005A077A" w:rsidRPr="00D00722" w:rsidRDefault="005A077A" w:rsidP="002B5FEF">
            <w:pPr>
              <w:ind w:right="47"/>
              <w:jc w:val="right"/>
              <w:rPr>
                <w:rFonts w:ascii="Arial" w:eastAsia="Calibri" w:hAnsi="Arial" w:cs="Arial"/>
                <w:sz w:val="18"/>
                <w:szCs w:val="22"/>
                <w:lang w:val="tr-TR"/>
              </w:rPr>
            </w:pPr>
            <w:r w:rsidRPr="00D00722">
              <w:rPr>
                <w:rFonts w:ascii="Arial" w:hAnsi="Arial" w:cs="Arial"/>
                <w:sz w:val="18"/>
                <w:lang w:val="tr-TR"/>
              </w:rPr>
              <w:t>(17.548)</w:t>
            </w:r>
          </w:p>
        </w:tc>
      </w:tr>
      <w:tr w:rsidR="005A077A" w:rsidRPr="00D00722" w:rsidTr="002B5FEF">
        <w:trPr>
          <w:trHeight w:val="113"/>
        </w:trPr>
        <w:tc>
          <w:tcPr>
            <w:tcW w:w="4253" w:type="dxa"/>
            <w:tcBorders>
              <w:bottom w:val="single" w:sz="4" w:space="0" w:color="auto"/>
            </w:tcBorders>
            <w:vAlign w:val="bottom"/>
          </w:tcPr>
          <w:p w:rsidR="005A077A" w:rsidRPr="00D00722" w:rsidRDefault="005A077A" w:rsidP="002B5FEF">
            <w:pPr>
              <w:rPr>
                <w:rFonts w:ascii="Arial" w:hAnsi="Arial" w:cs="Arial"/>
                <w:sz w:val="18"/>
                <w:lang w:val="tr-TR"/>
              </w:rPr>
            </w:pPr>
          </w:p>
        </w:tc>
        <w:tc>
          <w:tcPr>
            <w:tcW w:w="1276" w:type="dxa"/>
            <w:tcBorders>
              <w:bottom w:val="single" w:sz="4" w:space="0" w:color="auto"/>
            </w:tcBorders>
            <w:vAlign w:val="bottom"/>
          </w:tcPr>
          <w:p w:rsidR="005A077A" w:rsidRPr="00D00722" w:rsidRDefault="005A077A" w:rsidP="002B5FEF">
            <w:pPr>
              <w:ind w:right="47"/>
              <w:jc w:val="right"/>
              <w:rPr>
                <w:rFonts w:ascii="Arial" w:hAnsi="Arial" w:cs="Arial"/>
                <w:sz w:val="18"/>
                <w:lang w:val="tr-TR"/>
              </w:rPr>
            </w:pPr>
          </w:p>
        </w:tc>
        <w:tc>
          <w:tcPr>
            <w:tcW w:w="1417" w:type="dxa"/>
            <w:tcBorders>
              <w:bottom w:val="single" w:sz="4" w:space="0" w:color="auto"/>
            </w:tcBorders>
            <w:vAlign w:val="bottom"/>
          </w:tcPr>
          <w:p w:rsidR="005A077A" w:rsidRPr="00D00722" w:rsidRDefault="005A077A" w:rsidP="002B5FEF">
            <w:pPr>
              <w:ind w:right="47"/>
              <w:jc w:val="right"/>
              <w:rPr>
                <w:rFonts w:ascii="Arial" w:hAnsi="Arial" w:cs="Arial"/>
                <w:sz w:val="18"/>
                <w:lang w:val="tr-TR"/>
              </w:rPr>
            </w:pPr>
          </w:p>
        </w:tc>
        <w:tc>
          <w:tcPr>
            <w:tcW w:w="1134" w:type="dxa"/>
            <w:tcBorders>
              <w:bottom w:val="single" w:sz="4" w:space="0" w:color="auto"/>
            </w:tcBorders>
            <w:vAlign w:val="bottom"/>
          </w:tcPr>
          <w:p w:rsidR="005A077A" w:rsidRPr="00D00722" w:rsidRDefault="005A077A" w:rsidP="002B5FEF">
            <w:pPr>
              <w:ind w:right="47"/>
              <w:jc w:val="right"/>
              <w:rPr>
                <w:rFonts w:ascii="Arial" w:hAnsi="Arial" w:cs="Arial"/>
                <w:sz w:val="18"/>
                <w:lang w:val="tr-TR"/>
              </w:rPr>
            </w:pPr>
          </w:p>
        </w:tc>
        <w:tc>
          <w:tcPr>
            <w:tcW w:w="992" w:type="dxa"/>
            <w:tcBorders>
              <w:bottom w:val="single" w:sz="4" w:space="0" w:color="auto"/>
            </w:tcBorders>
            <w:vAlign w:val="bottom"/>
          </w:tcPr>
          <w:p w:rsidR="005A077A" w:rsidRPr="00D00722" w:rsidRDefault="005A077A" w:rsidP="002B5FEF">
            <w:pPr>
              <w:ind w:right="47"/>
              <w:jc w:val="right"/>
              <w:rPr>
                <w:rFonts w:ascii="Arial" w:hAnsi="Arial" w:cs="Arial"/>
                <w:sz w:val="18"/>
                <w:lang w:val="tr-TR"/>
              </w:rPr>
            </w:pPr>
          </w:p>
        </w:tc>
      </w:tr>
      <w:tr w:rsidR="005A077A" w:rsidRPr="00D00722" w:rsidTr="002B5FEF">
        <w:trPr>
          <w:trHeight w:val="113"/>
        </w:trPr>
        <w:tc>
          <w:tcPr>
            <w:tcW w:w="4253" w:type="dxa"/>
            <w:tcBorders>
              <w:top w:val="single" w:sz="4" w:space="0" w:color="auto"/>
              <w:bottom w:val="single" w:sz="4" w:space="0" w:color="auto"/>
            </w:tcBorders>
            <w:vAlign w:val="bottom"/>
          </w:tcPr>
          <w:p w:rsidR="005A077A" w:rsidRPr="00D00722" w:rsidRDefault="005A077A" w:rsidP="002B5FEF">
            <w:pPr>
              <w:rPr>
                <w:rFonts w:ascii="Arial" w:eastAsia="Calibri" w:hAnsi="Arial" w:cs="Arial"/>
                <w:sz w:val="18"/>
                <w:szCs w:val="22"/>
                <w:lang w:val="tr-TR"/>
              </w:rPr>
            </w:pPr>
            <w:r w:rsidRPr="00D00722">
              <w:rPr>
                <w:rFonts w:ascii="Arial" w:hAnsi="Arial" w:cs="Arial"/>
                <w:sz w:val="18"/>
                <w:lang w:val="tr-TR"/>
              </w:rPr>
              <w:t>31 Aralık 2013 kapanış bakiyesi</w:t>
            </w:r>
          </w:p>
        </w:tc>
        <w:tc>
          <w:tcPr>
            <w:tcW w:w="1276" w:type="dxa"/>
            <w:tcBorders>
              <w:top w:val="single" w:sz="4" w:space="0" w:color="auto"/>
              <w:bottom w:val="single" w:sz="4" w:space="0" w:color="auto"/>
            </w:tcBorders>
            <w:vAlign w:val="bottom"/>
          </w:tcPr>
          <w:p w:rsidR="005A077A" w:rsidRPr="00D00722" w:rsidRDefault="005A077A" w:rsidP="002B5FEF">
            <w:pPr>
              <w:ind w:right="47"/>
              <w:jc w:val="right"/>
              <w:rPr>
                <w:rFonts w:ascii="Arial" w:eastAsia="Calibri" w:hAnsi="Arial" w:cs="Arial"/>
                <w:sz w:val="18"/>
                <w:szCs w:val="22"/>
                <w:lang w:val="tr-TR"/>
              </w:rPr>
            </w:pPr>
            <w:r w:rsidRPr="00D00722">
              <w:rPr>
                <w:rFonts w:ascii="Arial" w:hAnsi="Arial" w:cs="Arial"/>
                <w:sz w:val="18"/>
                <w:lang w:val="tr-TR"/>
              </w:rPr>
              <w:t>(7.477)</w:t>
            </w:r>
          </w:p>
        </w:tc>
        <w:tc>
          <w:tcPr>
            <w:tcW w:w="1417" w:type="dxa"/>
            <w:tcBorders>
              <w:top w:val="single" w:sz="4" w:space="0" w:color="auto"/>
              <w:bottom w:val="single" w:sz="4" w:space="0" w:color="auto"/>
            </w:tcBorders>
            <w:vAlign w:val="bottom"/>
          </w:tcPr>
          <w:p w:rsidR="005A077A" w:rsidRPr="00D00722" w:rsidRDefault="005A077A" w:rsidP="002B5FEF">
            <w:pPr>
              <w:ind w:right="47"/>
              <w:jc w:val="right"/>
              <w:rPr>
                <w:rFonts w:ascii="Arial" w:eastAsia="Calibri" w:hAnsi="Arial" w:cs="Arial"/>
                <w:sz w:val="18"/>
                <w:szCs w:val="22"/>
                <w:lang w:val="tr-TR"/>
              </w:rPr>
            </w:pPr>
            <w:r w:rsidRPr="00D00722">
              <w:rPr>
                <w:rFonts w:ascii="Arial" w:hAnsi="Arial" w:cs="Arial"/>
                <w:sz w:val="18"/>
                <w:lang w:val="tr-TR"/>
              </w:rPr>
              <w:t>(12.818)</w:t>
            </w:r>
          </w:p>
        </w:tc>
        <w:tc>
          <w:tcPr>
            <w:tcW w:w="1134" w:type="dxa"/>
            <w:tcBorders>
              <w:top w:val="single" w:sz="4" w:space="0" w:color="auto"/>
              <w:bottom w:val="single" w:sz="4" w:space="0" w:color="auto"/>
            </w:tcBorders>
            <w:vAlign w:val="bottom"/>
          </w:tcPr>
          <w:p w:rsidR="005A077A" w:rsidRPr="00D00722" w:rsidRDefault="005A077A" w:rsidP="002B5FEF">
            <w:pPr>
              <w:ind w:right="47"/>
              <w:jc w:val="right"/>
              <w:rPr>
                <w:rFonts w:ascii="Arial" w:eastAsia="Calibri" w:hAnsi="Arial" w:cs="Arial"/>
                <w:sz w:val="18"/>
                <w:szCs w:val="22"/>
                <w:lang w:val="tr-TR"/>
              </w:rPr>
            </w:pPr>
            <w:r w:rsidRPr="00D00722">
              <w:rPr>
                <w:rFonts w:ascii="Arial" w:hAnsi="Arial" w:cs="Arial"/>
                <w:sz w:val="18"/>
                <w:lang w:val="tr-TR"/>
              </w:rPr>
              <w:t>(29.753)</w:t>
            </w:r>
          </w:p>
        </w:tc>
        <w:tc>
          <w:tcPr>
            <w:tcW w:w="992" w:type="dxa"/>
            <w:tcBorders>
              <w:top w:val="single" w:sz="4" w:space="0" w:color="auto"/>
              <w:bottom w:val="single" w:sz="4" w:space="0" w:color="auto"/>
            </w:tcBorders>
            <w:vAlign w:val="bottom"/>
          </w:tcPr>
          <w:p w:rsidR="005A077A" w:rsidRPr="00D00722" w:rsidRDefault="005A077A" w:rsidP="002B5FEF">
            <w:pPr>
              <w:ind w:right="47"/>
              <w:jc w:val="right"/>
              <w:rPr>
                <w:rFonts w:ascii="Arial" w:eastAsia="Calibri" w:hAnsi="Arial" w:cs="Arial"/>
                <w:sz w:val="18"/>
                <w:szCs w:val="22"/>
                <w:lang w:val="tr-TR"/>
              </w:rPr>
            </w:pPr>
            <w:r w:rsidRPr="00D00722">
              <w:rPr>
                <w:rFonts w:ascii="Arial" w:hAnsi="Arial" w:cs="Arial"/>
                <w:sz w:val="18"/>
                <w:lang w:val="tr-TR"/>
              </w:rPr>
              <w:t>(50.048)</w:t>
            </w:r>
          </w:p>
        </w:tc>
      </w:tr>
      <w:tr w:rsidR="005A077A" w:rsidRPr="00D00722" w:rsidTr="002B5FEF">
        <w:trPr>
          <w:trHeight w:val="113"/>
        </w:trPr>
        <w:tc>
          <w:tcPr>
            <w:tcW w:w="4253" w:type="dxa"/>
            <w:tcBorders>
              <w:top w:val="single" w:sz="4" w:space="0" w:color="auto"/>
              <w:bottom w:val="single" w:sz="4" w:space="0" w:color="auto"/>
            </w:tcBorders>
            <w:vAlign w:val="bottom"/>
          </w:tcPr>
          <w:p w:rsidR="005A077A" w:rsidRPr="00D00722" w:rsidRDefault="005A077A" w:rsidP="002B5FEF">
            <w:pPr>
              <w:rPr>
                <w:rFonts w:ascii="Arial" w:hAnsi="Arial" w:cs="Arial"/>
                <w:sz w:val="18"/>
                <w:lang w:val="tr-TR"/>
              </w:rPr>
            </w:pPr>
          </w:p>
        </w:tc>
        <w:tc>
          <w:tcPr>
            <w:tcW w:w="1276" w:type="dxa"/>
            <w:tcBorders>
              <w:top w:val="single" w:sz="4" w:space="0" w:color="auto"/>
              <w:bottom w:val="single" w:sz="4" w:space="0" w:color="auto"/>
            </w:tcBorders>
            <w:vAlign w:val="bottom"/>
          </w:tcPr>
          <w:p w:rsidR="005A077A" w:rsidRPr="00D00722" w:rsidRDefault="005A077A" w:rsidP="002B5FEF">
            <w:pPr>
              <w:ind w:right="47"/>
              <w:jc w:val="right"/>
              <w:rPr>
                <w:rFonts w:ascii="Arial" w:hAnsi="Arial" w:cs="Arial"/>
                <w:sz w:val="18"/>
                <w:lang w:val="tr-TR"/>
              </w:rPr>
            </w:pPr>
          </w:p>
        </w:tc>
        <w:tc>
          <w:tcPr>
            <w:tcW w:w="1417" w:type="dxa"/>
            <w:tcBorders>
              <w:top w:val="single" w:sz="4" w:space="0" w:color="auto"/>
              <w:bottom w:val="single" w:sz="4" w:space="0" w:color="auto"/>
            </w:tcBorders>
            <w:vAlign w:val="bottom"/>
          </w:tcPr>
          <w:p w:rsidR="005A077A" w:rsidRPr="00D00722" w:rsidRDefault="005A077A" w:rsidP="002B5FEF">
            <w:pPr>
              <w:ind w:right="47"/>
              <w:jc w:val="right"/>
              <w:rPr>
                <w:rFonts w:ascii="Arial" w:hAnsi="Arial" w:cs="Arial"/>
                <w:sz w:val="18"/>
                <w:lang w:val="tr-TR"/>
              </w:rPr>
            </w:pPr>
          </w:p>
        </w:tc>
        <w:tc>
          <w:tcPr>
            <w:tcW w:w="1134" w:type="dxa"/>
            <w:tcBorders>
              <w:top w:val="single" w:sz="4" w:space="0" w:color="auto"/>
              <w:bottom w:val="single" w:sz="4" w:space="0" w:color="auto"/>
            </w:tcBorders>
            <w:vAlign w:val="bottom"/>
          </w:tcPr>
          <w:p w:rsidR="005A077A" w:rsidRPr="00D00722" w:rsidRDefault="005A077A" w:rsidP="002B5FEF">
            <w:pPr>
              <w:ind w:right="47"/>
              <w:jc w:val="right"/>
              <w:rPr>
                <w:rFonts w:ascii="Arial" w:hAnsi="Arial" w:cs="Arial"/>
                <w:sz w:val="18"/>
                <w:lang w:val="tr-TR"/>
              </w:rPr>
            </w:pPr>
          </w:p>
        </w:tc>
        <w:tc>
          <w:tcPr>
            <w:tcW w:w="992" w:type="dxa"/>
            <w:tcBorders>
              <w:top w:val="single" w:sz="4" w:space="0" w:color="auto"/>
              <w:bottom w:val="single" w:sz="4" w:space="0" w:color="auto"/>
            </w:tcBorders>
            <w:vAlign w:val="bottom"/>
          </w:tcPr>
          <w:p w:rsidR="005A077A" w:rsidRPr="00D00722" w:rsidRDefault="005A077A" w:rsidP="002B5FEF">
            <w:pPr>
              <w:ind w:right="47"/>
              <w:jc w:val="right"/>
              <w:rPr>
                <w:rFonts w:ascii="Arial" w:hAnsi="Arial" w:cs="Arial"/>
                <w:sz w:val="18"/>
                <w:lang w:val="tr-TR"/>
              </w:rPr>
            </w:pPr>
          </w:p>
        </w:tc>
      </w:tr>
      <w:tr w:rsidR="005A077A" w:rsidRPr="00D00722" w:rsidTr="002B5FEF">
        <w:trPr>
          <w:trHeight w:val="113"/>
        </w:trPr>
        <w:tc>
          <w:tcPr>
            <w:tcW w:w="4253" w:type="dxa"/>
            <w:tcBorders>
              <w:top w:val="single" w:sz="4" w:space="0" w:color="auto"/>
              <w:bottom w:val="single" w:sz="4" w:space="0" w:color="auto"/>
            </w:tcBorders>
            <w:vAlign w:val="bottom"/>
          </w:tcPr>
          <w:p w:rsidR="005A077A" w:rsidRPr="00D00722" w:rsidRDefault="005A077A" w:rsidP="002B5FEF">
            <w:pPr>
              <w:rPr>
                <w:rFonts w:ascii="Arial" w:eastAsia="Calibri" w:hAnsi="Arial" w:cs="Arial"/>
                <w:sz w:val="18"/>
                <w:szCs w:val="22"/>
                <w:lang w:val="tr-TR"/>
              </w:rPr>
            </w:pPr>
            <w:r w:rsidRPr="00D00722">
              <w:rPr>
                <w:rFonts w:ascii="Arial" w:hAnsi="Arial" w:cs="Arial"/>
                <w:sz w:val="18"/>
                <w:lang w:val="tr-TR"/>
              </w:rPr>
              <w:t>31 Aralık 2012 itibariyle net defter değeri</w:t>
            </w:r>
          </w:p>
        </w:tc>
        <w:tc>
          <w:tcPr>
            <w:tcW w:w="1276" w:type="dxa"/>
            <w:tcBorders>
              <w:top w:val="single" w:sz="4" w:space="0" w:color="auto"/>
              <w:bottom w:val="single" w:sz="4" w:space="0" w:color="auto"/>
            </w:tcBorders>
            <w:vAlign w:val="bottom"/>
          </w:tcPr>
          <w:p w:rsidR="005A077A" w:rsidRPr="00D00722" w:rsidRDefault="005A077A" w:rsidP="002B5FEF">
            <w:pPr>
              <w:ind w:right="47"/>
              <w:jc w:val="right"/>
              <w:rPr>
                <w:rFonts w:ascii="Arial" w:eastAsia="Calibri" w:hAnsi="Arial" w:cs="Arial"/>
                <w:sz w:val="18"/>
                <w:szCs w:val="22"/>
                <w:lang w:val="tr-TR"/>
              </w:rPr>
            </w:pPr>
            <w:r w:rsidRPr="00D00722">
              <w:rPr>
                <w:rFonts w:ascii="Arial" w:hAnsi="Arial" w:cs="Arial"/>
                <w:sz w:val="18"/>
                <w:lang w:val="tr-TR"/>
              </w:rPr>
              <w:t>5.471</w:t>
            </w:r>
          </w:p>
        </w:tc>
        <w:tc>
          <w:tcPr>
            <w:tcW w:w="1417" w:type="dxa"/>
            <w:tcBorders>
              <w:top w:val="single" w:sz="4" w:space="0" w:color="auto"/>
              <w:bottom w:val="single" w:sz="4" w:space="0" w:color="auto"/>
            </w:tcBorders>
            <w:vAlign w:val="bottom"/>
          </w:tcPr>
          <w:p w:rsidR="005A077A" w:rsidRPr="00D00722" w:rsidRDefault="005A077A" w:rsidP="002B5FEF">
            <w:pPr>
              <w:ind w:right="47"/>
              <w:jc w:val="right"/>
              <w:rPr>
                <w:rFonts w:ascii="Arial" w:eastAsia="Calibri" w:hAnsi="Arial" w:cs="Arial"/>
                <w:sz w:val="18"/>
                <w:szCs w:val="22"/>
                <w:lang w:val="tr-TR"/>
              </w:rPr>
            </w:pPr>
            <w:r w:rsidRPr="00D00722">
              <w:rPr>
                <w:rFonts w:ascii="Arial" w:hAnsi="Arial" w:cs="Arial"/>
                <w:sz w:val="18"/>
                <w:lang w:val="tr-TR"/>
              </w:rPr>
              <w:t>10.182</w:t>
            </w:r>
          </w:p>
        </w:tc>
        <w:tc>
          <w:tcPr>
            <w:tcW w:w="1134" w:type="dxa"/>
            <w:tcBorders>
              <w:top w:val="single" w:sz="4" w:space="0" w:color="auto"/>
              <w:bottom w:val="single" w:sz="4" w:space="0" w:color="auto"/>
            </w:tcBorders>
            <w:vAlign w:val="bottom"/>
          </w:tcPr>
          <w:p w:rsidR="005A077A" w:rsidRPr="00D00722" w:rsidRDefault="005A077A" w:rsidP="002B5FEF">
            <w:pPr>
              <w:ind w:right="47"/>
              <w:jc w:val="right"/>
              <w:rPr>
                <w:rFonts w:ascii="Arial" w:eastAsia="Calibri" w:hAnsi="Arial" w:cs="Arial"/>
                <w:sz w:val="18"/>
                <w:szCs w:val="22"/>
                <w:lang w:val="tr-TR"/>
              </w:rPr>
            </w:pPr>
            <w:r w:rsidRPr="00D00722">
              <w:rPr>
                <w:rFonts w:ascii="Arial" w:hAnsi="Arial" w:cs="Arial"/>
                <w:sz w:val="18"/>
                <w:lang w:val="tr-TR"/>
              </w:rPr>
              <w:t>33.738</w:t>
            </w:r>
          </w:p>
        </w:tc>
        <w:tc>
          <w:tcPr>
            <w:tcW w:w="992" w:type="dxa"/>
            <w:tcBorders>
              <w:top w:val="single" w:sz="4" w:space="0" w:color="auto"/>
              <w:bottom w:val="single" w:sz="4" w:space="0" w:color="auto"/>
            </w:tcBorders>
            <w:vAlign w:val="bottom"/>
          </w:tcPr>
          <w:p w:rsidR="005A077A" w:rsidRPr="00D00722" w:rsidRDefault="005A077A" w:rsidP="002B5FEF">
            <w:pPr>
              <w:ind w:right="47"/>
              <w:jc w:val="right"/>
              <w:rPr>
                <w:rFonts w:ascii="Arial" w:eastAsia="Calibri" w:hAnsi="Arial" w:cs="Arial"/>
                <w:sz w:val="18"/>
                <w:szCs w:val="22"/>
                <w:lang w:val="tr-TR"/>
              </w:rPr>
            </w:pPr>
            <w:r w:rsidRPr="00D00722">
              <w:rPr>
                <w:rFonts w:ascii="Arial" w:hAnsi="Arial" w:cs="Arial"/>
                <w:sz w:val="18"/>
                <w:lang w:val="tr-TR"/>
              </w:rPr>
              <w:t>49.391</w:t>
            </w:r>
          </w:p>
        </w:tc>
      </w:tr>
      <w:tr w:rsidR="005A077A" w:rsidRPr="00D00722" w:rsidTr="002B5FEF">
        <w:trPr>
          <w:trHeight w:val="113"/>
        </w:trPr>
        <w:tc>
          <w:tcPr>
            <w:tcW w:w="4253" w:type="dxa"/>
            <w:tcBorders>
              <w:top w:val="single" w:sz="4" w:space="0" w:color="auto"/>
              <w:bottom w:val="single" w:sz="4" w:space="0" w:color="auto"/>
            </w:tcBorders>
            <w:vAlign w:val="bottom"/>
          </w:tcPr>
          <w:p w:rsidR="005A077A" w:rsidRPr="00D00722" w:rsidRDefault="005A077A" w:rsidP="002B5FEF">
            <w:pPr>
              <w:rPr>
                <w:rFonts w:ascii="Arial" w:hAnsi="Arial" w:cs="Arial"/>
                <w:sz w:val="18"/>
                <w:lang w:val="tr-TR"/>
              </w:rPr>
            </w:pPr>
          </w:p>
        </w:tc>
        <w:tc>
          <w:tcPr>
            <w:tcW w:w="1276" w:type="dxa"/>
            <w:tcBorders>
              <w:top w:val="single" w:sz="4" w:space="0" w:color="auto"/>
              <w:bottom w:val="single" w:sz="4" w:space="0" w:color="auto"/>
            </w:tcBorders>
            <w:vAlign w:val="bottom"/>
          </w:tcPr>
          <w:p w:rsidR="005A077A" w:rsidRPr="00D00722" w:rsidRDefault="005A077A" w:rsidP="002B5FEF">
            <w:pPr>
              <w:ind w:right="47"/>
              <w:jc w:val="right"/>
              <w:rPr>
                <w:rFonts w:ascii="Arial" w:hAnsi="Arial" w:cs="Arial"/>
                <w:sz w:val="18"/>
                <w:lang w:val="tr-TR"/>
              </w:rPr>
            </w:pPr>
          </w:p>
        </w:tc>
        <w:tc>
          <w:tcPr>
            <w:tcW w:w="1417" w:type="dxa"/>
            <w:tcBorders>
              <w:top w:val="single" w:sz="4" w:space="0" w:color="auto"/>
              <w:bottom w:val="single" w:sz="4" w:space="0" w:color="auto"/>
            </w:tcBorders>
            <w:vAlign w:val="bottom"/>
          </w:tcPr>
          <w:p w:rsidR="005A077A" w:rsidRPr="00D00722" w:rsidRDefault="005A077A" w:rsidP="002B5FEF">
            <w:pPr>
              <w:ind w:right="47"/>
              <w:jc w:val="right"/>
              <w:rPr>
                <w:rFonts w:ascii="Arial" w:hAnsi="Arial" w:cs="Arial"/>
                <w:sz w:val="18"/>
                <w:lang w:val="tr-TR"/>
              </w:rPr>
            </w:pPr>
          </w:p>
        </w:tc>
        <w:tc>
          <w:tcPr>
            <w:tcW w:w="1134" w:type="dxa"/>
            <w:tcBorders>
              <w:top w:val="single" w:sz="4" w:space="0" w:color="auto"/>
              <w:bottom w:val="single" w:sz="4" w:space="0" w:color="auto"/>
            </w:tcBorders>
            <w:vAlign w:val="bottom"/>
          </w:tcPr>
          <w:p w:rsidR="005A077A" w:rsidRPr="00D00722" w:rsidRDefault="005A077A" w:rsidP="002B5FEF">
            <w:pPr>
              <w:ind w:right="47"/>
              <w:jc w:val="right"/>
              <w:rPr>
                <w:rFonts w:ascii="Arial" w:hAnsi="Arial" w:cs="Arial"/>
                <w:sz w:val="18"/>
                <w:lang w:val="tr-TR"/>
              </w:rPr>
            </w:pPr>
          </w:p>
        </w:tc>
        <w:tc>
          <w:tcPr>
            <w:tcW w:w="992" w:type="dxa"/>
            <w:tcBorders>
              <w:top w:val="single" w:sz="4" w:space="0" w:color="auto"/>
              <w:bottom w:val="single" w:sz="4" w:space="0" w:color="auto"/>
            </w:tcBorders>
            <w:vAlign w:val="bottom"/>
          </w:tcPr>
          <w:p w:rsidR="005A077A" w:rsidRPr="00D00722" w:rsidRDefault="005A077A" w:rsidP="002B5FEF">
            <w:pPr>
              <w:ind w:right="47"/>
              <w:jc w:val="right"/>
              <w:rPr>
                <w:rFonts w:ascii="Arial" w:hAnsi="Arial" w:cs="Arial"/>
                <w:sz w:val="18"/>
                <w:lang w:val="tr-TR"/>
              </w:rPr>
            </w:pPr>
          </w:p>
        </w:tc>
      </w:tr>
      <w:tr w:rsidR="005A077A" w:rsidRPr="00D00722" w:rsidTr="002B5FEF">
        <w:trPr>
          <w:trHeight w:val="113"/>
        </w:trPr>
        <w:tc>
          <w:tcPr>
            <w:tcW w:w="4253" w:type="dxa"/>
            <w:tcBorders>
              <w:top w:val="single" w:sz="4" w:space="0" w:color="auto"/>
              <w:bottom w:val="double" w:sz="4" w:space="0" w:color="auto"/>
            </w:tcBorders>
            <w:vAlign w:val="bottom"/>
          </w:tcPr>
          <w:p w:rsidR="005A077A" w:rsidRPr="00D00722" w:rsidRDefault="005A077A" w:rsidP="002B5FEF">
            <w:pPr>
              <w:rPr>
                <w:rFonts w:ascii="Arial" w:eastAsia="Calibri" w:hAnsi="Arial" w:cs="Arial"/>
                <w:sz w:val="18"/>
                <w:szCs w:val="22"/>
                <w:lang w:val="tr-TR"/>
              </w:rPr>
            </w:pPr>
            <w:r w:rsidRPr="00D00722">
              <w:rPr>
                <w:rFonts w:ascii="Arial" w:hAnsi="Arial" w:cs="Arial"/>
                <w:sz w:val="18"/>
                <w:lang w:val="tr-TR"/>
              </w:rPr>
              <w:t>31 Aralık 2013 itibariyle net defter değeri</w:t>
            </w:r>
          </w:p>
        </w:tc>
        <w:tc>
          <w:tcPr>
            <w:tcW w:w="1276" w:type="dxa"/>
            <w:tcBorders>
              <w:top w:val="single" w:sz="4" w:space="0" w:color="auto"/>
              <w:bottom w:val="double" w:sz="4" w:space="0" w:color="auto"/>
            </w:tcBorders>
            <w:vAlign w:val="bottom"/>
          </w:tcPr>
          <w:p w:rsidR="005A077A" w:rsidRPr="00D00722" w:rsidRDefault="005A077A" w:rsidP="002B5FEF">
            <w:pPr>
              <w:ind w:right="47"/>
              <w:jc w:val="right"/>
              <w:rPr>
                <w:rFonts w:ascii="Arial" w:eastAsia="Calibri" w:hAnsi="Arial" w:cs="Arial"/>
                <w:sz w:val="18"/>
                <w:szCs w:val="22"/>
                <w:lang w:val="tr-TR"/>
              </w:rPr>
            </w:pPr>
            <w:r w:rsidRPr="00D00722">
              <w:rPr>
                <w:rFonts w:ascii="Arial" w:hAnsi="Arial" w:cs="Arial"/>
                <w:sz w:val="18"/>
                <w:lang w:val="tr-TR"/>
              </w:rPr>
              <w:t>4.158</w:t>
            </w:r>
          </w:p>
        </w:tc>
        <w:tc>
          <w:tcPr>
            <w:tcW w:w="1417" w:type="dxa"/>
            <w:tcBorders>
              <w:top w:val="single" w:sz="4" w:space="0" w:color="auto"/>
              <w:bottom w:val="double" w:sz="4" w:space="0" w:color="auto"/>
            </w:tcBorders>
            <w:vAlign w:val="bottom"/>
          </w:tcPr>
          <w:p w:rsidR="005A077A" w:rsidRPr="00D00722" w:rsidRDefault="005A077A" w:rsidP="002B5FEF">
            <w:pPr>
              <w:ind w:right="47"/>
              <w:jc w:val="right"/>
              <w:rPr>
                <w:rFonts w:ascii="Arial" w:eastAsia="Calibri" w:hAnsi="Arial" w:cs="Arial"/>
                <w:sz w:val="18"/>
                <w:szCs w:val="22"/>
                <w:lang w:val="tr-TR"/>
              </w:rPr>
            </w:pPr>
            <w:r w:rsidRPr="00D00722">
              <w:rPr>
                <w:rFonts w:ascii="Arial" w:hAnsi="Arial" w:cs="Arial"/>
                <w:sz w:val="18"/>
                <w:lang w:val="tr-TR"/>
              </w:rPr>
              <w:t>5.853</w:t>
            </w:r>
          </w:p>
        </w:tc>
        <w:tc>
          <w:tcPr>
            <w:tcW w:w="1134" w:type="dxa"/>
            <w:tcBorders>
              <w:top w:val="single" w:sz="4" w:space="0" w:color="auto"/>
              <w:bottom w:val="double" w:sz="4" w:space="0" w:color="auto"/>
            </w:tcBorders>
            <w:vAlign w:val="bottom"/>
          </w:tcPr>
          <w:p w:rsidR="005A077A" w:rsidRPr="00D00722" w:rsidRDefault="005A077A" w:rsidP="002B5FEF">
            <w:pPr>
              <w:ind w:right="47"/>
              <w:jc w:val="right"/>
              <w:rPr>
                <w:rFonts w:ascii="Arial" w:eastAsia="Calibri" w:hAnsi="Arial" w:cs="Arial"/>
                <w:sz w:val="18"/>
                <w:szCs w:val="22"/>
                <w:lang w:val="tr-TR"/>
              </w:rPr>
            </w:pPr>
            <w:r w:rsidRPr="00D00722">
              <w:rPr>
                <w:rFonts w:ascii="Arial" w:hAnsi="Arial" w:cs="Arial"/>
                <w:sz w:val="18"/>
                <w:lang w:val="tr-TR"/>
              </w:rPr>
              <w:t>23.156</w:t>
            </w:r>
          </w:p>
        </w:tc>
        <w:tc>
          <w:tcPr>
            <w:tcW w:w="992" w:type="dxa"/>
            <w:tcBorders>
              <w:top w:val="single" w:sz="4" w:space="0" w:color="auto"/>
              <w:bottom w:val="double" w:sz="4" w:space="0" w:color="auto"/>
            </w:tcBorders>
            <w:vAlign w:val="bottom"/>
          </w:tcPr>
          <w:p w:rsidR="005A077A" w:rsidRPr="00D00722" w:rsidRDefault="005A077A" w:rsidP="002B5FEF">
            <w:pPr>
              <w:ind w:right="47"/>
              <w:jc w:val="right"/>
              <w:rPr>
                <w:rFonts w:ascii="Arial" w:eastAsia="Calibri" w:hAnsi="Arial" w:cs="Arial"/>
                <w:sz w:val="18"/>
                <w:szCs w:val="22"/>
                <w:lang w:val="tr-TR"/>
              </w:rPr>
            </w:pPr>
            <w:r w:rsidRPr="00D00722">
              <w:rPr>
                <w:rFonts w:ascii="Arial" w:hAnsi="Arial" w:cs="Arial"/>
                <w:sz w:val="18"/>
                <w:lang w:val="tr-TR"/>
              </w:rPr>
              <w:t>33.168</w:t>
            </w:r>
          </w:p>
        </w:tc>
      </w:tr>
    </w:tbl>
    <w:p w:rsidR="00AA0364" w:rsidRPr="00D00722" w:rsidRDefault="00AA0364" w:rsidP="007F71BF">
      <w:pPr>
        <w:pStyle w:val="000normal"/>
        <w:autoSpaceDE w:val="0"/>
        <w:autoSpaceDN w:val="0"/>
        <w:adjustRightInd w:val="0"/>
        <w:spacing w:before="0" w:after="0" w:afterAutospacing="0"/>
        <w:jc w:val="left"/>
        <w:rPr>
          <w:rFonts w:eastAsia="Times New Roman"/>
          <w:lang w:val="tr-TR"/>
        </w:rPr>
      </w:pPr>
    </w:p>
    <w:p w:rsidR="007F71BF" w:rsidRPr="00D00722" w:rsidRDefault="007F71BF" w:rsidP="007F71BF">
      <w:pPr>
        <w:rPr>
          <w:rFonts w:ascii="Arial" w:hAnsi="Arial" w:cs="Arial"/>
          <w:lang w:val="tr-TR"/>
        </w:rPr>
      </w:pPr>
      <w:r w:rsidRPr="00D00722">
        <w:rPr>
          <w:rFonts w:ascii="Arial" w:hAnsi="Arial" w:cs="Arial"/>
          <w:lang w:val="tr-TR"/>
        </w:rPr>
        <w:t>Dönem içinde muhasebeleştirilen maddi duran varlıklar</w:t>
      </w:r>
      <w:r w:rsidR="007648E5" w:rsidRPr="00D00722">
        <w:rPr>
          <w:rFonts w:ascii="Arial" w:hAnsi="Arial" w:cs="Arial"/>
          <w:lang w:val="tr-TR"/>
        </w:rPr>
        <w:t xml:space="preserve">a ilişkin değer düşüklüğü kaybı </w:t>
      </w:r>
      <w:r w:rsidRPr="00D00722">
        <w:rPr>
          <w:rFonts w:ascii="Arial" w:hAnsi="Arial" w:cs="Arial"/>
          <w:lang w:val="tr-TR"/>
        </w:rPr>
        <w:t>bulunmamaktadır.</w:t>
      </w:r>
    </w:p>
    <w:p w:rsidR="00C27A17" w:rsidRPr="00D00722" w:rsidRDefault="00C27A17" w:rsidP="007F71BF">
      <w:pPr>
        <w:rPr>
          <w:rFonts w:ascii="Arial" w:hAnsi="Arial" w:cs="Arial"/>
          <w:lang w:val="tr-TR"/>
        </w:rPr>
      </w:pPr>
    </w:p>
    <w:p w:rsidR="00B37F4A" w:rsidRPr="00D00722" w:rsidRDefault="00F362BD">
      <w:pPr>
        <w:rPr>
          <w:rFonts w:ascii="Arial" w:hAnsi="Arial" w:cs="Arial"/>
          <w:lang w:val="tr-TR"/>
        </w:rPr>
      </w:pPr>
      <w:r w:rsidRPr="00D00722">
        <w:rPr>
          <w:rFonts w:ascii="Arial" w:hAnsi="Arial" w:cs="Arial"/>
          <w:lang w:val="tr-TR"/>
        </w:rPr>
        <w:t>4.441</w:t>
      </w:r>
      <w:r w:rsidR="002C17F0" w:rsidRPr="00D00722">
        <w:rPr>
          <w:rFonts w:ascii="Arial" w:hAnsi="Arial" w:cs="Arial"/>
          <w:lang w:val="tr-TR"/>
        </w:rPr>
        <w:t xml:space="preserve"> </w:t>
      </w:r>
      <w:r w:rsidR="007F71BF" w:rsidRPr="00D00722">
        <w:rPr>
          <w:rFonts w:ascii="Arial" w:hAnsi="Arial" w:cs="Arial"/>
          <w:lang w:val="tr-TR"/>
        </w:rPr>
        <w:t>TL tutarındaki dönem amortisman gideri genel yönetim giderlerine dahil edilmiştir.</w:t>
      </w:r>
      <w:r w:rsidR="002D2977" w:rsidRPr="00D00722">
        <w:rPr>
          <w:rFonts w:ascii="Arial" w:hAnsi="Arial" w:cs="Arial"/>
          <w:lang w:val="tr-TR"/>
        </w:rPr>
        <w:t xml:space="preserve"> (Not:18)</w:t>
      </w:r>
      <w:r w:rsidR="00C27A17" w:rsidRPr="00D00722">
        <w:rPr>
          <w:rFonts w:ascii="Arial" w:hAnsi="Arial" w:cs="Arial"/>
          <w:lang w:val="tr-TR"/>
        </w:rPr>
        <w:t xml:space="preserve"> (31 Aralık 201</w:t>
      </w:r>
      <w:r w:rsidRPr="00D00722">
        <w:rPr>
          <w:rFonts w:ascii="Arial" w:hAnsi="Arial" w:cs="Arial"/>
          <w:lang w:val="tr-TR"/>
        </w:rPr>
        <w:t>3</w:t>
      </w:r>
      <w:r w:rsidR="00C27A17" w:rsidRPr="00D00722">
        <w:rPr>
          <w:rFonts w:ascii="Arial" w:hAnsi="Arial" w:cs="Arial"/>
          <w:lang w:val="tr-TR"/>
        </w:rPr>
        <w:t xml:space="preserve"> – 1</w:t>
      </w:r>
      <w:r w:rsidRPr="00D00722">
        <w:rPr>
          <w:rFonts w:ascii="Arial" w:hAnsi="Arial" w:cs="Arial"/>
          <w:lang w:val="tr-TR"/>
        </w:rPr>
        <w:t>7</w:t>
      </w:r>
      <w:r w:rsidR="00C27A17" w:rsidRPr="00D00722">
        <w:rPr>
          <w:rFonts w:ascii="Arial" w:hAnsi="Arial" w:cs="Arial"/>
          <w:lang w:val="tr-TR"/>
        </w:rPr>
        <w:t>.</w:t>
      </w:r>
      <w:r w:rsidRPr="00D00722">
        <w:rPr>
          <w:rFonts w:ascii="Arial" w:hAnsi="Arial" w:cs="Arial"/>
          <w:lang w:val="tr-TR"/>
        </w:rPr>
        <w:t>548</w:t>
      </w:r>
      <w:r w:rsidR="00244A4A" w:rsidRPr="00D00722">
        <w:rPr>
          <w:rFonts w:ascii="Arial" w:hAnsi="Arial" w:cs="Arial"/>
          <w:lang w:val="tr-TR"/>
        </w:rPr>
        <w:t xml:space="preserve"> TL</w:t>
      </w:r>
      <w:r w:rsidR="00ED0092" w:rsidRPr="00D00722">
        <w:rPr>
          <w:rFonts w:ascii="Arial" w:hAnsi="Arial" w:cs="Arial"/>
          <w:lang w:val="tr-TR"/>
        </w:rPr>
        <w:t>)</w:t>
      </w:r>
    </w:p>
    <w:p w:rsidR="003B42C2" w:rsidRPr="00D00722" w:rsidRDefault="003B42C2">
      <w:pPr>
        <w:rPr>
          <w:rFonts w:ascii="Arial" w:hAnsi="Arial" w:cs="Arial"/>
          <w:lang w:val="tr-TR"/>
        </w:rPr>
      </w:pPr>
      <w:r w:rsidRPr="00D00722">
        <w:rPr>
          <w:rFonts w:ascii="Arial" w:hAnsi="Arial" w:cs="Arial"/>
          <w:lang w:val="tr-TR"/>
        </w:rPr>
        <w:br w:type="page"/>
      </w:r>
    </w:p>
    <w:p w:rsidR="00245BD3" w:rsidRPr="00D00722" w:rsidRDefault="00244A4A" w:rsidP="00AB7A8A">
      <w:pPr>
        <w:pStyle w:val="000normal"/>
        <w:autoSpaceDE w:val="0"/>
        <w:autoSpaceDN w:val="0"/>
        <w:adjustRightInd w:val="0"/>
        <w:spacing w:before="0" w:after="0" w:afterAutospacing="0"/>
        <w:rPr>
          <w:rFonts w:eastAsia="Times New Roman"/>
          <w:lang w:val="tr-TR"/>
        </w:rPr>
      </w:pPr>
      <w:r w:rsidRPr="00D00722">
        <w:rPr>
          <w:rFonts w:eastAsia="Times New Roman"/>
          <w:b/>
          <w:lang w:val="tr-TR"/>
        </w:rPr>
        <w:t>11</w:t>
      </w:r>
      <w:r w:rsidR="00245BD3" w:rsidRPr="00D00722">
        <w:rPr>
          <w:rFonts w:eastAsia="Times New Roman"/>
          <w:lang w:val="tr-TR"/>
        </w:rPr>
        <w:t>.</w:t>
      </w:r>
      <w:r w:rsidR="00245BD3" w:rsidRPr="00D00722">
        <w:rPr>
          <w:rFonts w:eastAsia="Times New Roman"/>
          <w:lang w:val="tr-TR"/>
        </w:rPr>
        <w:tab/>
      </w:r>
      <w:r w:rsidR="007C3C7C" w:rsidRPr="00D00722">
        <w:rPr>
          <w:rFonts w:eastAsia="Times New Roman"/>
          <w:b/>
          <w:lang w:val="tr-TR"/>
        </w:rPr>
        <w:t>Maddi olmayan duran varlıklar</w:t>
      </w:r>
      <w:r w:rsidR="00245BD3" w:rsidRPr="00D00722">
        <w:rPr>
          <w:rFonts w:eastAsia="Times New Roman"/>
          <w:lang w:val="tr-TR"/>
        </w:rPr>
        <w:t xml:space="preserve"> </w:t>
      </w:r>
    </w:p>
    <w:p w:rsidR="00D9040F" w:rsidRPr="00D00722" w:rsidRDefault="00D9040F" w:rsidP="00D9040F">
      <w:pPr>
        <w:ind w:right="-1"/>
        <w:jc w:val="both"/>
        <w:rPr>
          <w:rFonts w:ascii="Arial" w:hAnsi="Arial" w:cs="Arial"/>
          <w:lang w:val="tr-TR"/>
        </w:rPr>
      </w:pPr>
    </w:p>
    <w:tbl>
      <w:tblPr>
        <w:tblW w:w="9072" w:type="dxa"/>
        <w:tblInd w:w="54" w:type="dxa"/>
        <w:tblLayout w:type="fixed"/>
        <w:tblCellMar>
          <w:left w:w="54" w:type="dxa"/>
          <w:right w:w="54" w:type="dxa"/>
        </w:tblCellMar>
        <w:tblLook w:val="0000"/>
      </w:tblPr>
      <w:tblGrid>
        <w:gridCol w:w="5529"/>
        <w:gridCol w:w="1701"/>
        <w:gridCol w:w="1842"/>
      </w:tblGrid>
      <w:tr w:rsidR="002B5FEF" w:rsidRPr="00D00722" w:rsidTr="002B5FEF">
        <w:trPr>
          <w:trHeight w:val="113"/>
        </w:trPr>
        <w:tc>
          <w:tcPr>
            <w:tcW w:w="5529" w:type="dxa"/>
            <w:tcBorders>
              <w:top w:val="single" w:sz="4" w:space="0" w:color="auto"/>
              <w:bottom w:val="single" w:sz="4" w:space="0" w:color="auto"/>
            </w:tcBorders>
            <w:vAlign w:val="bottom"/>
          </w:tcPr>
          <w:p w:rsidR="002B5FEF" w:rsidRPr="00D00722" w:rsidRDefault="002B5FEF" w:rsidP="002B5FEF">
            <w:pPr>
              <w:rPr>
                <w:rFonts w:ascii="Arial" w:hAnsi="Arial" w:cs="Arial"/>
                <w:lang w:val="tr-TR"/>
              </w:rPr>
            </w:pPr>
          </w:p>
          <w:p w:rsidR="002B5FEF" w:rsidRPr="00D00722" w:rsidRDefault="002B5FEF" w:rsidP="002B5FEF">
            <w:pPr>
              <w:rPr>
                <w:rFonts w:ascii="Arial" w:hAnsi="Arial" w:cs="Arial"/>
                <w:lang w:val="tr-TR"/>
              </w:rPr>
            </w:pPr>
          </w:p>
        </w:tc>
        <w:tc>
          <w:tcPr>
            <w:tcW w:w="1701" w:type="dxa"/>
            <w:tcBorders>
              <w:top w:val="single" w:sz="4" w:space="0" w:color="auto"/>
              <w:bottom w:val="single" w:sz="4" w:space="0" w:color="auto"/>
            </w:tcBorders>
            <w:vAlign w:val="bottom"/>
          </w:tcPr>
          <w:p w:rsidR="002B5FEF" w:rsidRPr="00D00722" w:rsidRDefault="002B5FEF" w:rsidP="002B5FEF">
            <w:pPr>
              <w:ind w:right="47"/>
              <w:jc w:val="right"/>
              <w:rPr>
                <w:rFonts w:ascii="Arial" w:hAnsi="Arial" w:cs="Arial"/>
                <w:b/>
                <w:lang w:val="tr-TR"/>
              </w:rPr>
            </w:pPr>
            <w:r w:rsidRPr="00D00722">
              <w:rPr>
                <w:rFonts w:ascii="Arial" w:hAnsi="Arial" w:cs="Arial"/>
                <w:b/>
                <w:lang w:val="tr-TR"/>
              </w:rPr>
              <w:t>Bigisayar</w:t>
            </w:r>
          </w:p>
          <w:p w:rsidR="002B5FEF" w:rsidRPr="00D00722" w:rsidRDefault="002B5FEF" w:rsidP="002B5FEF">
            <w:pPr>
              <w:ind w:right="47"/>
              <w:jc w:val="right"/>
              <w:rPr>
                <w:rFonts w:ascii="Arial" w:hAnsi="Arial" w:cs="Arial"/>
                <w:b/>
                <w:lang w:val="tr-TR"/>
              </w:rPr>
            </w:pPr>
            <w:r w:rsidRPr="00D00722">
              <w:rPr>
                <w:rFonts w:ascii="Arial" w:hAnsi="Arial" w:cs="Arial"/>
                <w:b/>
                <w:lang w:val="tr-TR"/>
              </w:rPr>
              <w:t>programları</w:t>
            </w:r>
          </w:p>
        </w:tc>
        <w:tc>
          <w:tcPr>
            <w:tcW w:w="1842" w:type="dxa"/>
            <w:tcBorders>
              <w:top w:val="single" w:sz="4" w:space="0" w:color="auto"/>
              <w:bottom w:val="single" w:sz="4" w:space="0" w:color="auto"/>
            </w:tcBorders>
            <w:vAlign w:val="bottom"/>
          </w:tcPr>
          <w:p w:rsidR="002B5FEF" w:rsidRPr="00D00722" w:rsidRDefault="002B5FEF" w:rsidP="002B5FEF">
            <w:pPr>
              <w:jc w:val="right"/>
              <w:rPr>
                <w:rFonts w:ascii="Arial" w:hAnsi="Arial" w:cs="Arial"/>
                <w:b/>
                <w:lang w:val="tr-TR"/>
              </w:rPr>
            </w:pPr>
            <w:r w:rsidRPr="00D00722">
              <w:rPr>
                <w:rFonts w:ascii="Arial" w:hAnsi="Arial" w:cs="Arial"/>
                <w:b/>
                <w:lang w:val="tr-TR"/>
              </w:rPr>
              <w:t>Toplam</w:t>
            </w:r>
          </w:p>
        </w:tc>
      </w:tr>
      <w:tr w:rsidR="002B5FEF" w:rsidRPr="00D00722" w:rsidTr="002B5FEF">
        <w:trPr>
          <w:trHeight w:val="113"/>
        </w:trPr>
        <w:tc>
          <w:tcPr>
            <w:tcW w:w="5529" w:type="dxa"/>
            <w:tcBorders>
              <w:top w:val="single" w:sz="4" w:space="0" w:color="auto"/>
            </w:tcBorders>
            <w:vAlign w:val="bottom"/>
          </w:tcPr>
          <w:p w:rsidR="002B5FEF" w:rsidRPr="00D00722" w:rsidRDefault="002B5FEF" w:rsidP="002B5FEF">
            <w:pPr>
              <w:rPr>
                <w:rFonts w:ascii="Arial" w:hAnsi="Arial" w:cs="Arial"/>
                <w:lang w:val="tr-TR"/>
              </w:rPr>
            </w:pPr>
          </w:p>
        </w:tc>
        <w:tc>
          <w:tcPr>
            <w:tcW w:w="1701" w:type="dxa"/>
            <w:tcBorders>
              <w:top w:val="single" w:sz="4" w:space="0" w:color="auto"/>
            </w:tcBorders>
            <w:vAlign w:val="bottom"/>
          </w:tcPr>
          <w:p w:rsidR="002B5FEF" w:rsidRPr="00D00722" w:rsidRDefault="002B5FEF" w:rsidP="002B5FEF">
            <w:pPr>
              <w:ind w:right="47"/>
              <w:jc w:val="right"/>
              <w:rPr>
                <w:rFonts w:ascii="Arial" w:hAnsi="Arial" w:cs="Arial"/>
                <w:b/>
                <w:lang w:val="tr-TR"/>
              </w:rPr>
            </w:pPr>
          </w:p>
        </w:tc>
        <w:tc>
          <w:tcPr>
            <w:tcW w:w="1842" w:type="dxa"/>
            <w:tcBorders>
              <w:top w:val="single" w:sz="4" w:space="0" w:color="auto"/>
            </w:tcBorders>
            <w:vAlign w:val="bottom"/>
          </w:tcPr>
          <w:p w:rsidR="002B5FEF" w:rsidRPr="00D00722" w:rsidRDefault="002B5FEF" w:rsidP="002B5FEF">
            <w:pPr>
              <w:ind w:right="47"/>
              <w:jc w:val="right"/>
              <w:rPr>
                <w:rFonts w:ascii="Arial" w:hAnsi="Arial" w:cs="Arial"/>
                <w:b/>
                <w:lang w:val="tr-TR"/>
              </w:rPr>
            </w:pPr>
          </w:p>
        </w:tc>
      </w:tr>
      <w:tr w:rsidR="002B5FEF" w:rsidRPr="00D00722" w:rsidTr="002B5FEF">
        <w:trPr>
          <w:trHeight w:val="113"/>
        </w:trPr>
        <w:tc>
          <w:tcPr>
            <w:tcW w:w="5529" w:type="dxa"/>
            <w:vAlign w:val="bottom"/>
          </w:tcPr>
          <w:p w:rsidR="002B5FEF" w:rsidRPr="00D00722" w:rsidRDefault="002B5FEF" w:rsidP="002B5FEF">
            <w:pPr>
              <w:rPr>
                <w:rFonts w:ascii="Arial" w:eastAsia="Calibri" w:hAnsi="Arial" w:cs="Arial"/>
                <w:b/>
                <w:sz w:val="22"/>
                <w:szCs w:val="22"/>
                <w:lang w:val="tr-TR"/>
              </w:rPr>
            </w:pPr>
            <w:r w:rsidRPr="00D00722">
              <w:rPr>
                <w:rFonts w:ascii="Arial" w:hAnsi="Arial" w:cs="Arial"/>
                <w:b/>
                <w:lang w:val="tr-TR"/>
              </w:rPr>
              <w:t>Maliyet değeri</w:t>
            </w:r>
          </w:p>
        </w:tc>
        <w:tc>
          <w:tcPr>
            <w:tcW w:w="1701" w:type="dxa"/>
            <w:vAlign w:val="bottom"/>
          </w:tcPr>
          <w:p w:rsidR="002B5FEF" w:rsidRPr="00D00722" w:rsidRDefault="002B5FEF" w:rsidP="002B5FEF">
            <w:pPr>
              <w:jc w:val="right"/>
              <w:rPr>
                <w:rFonts w:ascii="Arial" w:hAnsi="Arial" w:cs="Arial"/>
                <w:b/>
                <w:bCs/>
                <w:color w:val="000000"/>
              </w:rPr>
            </w:pPr>
          </w:p>
        </w:tc>
        <w:tc>
          <w:tcPr>
            <w:tcW w:w="1842" w:type="dxa"/>
            <w:vAlign w:val="bottom"/>
          </w:tcPr>
          <w:p w:rsidR="002B5FEF" w:rsidRPr="00D00722" w:rsidRDefault="002B5FEF" w:rsidP="002B5FEF">
            <w:pPr>
              <w:jc w:val="right"/>
              <w:rPr>
                <w:rFonts w:ascii="Arial" w:hAnsi="Arial" w:cs="Arial"/>
                <w:b/>
                <w:bCs/>
                <w:color w:val="000000"/>
              </w:rPr>
            </w:pPr>
          </w:p>
        </w:tc>
      </w:tr>
      <w:tr w:rsidR="002B5FEF" w:rsidRPr="00D00722" w:rsidTr="002B5FEF">
        <w:trPr>
          <w:trHeight w:val="113"/>
        </w:trPr>
        <w:tc>
          <w:tcPr>
            <w:tcW w:w="5529" w:type="dxa"/>
            <w:vAlign w:val="bottom"/>
          </w:tcPr>
          <w:p w:rsidR="002B5FEF" w:rsidRPr="00D00722" w:rsidRDefault="002B5FEF" w:rsidP="002B5FEF">
            <w:pPr>
              <w:rPr>
                <w:rFonts w:ascii="Arial" w:eastAsia="Calibri" w:hAnsi="Arial" w:cs="Arial"/>
                <w:b/>
                <w:sz w:val="22"/>
                <w:szCs w:val="22"/>
                <w:lang w:val="tr-TR"/>
              </w:rPr>
            </w:pPr>
            <w:r w:rsidRPr="00D00722">
              <w:rPr>
                <w:rFonts w:ascii="Arial" w:hAnsi="Arial" w:cs="Arial"/>
                <w:b/>
                <w:lang w:val="tr-TR"/>
              </w:rPr>
              <w:t>1 Ocak 2014 açılış bakiyesi</w:t>
            </w:r>
          </w:p>
        </w:tc>
        <w:tc>
          <w:tcPr>
            <w:tcW w:w="1701" w:type="dxa"/>
            <w:vAlign w:val="bottom"/>
          </w:tcPr>
          <w:p w:rsidR="002B5FEF" w:rsidRPr="00D00722" w:rsidRDefault="00456014" w:rsidP="002B5FEF">
            <w:pPr>
              <w:jc w:val="right"/>
              <w:rPr>
                <w:rFonts w:ascii="Arial" w:eastAsia="Calibri" w:hAnsi="Arial" w:cs="Arial"/>
                <w:b/>
                <w:bCs/>
                <w:color w:val="000000"/>
                <w:sz w:val="22"/>
                <w:szCs w:val="22"/>
                <w:lang w:val="tr-TR"/>
              </w:rPr>
            </w:pPr>
            <w:r w:rsidRPr="00D00722">
              <w:rPr>
                <w:rFonts w:ascii="Arial" w:eastAsia="Calibri" w:hAnsi="Arial" w:cs="Arial"/>
                <w:b/>
                <w:bCs/>
                <w:color w:val="000000"/>
                <w:sz w:val="22"/>
                <w:szCs w:val="22"/>
                <w:lang w:val="tr-TR"/>
              </w:rPr>
              <w:t>26.839</w:t>
            </w:r>
          </w:p>
        </w:tc>
        <w:tc>
          <w:tcPr>
            <w:tcW w:w="1842" w:type="dxa"/>
            <w:vAlign w:val="bottom"/>
          </w:tcPr>
          <w:p w:rsidR="002B5FEF" w:rsidRPr="00D00722" w:rsidRDefault="00456014" w:rsidP="002B5FEF">
            <w:pPr>
              <w:jc w:val="right"/>
              <w:rPr>
                <w:rFonts w:ascii="Arial" w:eastAsia="Calibri" w:hAnsi="Arial" w:cs="Arial"/>
                <w:b/>
                <w:bCs/>
                <w:color w:val="000000"/>
                <w:sz w:val="22"/>
                <w:szCs w:val="22"/>
                <w:lang w:val="tr-TR"/>
              </w:rPr>
            </w:pPr>
            <w:r w:rsidRPr="00D00722">
              <w:rPr>
                <w:rFonts w:ascii="Arial" w:eastAsia="Calibri" w:hAnsi="Arial" w:cs="Arial"/>
                <w:b/>
                <w:bCs/>
                <w:color w:val="000000"/>
                <w:sz w:val="22"/>
                <w:szCs w:val="22"/>
                <w:lang w:val="tr-TR"/>
              </w:rPr>
              <w:t>26.839</w:t>
            </w:r>
          </w:p>
        </w:tc>
      </w:tr>
      <w:tr w:rsidR="002B5FEF" w:rsidRPr="00D00722" w:rsidTr="002B5FEF">
        <w:trPr>
          <w:trHeight w:val="113"/>
        </w:trPr>
        <w:tc>
          <w:tcPr>
            <w:tcW w:w="5529" w:type="dxa"/>
            <w:vAlign w:val="bottom"/>
          </w:tcPr>
          <w:p w:rsidR="002B5FEF" w:rsidRPr="00D00722" w:rsidRDefault="002B5FEF" w:rsidP="002B5FEF">
            <w:pPr>
              <w:rPr>
                <w:rFonts w:ascii="Arial" w:eastAsia="Calibri" w:hAnsi="Arial" w:cs="Arial"/>
                <w:b/>
                <w:sz w:val="22"/>
                <w:szCs w:val="22"/>
                <w:lang w:val="tr-TR"/>
              </w:rPr>
            </w:pPr>
            <w:r w:rsidRPr="00D00722">
              <w:rPr>
                <w:rFonts w:ascii="Arial" w:hAnsi="Arial" w:cs="Arial"/>
                <w:b/>
                <w:lang w:val="tr-TR"/>
              </w:rPr>
              <w:t>Alımlar (*)</w:t>
            </w:r>
          </w:p>
        </w:tc>
        <w:tc>
          <w:tcPr>
            <w:tcW w:w="1701" w:type="dxa"/>
            <w:vAlign w:val="bottom"/>
          </w:tcPr>
          <w:p w:rsidR="002B5FEF" w:rsidRPr="00D00722" w:rsidRDefault="00456014" w:rsidP="002B5FEF">
            <w:pPr>
              <w:jc w:val="right"/>
              <w:rPr>
                <w:rFonts w:ascii="Arial" w:eastAsia="Calibri" w:hAnsi="Arial" w:cs="Arial"/>
                <w:b/>
                <w:bCs/>
                <w:color w:val="000000"/>
                <w:sz w:val="22"/>
                <w:szCs w:val="22"/>
                <w:lang w:val="tr-TR"/>
              </w:rPr>
            </w:pPr>
            <w:r w:rsidRPr="00D00722">
              <w:rPr>
                <w:rFonts w:ascii="Arial" w:eastAsia="Calibri" w:hAnsi="Arial" w:cs="Arial"/>
                <w:b/>
                <w:bCs/>
                <w:color w:val="000000"/>
                <w:sz w:val="22"/>
                <w:szCs w:val="22"/>
                <w:lang w:val="tr-TR"/>
              </w:rPr>
              <w:t>-</w:t>
            </w:r>
          </w:p>
        </w:tc>
        <w:tc>
          <w:tcPr>
            <w:tcW w:w="1842" w:type="dxa"/>
            <w:vAlign w:val="bottom"/>
          </w:tcPr>
          <w:p w:rsidR="002B5FEF" w:rsidRPr="00D00722" w:rsidRDefault="00456014" w:rsidP="002B5FEF">
            <w:pPr>
              <w:jc w:val="right"/>
              <w:rPr>
                <w:rFonts w:ascii="Arial" w:eastAsia="Calibri" w:hAnsi="Arial" w:cs="Arial"/>
                <w:b/>
                <w:bCs/>
                <w:color w:val="000000"/>
                <w:sz w:val="22"/>
                <w:szCs w:val="22"/>
                <w:lang w:val="tr-TR"/>
              </w:rPr>
            </w:pPr>
            <w:r w:rsidRPr="00D00722">
              <w:rPr>
                <w:rFonts w:ascii="Arial" w:eastAsia="Calibri" w:hAnsi="Arial" w:cs="Arial"/>
                <w:b/>
                <w:bCs/>
                <w:color w:val="000000"/>
                <w:sz w:val="22"/>
                <w:szCs w:val="22"/>
                <w:lang w:val="tr-TR"/>
              </w:rPr>
              <w:t>-</w:t>
            </w:r>
          </w:p>
        </w:tc>
      </w:tr>
      <w:tr w:rsidR="002B5FEF" w:rsidRPr="00D00722" w:rsidTr="002B5FEF">
        <w:trPr>
          <w:trHeight w:val="113"/>
        </w:trPr>
        <w:tc>
          <w:tcPr>
            <w:tcW w:w="5529" w:type="dxa"/>
            <w:tcBorders>
              <w:bottom w:val="single" w:sz="4" w:space="0" w:color="auto"/>
            </w:tcBorders>
            <w:vAlign w:val="bottom"/>
          </w:tcPr>
          <w:p w:rsidR="002B5FEF" w:rsidRPr="00D00722" w:rsidRDefault="002B5FEF" w:rsidP="002B5FEF">
            <w:pPr>
              <w:rPr>
                <w:rFonts w:ascii="Arial" w:hAnsi="Arial" w:cs="Arial"/>
                <w:b/>
                <w:lang w:val="tr-TR"/>
              </w:rPr>
            </w:pPr>
          </w:p>
        </w:tc>
        <w:tc>
          <w:tcPr>
            <w:tcW w:w="1701" w:type="dxa"/>
            <w:tcBorders>
              <w:bottom w:val="single" w:sz="4" w:space="0" w:color="auto"/>
            </w:tcBorders>
            <w:vAlign w:val="bottom"/>
          </w:tcPr>
          <w:p w:rsidR="002B5FEF" w:rsidRPr="00D00722" w:rsidRDefault="002B5FEF" w:rsidP="002B5FEF">
            <w:pPr>
              <w:jc w:val="right"/>
              <w:rPr>
                <w:rFonts w:ascii="Arial" w:hAnsi="Arial" w:cs="Arial"/>
                <w:b/>
                <w:bCs/>
                <w:color w:val="000000"/>
                <w:sz w:val="22"/>
                <w:szCs w:val="22"/>
              </w:rPr>
            </w:pPr>
          </w:p>
        </w:tc>
        <w:tc>
          <w:tcPr>
            <w:tcW w:w="1842" w:type="dxa"/>
            <w:tcBorders>
              <w:bottom w:val="single" w:sz="4" w:space="0" w:color="auto"/>
            </w:tcBorders>
            <w:vAlign w:val="bottom"/>
          </w:tcPr>
          <w:p w:rsidR="002B5FEF" w:rsidRPr="00D00722" w:rsidRDefault="002B5FEF" w:rsidP="002B5FEF">
            <w:pPr>
              <w:jc w:val="right"/>
              <w:rPr>
                <w:rFonts w:ascii="Arial" w:hAnsi="Arial" w:cs="Arial"/>
                <w:b/>
                <w:bCs/>
                <w:color w:val="000000"/>
                <w:sz w:val="22"/>
                <w:szCs w:val="22"/>
              </w:rPr>
            </w:pPr>
          </w:p>
        </w:tc>
      </w:tr>
      <w:tr w:rsidR="002B5FEF" w:rsidRPr="00D00722" w:rsidTr="002B5FEF">
        <w:trPr>
          <w:trHeight w:val="113"/>
        </w:trPr>
        <w:tc>
          <w:tcPr>
            <w:tcW w:w="5529" w:type="dxa"/>
            <w:tcBorders>
              <w:top w:val="single" w:sz="4" w:space="0" w:color="auto"/>
              <w:bottom w:val="single" w:sz="4" w:space="0" w:color="auto"/>
            </w:tcBorders>
            <w:vAlign w:val="bottom"/>
          </w:tcPr>
          <w:p w:rsidR="002B5FEF" w:rsidRPr="00D00722" w:rsidRDefault="002B5FEF" w:rsidP="002B5FEF">
            <w:pPr>
              <w:rPr>
                <w:rFonts w:ascii="Arial" w:eastAsia="Calibri" w:hAnsi="Arial" w:cs="Arial"/>
                <w:b/>
                <w:sz w:val="22"/>
                <w:szCs w:val="22"/>
                <w:lang w:val="tr-TR"/>
              </w:rPr>
            </w:pPr>
            <w:r w:rsidRPr="00D00722">
              <w:rPr>
                <w:rFonts w:ascii="Arial" w:hAnsi="Arial" w:cs="Arial"/>
                <w:b/>
                <w:lang w:val="tr-TR"/>
              </w:rPr>
              <w:t>31 Mart 2014 kapanış bakiyesi</w:t>
            </w:r>
          </w:p>
        </w:tc>
        <w:tc>
          <w:tcPr>
            <w:tcW w:w="1701" w:type="dxa"/>
            <w:tcBorders>
              <w:top w:val="single" w:sz="4" w:space="0" w:color="auto"/>
              <w:bottom w:val="single" w:sz="4" w:space="0" w:color="auto"/>
            </w:tcBorders>
            <w:vAlign w:val="bottom"/>
          </w:tcPr>
          <w:p w:rsidR="002B5FEF" w:rsidRPr="00D00722" w:rsidRDefault="00456014" w:rsidP="002B5FEF">
            <w:pPr>
              <w:jc w:val="right"/>
              <w:rPr>
                <w:rFonts w:ascii="Arial" w:eastAsia="Calibri" w:hAnsi="Arial" w:cs="Arial"/>
                <w:b/>
                <w:bCs/>
                <w:color w:val="000000"/>
                <w:sz w:val="22"/>
                <w:szCs w:val="22"/>
                <w:lang w:val="tr-TR"/>
              </w:rPr>
            </w:pPr>
            <w:r w:rsidRPr="00D00722">
              <w:rPr>
                <w:rFonts w:ascii="Arial" w:eastAsia="Calibri" w:hAnsi="Arial" w:cs="Arial"/>
                <w:b/>
                <w:bCs/>
                <w:color w:val="000000"/>
                <w:sz w:val="22"/>
                <w:szCs w:val="22"/>
                <w:lang w:val="tr-TR"/>
              </w:rPr>
              <w:t>26.839</w:t>
            </w:r>
          </w:p>
        </w:tc>
        <w:tc>
          <w:tcPr>
            <w:tcW w:w="1842" w:type="dxa"/>
            <w:tcBorders>
              <w:top w:val="single" w:sz="4" w:space="0" w:color="auto"/>
              <w:bottom w:val="single" w:sz="4" w:space="0" w:color="auto"/>
            </w:tcBorders>
            <w:vAlign w:val="bottom"/>
          </w:tcPr>
          <w:p w:rsidR="002B5FEF" w:rsidRPr="00D00722" w:rsidRDefault="00456014" w:rsidP="002B5FEF">
            <w:pPr>
              <w:jc w:val="right"/>
              <w:rPr>
                <w:rFonts w:ascii="Arial" w:eastAsia="Calibri" w:hAnsi="Arial" w:cs="Arial"/>
                <w:b/>
                <w:bCs/>
                <w:color w:val="000000"/>
                <w:sz w:val="22"/>
                <w:szCs w:val="22"/>
                <w:lang w:val="tr-TR"/>
              </w:rPr>
            </w:pPr>
            <w:r w:rsidRPr="00D00722">
              <w:rPr>
                <w:rFonts w:ascii="Arial" w:eastAsia="Calibri" w:hAnsi="Arial" w:cs="Arial"/>
                <w:b/>
                <w:bCs/>
                <w:color w:val="000000"/>
                <w:sz w:val="22"/>
                <w:szCs w:val="22"/>
                <w:lang w:val="tr-TR"/>
              </w:rPr>
              <w:t>26.839</w:t>
            </w:r>
          </w:p>
        </w:tc>
      </w:tr>
      <w:tr w:rsidR="002B5FEF" w:rsidRPr="00D00722" w:rsidTr="002B5FEF">
        <w:trPr>
          <w:trHeight w:val="113"/>
        </w:trPr>
        <w:tc>
          <w:tcPr>
            <w:tcW w:w="5529" w:type="dxa"/>
            <w:tcBorders>
              <w:top w:val="single" w:sz="4" w:space="0" w:color="auto"/>
            </w:tcBorders>
            <w:vAlign w:val="bottom"/>
          </w:tcPr>
          <w:p w:rsidR="002B5FEF" w:rsidRPr="00D00722" w:rsidRDefault="002B5FEF" w:rsidP="002B5FEF">
            <w:pPr>
              <w:rPr>
                <w:rFonts w:ascii="Arial" w:hAnsi="Arial" w:cs="Arial"/>
                <w:b/>
                <w:lang w:val="tr-TR"/>
              </w:rPr>
            </w:pPr>
          </w:p>
        </w:tc>
        <w:tc>
          <w:tcPr>
            <w:tcW w:w="1701" w:type="dxa"/>
            <w:tcBorders>
              <w:top w:val="single" w:sz="4" w:space="0" w:color="auto"/>
            </w:tcBorders>
            <w:vAlign w:val="bottom"/>
          </w:tcPr>
          <w:p w:rsidR="002B5FEF" w:rsidRPr="00D00722" w:rsidRDefault="002B5FEF" w:rsidP="002B5FEF">
            <w:pPr>
              <w:jc w:val="right"/>
              <w:rPr>
                <w:rFonts w:ascii="Arial" w:hAnsi="Arial" w:cs="Arial"/>
                <w:b/>
                <w:bCs/>
                <w:color w:val="000000"/>
                <w:sz w:val="22"/>
                <w:szCs w:val="22"/>
              </w:rPr>
            </w:pPr>
          </w:p>
        </w:tc>
        <w:tc>
          <w:tcPr>
            <w:tcW w:w="1842" w:type="dxa"/>
            <w:tcBorders>
              <w:top w:val="single" w:sz="4" w:space="0" w:color="auto"/>
            </w:tcBorders>
            <w:vAlign w:val="bottom"/>
          </w:tcPr>
          <w:p w:rsidR="002B5FEF" w:rsidRPr="00D00722" w:rsidRDefault="002B5FEF" w:rsidP="002B5FEF">
            <w:pPr>
              <w:jc w:val="right"/>
              <w:rPr>
                <w:rFonts w:ascii="Arial" w:hAnsi="Arial" w:cs="Arial"/>
                <w:b/>
                <w:bCs/>
                <w:color w:val="000000"/>
                <w:sz w:val="22"/>
                <w:szCs w:val="22"/>
              </w:rPr>
            </w:pPr>
          </w:p>
        </w:tc>
      </w:tr>
      <w:tr w:rsidR="002B5FEF" w:rsidRPr="00D00722" w:rsidTr="002B5FEF">
        <w:trPr>
          <w:trHeight w:val="113"/>
        </w:trPr>
        <w:tc>
          <w:tcPr>
            <w:tcW w:w="5529" w:type="dxa"/>
            <w:vAlign w:val="bottom"/>
          </w:tcPr>
          <w:p w:rsidR="002B5FEF" w:rsidRPr="00D00722" w:rsidRDefault="002B5FEF" w:rsidP="002B5FEF">
            <w:pPr>
              <w:rPr>
                <w:rFonts w:ascii="Arial" w:eastAsia="Calibri" w:hAnsi="Arial" w:cs="Arial"/>
                <w:b/>
                <w:sz w:val="22"/>
                <w:szCs w:val="22"/>
                <w:lang w:val="tr-TR"/>
              </w:rPr>
            </w:pPr>
            <w:r w:rsidRPr="00D00722">
              <w:rPr>
                <w:rFonts w:ascii="Arial" w:hAnsi="Arial" w:cs="Arial"/>
                <w:b/>
                <w:lang w:val="tr-TR"/>
              </w:rPr>
              <w:t>Birikmiş amortismanlar</w:t>
            </w:r>
          </w:p>
        </w:tc>
        <w:tc>
          <w:tcPr>
            <w:tcW w:w="1701" w:type="dxa"/>
            <w:vAlign w:val="bottom"/>
          </w:tcPr>
          <w:p w:rsidR="002B5FEF" w:rsidRPr="00D00722" w:rsidRDefault="002B5FEF" w:rsidP="002B5FEF">
            <w:pPr>
              <w:jc w:val="right"/>
              <w:rPr>
                <w:rFonts w:ascii="Arial" w:hAnsi="Arial" w:cs="Arial"/>
                <w:b/>
                <w:bCs/>
                <w:color w:val="000000"/>
                <w:sz w:val="22"/>
                <w:szCs w:val="22"/>
              </w:rPr>
            </w:pPr>
          </w:p>
        </w:tc>
        <w:tc>
          <w:tcPr>
            <w:tcW w:w="1842" w:type="dxa"/>
            <w:vAlign w:val="bottom"/>
          </w:tcPr>
          <w:p w:rsidR="002B5FEF" w:rsidRPr="00D00722" w:rsidRDefault="002B5FEF" w:rsidP="002B5FEF">
            <w:pPr>
              <w:jc w:val="right"/>
              <w:rPr>
                <w:rFonts w:ascii="Arial" w:hAnsi="Arial" w:cs="Arial"/>
                <w:b/>
                <w:bCs/>
                <w:color w:val="000000"/>
                <w:sz w:val="22"/>
                <w:szCs w:val="22"/>
              </w:rPr>
            </w:pPr>
          </w:p>
        </w:tc>
      </w:tr>
      <w:tr w:rsidR="00456014" w:rsidRPr="00D00722" w:rsidTr="002B5FEF">
        <w:trPr>
          <w:trHeight w:val="113"/>
        </w:trPr>
        <w:tc>
          <w:tcPr>
            <w:tcW w:w="5529" w:type="dxa"/>
            <w:vAlign w:val="bottom"/>
          </w:tcPr>
          <w:p w:rsidR="00456014" w:rsidRPr="00D00722" w:rsidRDefault="00456014" w:rsidP="002B5FEF">
            <w:pPr>
              <w:rPr>
                <w:rFonts w:ascii="Arial" w:eastAsia="Calibri" w:hAnsi="Arial" w:cs="Arial"/>
                <w:b/>
                <w:sz w:val="22"/>
                <w:szCs w:val="22"/>
                <w:lang w:val="tr-TR"/>
              </w:rPr>
            </w:pPr>
            <w:r w:rsidRPr="00D00722">
              <w:rPr>
                <w:rFonts w:ascii="Arial" w:hAnsi="Arial" w:cs="Arial"/>
                <w:b/>
                <w:lang w:val="tr-TR"/>
              </w:rPr>
              <w:t>1 Ocak 2014 açılış bakiyesi</w:t>
            </w:r>
          </w:p>
        </w:tc>
        <w:tc>
          <w:tcPr>
            <w:tcW w:w="1701" w:type="dxa"/>
            <w:vAlign w:val="bottom"/>
          </w:tcPr>
          <w:p w:rsidR="00456014" w:rsidRPr="00D00722" w:rsidRDefault="00456014" w:rsidP="003779D1">
            <w:pPr>
              <w:jc w:val="right"/>
              <w:rPr>
                <w:rFonts w:ascii="Arial" w:hAnsi="Arial" w:cs="Arial"/>
                <w:b/>
                <w:bCs/>
                <w:color w:val="000000"/>
                <w:sz w:val="22"/>
                <w:szCs w:val="22"/>
              </w:rPr>
            </w:pPr>
            <w:r w:rsidRPr="00D00722">
              <w:rPr>
                <w:rFonts w:ascii="Arial" w:hAnsi="Arial" w:cs="Arial"/>
                <w:b/>
                <w:bCs/>
                <w:color w:val="000000"/>
                <w:sz w:val="22"/>
                <w:szCs w:val="22"/>
              </w:rPr>
              <w:t>(5.350)</w:t>
            </w:r>
          </w:p>
        </w:tc>
        <w:tc>
          <w:tcPr>
            <w:tcW w:w="1842" w:type="dxa"/>
            <w:vAlign w:val="bottom"/>
          </w:tcPr>
          <w:p w:rsidR="00456014" w:rsidRPr="00D00722" w:rsidRDefault="00456014" w:rsidP="003779D1">
            <w:pPr>
              <w:jc w:val="right"/>
              <w:rPr>
                <w:rFonts w:ascii="Arial" w:hAnsi="Arial" w:cs="Arial"/>
                <w:b/>
                <w:bCs/>
                <w:color w:val="000000"/>
                <w:sz w:val="22"/>
                <w:szCs w:val="22"/>
              </w:rPr>
            </w:pPr>
            <w:r w:rsidRPr="00D00722">
              <w:rPr>
                <w:rFonts w:ascii="Arial" w:hAnsi="Arial" w:cs="Arial"/>
                <w:b/>
                <w:bCs/>
                <w:color w:val="000000"/>
                <w:sz w:val="22"/>
                <w:szCs w:val="22"/>
              </w:rPr>
              <w:t>(5.350)</w:t>
            </w:r>
          </w:p>
        </w:tc>
      </w:tr>
      <w:tr w:rsidR="00456014" w:rsidRPr="00D00722" w:rsidTr="002B5FEF">
        <w:trPr>
          <w:trHeight w:val="113"/>
        </w:trPr>
        <w:tc>
          <w:tcPr>
            <w:tcW w:w="5529" w:type="dxa"/>
            <w:vAlign w:val="bottom"/>
          </w:tcPr>
          <w:p w:rsidR="00456014" w:rsidRPr="00D00722" w:rsidRDefault="00456014" w:rsidP="002B5FEF">
            <w:pPr>
              <w:rPr>
                <w:rFonts w:ascii="Arial" w:eastAsia="Calibri" w:hAnsi="Arial" w:cs="Arial"/>
                <w:b/>
                <w:sz w:val="22"/>
                <w:szCs w:val="22"/>
                <w:lang w:val="tr-TR"/>
              </w:rPr>
            </w:pPr>
            <w:r w:rsidRPr="00D00722">
              <w:rPr>
                <w:rFonts w:ascii="Arial" w:hAnsi="Arial" w:cs="Arial"/>
                <w:b/>
                <w:lang w:val="tr-TR"/>
              </w:rPr>
              <w:t>Dönem gideri</w:t>
            </w:r>
          </w:p>
        </w:tc>
        <w:tc>
          <w:tcPr>
            <w:tcW w:w="1701" w:type="dxa"/>
            <w:vAlign w:val="bottom"/>
          </w:tcPr>
          <w:p w:rsidR="00456014" w:rsidRPr="00D00722" w:rsidRDefault="00456014" w:rsidP="003779D1">
            <w:pPr>
              <w:jc w:val="right"/>
              <w:rPr>
                <w:rFonts w:ascii="Arial" w:eastAsia="Calibri" w:hAnsi="Arial" w:cs="Arial"/>
                <w:b/>
                <w:bCs/>
                <w:color w:val="000000"/>
                <w:sz w:val="22"/>
                <w:szCs w:val="22"/>
                <w:lang w:val="tr-TR"/>
              </w:rPr>
            </w:pPr>
            <w:r w:rsidRPr="00D00722">
              <w:rPr>
                <w:rFonts w:ascii="Arial" w:eastAsia="Calibri" w:hAnsi="Arial" w:cs="Arial"/>
                <w:b/>
                <w:bCs/>
                <w:color w:val="000000"/>
                <w:sz w:val="22"/>
                <w:szCs w:val="22"/>
                <w:lang w:val="tr-TR"/>
              </w:rPr>
              <w:t>(1.739)</w:t>
            </w:r>
          </w:p>
        </w:tc>
        <w:tc>
          <w:tcPr>
            <w:tcW w:w="1842" w:type="dxa"/>
            <w:vAlign w:val="bottom"/>
          </w:tcPr>
          <w:p w:rsidR="00456014" w:rsidRPr="00D00722" w:rsidRDefault="00456014" w:rsidP="003779D1">
            <w:pPr>
              <w:jc w:val="right"/>
              <w:rPr>
                <w:rFonts w:ascii="Arial" w:eastAsia="Calibri" w:hAnsi="Arial" w:cs="Arial"/>
                <w:b/>
                <w:bCs/>
                <w:color w:val="000000"/>
                <w:sz w:val="22"/>
                <w:szCs w:val="22"/>
                <w:lang w:val="tr-TR"/>
              </w:rPr>
            </w:pPr>
            <w:r w:rsidRPr="00D00722">
              <w:rPr>
                <w:rFonts w:ascii="Arial" w:eastAsia="Calibri" w:hAnsi="Arial" w:cs="Arial"/>
                <w:b/>
                <w:bCs/>
                <w:color w:val="000000"/>
                <w:sz w:val="22"/>
                <w:szCs w:val="22"/>
                <w:lang w:val="tr-TR"/>
              </w:rPr>
              <w:t>(1.739)</w:t>
            </w:r>
          </w:p>
        </w:tc>
      </w:tr>
      <w:tr w:rsidR="00456014" w:rsidRPr="00D00722" w:rsidTr="002B5FEF">
        <w:trPr>
          <w:trHeight w:val="113"/>
        </w:trPr>
        <w:tc>
          <w:tcPr>
            <w:tcW w:w="5529" w:type="dxa"/>
            <w:tcBorders>
              <w:bottom w:val="single" w:sz="4" w:space="0" w:color="auto"/>
            </w:tcBorders>
            <w:vAlign w:val="bottom"/>
          </w:tcPr>
          <w:p w:rsidR="00456014" w:rsidRPr="00D00722" w:rsidRDefault="00456014" w:rsidP="002B5FEF">
            <w:pPr>
              <w:rPr>
                <w:rFonts w:ascii="Arial" w:hAnsi="Arial" w:cs="Arial"/>
                <w:b/>
                <w:lang w:val="tr-TR"/>
              </w:rPr>
            </w:pPr>
          </w:p>
        </w:tc>
        <w:tc>
          <w:tcPr>
            <w:tcW w:w="1701" w:type="dxa"/>
            <w:tcBorders>
              <w:bottom w:val="single" w:sz="4" w:space="0" w:color="auto"/>
            </w:tcBorders>
            <w:vAlign w:val="bottom"/>
          </w:tcPr>
          <w:p w:rsidR="00456014" w:rsidRPr="00D00722" w:rsidRDefault="00456014" w:rsidP="002B5FEF">
            <w:pPr>
              <w:jc w:val="right"/>
              <w:rPr>
                <w:rFonts w:ascii="Arial" w:hAnsi="Arial" w:cs="Arial"/>
                <w:b/>
                <w:bCs/>
                <w:color w:val="000000"/>
              </w:rPr>
            </w:pPr>
          </w:p>
        </w:tc>
        <w:tc>
          <w:tcPr>
            <w:tcW w:w="1842" w:type="dxa"/>
            <w:tcBorders>
              <w:bottom w:val="single" w:sz="4" w:space="0" w:color="auto"/>
            </w:tcBorders>
            <w:vAlign w:val="bottom"/>
          </w:tcPr>
          <w:p w:rsidR="00456014" w:rsidRPr="00D00722" w:rsidRDefault="00456014" w:rsidP="002B5FEF">
            <w:pPr>
              <w:jc w:val="right"/>
              <w:rPr>
                <w:rFonts w:ascii="Arial" w:hAnsi="Arial" w:cs="Arial"/>
                <w:b/>
                <w:bCs/>
                <w:color w:val="000000"/>
              </w:rPr>
            </w:pPr>
          </w:p>
        </w:tc>
      </w:tr>
      <w:tr w:rsidR="00456014" w:rsidRPr="00D00722" w:rsidTr="002B5FEF">
        <w:trPr>
          <w:trHeight w:val="113"/>
        </w:trPr>
        <w:tc>
          <w:tcPr>
            <w:tcW w:w="5529" w:type="dxa"/>
            <w:tcBorders>
              <w:top w:val="single" w:sz="4" w:space="0" w:color="auto"/>
              <w:bottom w:val="single" w:sz="4" w:space="0" w:color="auto"/>
            </w:tcBorders>
            <w:vAlign w:val="bottom"/>
          </w:tcPr>
          <w:p w:rsidR="00456014" w:rsidRPr="00D00722" w:rsidRDefault="00456014" w:rsidP="002B5FEF">
            <w:pPr>
              <w:rPr>
                <w:rFonts w:ascii="Arial" w:eastAsia="Calibri" w:hAnsi="Arial" w:cs="Arial"/>
                <w:b/>
                <w:sz w:val="22"/>
                <w:szCs w:val="22"/>
                <w:lang w:val="tr-TR"/>
              </w:rPr>
            </w:pPr>
            <w:r w:rsidRPr="00D00722">
              <w:rPr>
                <w:rFonts w:ascii="Arial" w:hAnsi="Arial" w:cs="Arial"/>
                <w:b/>
                <w:lang w:val="tr-TR"/>
              </w:rPr>
              <w:t>31 Mart 2014 kapanış bakiyesi</w:t>
            </w:r>
          </w:p>
        </w:tc>
        <w:tc>
          <w:tcPr>
            <w:tcW w:w="1701" w:type="dxa"/>
            <w:tcBorders>
              <w:top w:val="single" w:sz="4" w:space="0" w:color="auto"/>
              <w:bottom w:val="single" w:sz="4" w:space="0" w:color="auto"/>
            </w:tcBorders>
            <w:vAlign w:val="bottom"/>
          </w:tcPr>
          <w:p w:rsidR="00456014" w:rsidRPr="00D00722" w:rsidRDefault="00456014" w:rsidP="002B5FEF">
            <w:pPr>
              <w:jc w:val="right"/>
              <w:rPr>
                <w:rFonts w:ascii="Arial" w:eastAsia="Calibri" w:hAnsi="Arial" w:cs="Arial"/>
                <w:b/>
                <w:bCs/>
                <w:color w:val="000000"/>
                <w:sz w:val="22"/>
                <w:szCs w:val="22"/>
                <w:lang w:val="tr-TR"/>
              </w:rPr>
            </w:pPr>
            <w:r w:rsidRPr="00D00722">
              <w:rPr>
                <w:rFonts w:ascii="Arial" w:eastAsia="Calibri" w:hAnsi="Arial" w:cs="Arial"/>
                <w:b/>
                <w:bCs/>
                <w:color w:val="000000"/>
                <w:sz w:val="22"/>
                <w:szCs w:val="22"/>
                <w:lang w:val="tr-TR"/>
              </w:rPr>
              <w:t>(7.089)</w:t>
            </w:r>
          </w:p>
        </w:tc>
        <w:tc>
          <w:tcPr>
            <w:tcW w:w="1842" w:type="dxa"/>
            <w:tcBorders>
              <w:top w:val="single" w:sz="4" w:space="0" w:color="auto"/>
              <w:bottom w:val="single" w:sz="4" w:space="0" w:color="auto"/>
            </w:tcBorders>
            <w:vAlign w:val="bottom"/>
          </w:tcPr>
          <w:p w:rsidR="00456014" w:rsidRPr="00D00722" w:rsidRDefault="00456014" w:rsidP="002B5FEF">
            <w:pPr>
              <w:jc w:val="right"/>
              <w:rPr>
                <w:rFonts w:ascii="Arial" w:eastAsia="Calibri" w:hAnsi="Arial" w:cs="Arial"/>
                <w:b/>
                <w:bCs/>
                <w:color w:val="000000"/>
                <w:sz w:val="22"/>
                <w:szCs w:val="22"/>
                <w:lang w:val="tr-TR"/>
              </w:rPr>
            </w:pPr>
            <w:r w:rsidRPr="00D00722">
              <w:rPr>
                <w:rFonts w:ascii="Arial" w:eastAsia="Calibri" w:hAnsi="Arial" w:cs="Arial"/>
                <w:b/>
                <w:bCs/>
                <w:color w:val="000000"/>
                <w:sz w:val="22"/>
                <w:szCs w:val="22"/>
                <w:lang w:val="tr-TR"/>
              </w:rPr>
              <w:t>(7.089)</w:t>
            </w:r>
          </w:p>
        </w:tc>
      </w:tr>
      <w:tr w:rsidR="00456014" w:rsidRPr="00D00722" w:rsidTr="002B5FEF">
        <w:trPr>
          <w:trHeight w:val="113"/>
        </w:trPr>
        <w:tc>
          <w:tcPr>
            <w:tcW w:w="5529" w:type="dxa"/>
            <w:tcBorders>
              <w:top w:val="single" w:sz="4" w:space="0" w:color="auto"/>
              <w:bottom w:val="single" w:sz="4" w:space="0" w:color="auto"/>
            </w:tcBorders>
            <w:vAlign w:val="bottom"/>
          </w:tcPr>
          <w:p w:rsidR="00456014" w:rsidRPr="00D00722" w:rsidRDefault="00456014" w:rsidP="002B5FEF">
            <w:pPr>
              <w:rPr>
                <w:rFonts w:ascii="Arial" w:hAnsi="Arial" w:cs="Arial"/>
                <w:b/>
                <w:lang w:val="tr-TR"/>
              </w:rPr>
            </w:pPr>
          </w:p>
        </w:tc>
        <w:tc>
          <w:tcPr>
            <w:tcW w:w="1701" w:type="dxa"/>
            <w:tcBorders>
              <w:top w:val="single" w:sz="4" w:space="0" w:color="auto"/>
              <w:bottom w:val="single" w:sz="4" w:space="0" w:color="auto"/>
            </w:tcBorders>
            <w:vAlign w:val="bottom"/>
          </w:tcPr>
          <w:p w:rsidR="00456014" w:rsidRPr="00D00722" w:rsidRDefault="00456014" w:rsidP="002B5FEF">
            <w:pPr>
              <w:jc w:val="right"/>
              <w:rPr>
                <w:rFonts w:ascii="Arial" w:hAnsi="Arial" w:cs="Arial"/>
                <w:b/>
                <w:bCs/>
                <w:color w:val="000000"/>
              </w:rPr>
            </w:pPr>
          </w:p>
        </w:tc>
        <w:tc>
          <w:tcPr>
            <w:tcW w:w="1842" w:type="dxa"/>
            <w:tcBorders>
              <w:top w:val="single" w:sz="4" w:space="0" w:color="auto"/>
              <w:bottom w:val="single" w:sz="4" w:space="0" w:color="auto"/>
            </w:tcBorders>
            <w:vAlign w:val="bottom"/>
          </w:tcPr>
          <w:p w:rsidR="00456014" w:rsidRPr="00D00722" w:rsidRDefault="00456014" w:rsidP="002B5FEF">
            <w:pPr>
              <w:jc w:val="right"/>
              <w:rPr>
                <w:rFonts w:ascii="Arial" w:hAnsi="Arial" w:cs="Arial"/>
                <w:b/>
                <w:bCs/>
                <w:color w:val="000000"/>
              </w:rPr>
            </w:pPr>
          </w:p>
        </w:tc>
      </w:tr>
      <w:tr w:rsidR="00456014" w:rsidRPr="00D00722" w:rsidTr="002B5FEF">
        <w:trPr>
          <w:trHeight w:val="113"/>
        </w:trPr>
        <w:tc>
          <w:tcPr>
            <w:tcW w:w="5529" w:type="dxa"/>
            <w:tcBorders>
              <w:top w:val="single" w:sz="4" w:space="0" w:color="auto"/>
              <w:bottom w:val="single" w:sz="4" w:space="0" w:color="auto"/>
            </w:tcBorders>
            <w:vAlign w:val="bottom"/>
          </w:tcPr>
          <w:p w:rsidR="00456014" w:rsidRPr="00D00722" w:rsidRDefault="00456014" w:rsidP="002B5FEF">
            <w:pPr>
              <w:rPr>
                <w:rFonts w:ascii="Arial" w:eastAsia="Calibri" w:hAnsi="Arial" w:cs="Arial"/>
                <w:b/>
                <w:sz w:val="22"/>
                <w:szCs w:val="22"/>
                <w:lang w:val="tr-TR"/>
              </w:rPr>
            </w:pPr>
            <w:r w:rsidRPr="00D00722">
              <w:rPr>
                <w:rFonts w:ascii="Arial" w:hAnsi="Arial" w:cs="Arial"/>
                <w:b/>
                <w:lang w:val="tr-TR"/>
              </w:rPr>
              <w:t>31 Aralık 2013 itibariyle net defter değeri</w:t>
            </w:r>
          </w:p>
        </w:tc>
        <w:tc>
          <w:tcPr>
            <w:tcW w:w="1701" w:type="dxa"/>
            <w:tcBorders>
              <w:top w:val="single" w:sz="4" w:space="0" w:color="auto"/>
              <w:bottom w:val="single" w:sz="4" w:space="0" w:color="auto"/>
            </w:tcBorders>
            <w:vAlign w:val="bottom"/>
          </w:tcPr>
          <w:p w:rsidR="00456014" w:rsidRPr="00D00722" w:rsidRDefault="00456014" w:rsidP="002B5FEF">
            <w:pPr>
              <w:jc w:val="right"/>
              <w:rPr>
                <w:rFonts w:ascii="Arial" w:eastAsia="Calibri" w:hAnsi="Arial" w:cs="Arial"/>
                <w:b/>
                <w:bCs/>
                <w:color w:val="000000"/>
                <w:sz w:val="22"/>
                <w:szCs w:val="22"/>
                <w:lang w:val="tr-TR"/>
              </w:rPr>
            </w:pPr>
            <w:r w:rsidRPr="00D00722">
              <w:rPr>
                <w:rFonts w:ascii="Arial" w:eastAsia="Calibri" w:hAnsi="Arial" w:cs="Arial"/>
                <w:b/>
                <w:bCs/>
                <w:color w:val="000000"/>
                <w:sz w:val="22"/>
                <w:szCs w:val="22"/>
                <w:lang w:val="tr-TR"/>
              </w:rPr>
              <w:t>21.489</w:t>
            </w:r>
          </w:p>
        </w:tc>
        <w:tc>
          <w:tcPr>
            <w:tcW w:w="1842" w:type="dxa"/>
            <w:tcBorders>
              <w:top w:val="single" w:sz="4" w:space="0" w:color="auto"/>
              <w:bottom w:val="single" w:sz="4" w:space="0" w:color="auto"/>
            </w:tcBorders>
            <w:vAlign w:val="bottom"/>
          </w:tcPr>
          <w:p w:rsidR="00456014" w:rsidRPr="00D00722" w:rsidRDefault="00456014" w:rsidP="002B5FEF">
            <w:pPr>
              <w:jc w:val="right"/>
              <w:rPr>
                <w:rFonts w:ascii="Arial" w:eastAsia="Calibri" w:hAnsi="Arial" w:cs="Arial"/>
                <w:b/>
                <w:bCs/>
                <w:color w:val="000000"/>
                <w:sz w:val="22"/>
                <w:szCs w:val="22"/>
                <w:lang w:val="tr-TR"/>
              </w:rPr>
            </w:pPr>
            <w:r w:rsidRPr="00D00722">
              <w:rPr>
                <w:rFonts w:ascii="Arial" w:eastAsia="Calibri" w:hAnsi="Arial" w:cs="Arial"/>
                <w:b/>
                <w:bCs/>
                <w:color w:val="000000"/>
                <w:sz w:val="22"/>
                <w:szCs w:val="22"/>
                <w:lang w:val="tr-TR"/>
              </w:rPr>
              <w:t>21.489</w:t>
            </w:r>
          </w:p>
        </w:tc>
      </w:tr>
      <w:tr w:rsidR="00456014" w:rsidRPr="00D00722" w:rsidTr="002B5FEF">
        <w:trPr>
          <w:trHeight w:val="113"/>
        </w:trPr>
        <w:tc>
          <w:tcPr>
            <w:tcW w:w="5529" w:type="dxa"/>
            <w:tcBorders>
              <w:top w:val="single" w:sz="4" w:space="0" w:color="auto"/>
              <w:bottom w:val="single" w:sz="4" w:space="0" w:color="auto"/>
            </w:tcBorders>
            <w:vAlign w:val="bottom"/>
          </w:tcPr>
          <w:p w:rsidR="00456014" w:rsidRPr="00D00722" w:rsidRDefault="00456014" w:rsidP="002B5FEF">
            <w:pPr>
              <w:rPr>
                <w:rFonts w:ascii="Arial" w:hAnsi="Arial" w:cs="Arial"/>
                <w:b/>
                <w:lang w:val="tr-TR"/>
              </w:rPr>
            </w:pPr>
          </w:p>
        </w:tc>
        <w:tc>
          <w:tcPr>
            <w:tcW w:w="1701" w:type="dxa"/>
            <w:tcBorders>
              <w:top w:val="single" w:sz="4" w:space="0" w:color="auto"/>
              <w:bottom w:val="single" w:sz="4" w:space="0" w:color="auto"/>
            </w:tcBorders>
            <w:vAlign w:val="bottom"/>
          </w:tcPr>
          <w:p w:rsidR="00456014" w:rsidRPr="00D00722" w:rsidRDefault="00456014" w:rsidP="002B5FEF">
            <w:pPr>
              <w:jc w:val="right"/>
              <w:rPr>
                <w:rFonts w:ascii="Arial" w:hAnsi="Arial" w:cs="Arial"/>
                <w:b/>
                <w:bCs/>
                <w:color w:val="000000"/>
              </w:rPr>
            </w:pPr>
          </w:p>
        </w:tc>
        <w:tc>
          <w:tcPr>
            <w:tcW w:w="1842" w:type="dxa"/>
            <w:tcBorders>
              <w:top w:val="single" w:sz="4" w:space="0" w:color="auto"/>
              <w:bottom w:val="single" w:sz="4" w:space="0" w:color="auto"/>
            </w:tcBorders>
            <w:vAlign w:val="bottom"/>
          </w:tcPr>
          <w:p w:rsidR="00456014" w:rsidRPr="00D00722" w:rsidRDefault="00456014" w:rsidP="002B5FEF">
            <w:pPr>
              <w:jc w:val="right"/>
              <w:rPr>
                <w:rFonts w:ascii="Arial" w:hAnsi="Arial" w:cs="Arial"/>
                <w:b/>
                <w:bCs/>
                <w:color w:val="000000"/>
              </w:rPr>
            </w:pPr>
          </w:p>
        </w:tc>
      </w:tr>
      <w:tr w:rsidR="00456014" w:rsidRPr="00D00722" w:rsidTr="002B5FEF">
        <w:trPr>
          <w:trHeight w:val="113"/>
        </w:trPr>
        <w:tc>
          <w:tcPr>
            <w:tcW w:w="5529" w:type="dxa"/>
            <w:tcBorders>
              <w:top w:val="single" w:sz="4" w:space="0" w:color="auto"/>
              <w:bottom w:val="double" w:sz="4" w:space="0" w:color="auto"/>
            </w:tcBorders>
            <w:vAlign w:val="bottom"/>
          </w:tcPr>
          <w:p w:rsidR="00456014" w:rsidRPr="00D00722" w:rsidRDefault="00456014" w:rsidP="002B5FEF">
            <w:pPr>
              <w:rPr>
                <w:rFonts w:ascii="Arial" w:eastAsia="Calibri" w:hAnsi="Arial" w:cs="Arial"/>
                <w:b/>
                <w:sz w:val="22"/>
                <w:szCs w:val="22"/>
                <w:lang w:val="tr-TR"/>
              </w:rPr>
            </w:pPr>
            <w:r w:rsidRPr="00D00722">
              <w:rPr>
                <w:rFonts w:ascii="Arial" w:hAnsi="Arial" w:cs="Arial"/>
                <w:b/>
                <w:lang w:val="tr-TR"/>
              </w:rPr>
              <w:t>31 Mart 2014 itibariyle net defter değeri</w:t>
            </w:r>
          </w:p>
        </w:tc>
        <w:tc>
          <w:tcPr>
            <w:tcW w:w="1701" w:type="dxa"/>
            <w:tcBorders>
              <w:top w:val="single" w:sz="4" w:space="0" w:color="auto"/>
              <w:bottom w:val="double" w:sz="4" w:space="0" w:color="auto"/>
            </w:tcBorders>
            <w:vAlign w:val="bottom"/>
          </w:tcPr>
          <w:p w:rsidR="00456014" w:rsidRPr="00D00722" w:rsidRDefault="00456014" w:rsidP="002B5FEF">
            <w:pPr>
              <w:jc w:val="right"/>
              <w:rPr>
                <w:rFonts w:ascii="Arial" w:eastAsia="Calibri" w:hAnsi="Arial" w:cs="Arial"/>
                <w:b/>
                <w:bCs/>
                <w:color w:val="000000"/>
                <w:sz w:val="22"/>
                <w:szCs w:val="22"/>
                <w:lang w:val="tr-TR"/>
              </w:rPr>
            </w:pPr>
            <w:r w:rsidRPr="00D00722">
              <w:rPr>
                <w:rFonts w:ascii="Arial" w:eastAsia="Calibri" w:hAnsi="Arial" w:cs="Arial"/>
                <w:b/>
                <w:bCs/>
                <w:color w:val="000000"/>
                <w:sz w:val="22"/>
                <w:szCs w:val="22"/>
                <w:lang w:val="tr-TR"/>
              </w:rPr>
              <w:t>19.750</w:t>
            </w:r>
          </w:p>
        </w:tc>
        <w:tc>
          <w:tcPr>
            <w:tcW w:w="1842" w:type="dxa"/>
            <w:tcBorders>
              <w:top w:val="single" w:sz="4" w:space="0" w:color="auto"/>
              <w:bottom w:val="double" w:sz="4" w:space="0" w:color="auto"/>
            </w:tcBorders>
            <w:vAlign w:val="bottom"/>
          </w:tcPr>
          <w:p w:rsidR="00456014" w:rsidRPr="00D00722" w:rsidRDefault="00456014" w:rsidP="002B5FEF">
            <w:pPr>
              <w:jc w:val="right"/>
              <w:rPr>
                <w:rFonts w:ascii="Arial" w:eastAsia="Calibri" w:hAnsi="Arial" w:cs="Arial"/>
                <w:b/>
                <w:bCs/>
                <w:color w:val="000000"/>
                <w:sz w:val="22"/>
                <w:szCs w:val="22"/>
                <w:lang w:val="tr-TR"/>
              </w:rPr>
            </w:pPr>
            <w:r w:rsidRPr="00D00722">
              <w:rPr>
                <w:rFonts w:ascii="Arial" w:eastAsia="Calibri" w:hAnsi="Arial" w:cs="Arial"/>
                <w:b/>
                <w:bCs/>
                <w:color w:val="000000"/>
                <w:sz w:val="22"/>
                <w:szCs w:val="22"/>
                <w:lang w:val="tr-TR"/>
              </w:rPr>
              <w:t>19.750</w:t>
            </w:r>
          </w:p>
        </w:tc>
      </w:tr>
    </w:tbl>
    <w:p w:rsidR="002B5FEF" w:rsidRPr="00D00722" w:rsidRDefault="002B5FEF" w:rsidP="00D9040F">
      <w:pPr>
        <w:ind w:right="-1"/>
        <w:jc w:val="both"/>
        <w:rPr>
          <w:rFonts w:ascii="Arial" w:hAnsi="Arial" w:cs="Arial"/>
          <w:lang w:val="tr-TR"/>
        </w:rPr>
      </w:pPr>
    </w:p>
    <w:p w:rsidR="002B5FEF" w:rsidRPr="00D00722" w:rsidRDefault="002B5FEF" w:rsidP="00D9040F">
      <w:pPr>
        <w:ind w:right="-1"/>
        <w:jc w:val="both"/>
        <w:rPr>
          <w:rFonts w:ascii="Arial" w:hAnsi="Arial" w:cs="Arial"/>
          <w:lang w:val="tr-TR"/>
        </w:rPr>
      </w:pPr>
    </w:p>
    <w:p w:rsidR="002B5FEF" w:rsidRPr="00D00722" w:rsidRDefault="002B5FEF" w:rsidP="00D9040F">
      <w:pPr>
        <w:ind w:right="-1"/>
        <w:jc w:val="both"/>
        <w:rPr>
          <w:rFonts w:ascii="Arial" w:hAnsi="Arial" w:cs="Arial"/>
          <w:lang w:val="tr-TR"/>
        </w:rPr>
      </w:pPr>
    </w:p>
    <w:p w:rsidR="002B5FEF" w:rsidRPr="00D00722" w:rsidRDefault="002B5FEF" w:rsidP="00D9040F">
      <w:pPr>
        <w:ind w:right="-1"/>
        <w:jc w:val="both"/>
        <w:rPr>
          <w:rFonts w:ascii="Arial" w:hAnsi="Arial" w:cs="Arial"/>
          <w:lang w:val="tr-TR"/>
        </w:rPr>
      </w:pPr>
    </w:p>
    <w:p w:rsidR="002B5FEF" w:rsidRPr="00D00722" w:rsidRDefault="002B5FEF" w:rsidP="00D9040F">
      <w:pPr>
        <w:ind w:right="-1"/>
        <w:jc w:val="both"/>
        <w:rPr>
          <w:rFonts w:ascii="Arial" w:hAnsi="Arial" w:cs="Arial"/>
          <w:lang w:val="tr-TR"/>
        </w:rPr>
      </w:pPr>
    </w:p>
    <w:p w:rsidR="002B5FEF" w:rsidRPr="00D00722" w:rsidRDefault="002B5FEF" w:rsidP="00D9040F">
      <w:pPr>
        <w:ind w:right="-1"/>
        <w:jc w:val="both"/>
        <w:rPr>
          <w:rFonts w:ascii="Arial" w:hAnsi="Arial" w:cs="Arial"/>
          <w:lang w:val="tr-TR"/>
        </w:rPr>
      </w:pPr>
    </w:p>
    <w:tbl>
      <w:tblPr>
        <w:tblW w:w="9072" w:type="dxa"/>
        <w:tblInd w:w="54" w:type="dxa"/>
        <w:tblLayout w:type="fixed"/>
        <w:tblCellMar>
          <w:left w:w="54" w:type="dxa"/>
          <w:right w:w="54" w:type="dxa"/>
        </w:tblCellMar>
        <w:tblLook w:val="0000"/>
      </w:tblPr>
      <w:tblGrid>
        <w:gridCol w:w="5529"/>
        <w:gridCol w:w="1701"/>
        <w:gridCol w:w="1842"/>
      </w:tblGrid>
      <w:tr w:rsidR="00B52B2D" w:rsidRPr="00D00722" w:rsidTr="00792AEE">
        <w:trPr>
          <w:trHeight w:val="113"/>
        </w:trPr>
        <w:tc>
          <w:tcPr>
            <w:tcW w:w="5529" w:type="dxa"/>
            <w:tcBorders>
              <w:top w:val="single" w:sz="4" w:space="0" w:color="auto"/>
              <w:bottom w:val="single" w:sz="4" w:space="0" w:color="auto"/>
            </w:tcBorders>
            <w:vAlign w:val="bottom"/>
          </w:tcPr>
          <w:p w:rsidR="00B52B2D" w:rsidRPr="00D00722" w:rsidRDefault="00B52B2D">
            <w:pPr>
              <w:rPr>
                <w:rFonts w:ascii="Arial" w:hAnsi="Arial" w:cs="Arial"/>
                <w:lang w:val="tr-TR"/>
              </w:rPr>
            </w:pPr>
          </w:p>
          <w:p w:rsidR="00B52B2D" w:rsidRPr="00D00722" w:rsidRDefault="00B52B2D">
            <w:pPr>
              <w:rPr>
                <w:rFonts w:ascii="Arial" w:hAnsi="Arial" w:cs="Arial"/>
                <w:lang w:val="tr-TR"/>
              </w:rPr>
            </w:pPr>
          </w:p>
        </w:tc>
        <w:tc>
          <w:tcPr>
            <w:tcW w:w="1701" w:type="dxa"/>
            <w:tcBorders>
              <w:top w:val="single" w:sz="4" w:space="0" w:color="auto"/>
              <w:bottom w:val="single" w:sz="4" w:space="0" w:color="auto"/>
            </w:tcBorders>
            <w:vAlign w:val="bottom"/>
          </w:tcPr>
          <w:p w:rsidR="00B52B2D" w:rsidRPr="00D00722" w:rsidRDefault="00342A95">
            <w:pPr>
              <w:ind w:right="47"/>
              <w:jc w:val="right"/>
              <w:rPr>
                <w:rFonts w:ascii="Arial" w:hAnsi="Arial" w:cs="Arial"/>
                <w:lang w:val="tr-TR"/>
              </w:rPr>
            </w:pPr>
            <w:r w:rsidRPr="00D00722">
              <w:rPr>
                <w:rFonts w:ascii="Arial" w:hAnsi="Arial" w:cs="Arial"/>
                <w:lang w:val="tr-TR"/>
              </w:rPr>
              <w:t>Bigisayar</w:t>
            </w:r>
          </w:p>
          <w:p w:rsidR="00B52B2D" w:rsidRPr="00D00722" w:rsidRDefault="00342A95">
            <w:pPr>
              <w:ind w:right="47"/>
              <w:jc w:val="right"/>
              <w:rPr>
                <w:rFonts w:ascii="Arial" w:hAnsi="Arial" w:cs="Arial"/>
                <w:lang w:val="tr-TR"/>
              </w:rPr>
            </w:pPr>
            <w:r w:rsidRPr="00D00722">
              <w:rPr>
                <w:rFonts w:ascii="Arial" w:hAnsi="Arial" w:cs="Arial"/>
                <w:lang w:val="tr-TR"/>
              </w:rPr>
              <w:t>programları</w:t>
            </w:r>
          </w:p>
        </w:tc>
        <w:tc>
          <w:tcPr>
            <w:tcW w:w="1842" w:type="dxa"/>
            <w:tcBorders>
              <w:top w:val="single" w:sz="4" w:space="0" w:color="auto"/>
              <w:bottom w:val="single" w:sz="4" w:space="0" w:color="auto"/>
            </w:tcBorders>
            <w:vAlign w:val="bottom"/>
          </w:tcPr>
          <w:p w:rsidR="00B52B2D" w:rsidRPr="00D00722" w:rsidRDefault="00342A95">
            <w:pPr>
              <w:jc w:val="right"/>
              <w:rPr>
                <w:rFonts w:ascii="Arial" w:hAnsi="Arial" w:cs="Arial"/>
                <w:lang w:val="tr-TR"/>
              </w:rPr>
            </w:pPr>
            <w:r w:rsidRPr="00D00722">
              <w:rPr>
                <w:rFonts w:ascii="Arial" w:hAnsi="Arial" w:cs="Arial"/>
                <w:lang w:val="tr-TR"/>
              </w:rPr>
              <w:t>Toplam</w:t>
            </w:r>
          </w:p>
        </w:tc>
      </w:tr>
      <w:tr w:rsidR="00B52B2D" w:rsidRPr="00D00722" w:rsidTr="00792AEE">
        <w:trPr>
          <w:trHeight w:val="113"/>
        </w:trPr>
        <w:tc>
          <w:tcPr>
            <w:tcW w:w="5529" w:type="dxa"/>
            <w:tcBorders>
              <w:top w:val="single" w:sz="4" w:space="0" w:color="auto"/>
            </w:tcBorders>
            <w:vAlign w:val="bottom"/>
          </w:tcPr>
          <w:p w:rsidR="00B52B2D" w:rsidRPr="00D00722" w:rsidRDefault="00B52B2D">
            <w:pPr>
              <w:rPr>
                <w:rFonts w:ascii="Arial" w:hAnsi="Arial" w:cs="Arial"/>
                <w:lang w:val="tr-TR"/>
              </w:rPr>
            </w:pPr>
          </w:p>
        </w:tc>
        <w:tc>
          <w:tcPr>
            <w:tcW w:w="1701" w:type="dxa"/>
            <w:tcBorders>
              <w:top w:val="single" w:sz="4" w:space="0" w:color="auto"/>
            </w:tcBorders>
            <w:vAlign w:val="bottom"/>
          </w:tcPr>
          <w:p w:rsidR="00B52B2D" w:rsidRPr="00D00722" w:rsidRDefault="00B52B2D">
            <w:pPr>
              <w:ind w:right="47"/>
              <w:jc w:val="right"/>
              <w:rPr>
                <w:rFonts w:ascii="Arial" w:hAnsi="Arial" w:cs="Arial"/>
                <w:lang w:val="tr-TR"/>
              </w:rPr>
            </w:pPr>
          </w:p>
        </w:tc>
        <w:tc>
          <w:tcPr>
            <w:tcW w:w="1842" w:type="dxa"/>
            <w:tcBorders>
              <w:top w:val="single" w:sz="4" w:space="0" w:color="auto"/>
            </w:tcBorders>
            <w:vAlign w:val="bottom"/>
          </w:tcPr>
          <w:p w:rsidR="00B52B2D" w:rsidRPr="00D00722" w:rsidRDefault="00B52B2D">
            <w:pPr>
              <w:ind w:right="47"/>
              <w:jc w:val="right"/>
              <w:rPr>
                <w:rFonts w:ascii="Arial" w:hAnsi="Arial" w:cs="Arial"/>
                <w:lang w:val="tr-TR"/>
              </w:rPr>
            </w:pPr>
          </w:p>
        </w:tc>
      </w:tr>
      <w:tr w:rsidR="002F6405" w:rsidRPr="00D00722" w:rsidTr="00792AEE">
        <w:trPr>
          <w:trHeight w:val="113"/>
        </w:trPr>
        <w:tc>
          <w:tcPr>
            <w:tcW w:w="5529" w:type="dxa"/>
            <w:vAlign w:val="bottom"/>
          </w:tcPr>
          <w:p w:rsidR="002F6405" w:rsidRPr="00D00722" w:rsidRDefault="00342A95" w:rsidP="003C359E">
            <w:pPr>
              <w:rPr>
                <w:rFonts w:ascii="Arial" w:eastAsia="Calibri" w:hAnsi="Arial" w:cs="Arial"/>
                <w:sz w:val="22"/>
                <w:szCs w:val="22"/>
                <w:lang w:val="tr-TR"/>
              </w:rPr>
            </w:pPr>
            <w:r w:rsidRPr="00D00722">
              <w:rPr>
                <w:rFonts w:ascii="Arial" w:hAnsi="Arial" w:cs="Arial"/>
                <w:lang w:val="tr-TR"/>
              </w:rPr>
              <w:t>Maliyet değeri</w:t>
            </w:r>
          </w:p>
        </w:tc>
        <w:tc>
          <w:tcPr>
            <w:tcW w:w="1701" w:type="dxa"/>
            <w:vAlign w:val="bottom"/>
          </w:tcPr>
          <w:p w:rsidR="002F6405" w:rsidRPr="00D00722" w:rsidRDefault="002F6405">
            <w:pPr>
              <w:jc w:val="right"/>
              <w:rPr>
                <w:rFonts w:ascii="Arial" w:hAnsi="Arial" w:cs="Arial"/>
                <w:bCs/>
                <w:color w:val="000000"/>
              </w:rPr>
            </w:pPr>
          </w:p>
        </w:tc>
        <w:tc>
          <w:tcPr>
            <w:tcW w:w="1842" w:type="dxa"/>
            <w:vAlign w:val="bottom"/>
          </w:tcPr>
          <w:p w:rsidR="002F6405" w:rsidRPr="00D00722" w:rsidRDefault="002F6405">
            <w:pPr>
              <w:jc w:val="right"/>
              <w:rPr>
                <w:rFonts w:ascii="Arial" w:hAnsi="Arial" w:cs="Arial"/>
                <w:bCs/>
                <w:color w:val="000000"/>
              </w:rPr>
            </w:pPr>
          </w:p>
        </w:tc>
      </w:tr>
      <w:tr w:rsidR="002F6405" w:rsidRPr="00D00722" w:rsidTr="00792AEE">
        <w:trPr>
          <w:trHeight w:val="113"/>
        </w:trPr>
        <w:tc>
          <w:tcPr>
            <w:tcW w:w="5529" w:type="dxa"/>
            <w:vAlign w:val="bottom"/>
          </w:tcPr>
          <w:p w:rsidR="002F6405" w:rsidRPr="00D00722" w:rsidRDefault="006B7B62" w:rsidP="003C359E">
            <w:pPr>
              <w:rPr>
                <w:rFonts w:ascii="Arial" w:eastAsia="Calibri" w:hAnsi="Arial" w:cs="Arial"/>
                <w:sz w:val="22"/>
                <w:szCs w:val="22"/>
                <w:lang w:val="tr-TR"/>
              </w:rPr>
            </w:pPr>
            <w:r w:rsidRPr="00D00722">
              <w:rPr>
                <w:rFonts w:ascii="Arial" w:hAnsi="Arial" w:cs="Arial"/>
                <w:lang w:val="tr-TR"/>
              </w:rPr>
              <w:t>1 Ocak 2013</w:t>
            </w:r>
            <w:r w:rsidR="00342A95" w:rsidRPr="00D00722">
              <w:rPr>
                <w:rFonts w:ascii="Arial" w:hAnsi="Arial" w:cs="Arial"/>
                <w:lang w:val="tr-TR"/>
              </w:rPr>
              <w:t xml:space="preserve"> açılış bakiyesi</w:t>
            </w:r>
          </w:p>
        </w:tc>
        <w:tc>
          <w:tcPr>
            <w:tcW w:w="1701" w:type="dxa"/>
            <w:vAlign w:val="bottom"/>
          </w:tcPr>
          <w:p w:rsidR="002F6405" w:rsidRPr="00D00722" w:rsidRDefault="00314DE6" w:rsidP="003C359E">
            <w:pPr>
              <w:jc w:val="right"/>
              <w:rPr>
                <w:rFonts w:ascii="Arial" w:eastAsia="Calibri" w:hAnsi="Arial" w:cs="Arial"/>
                <w:bCs/>
                <w:color w:val="000000"/>
                <w:sz w:val="22"/>
                <w:szCs w:val="22"/>
                <w:lang w:val="tr-TR"/>
              </w:rPr>
            </w:pPr>
            <w:r w:rsidRPr="00D00722">
              <w:rPr>
                <w:rFonts w:ascii="Arial" w:hAnsi="Arial" w:cs="Arial"/>
                <w:bCs/>
                <w:color w:val="000000"/>
              </w:rPr>
              <w:t>12.270</w:t>
            </w:r>
          </w:p>
        </w:tc>
        <w:tc>
          <w:tcPr>
            <w:tcW w:w="1842" w:type="dxa"/>
            <w:vAlign w:val="bottom"/>
          </w:tcPr>
          <w:p w:rsidR="002F6405" w:rsidRPr="00D00722" w:rsidRDefault="00314DE6" w:rsidP="003C359E">
            <w:pPr>
              <w:jc w:val="right"/>
              <w:rPr>
                <w:rFonts w:ascii="Arial" w:eastAsia="Calibri" w:hAnsi="Arial" w:cs="Arial"/>
                <w:bCs/>
                <w:color w:val="000000"/>
                <w:sz w:val="22"/>
                <w:szCs w:val="22"/>
                <w:lang w:val="tr-TR"/>
              </w:rPr>
            </w:pPr>
            <w:r w:rsidRPr="00D00722">
              <w:rPr>
                <w:rFonts w:ascii="Arial" w:hAnsi="Arial" w:cs="Arial"/>
                <w:bCs/>
                <w:color w:val="000000"/>
              </w:rPr>
              <w:t>12.270</w:t>
            </w:r>
          </w:p>
        </w:tc>
      </w:tr>
      <w:tr w:rsidR="002F6405" w:rsidRPr="00D00722" w:rsidTr="00792AEE">
        <w:trPr>
          <w:trHeight w:val="113"/>
        </w:trPr>
        <w:tc>
          <w:tcPr>
            <w:tcW w:w="5529" w:type="dxa"/>
            <w:vAlign w:val="bottom"/>
          </w:tcPr>
          <w:p w:rsidR="002F6405" w:rsidRPr="00D00722" w:rsidRDefault="00342A95" w:rsidP="003C359E">
            <w:pPr>
              <w:rPr>
                <w:rFonts w:ascii="Arial" w:eastAsia="Calibri" w:hAnsi="Arial" w:cs="Arial"/>
                <w:sz w:val="22"/>
                <w:szCs w:val="22"/>
                <w:lang w:val="tr-TR"/>
              </w:rPr>
            </w:pPr>
            <w:r w:rsidRPr="00D00722">
              <w:rPr>
                <w:rFonts w:ascii="Arial" w:hAnsi="Arial" w:cs="Arial"/>
                <w:lang w:val="tr-TR"/>
              </w:rPr>
              <w:t>Alımlar</w:t>
            </w:r>
            <w:r w:rsidR="002D2977" w:rsidRPr="00D00722">
              <w:rPr>
                <w:rFonts w:ascii="Arial" w:hAnsi="Arial" w:cs="Arial"/>
                <w:lang w:val="tr-TR"/>
              </w:rPr>
              <w:t xml:space="preserve"> (*)</w:t>
            </w:r>
          </w:p>
        </w:tc>
        <w:tc>
          <w:tcPr>
            <w:tcW w:w="1701" w:type="dxa"/>
            <w:vAlign w:val="bottom"/>
          </w:tcPr>
          <w:p w:rsidR="002F6405" w:rsidRPr="00D00722" w:rsidRDefault="00314DE6" w:rsidP="003C359E">
            <w:pPr>
              <w:jc w:val="right"/>
              <w:rPr>
                <w:rFonts w:ascii="Arial" w:eastAsia="Calibri" w:hAnsi="Arial" w:cs="Arial"/>
                <w:bCs/>
                <w:color w:val="000000"/>
                <w:sz w:val="22"/>
                <w:szCs w:val="22"/>
                <w:lang w:val="tr-TR"/>
              </w:rPr>
            </w:pPr>
            <w:r w:rsidRPr="00D00722">
              <w:rPr>
                <w:rFonts w:ascii="Arial" w:hAnsi="Arial" w:cs="Arial"/>
                <w:bCs/>
                <w:color w:val="000000"/>
              </w:rPr>
              <w:t>14.569</w:t>
            </w:r>
          </w:p>
        </w:tc>
        <w:tc>
          <w:tcPr>
            <w:tcW w:w="1842" w:type="dxa"/>
            <w:vAlign w:val="bottom"/>
          </w:tcPr>
          <w:p w:rsidR="002F6405" w:rsidRPr="00D00722" w:rsidRDefault="00314DE6" w:rsidP="003C359E">
            <w:pPr>
              <w:jc w:val="right"/>
              <w:rPr>
                <w:rFonts w:ascii="Arial" w:eastAsia="Calibri" w:hAnsi="Arial" w:cs="Arial"/>
                <w:bCs/>
                <w:color w:val="000000"/>
                <w:sz w:val="22"/>
                <w:szCs w:val="22"/>
                <w:lang w:val="tr-TR"/>
              </w:rPr>
            </w:pPr>
            <w:r w:rsidRPr="00D00722">
              <w:rPr>
                <w:rFonts w:ascii="Arial" w:hAnsi="Arial" w:cs="Arial"/>
                <w:bCs/>
                <w:color w:val="000000"/>
              </w:rPr>
              <w:t>14.569</w:t>
            </w:r>
          </w:p>
        </w:tc>
      </w:tr>
      <w:tr w:rsidR="00B52B2D" w:rsidRPr="00D00722" w:rsidTr="00792AEE">
        <w:trPr>
          <w:trHeight w:val="113"/>
        </w:trPr>
        <w:tc>
          <w:tcPr>
            <w:tcW w:w="5529" w:type="dxa"/>
            <w:tcBorders>
              <w:bottom w:val="single" w:sz="4" w:space="0" w:color="auto"/>
            </w:tcBorders>
            <w:vAlign w:val="bottom"/>
          </w:tcPr>
          <w:p w:rsidR="00B52B2D" w:rsidRPr="00D00722" w:rsidRDefault="00B52B2D">
            <w:pPr>
              <w:rPr>
                <w:rFonts w:ascii="Arial" w:hAnsi="Arial" w:cs="Arial"/>
                <w:lang w:val="tr-TR"/>
              </w:rPr>
            </w:pPr>
          </w:p>
        </w:tc>
        <w:tc>
          <w:tcPr>
            <w:tcW w:w="1701" w:type="dxa"/>
            <w:tcBorders>
              <w:bottom w:val="single" w:sz="4" w:space="0" w:color="auto"/>
            </w:tcBorders>
            <w:vAlign w:val="bottom"/>
          </w:tcPr>
          <w:p w:rsidR="00B52B2D" w:rsidRPr="00D00722" w:rsidRDefault="00B52B2D">
            <w:pPr>
              <w:jc w:val="right"/>
              <w:rPr>
                <w:rFonts w:ascii="Arial" w:hAnsi="Arial" w:cs="Arial"/>
                <w:bCs/>
                <w:color w:val="000000"/>
              </w:rPr>
            </w:pPr>
          </w:p>
        </w:tc>
        <w:tc>
          <w:tcPr>
            <w:tcW w:w="1842" w:type="dxa"/>
            <w:tcBorders>
              <w:bottom w:val="single" w:sz="4" w:space="0" w:color="auto"/>
            </w:tcBorders>
            <w:vAlign w:val="bottom"/>
          </w:tcPr>
          <w:p w:rsidR="00B52B2D" w:rsidRPr="00D00722" w:rsidRDefault="00B52B2D">
            <w:pPr>
              <w:jc w:val="right"/>
              <w:rPr>
                <w:rFonts w:ascii="Arial" w:hAnsi="Arial" w:cs="Arial"/>
                <w:bCs/>
                <w:color w:val="000000"/>
              </w:rPr>
            </w:pPr>
          </w:p>
        </w:tc>
      </w:tr>
      <w:tr w:rsidR="002F6405" w:rsidRPr="00D00722" w:rsidTr="00792AEE">
        <w:trPr>
          <w:trHeight w:val="113"/>
        </w:trPr>
        <w:tc>
          <w:tcPr>
            <w:tcW w:w="5529" w:type="dxa"/>
            <w:tcBorders>
              <w:top w:val="single" w:sz="4" w:space="0" w:color="auto"/>
              <w:bottom w:val="single" w:sz="4" w:space="0" w:color="auto"/>
            </w:tcBorders>
            <w:vAlign w:val="bottom"/>
          </w:tcPr>
          <w:p w:rsidR="002F6405" w:rsidRPr="00D00722" w:rsidRDefault="006B7B62" w:rsidP="003C359E">
            <w:pPr>
              <w:rPr>
                <w:rFonts w:ascii="Arial" w:eastAsia="Calibri" w:hAnsi="Arial" w:cs="Arial"/>
                <w:sz w:val="22"/>
                <w:szCs w:val="22"/>
                <w:lang w:val="tr-TR"/>
              </w:rPr>
            </w:pPr>
            <w:r w:rsidRPr="00D00722">
              <w:rPr>
                <w:rFonts w:ascii="Arial" w:hAnsi="Arial" w:cs="Arial"/>
                <w:lang w:val="tr-TR"/>
              </w:rPr>
              <w:t>31 Aralık 2013</w:t>
            </w:r>
            <w:r w:rsidR="00342A95" w:rsidRPr="00D00722">
              <w:rPr>
                <w:rFonts w:ascii="Arial" w:hAnsi="Arial" w:cs="Arial"/>
                <w:lang w:val="tr-TR"/>
              </w:rPr>
              <w:t xml:space="preserve"> kapanış bakiyesi</w:t>
            </w:r>
          </w:p>
        </w:tc>
        <w:tc>
          <w:tcPr>
            <w:tcW w:w="1701" w:type="dxa"/>
            <w:tcBorders>
              <w:top w:val="single" w:sz="4" w:space="0" w:color="auto"/>
              <w:bottom w:val="single" w:sz="4" w:space="0" w:color="auto"/>
            </w:tcBorders>
            <w:vAlign w:val="bottom"/>
          </w:tcPr>
          <w:p w:rsidR="002F6405" w:rsidRPr="00D00722" w:rsidRDefault="00314DE6" w:rsidP="003C359E">
            <w:pPr>
              <w:jc w:val="right"/>
              <w:rPr>
                <w:rFonts w:ascii="Arial" w:eastAsia="Calibri" w:hAnsi="Arial" w:cs="Arial"/>
                <w:bCs/>
                <w:color w:val="000000"/>
                <w:sz w:val="22"/>
                <w:szCs w:val="22"/>
                <w:lang w:val="tr-TR"/>
              </w:rPr>
            </w:pPr>
            <w:r w:rsidRPr="00D00722">
              <w:rPr>
                <w:rFonts w:ascii="Arial" w:hAnsi="Arial" w:cs="Arial"/>
                <w:bCs/>
                <w:color w:val="000000"/>
              </w:rPr>
              <w:t>26.839</w:t>
            </w:r>
          </w:p>
        </w:tc>
        <w:tc>
          <w:tcPr>
            <w:tcW w:w="1842" w:type="dxa"/>
            <w:tcBorders>
              <w:top w:val="single" w:sz="4" w:space="0" w:color="auto"/>
              <w:bottom w:val="single" w:sz="4" w:space="0" w:color="auto"/>
            </w:tcBorders>
            <w:vAlign w:val="bottom"/>
          </w:tcPr>
          <w:p w:rsidR="002F6405" w:rsidRPr="00D00722" w:rsidRDefault="00314DE6" w:rsidP="003C359E">
            <w:pPr>
              <w:jc w:val="right"/>
              <w:rPr>
                <w:rFonts w:ascii="Arial" w:eastAsia="Calibri" w:hAnsi="Arial" w:cs="Arial"/>
                <w:bCs/>
                <w:color w:val="000000"/>
                <w:sz w:val="22"/>
                <w:szCs w:val="22"/>
                <w:lang w:val="tr-TR"/>
              </w:rPr>
            </w:pPr>
            <w:r w:rsidRPr="00D00722">
              <w:rPr>
                <w:rFonts w:ascii="Arial" w:hAnsi="Arial" w:cs="Arial"/>
                <w:bCs/>
                <w:color w:val="000000"/>
              </w:rPr>
              <w:t>26.839</w:t>
            </w:r>
          </w:p>
        </w:tc>
      </w:tr>
      <w:tr w:rsidR="00B52B2D" w:rsidRPr="00D00722" w:rsidTr="00792AEE">
        <w:trPr>
          <w:trHeight w:val="113"/>
        </w:trPr>
        <w:tc>
          <w:tcPr>
            <w:tcW w:w="5529" w:type="dxa"/>
            <w:tcBorders>
              <w:top w:val="single" w:sz="4" w:space="0" w:color="auto"/>
            </w:tcBorders>
            <w:vAlign w:val="bottom"/>
          </w:tcPr>
          <w:p w:rsidR="00B52B2D" w:rsidRPr="00D00722" w:rsidRDefault="00B52B2D">
            <w:pPr>
              <w:rPr>
                <w:rFonts w:ascii="Arial" w:hAnsi="Arial" w:cs="Arial"/>
                <w:lang w:val="tr-TR"/>
              </w:rPr>
            </w:pPr>
          </w:p>
        </w:tc>
        <w:tc>
          <w:tcPr>
            <w:tcW w:w="1701" w:type="dxa"/>
            <w:tcBorders>
              <w:top w:val="single" w:sz="4" w:space="0" w:color="auto"/>
            </w:tcBorders>
            <w:vAlign w:val="bottom"/>
          </w:tcPr>
          <w:p w:rsidR="00B52B2D" w:rsidRPr="00D00722" w:rsidRDefault="00B52B2D">
            <w:pPr>
              <w:jc w:val="right"/>
              <w:rPr>
                <w:rFonts w:ascii="Arial" w:hAnsi="Arial" w:cs="Arial"/>
                <w:bCs/>
                <w:color w:val="000000"/>
              </w:rPr>
            </w:pPr>
          </w:p>
        </w:tc>
        <w:tc>
          <w:tcPr>
            <w:tcW w:w="1842" w:type="dxa"/>
            <w:tcBorders>
              <w:top w:val="single" w:sz="4" w:space="0" w:color="auto"/>
            </w:tcBorders>
            <w:vAlign w:val="bottom"/>
          </w:tcPr>
          <w:p w:rsidR="00B52B2D" w:rsidRPr="00D00722" w:rsidRDefault="00B52B2D">
            <w:pPr>
              <w:jc w:val="right"/>
              <w:rPr>
                <w:rFonts w:ascii="Arial" w:hAnsi="Arial" w:cs="Arial"/>
                <w:bCs/>
                <w:color w:val="000000"/>
              </w:rPr>
            </w:pPr>
          </w:p>
        </w:tc>
      </w:tr>
      <w:tr w:rsidR="00B52B2D" w:rsidRPr="00D00722" w:rsidTr="00792AEE">
        <w:trPr>
          <w:trHeight w:val="113"/>
        </w:trPr>
        <w:tc>
          <w:tcPr>
            <w:tcW w:w="5529" w:type="dxa"/>
            <w:vAlign w:val="bottom"/>
          </w:tcPr>
          <w:p w:rsidR="00B52B2D" w:rsidRPr="00D00722" w:rsidRDefault="00342A95" w:rsidP="003C359E">
            <w:pPr>
              <w:rPr>
                <w:rFonts w:ascii="Arial" w:eastAsia="Calibri" w:hAnsi="Arial" w:cs="Arial"/>
                <w:sz w:val="22"/>
                <w:szCs w:val="22"/>
                <w:lang w:val="tr-TR"/>
              </w:rPr>
            </w:pPr>
            <w:r w:rsidRPr="00D00722">
              <w:rPr>
                <w:rFonts w:ascii="Arial" w:hAnsi="Arial" w:cs="Arial"/>
                <w:lang w:val="tr-TR"/>
              </w:rPr>
              <w:t>Birikmiş amortismanlar</w:t>
            </w:r>
          </w:p>
        </w:tc>
        <w:tc>
          <w:tcPr>
            <w:tcW w:w="1701" w:type="dxa"/>
            <w:vAlign w:val="bottom"/>
          </w:tcPr>
          <w:p w:rsidR="00B52B2D" w:rsidRPr="00D00722" w:rsidRDefault="00B52B2D">
            <w:pPr>
              <w:jc w:val="right"/>
              <w:rPr>
                <w:rFonts w:ascii="Arial" w:hAnsi="Arial" w:cs="Arial"/>
                <w:bCs/>
                <w:color w:val="000000"/>
              </w:rPr>
            </w:pPr>
          </w:p>
        </w:tc>
        <w:tc>
          <w:tcPr>
            <w:tcW w:w="1842" w:type="dxa"/>
            <w:vAlign w:val="bottom"/>
          </w:tcPr>
          <w:p w:rsidR="00B52B2D" w:rsidRPr="00D00722" w:rsidRDefault="00B52B2D">
            <w:pPr>
              <w:jc w:val="right"/>
              <w:rPr>
                <w:rFonts w:ascii="Arial" w:hAnsi="Arial" w:cs="Arial"/>
                <w:bCs/>
                <w:color w:val="000000"/>
              </w:rPr>
            </w:pPr>
          </w:p>
        </w:tc>
      </w:tr>
      <w:tr w:rsidR="00B52B2D" w:rsidRPr="00D00722" w:rsidTr="00792AEE">
        <w:trPr>
          <w:trHeight w:val="113"/>
        </w:trPr>
        <w:tc>
          <w:tcPr>
            <w:tcW w:w="5529" w:type="dxa"/>
            <w:vAlign w:val="bottom"/>
          </w:tcPr>
          <w:p w:rsidR="00B52B2D" w:rsidRPr="00D00722" w:rsidRDefault="006B7B62" w:rsidP="003C359E">
            <w:pPr>
              <w:rPr>
                <w:rFonts w:ascii="Arial" w:eastAsia="Calibri" w:hAnsi="Arial" w:cs="Arial"/>
                <w:sz w:val="22"/>
                <w:szCs w:val="22"/>
                <w:lang w:val="tr-TR"/>
              </w:rPr>
            </w:pPr>
            <w:r w:rsidRPr="00D00722">
              <w:rPr>
                <w:rFonts w:ascii="Arial" w:hAnsi="Arial" w:cs="Arial"/>
                <w:lang w:val="tr-TR"/>
              </w:rPr>
              <w:t>1 Ocak 2013</w:t>
            </w:r>
            <w:r w:rsidR="00342A95" w:rsidRPr="00D00722">
              <w:rPr>
                <w:rFonts w:ascii="Arial" w:hAnsi="Arial" w:cs="Arial"/>
                <w:lang w:val="tr-TR"/>
              </w:rPr>
              <w:t xml:space="preserve"> açılış bakiyesi</w:t>
            </w:r>
          </w:p>
        </w:tc>
        <w:tc>
          <w:tcPr>
            <w:tcW w:w="1701" w:type="dxa"/>
            <w:vAlign w:val="bottom"/>
          </w:tcPr>
          <w:p w:rsidR="00B52B2D" w:rsidRPr="00D00722" w:rsidRDefault="00AD16DF" w:rsidP="003C359E">
            <w:pPr>
              <w:jc w:val="right"/>
              <w:rPr>
                <w:rFonts w:ascii="Arial" w:eastAsia="Calibri" w:hAnsi="Arial" w:cs="Arial"/>
                <w:bCs/>
                <w:color w:val="000000"/>
                <w:sz w:val="22"/>
                <w:szCs w:val="22"/>
                <w:lang w:val="tr-TR"/>
              </w:rPr>
            </w:pPr>
            <w:r w:rsidRPr="00D00722">
              <w:rPr>
                <w:rFonts w:ascii="Arial" w:hAnsi="Arial" w:cs="Arial"/>
                <w:bCs/>
                <w:color w:val="000000"/>
              </w:rPr>
              <w:t>(1.762)</w:t>
            </w:r>
          </w:p>
        </w:tc>
        <w:tc>
          <w:tcPr>
            <w:tcW w:w="1842" w:type="dxa"/>
            <w:vAlign w:val="bottom"/>
          </w:tcPr>
          <w:p w:rsidR="00B52B2D" w:rsidRPr="00D00722" w:rsidRDefault="00AD16DF" w:rsidP="003C359E">
            <w:pPr>
              <w:jc w:val="right"/>
              <w:rPr>
                <w:rFonts w:ascii="Arial" w:eastAsia="Calibri" w:hAnsi="Arial" w:cs="Arial"/>
                <w:bCs/>
                <w:color w:val="000000"/>
                <w:sz w:val="22"/>
                <w:szCs w:val="22"/>
                <w:lang w:val="tr-TR"/>
              </w:rPr>
            </w:pPr>
            <w:r w:rsidRPr="00D00722">
              <w:rPr>
                <w:rFonts w:ascii="Arial" w:hAnsi="Arial" w:cs="Arial"/>
                <w:bCs/>
                <w:color w:val="000000"/>
              </w:rPr>
              <w:t>(1.762)</w:t>
            </w:r>
          </w:p>
        </w:tc>
      </w:tr>
      <w:tr w:rsidR="002F6405" w:rsidRPr="00D00722" w:rsidTr="00792AEE">
        <w:trPr>
          <w:trHeight w:val="113"/>
        </w:trPr>
        <w:tc>
          <w:tcPr>
            <w:tcW w:w="5529" w:type="dxa"/>
            <w:vAlign w:val="bottom"/>
          </w:tcPr>
          <w:p w:rsidR="002F6405" w:rsidRPr="00D00722" w:rsidRDefault="00342A95" w:rsidP="003C359E">
            <w:pPr>
              <w:rPr>
                <w:rFonts w:ascii="Arial" w:eastAsia="Calibri" w:hAnsi="Arial" w:cs="Arial"/>
                <w:sz w:val="22"/>
                <w:szCs w:val="22"/>
                <w:lang w:val="tr-TR"/>
              </w:rPr>
            </w:pPr>
            <w:r w:rsidRPr="00D00722">
              <w:rPr>
                <w:rFonts w:ascii="Arial" w:hAnsi="Arial" w:cs="Arial"/>
                <w:lang w:val="tr-TR"/>
              </w:rPr>
              <w:t>Dönem gideri</w:t>
            </w:r>
          </w:p>
        </w:tc>
        <w:tc>
          <w:tcPr>
            <w:tcW w:w="1701" w:type="dxa"/>
            <w:vAlign w:val="bottom"/>
          </w:tcPr>
          <w:p w:rsidR="002F6405" w:rsidRPr="00D00722" w:rsidRDefault="00AD16DF" w:rsidP="003C359E">
            <w:pPr>
              <w:jc w:val="right"/>
              <w:rPr>
                <w:rFonts w:ascii="Arial" w:eastAsia="Calibri" w:hAnsi="Arial" w:cs="Arial"/>
                <w:bCs/>
                <w:color w:val="000000"/>
                <w:sz w:val="22"/>
                <w:szCs w:val="22"/>
                <w:lang w:val="tr-TR"/>
              </w:rPr>
            </w:pPr>
            <w:r w:rsidRPr="00D00722">
              <w:rPr>
                <w:rFonts w:ascii="Arial" w:hAnsi="Arial" w:cs="Arial"/>
                <w:bCs/>
                <w:color w:val="000000"/>
              </w:rPr>
              <w:t>(3.588)</w:t>
            </w:r>
          </w:p>
        </w:tc>
        <w:tc>
          <w:tcPr>
            <w:tcW w:w="1842" w:type="dxa"/>
            <w:vAlign w:val="bottom"/>
          </w:tcPr>
          <w:p w:rsidR="002F6405" w:rsidRPr="00D00722" w:rsidRDefault="00AD16DF" w:rsidP="003C359E">
            <w:pPr>
              <w:jc w:val="right"/>
              <w:rPr>
                <w:rFonts w:ascii="Arial" w:eastAsia="Calibri" w:hAnsi="Arial" w:cs="Arial"/>
                <w:bCs/>
                <w:color w:val="000000"/>
                <w:sz w:val="22"/>
                <w:szCs w:val="22"/>
                <w:lang w:val="tr-TR"/>
              </w:rPr>
            </w:pPr>
            <w:r w:rsidRPr="00D00722">
              <w:rPr>
                <w:rFonts w:ascii="Arial" w:hAnsi="Arial" w:cs="Arial"/>
                <w:bCs/>
                <w:color w:val="000000"/>
              </w:rPr>
              <w:t>(3.588)</w:t>
            </w:r>
          </w:p>
        </w:tc>
      </w:tr>
      <w:tr w:rsidR="00B52B2D" w:rsidRPr="00D00722" w:rsidTr="00792AEE">
        <w:trPr>
          <w:trHeight w:val="113"/>
        </w:trPr>
        <w:tc>
          <w:tcPr>
            <w:tcW w:w="5529" w:type="dxa"/>
            <w:tcBorders>
              <w:bottom w:val="single" w:sz="4" w:space="0" w:color="auto"/>
            </w:tcBorders>
            <w:vAlign w:val="bottom"/>
          </w:tcPr>
          <w:p w:rsidR="00B52B2D" w:rsidRPr="00D00722" w:rsidRDefault="00B52B2D">
            <w:pPr>
              <w:rPr>
                <w:rFonts w:ascii="Arial" w:hAnsi="Arial" w:cs="Arial"/>
                <w:lang w:val="tr-TR"/>
              </w:rPr>
            </w:pPr>
          </w:p>
        </w:tc>
        <w:tc>
          <w:tcPr>
            <w:tcW w:w="1701" w:type="dxa"/>
            <w:tcBorders>
              <w:bottom w:val="single" w:sz="4" w:space="0" w:color="auto"/>
            </w:tcBorders>
            <w:vAlign w:val="bottom"/>
          </w:tcPr>
          <w:p w:rsidR="00B52B2D" w:rsidRPr="00D00722" w:rsidRDefault="00B52B2D">
            <w:pPr>
              <w:jc w:val="right"/>
              <w:rPr>
                <w:rFonts w:ascii="Arial" w:hAnsi="Arial" w:cs="Arial"/>
                <w:bCs/>
                <w:color w:val="000000"/>
              </w:rPr>
            </w:pPr>
          </w:p>
        </w:tc>
        <w:tc>
          <w:tcPr>
            <w:tcW w:w="1842" w:type="dxa"/>
            <w:tcBorders>
              <w:bottom w:val="single" w:sz="4" w:space="0" w:color="auto"/>
            </w:tcBorders>
            <w:vAlign w:val="bottom"/>
          </w:tcPr>
          <w:p w:rsidR="00B52B2D" w:rsidRPr="00D00722" w:rsidRDefault="00B52B2D">
            <w:pPr>
              <w:jc w:val="right"/>
              <w:rPr>
                <w:rFonts w:ascii="Arial" w:hAnsi="Arial" w:cs="Arial"/>
                <w:bCs/>
                <w:color w:val="000000"/>
              </w:rPr>
            </w:pPr>
          </w:p>
        </w:tc>
      </w:tr>
      <w:tr w:rsidR="002F6405" w:rsidRPr="00D00722" w:rsidTr="00792AEE">
        <w:trPr>
          <w:trHeight w:val="113"/>
        </w:trPr>
        <w:tc>
          <w:tcPr>
            <w:tcW w:w="5529" w:type="dxa"/>
            <w:tcBorders>
              <w:top w:val="single" w:sz="4" w:space="0" w:color="auto"/>
              <w:bottom w:val="single" w:sz="4" w:space="0" w:color="auto"/>
            </w:tcBorders>
            <w:vAlign w:val="bottom"/>
          </w:tcPr>
          <w:p w:rsidR="002F6405" w:rsidRPr="00D00722" w:rsidRDefault="00C27A17" w:rsidP="003C359E">
            <w:pPr>
              <w:rPr>
                <w:rFonts w:ascii="Arial" w:eastAsia="Calibri" w:hAnsi="Arial" w:cs="Arial"/>
                <w:sz w:val="22"/>
                <w:szCs w:val="22"/>
                <w:lang w:val="tr-TR"/>
              </w:rPr>
            </w:pPr>
            <w:r w:rsidRPr="00D00722">
              <w:rPr>
                <w:rFonts w:ascii="Arial" w:hAnsi="Arial" w:cs="Arial"/>
                <w:lang w:val="tr-TR"/>
              </w:rPr>
              <w:t>31 Aralık 2013</w:t>
            </w:r>
            <w:r w:rsidR="00342A95" w:rsidRPr="00D00722">
              <w:rPr>
                <w:rFonts w:ascii="Arial" w:hAnsi="Arial" w:cs="Arial"/>
                <w:lang w:val="tr-TR"/>
              </w:rPr>
              <w:t xml:space="preserve"> kapanış bakiyesi</w:t>
            </w:r>
          </w:p>
        </w:tc>
        <w:tc>
          <w:tcPr>
            <w:tcW w:w="1701" w:type="dxa"/>
            <w:tcBorders>
              <w:top w:val="single" w:sz="4" w:space="0" w:color="auto"/>
              <w:bottom w:val="single" w:sz="4" w:space="0" w:color="auto"/>
            </w:tcBorders>
            <w:vAlign w:val="bottom"/>
          </w:tcPr>
          <w:p w:rsidR="002F6405" w:rsidRPr="00D00722" w:rsidRDefault="00AD16DF" w:rsidP="003C359E">
            <w:pPr>
              <w:jc w:val="right"/>
              <w:rPr>
                <w:rFonts w:ascii="Arial" w:eastAsia="Calibri" w:hAnsi="Arial" w:cs="Arial"/>
                <w:bCs/>
                <w:color w:val="000000"/>
                <w:sz w:val="22"/>
                <w:szCs w:val="22"/>
                <w:lang w:val="tr-TR"/>
              </w:rPr>
            </w:pPr>
            <w:r w:rsidRPr="00D00722">
              <w:rPr>
                <w:rFonts w:ascii="Arial" w:hAnsi="Arial" w:cs="Arial"/>
                <w:bCs/>
                <w:color w:val="000000"/>
              </w:rPr>
              <w:t>(5.350)</w:t>
            </w:r>
          </w:p>
        </w:tc>
        <w:tc>
          <w:tcPr>
            <w:tcW w:w="1842" w:type="dxa"/>
            <w:tcBorders>
              <w:top w:val="single" w:sz="4" w:space="0" w:color="auto"/>
              <w:bottom w:val="single" w:sz="4" w:space="0" w:color="auto"/>
            </w:tcBorders>
            <w:vAlign w:val="bottom"/>
          </w:tcPr>
          <w:p w:rsidR="002F6405" w:rsidRPr="00D00722" w:rsidRDefault="00AD16DF" w:rsidP="003C359E">
            <w:pPr>
              <w:jc w:val="right"/>
              <w:rPr>
                <w:rFonts w:ascii="Arial" w:eastAsia="Calibri" w:hAnsi="Arial" w:cs="Arial"/>
                <w:bCs/>
                <w:color w:val="000000"/>
                <w:sz w:val="22"/>
                <w:szCs w:val="22"/>
                <w:lang w:val="tr-TR"/>
              </w:rPr>
            </w:pPr>
            <w:r w:rsidRPr="00D00722">
              <w:rPr>
                <w:rFonts w:ascii="Arial" w:hAnsi="Arial" w:cs="Arial"/>
                <w:bCs/>
                <w:color w:val="000000"/>
              </w:rPr>
              <w:t>(5.350)</w:t>
            </w:r>
          </w:p>
        </w:tc>
      </w:tr>
      <w:tr w:rsidR="00B52B2D" w:rsidRPr="00D00722" w:rsidTr="00792AEE">
        <w:trPr>
          <w:trHeight w:val="113"/>
        </w:trPr>
        <w:tc>
          <w:tcPr>
            <w:tcW w:w="5529" w:type="dxa"/>
            <w:tcBorders>
              <w:top w:val="single" w:sz="4" w:space="0" w:color="auto"/>
              <w:bottom w:val="single" w:sz="4" w:space="0" w:color="auto"/>
            </w:tcBorders>
            <w:vAlign w:val="bottom"/>
          </w:tcPr>
          <w:p w:rsidR="00B52B2D" w:rsidRPr="00D00722" w:rsidRDefault="00B52B2D">
            <w:pPr>
              <w:rPr>
                <w:rFonts w:ascii="Arial" w:hAnsi="Arial" w:cs="Arial"/>
                <w:lang w:val="tr-TR"/>
              </w:rPr>
            </w:pPr>
          </w:p>
        </w:tc>
        <w:tc>
          <w:tcPr>
            <w:tcW w:w="1701" w:type="dxa"/>
            <w:tcBorders>
              <w:top w:val="single" w:sz="4" w:space="0" w:color="auto"/>
              <w:bottom w:val="single" w:sz="4" w:space="0" w:color="auto"/>
            </w:tcBorders>
            <w:vAlign w:val="bottom"/>
          </w:tcPr>
          <w:p w:rsidR="00B52B2D" w:rsidRPr="00D00722" w:rsidRDefault="00B52B2D">
            <w:pPr>
              <w:jc w:val="right"/>
              <w:rPr>
                <w:rFonts w:ascii="Arial" w:hAnsi="Arial" w:cs="Arial"/>
                <w:bCs/>
                <w:color w:val="000000"/>
              </w:rPr>
            </w:pPr>
          </w:p>
        </w:tc>
        <w:tc>
          <w:tcPr>
            <w:tcW w:w="1842" w:type="dxa"/>
            <w:tcBorders>
              <w:top w:val="single" w:sz="4" w:space="0" w:color="auto"/>
              <w:bottom w:val="single" w:sz="4" w:space="0" w:color="auto"/>
            </w:tcBorders>
            <w:vAlign w:val="bottom"/>
          </w:tcPr>
          <w:p w:rsidR="00B52B2D" w:rsidRPr="00D00722" w:rsidRDefault="00B52B2D">
            <w:pPr>
              <w:jc w:val="right"/>
              <w:rPr>
                <w:rFonts w:ascii="Arial" w:hAnsi="Arial" w:cs="Arial"/>
                <w:bCs/>
                <w:color w:val="000000"/>
              </w:rPr>
            </w:pPr>
          </w:p>
        </w:tc>
      </w:tr>
      <w:tr w:rsidR="00C27A17" w:rsidRPr="00D00722" w:rsidTr="00792AEE">
        <w:trPr>
          <w:trHeight w:val="113"/>
        </w:trPr>
        <w:tc>
          <w:tcPr>
            <w:tcW w:w="5529" w:type="dxa"/>
            <w:tcBorders>
              <w:top w:val="single" w:sz="4" w:space="0" w:color="auto"/>
              <w:bottom w:val="single" w:sz="4" w:space="0" w:color="auto"/>
            </w:tcBorders>
            <w:vAlign w:val="bottom"/>
          </w:tcPr>
          <w:p w:rsidR="00C27A17" w:rsidRPr="00D00722" w:rsidRDefault="00C27A17" w:rsidP="003C359E">
            <w:pPr>
              <w:rPr>
                <w:rFonts w:ascii="Arial" w:eastAsia="Calibri" w:hAnsi="Arial" w:cs="Arial"/>
                <w:sz w:val="22"/>
                <w:szCs w:val="22"/>
                <w:lang w:val="tr-TR"/>
              </w:rPr>
            </w:pPr>
            <w:r w:rsidRPr="00D00722">
              <w:rPr>
                <w:rFonts w:ascii="Arial" w:hAnsi="Arial" w:cs="Arial"/>
                <w:lang w:val="tr-TR"/>
              </w:rPr>
              <w:t>31 Aralık 2012 itibariyle net defter değeri</w:t>
            </w:r>
          </w:p>
        </w:tc>
        <w:tc>
          <w:tcPr>
            <w:tcW w:w="1701" w:type="dxa"/>
            <w:tcBorders>
              <w:top w:val="single" w:sz="4" w:space="0" w:color="auto"/>
              <w:bottom w:val="single" w:sz="4" w:space="0" w:color="auto"/>
            </w:tcBorders>
            <w:vAlign w:val="bottom"/>
          </w:tcPr>
          <w:p w:rsidR="00C27A17" w:rsidRPr="00D00722" w:rsidRDefault="00C27A17" w:rsidP="003C359E">
            <w:pPr>
              <w:jc w:val="right"/>
              <w:rPr>
                <w:rFonts w:ascii="Arial" w:eastAsia="Calibri" w:hAnsi="Arial" w:cs="Arial"/>
                <w:bCs/>
                <w:color w:val="000000"/>
                <w:sz w:val="22"/>
                <w:szCs w:val="22"/>
                <w:lang w:val="tr-TR"/>
              </w:rPr>
            </w:pPr>
            <w:r w:rsidRPr="00D00722">
              <w:rPr>
                <w:rFonts w:ascii="Arial" w:hAnsi="Arial" w:cs="Arial"/>
                <w:bCs/>
                <w:color w:val="000000"/>
              </w:rPr>
              <w:t>10.508</w:t>
            </w:r>
          </w:p>
        </w:tc>
        <w:tc>
          <w:tcPr>
            <w:tcW w:w="1842" w:type="dxa"/>
            <w:tcBorders>
              <w:top w:val="single" w:sz="4" w:space="0" w:color="auto"/>
              <w:bottom w:val="single" w:sz="4" w:space="0" w:color="auto"/>
            </w:tcBorders>
            <w:vAlign w:val="bottom"/>
          </w:tcPr>
          <w:p w:rsidR="00C27A17" w:rsidRPr="00D00722" w:rsidRDefault="00C27A17" w:rsidP="003C359E">
            <w:pPr>
              <w:jc w:val="right"/>
              <w:rPr>
                <w:rFonts w:ascii="Arial" w:eastAsia="Calibri" w:hAnsi="Arial" w:cs="Arial"/>
                <w:bCs/>
                <w:color w:val="000000"/>
                <w:sz w:val="22"/>
                <w:szCs w:val="22"/>
                <w:lang w:val="tr-TR"/>
              </w:rPr>
            </w:pPr>
            <w:r w:rsidRPr="00D00722">
              <w:rPr>
                <w:rFonts w:ascii="Arial" w:hAnsi="Arial" w:cs="Arial"/>
                <w:bCs/>
                <w:color w:val="000000"/>
              </w:rPr>
              <w:t>10.508</w:t>
            </w:r>
          </w:p>
        </w:tc>
      </w:tr>
      <w:tr w:rsidR="00C27A17" w:rsidRPr="00D00722" w:rsidTr="00792AEE">
        <w:trPr>
          <w:trHeight w:val="113"/>
        </w:trPr>
        <w:tc>
          <w:tcPr>
            <w:tcW w:w="5529" w:type="dxa"/>
            <w:tcBorders>
              <w:top w:val="single" w:sz="4" w:space="0" w:color="auto"/>
              <w:bottom w:val="single" w:sz="4" w:space="0" w:color="auto"/>
            </w:tcBorders>
            <w:vAlign w:val="bottom"/>
          </w:tcPr>
          <w:p w:rsidR="00C27A17" w:rsidRPr="00D00722" w:rsidRDefault="00C27A17">
            <w:pPr>
              <w:rPr>
                <w:rFonts w:ascii="Arial" w:hAnsi="Arial" w:cs="Arial"/>
                <w:lang w:val="tr-TR"/>
              </w:rPr>
            </w:pPr>
          </w:p>
        </w:tc>
        <w:tc>
          <w:tcPr>
            <w:tcW w:w="1701" w:type="dxa"/>
            <w:tcBorders>
              <w:top w:val="single" w:sz="4" w:space="0" w:color="auto"/>
              <w:bottom w:val="single" w:sz="4" w:space="0" w:color="auto"/>
            </w:tcBorders>
            <w:vAlign w:val="bottom"/>
          </w:tcPr>
          <w:p w:rsidR="00C27A17" w:rsidRPr="00D00722" w:rsidRDefault="00C27A17">
            <w:pPr>
              <w:jc w:val="right"/>
              <w:rPr>
                <w:rFonts w:ascii="Arial" w:hAnsi="Arial" w:cs="Arial"/>
                <w:bCs/>
                <w:color w:val="000000"/>
              </w:rPr>
            </w:pPr>
          </w:p>
        </w:tc>
        <w:tc>
          <w:tcPr>
            <w:tcW w:w="1842" w:type="dxa"/>
            <w:tcBorders>
              <w:top w:val="single" w:sz="4" w:space="0" w:color="auto"/>
              <w:bottom w:val="single" w:sz="4" w:space="0" w:color="auto"/>
            </w:tcBorders>
            <w:vAlign w:val="bottom"/>
          </w:tcPr>
          <w:p w:rsidR="00C27A17" w:rsidRPr="00D00722" w:rsidRDefault="00C27A17">
            <w:pPr>
              <w:jc w:val="right"/>
              <w:rPr>
                <w:rFonts w:ascii="Arial" w:hAnsi="Arial" w:cs="Arial"/>
                <w:bCs/>
                <w:color w:val="000000"/>
              </w:rPr>
            </w:pPr>
          </w:p>
        </w:tc>
      </w:tr>
      <w:tr w:rsidR="00C27A17" w:rsidRPr="00D00722" w:rsidTr="00792AEE">
        <w:trPr>
          <w:trHeight w:val="113"/>
        </w:trPr>
        <w:tc>
          <w:tcPr>
            <w:tcW w:w="5529" w:type="dxa"/>
            <w:tcBorders>
              <w:top w:val="single" w:sz="4" w:space="0" w:color="auto"/>
              <w:bottom w:val="double" w:sz="4" w:space="0" w:color="auto"/>
            </w:tcBorders>
            <w:vAlign w:val="bottom"/>
          </w:tcPr>
          <w:p w:rsidR="00C27A17" w:rsidRPr="00D00722" w:rsidRDefault="00C27A17" w:rsidP="003C359E">
            <w:pPr>
              <w:rPr>
                <w:rFonts w:ascii="Arial" w:eastAsia="Calibri" w:hAnsi="Arial" w:cs="Arial"/>
                <w:sz w:val="22"/>
                <w:szCs w:val="22"/>
                <w:lang w:val="tr-TR"/>
              </w:rPr>
            </w:pPr>
            <w:r w:rsidRPr="00D00722">
              <w:rPr>
                <w:rFonts w:ascii="Arial" w:hAnsi="Arial" w:cs="Arial"/>
                <w:lang w:val="tr-TR"/>
              </w:rPr>
              <w:t>31 Aralık 2013 itibariyle net defter değeri</w:t>
            </w:r>
          </w:p>
        </w:tc>
        <w:tc>
          <w:tcPr>
            <w:tcW w:w="1701" w:type="dxa"/>
            <w:tcBorders>
              <w:top w:val="single" w:sz="4" w:space="0" w:color="auto"/>
              <w:bottom w:val="double" w:sz="4" w:space="0" w:color="auto"/>
            </w:tcBorders>
            <w:vAlign w:val="bottom"/>
          </w:tcPr>
          <w:p w:rsidR="00C27A17" w:rsidRPr="00D00722" w:rsidRDefault="00AD16DF" w:rsidP="003C359E">
            <w:pPr>
              <w:jc w:val="right"/>
              <w:rPr>
                <w:rFonts w:ascii="Arial" w:eastAsia="Calibri" w:hAnsi="Arial" w:cs="Arial"/>
                <w:bCs/>
                <w:color w:val="000000"/>
                <w:sz w:val="22"/>
                <w:szCs w:val="22"/>
                <w:lang w:val="tr-TR"/>
              </w:rPr>
            </w:pPr>
            <w:r w:rsidRPr="00D00722">
              <w:rPr>
                <w:rFonts w:ascii="Arial" w:hAnsi="Arial" w:cs="Arial"/>
                <w:bCs/>
                <w:color w:val="000000"/>
              </w:rPr>
              <w:t>21.489</w:t>
            </w:r>
          </w:p>
        </w:tc>
        <w:tc>
          <w:tcPr>
            <w:tcW w:w="1842" w:type="dxa"/>
            <w:tcBorders>
              <w:top w:val="single" w:sz="4" w:space="0" w:color="auto"/>
              <w:bottom w:val="double" w:sz="4" w:space="0" w:color="auto"/>
            </w:tcBorders>
            <w:vAlign w:val="bottom"/>
          </w:tcPr>
          <w:p w:rsidR="00C27A17" w:rsidRPr="00D00722" w:rsidRDefault="00AD16DF" w:rsidP="003C359E">
            <w:pPr>
              <w:jc w:val="right"/>
              <w:rPr>
                <w:rFonts w:ascii="Arial" w:eastAsia="Calibri" w:hAnsi="Arial" w:cs="Arial"/>
                <w:bCs/>
                <w:color w:val="000000"/>
                <w:sz w:val="22"/>
                <w:szCs w:val="22"/>
                <w:lang w:val="tr-TR"/>
              </w:rPr>
            </w:pPr>
            <w:r w:rsidRPr="00D00722">
              <w:rPr>
                <w:rFonts w:ascii="Arial" w:hAnsi="Arial" w:cs="Arial"/>
                <w:bCs/>
                <w:color w:val="000000"/>
              </w:rPr>
              <w:t>21.489</w:t>
            </w:r>
          </w:p>
        </w:tc>
      </w:tr>
    </w:tbl>
    <w:p w:rsidR="00D9040F" w:rsidRPr="00D00722" w:rsidRDefault="00D9040F" w:rsidP="00AE0484">
      <w:pPr>
        <w:ind w:right="-1"/>
        <w:jc w:val="both"/>
        <w:rPr>
          <w:rFonts w:ascii="Arial" w:hAnsi="Arial" w:cs="Arial"/>
          <w:b/>
          <w:lang w:val="tr-TR"/>
        </w:rPr>
      </w:pPr>
    </w:p>
    <w:p w:rsidR="00244A4A" w:rsidRPr="00D00722" w:rsidRDefault="002D2977" w:rsidP="003C359E">
      <w:pPr>
        <w:pStyle w:val="000normal"/>
        <w:autoSpaceDE w:val="0"/>
        <w:autoSpaceDN w:val="0"/>
        <w:adjustRightInd w:val="0"/>
        <w:spacing w:before="0" w:after="0" w:afterAutospacing="0"/>
        <w:ind w:left="567" w:hanging="567"/>
        <w:jc w:val="left"/>
        <w:rPr>
          <w:lang w:val="tr-TR"/>
        </w:rPr>
      </w:pPr>
      <w:r w:rsidRPr="00D00722">
        <w:rPr>
          <w:lang w:val="tr-TR"/>
        </w:rPr>
        <w:t xml:space="preserve">(*) </w:t>
      </w:r>
      <w:r w:rsidR="003B42C2" w:rsidRPr="00D00722">
        <w:rPr>
          <w:lang w:val="tr-TR"/>
        </w:rPr>
        <w:tab/>
      </w:r>
      <w:r w:rsidRPr="00D00722">
        <w:rPr>
          <w:lang w:val="tr-TR"/>
        </w:rPr>
        <w:t>31.12.2013 tarihi itibariyle alınan maddi olmayan duran varlıklar Microsoft yazılım</w:t>
      </w:r>
      <w:r w:rsidR="007576E9" w:rsidRPr="00D00722">
        <w:rPr>
          <w:lang w:val="tr-TR"/>
        </w:rPr>
        <w:t xml:space="preserve"> </w:t>
      </w:r>
      <w:r w:rsidRPr="00D00722">
        <w:rPr>
          <w:lang w:val="tr-TR"/>
        </w:rPr>
        <w:t>programlarından oluşmaktadır.</w:t>
      </w:r>
    </w:p>
    <w:p w:rsidR="00A5715B" w:rsidRPr="00D00722" w:rsidRDefault="00A5715B" w:rsidP="00792AEE">
      <w:pPr>
        <w:pStyle w:val="000normal"/>
        <w:autoSpaceDE w:val="0"/>
        <w:autoSpaceDN w:val="0"/>
        <w:adjustRightInd w:val="0"/>
        <w:spacing w:before="0" w:after="0" w:afterAutospacing="0"/>
        <w:jc w:val="left"/>
        <w:rPr>
          <w:lang w:val="tr-TR"/>
        </w:rPr>
      </w:pPr>
    </w:p>
    <w:p w:rsidR="002B5FEF" w:rsidRPr="00D00722" w:rsidRDefault="002B5FEF" w:rsidP="00792AEE">
      <w:pPr>
        <w:pStyle w:val="000normal"/>
        <w:autoSpaceDE w:val="0"/>
        <w:autoSpaceDN w:val="0"/>
        <w:adjustRightInd w:val="0"/>
        <w:spacing w:before="0" w:after="0" w:afterAutospacing="0"/>
        <w:jc w:val="left"/>
        <w:rPr>
          <w:lang w:val="tr-TR"/>
        </w:rPr>
      </w:pPr>
    </w:p>
    <w:p w:rsidR="002B5FEF" w:rsidRPr="00D00722" w:rsidRDefault="002B5FEF" w:rsidP="00792AEE">
      <w:pPr>
        <w:pStyle w:val="000normal"/>
        <w:autoSpaceDE w:val="0"/>
        <w:autoSpaceDN w:val="0"/>
        <w:adjustRightInd w:val="0"/>
        <w:spacing w:before="0" w:after="0" w:afterAutospacing="0"/>
        <w:jc w:val="left"/>
        <w:rPr>
          <w:lang w:val="tr-TR"/>
        </w:rPr>
      </w:pPr>
    </w:p>
    <w:p w:rsidR="002B5FEF" w:rsidRPr="00D00722" w:rsidRDefault="002B5FEF" w:rsidP="00792AEE">
      <w:pPr>
        <w:pStyle w:val="000normal"/>
        <w:autoSpaceDE w:val="0"/>
        <w:autoSpaceDN w:val="0"/>
        <w:adjustRightInd w:val="0"/>
        <w:spacing w:before="0" w:after="0" w:afterAutospacing="0"/>
        <w:jc w:val="left"/>
        <w:rPr>
          <w:lang w:val="tr-TR"/>
        </w:rPr>
      </w:pPr>
    </w:p>
    <w:p w:rsidR="002B5FEF" w:rsidRPr="00D00722" w:rsidRDefault="002B5FEF" w:rsidP="00792AEE">
      <w:pPr>
        <w:pStyle w:val="000normal"/>
        <w:autoSpaceDE w:val="0"/>
        <w:autoSpaceDN w:val="0"/>
        <w:adjustRightInd w:val="0"/>
        <w:spacing w:before="0" w:after="0" w:afterAutospacing="0"/>
        <w:jc w:val="left"/>
        <w:rPr>
          <w:lang w:val="tr-TR"/>
        </w:rPr>
      </w:pPr>
    </w:p>
    <w:p w:rsidR="002B5FEF" w:rsidRPr="00D00722" w:rsidRDefault="002B5FEF" w:rsidP="00792AEE">
      <w:pPr>
        <w:pStyle w:val="000normal"/>
        <w:autoSpaceDE w:val="0"/>
        <w:autoSpaceDN w:val="0"/>
        <w:adjustRightInd w:val="0"/>
        <w:spacing w:before="0" w:after="0" w:afterAutospacing="0"/>
        <w:jc w:val="left"/>
        <w:rPr>
          <w:lang w:val="tr-TR"/>
        </w:rPr>
      </w:pPr>
    </w:p>
    <w:p w:rsidR="002B5FEF" w:rsidRPr="00D00722" w:rsidRDefault="002B5FEF" w:rsidP="00792AEE">
      <w:pPr>
        <w:pStyle w:val="000normal"/>
        <w:autoSpaceDE w:val="0"/>
        <w:autoSpaceDN w:val="0"/>
        <w:adjustRightInd w:val="0"/>
        <w:spacing w:before="0" w:after="0" w:afterAutospacing="0"/>
        <w:jc w:val="left"/>
        <w:rPr>
          <w:lang w:val="tr-TR"/>
        </w:rPr>
      </w:pPr>
    </w:p>
    <w:p w:rsidR="002F6405" w:rsidRPr="00D00722" w:rsidRDefault="002F6405" w:rsidP="00792AEE">
      <w:pPr>
        <w:pStyle w:val="000normal"/>
        <w:autoSpaceDE w:val="0"/>
        <w:autoSpaceDN w:val="0"/>
        <w:adjustRightInd w:val="0"/>
        <w:spacing w:before="0" w:after="0" w:afterAutospacing="0"/>
        <w:jc w:val="left"/>
        <w:rPr>
          <w:rFonts w:eastAsia="Times New Roman"/>
          <w:lang w:val="tr-TR"/>
        </w:rPr>
      </w:pPr>
      <w:r w:rsidRPr="00D00722">
        <w:rPr>
          <w:lang w:val="tr-TR"/>
        </w:rPr>
        <w:t>Şirket’in 31 Aralık 201</w:t>
      </w:r>
      <w:r w:rsidR="006B7B62" w:rsidRPr="00D00722">
        <w:rPr>
          <w:lang w:val="tr-TR"/>
        </w:rPr>
        <w:t>3</w:t>
      </w:r>
      <w:r w:rsidRPr="00D00722">
        <w:rPr>
          <w:lang w:val="tr-TR"/>
        </w:rPr>
        <w:t xml:space="preserve"> tarihi itibariyle maddi olmayan duran varlıkları bilgisayar programlarından oluşmaktadır.</w:t>
      </w:r>
    </w:p>
    <w:p w:rsidR="002F6405" w:rsidRPr="00D00722" w:rsidRDefault="002F6405" w:rsidP="00792AEE">
      <w:pPr>
        <w:pStyle w:val="000normal"/>
        <w:autoSpaceDE w:val="0"/>
        <w:autoSpaceDN w:val="0"/>
        <w:adjustRightInd w:val="0"/>
        <w:spacing w:before="0" w:after="0" w:afterAutospacing="0"/>
        <w:ind w:left="567" w:hanging="567"/>
        <w:jc w:val="left"/>
        <w:rPr>
          <w:rFonts w:eastAsia="Times New Roman"/>
          <w:lang w:val="tr-TR"/>
        </w:rPr>
      </w:pPr>
    </w:p>
    <w:p w:rsidR="002F6405" w:rsidRPr="00D00722" w:rsidRDefault="001D4D21" w:rsidP="00792AEE">
      <w:pPr>
        <w:ind w:right="-1"/>
        <w:rPr>
          <w:rFonts w:ascii="Arial" w:hAnsi="Arial" w:cs="Arial"/>
          <w:lang w:val="tr-TR"/>
        </w:rPr>
      </w:pPr>
      <w:bookmarkStart w:id="0" w:name="OLE_LINK1"/>
      <w:r w:rsidRPr="00D00722">
        <w:rPr>
          <w:rFonts w:ascii="Arial" w:hAnsi="Arial" w:cs="Arial"/>
          <w:lang w:val="tr-TR"/>
        </w:rPr>
        <w:t>1.739</w:t>
      </w:r>
      <w:r w:rsidR="002F6405" w:rsidRPr="00D00722">
        <w:rPr>
          <w:rFonts w:ascii="Arial" w:hAnsi="Arial" w:cs="Arial"/>
          <w:lang w:val="tr-TR"/>
        </w:rPr>
        <w:t xml:space="preserve"> </w:t>
      </w:r>
      <w:bookmarkEnd w:id="0"/>
      <w:r w:rsidR="002F6405" w:rsidRPr="00D00722">
        <w:rPr>
          <w:rFonts w:ascii="Arial" w:hAnsi="Arial" w:cs="Arial"/>
          <w:lang w:val="tr-TR"/>
        </w:rPr>
        <w:t>TL tutarındaki dönem amortisman gideri genel yönetim giderlerine dahil edilmiştir</w:t>
      </w:r>
      <w:r w:rsidR="001E7EC3" w:rsidRPr="00D00722">
        <w:rPr>
          <w:rFonts w:ascii="Arial" w:hAnsi="Arial" w:cs="Arial"/>
          <w:lang w:val="tr-TR"/>
        </w:rPr>
        <w:t xml:space="preserve"> </w:t>
      </w:r>
      <w:r w:rsidR="004E3D5F" w:rsidRPr="00D00722">
        <w:rPr>
          <w:rFonts w:ascii="Arial" w:hAnsi="Arial" w:cs="Arial"/>
          <w:lang w:val="tr-TR"/>
        </w:rPr>
        <w:t xml:space="preserve">(Not:18) </w:t>
      </w:r>
      <w:r w:rsidR="001E7EC3" w:rsidRPr="00D00722">
        <w:rPr>
          <w:rFonts w:ascii="Arial" w:hAnsi="Arial" w:cs="Arial"/>
          <w:lang w:val="tr-TR"/>
        </w:rPr>
        <w:t>(31 Aralık 201</w:t>
      </w:r>
      <w:r w:rsidRPr="00D00722">
        <w:rPr>
          <w:rFonts w:ascii="Arial" w:hAnsi="Arial" w:cs="Arial"/>
          <w:lang w:val="tr-TR"/>
        </w:rPr>
        <w:t>3</w:t>
      </w:r>
      <w:r w:rsidR="006B7B62" w:rsidRPr="00D00722">
        <w:rPr>
          <w:rFonts w:ascii="Arial" w:hAnsi="Arial" w:cs="Arial"/>
          <w:lang w:val="tr-TR"/>
        </w:rPr>
        <w:t xml:space="preserve"> –</w:t>
      </w:r>
      <w:r w:rsidRPr="00D00722">
        <w:rPr>
          <w:rFonts w:ascii="Arial" w:hAnsi="Arial" w:cs="Arial"/>
          <w:lang w:val="tr-TR"/>
        </w:rPr>
        <w:t>3</w:t>
      </w:r>
      <w:r w:rsidR="001E7EC3" w:rsidRPr="00D00722">
        <w:rPr>
          <w:rFonts w:ascii="Arial" w:hAnsi="Arial" w:cs="Arial"/>
          <w:lang w:val="tr-TR"/>
        </w:rPr>
        <w:t>.</w:t>
      </w:r>
      <w:r w:rsidRPr="00D00722">
        <w:rPr>
          <w:rFonts w:ascii="Arial" w:hAnsi="Arial" w:cs="Arial"/>
          <w:lang w:val="tr-TR"/>
        </w:rPr>
        <w:t>588</w:t>
      </w:r>
      <w:r w:rsidR="00BD111E" w:rsidRPr="00D00722">
        <w:rPr>
          <w:rFonts w:ascii="Arial" w:hAnsi="Arial" w:cs="Arial"/>
          <w:lang w:val="tr-TR"/>
        </w:rPr>
        <w:t>).</w:t>
      </w:r>
    </w:p>
    <w:p w:rsidR="00A45A83" w:rsidRPr="00D00722" w:rsidRDefault="00A45A83" w:rsidP="00151742">
      <w:pPr>
        <w:rPr>
          <w:rFonts w:ascii="Arial" w:hAnsi="Arial" w:cs="Arial"/>
          <w:b/>
          <w:lang w:val="tr-TR"/>
        </w:rPr>
      </w:pPr>
    </w:p>
    <w:p w:rsidR="003B42C2" w:rsidRPr="00D00722" w:rsidRDefault="003B42C2">
      <w:pPr>
        <w:rPr>
          <w:rFonts w:ascii="Arial" w:hAnsi="Arial" w:cs="Arial"/>
          <w:b/>
          <w:lang w:val="tr-TR"/>
        </w:rPr>
      </w:pPr>
    </w:p>
    <w:p w:rsidR="00812BAE" w:rsidRPr="00D00722" w:rsidRDefault="00717C49" w:rsidP="00D55510">
      <w:pPr>
        <w:rPr>
          <w:rFonts w:ascii="Arial" w:hAnsi="Arial" w:cs="Arial"/>
          <w:b/>
          <w:lang w:val="tr-TR"/>
        </w:rPr>
      </w:pPr>
      <w:r w:rsidRPr="00D00722">
        <w:rPr>
          <w:rFonts w:ascii="Arial" w:hAnsi="Arial" w:cs="Arial"/>
          <w:b/>
          <w:lang w:val="tr-TR"/>
        </w:rPr>
        <w:t>12.</w:t>
      </w:r>
      <w:r w:rsidRPr="00D00722">
        <w:rPr>
          <w:rFonts w:ascii="Arial" w:hAnsi="Arial" w:cs="Arial"/>
          <w:b/>
          <w:lang w:val="tr-TR"/>
        </w:rPr>
        <w:tab/>
        <w:t>Çalışanlara sağlanan faydalar kapsamında borçlar</w:t>
      </w:r>
    </w:p>
    <w:p w:rsidR="00717C49" w:rsidRPr="00D00722" w:rsidRDefault="00717C49" w:rsidP="00D55510">
      <w:pPr>
        <w:rPr>
          <w:rFonts w:ascii="Arial" w:hAnsi="Arial" w:cs="Arial"/>
          <w:b/>
          <w:lang w:val="tr-TR"/>
        </w:rPr>
      </w:pPr>
    </w:p>
    <w:tbl>
      <w:tblPr>
        <w:tblW w:w="9072" w:type="dxa"/>
        <w:tblInd w:w="108" w:type="dxa"/>
        <w:tblLayout w:type="fixed"/>
        <w:tblLook w:val="01E0"/>
      </w:tblPr>
      <w:tblGrid>
        <w:gridCol w:w="5670"/>
        <w:gridCol w:w="1701"/>
        <w:gridCol w:w="1701"/>
      </w:tblGrid>
      <w:tr w:rsidR="002B5FEF" w:rsidRPr="00D00722" w:rsidTr="002B5FEF">
        <w:tc>
          <w:tcPr>
            <w:tcW w:w="5670" w:type="dxa"/>
            <w:tcBorders>
              <w:top w:val="single" w:sz="4" w:space="0" w:color="auto"/>
              <w:bottom w:val="single" w:sz="4" w:space="0" w:color="auto"/>
            </w:tcBorders>
          </w:tcPr>
          <w:p w:rsidR="002B5FEF" w:rsidRPr="00D00722" w:rsidRDefault="002B5FEF" w:rsidP="00BE1B0F">
            <w:pPr>
              <w:autoSpaceDE w:val="0"/>
              <w:autoSpaceDN w:val="0"/>
              <w:adjustRightInd w:val="0"/>
              <w:ind w:left="-108"/>
              <w:jc w:val="both"/>
              <w:rPr>
                <w:rFonts w:ascii="Arial" w:hAnsi="Arial" w:cs="Arial"/>
                <w:lang w:val="tr-TR"/>
              </w:rPr>
            </w:pPr>
          </w:p>
        </w:tc>
        <w:tc>
          <w:tcPr>
            <w:tcW w:w="1701" w:type="dxa"/>
            <w:tcBorders>
              <w:top w:val="single" w:sz="4" w:space="0" w:color="auto"/>
              <w:bottom w:val="single" w:sz="4" w:space="0" w:color="auto"/>
            </w:tcBorders>
            <w:vAlign w:val="bottom"/>
          </w:tcPr>
          <w:p w:rsidR="002B5FEF" w:rsidRPr="00D00722" w:rsidRDefault="002B5FEF" w:rsidP="002B5FEF">
            <w:pPr>
              <w:autoSpaceDE w:val="0"/>
              <w:autoSpaceDN w:val="0"/>
              <w:adjustRightInd w:val="0"/>
              <w:jc w:val="right"/>
              <w:rPr>
                <w:rFonts w:ascii="Arial" w:hAnsi="Arial" w:cs="Arial"/>
                <w:b/>
                <w:lang w:val="tr-TR"/>
              </w:rPr>
            </w:pPr>
            <w:r w:rsidRPr="00D00722">
              <w:rPr>
                <w:rFonts w:ascii="Arial" w:hAnsi="Arial" w:cs="Arial"/>
                <w:b/>
                <w:lang w:val="tr-TR"/>
              </w:rPr>
              <w:t>31 Mart 2014</w:t>
            </w:r>
          </w:p>
        </w:tc>
        <w:tc>
          <w:tcPr>
            <w:tcW w:w="1701" w:type="dxa"/>
            <w:tcBorders>
              <w:top w:val="single" w:sz="4" w:space="0" w:color="auto"/>
              <w:bottom w:val="single" w:sz="4" w:space="0" w:color="auto"/>
            </w:tcBorders>
            <w:vAlign w:val="bottom"/>
          </w:tcPr>
          <w:p w:rsidR="002B5FEF" w:rsidRPr="00D00722" w:rsidRDefault="002B5FEF" w:rsidP="002B5FEF">
            <w:pPr>
              <w:autoSpaceDE w:val="0"/>
              <w:autoSpaceDN w:val="0"/>
              <w:adjustRightInd w:val="0"/>
              <w:jc w:val="right"/>
              <w:rPr>
                <w:rFonts w:ascii="Arial" w:hAnsi="Arial" w:cs="Arial"/>
                <w:lang w:val="tr-TR"/>
              </w:rPr>
            </w:pPr>
            <w:r w:rsidRPr="00D00722">
              <w:rPr>
                <w:rFonts w:ascii="Arial" w:hAnsi="Arial" w:cs="Arial"/>
                <w:lang w:val="tr-TR"/>
              </w:rPr>
              <w:t>31 Aralık 2013</w:t>
            </w:r>
          </w:p>
        </w:tc>
      </w:tr>
      <w:tr w:rsidR="002B5FEF" w:rsidRPr="00D00722" w:rsidTr="002B5FEF">
        <w:tc>
          <w:tcPr>
            <w:tcW w:w="5670" w:type="dxa"/>
            <w:tcBorders>
              <w:top w:val="single" w:sz="4" w:space="0" w:color="auto"/>
            </w:tcBorders>
          </w:tcPr>
          <w:p w:rsidR="002B5FEF" w:rsidRPr="00D00722" w:rsidRDefault="002B5FEF" w:rsidP="00BE1B0F">
            <w:pPr>
              <w:autoSpaceDE w:val="0"/>
              <w:autoSpaceDN w:val="0"/>
              <w:adjustRightInd w:val="0"/>
              <w:ind w:left="-108"/>
              <w:jc w:val="both"/>
              <w:rPr>
                <w:rFonts w:ascii="Arial" w:hAnsi="Arial" w:cs="Arial"/>
                <w:lang w:val="tr-TR"/>
              </w:rPr>
            </w:pPr>
          </w:p>
        </w:tc>
        <w:tc>
          <w:tcPr>
            <w:tcW w:w="1701" w:type="dxa"/>
            <w:tcBorders>
              <w:top w:val="single" w:sz="4" w:space="0" w:color="auto"/>
            </w:tcBorders>
            <w:vAlign w:val="center"/>
          </w:tcPr>
          <w:p w:rsidR="002B5FEF" w:rsidRPr="00D00722" w:rsidRDefault="002B5FEF" w:rsidP="00BE1B0F">
            <w:pPr>
              <w:autoSpaceDE w:val="0"/>
              <w:autoSpaceDN w:val="0"/>
              <w:adjustRightInd w:val="0"/>
              <w:jc w:val="right"/>
              <w:rPr>
                <w:rFonts w:ascii="Arial" w:hAnsi="Arial" w:cs="Arial"/>
                <w:b/>
                <w:lang w:val="tr-TR"/>
              </w:rPr>
            </w:pPr>
          </w:p>
        </w:tc>
        <w:tc>
          <w:tcPr>
            <w:tcW w:w="1701" w:type="dxa"/>
            <w:tcBorders>
              <w:top w:val="single" w:sz="4" w:space="0" w:color="auto"/>
            </w:tcBorders>
            <w:vAlign w:val="center"/>
          </w:tcPr>
          <w:p w:rsidR="002B5FEF" w:rsidRPr="00D00722" w:rsidRDefault="002B5FEF" w:rsidP="002B5FEF">
            <w:pPr>
              <w:autoSpaceDE w:val="0"/>
              <w:autoSpaceDN w:val="0"/>
              <w:adjustRightInd w:val="0"/>
              <w:jc w:val="right"/>
              <w:rPr>
                <w:rFonts w:ascii="Arial" w:hAnsi="Arial" w:cs="Arial"/>
                <w:lang w:val="tr-TR"/>
              </w:rPr>
            </w:pPr>
          </w:p>
        </w:tc>
      </w:tr>
      <w:tr w:rsidR="002B5FEF" w:rsidRPr="00D00722" w:rsidTr="002B5FEF">
        <w:tc>
          <w:tcPr>
            <w:tcW w:w="5670" w:type="dxa"/>
          </w:tcPr>
          <w:p w:rsidR="002B5FEF" w:rsidRPr="00D00722" w:rsidRDefault="002B5FEF" w:rsidP="00BE1B0F">
            <w:pPr>
              <w:autoSpaceDE w:val="0"/>
              <w:autoSpaceDN w:val="0"/>
              <w:adjustRightInd w:val="0"/>
              <w:ind w:left="-108"/>
              <w:jc w:val="both"/>
              <w:rPr>
                <w:rFonts w:ascii="Arial" w:hAnsi="Arial" w:cs="Arial"/>
                <w:lang w:val="tr-TR"/>
              </w:rPr>
            </w:pPr>
            <w:r w:rsidRPr="00D00722">
              <w:rPr>
                <w:rFonts w:ascii="Arial" w:hAnsi="Arial" w:cs="Arial"/>
                <w:lang w:val="tr-TR"/>
              </w:rPr>
              <w:t>Ödenecek vergi ve fonlar</w:t>
            </w:r>
          </w:p>
        </w:tc>
        <w:tc>
          <w:tcPr>
            <w:tcW w:w="1701" w:type="dxa"/>
            <w:vAlign w:val="bottom"/>
          </w:tcPr>
          <w:p w:rsidR="002B5FEF" w:rsidRPr="00D00722" w:rsidRDefault="00021C8E" w:rsidP="00BE1B0F">
            <w:pPr>
              <w:jc w:val="right"/>
              <w:rPr>
                <w:rFonts w:ascii="Arial" w:hAnsi="Arial" w:cs="Arial"/>
                <w:b/>
                <w:lang w:val="tr-TR"/>
              </w:rPr>
            </w:pPr>
            <w:r w:rsidRPr="00D00722">
              <w:rPr>
                <w:rFonts w:ascii="Arial" w:hAnsi="Arial" w:cs="Arial"/>
                <w:b/>
                <w:lang w:val="tr-TR"/>
              </w:rPr>
              <w:t>27.927</w:t>
            </w:r>
          </w:p>
        </w:tc>
        <w:tc>
          <w:tcPr>
            <w:tcW w:w="1701" w:type="dxa"/>
            <w:vAlign w:val="bottom"/>
          </w:tcPr>
          <w:p w:rsidR="002B5FEF" w:rsidRPr="00D00722" w:rsidRDefault="002B5FEF" w:rsidP="002B5FEF">
            <w:pPr>
              <w:jc w:val="right"/>
              <w:rPr>
                <w:rFonts w:ascii="Arial" w:hAnsi="Arial" w:cs="Arial"/>
                <w:lang w:val="tr-TR"/>
              </w:rPr>
            </w:pPr>
            <w:r w:rsidRPr="00D00722">
              <w:rPr>
                <w:rFonts w:ascii="Arial" w:hAnsi="Arial" w:cs="Arial"/>
                <w:lang w:val="tr-TR"/>
              </w:rPr>
              <w:t>31.591</w:t>
            </w:r>
          </w:p>
        </w:tc>
      </w:tr>
      <w:tr w:rsidR="002B5FEF" w:rsidRPr="00D00722" w:rsidTr="002B5FEF">
        <w:tc>
          <w:tcPr>
            <w:tcW w:w="5670" w:type="dxa"/>
          </w:tcPr>
          <w:p w:rsidR="002B5FEF" w:rsidRPr="00D00722" w:rsidRDefault="002B5FEF" w:rsidP="00BE1B0F">
            <w:pPr>
              <w:autoSpaceDE w:val="0"/>
              <w:autoSpaceDN w:val="0"/>
              <w:adjustRightInd w:val="0"/>
              <w:ind w:left="-108"/>
              <w:jc w:val="both"/>
              <w:rPr>
                <w:rFonts w:ascii="Arial" w:hAnsi="Arial" w:cs="Arial"/>
                <w:lang w:val="tr-TR"/>
              </w:rPr>
            </w:pPr>
            <w:r w:rsidRPr="00D00722">
              <w:rPr>
                <w:rFonts w:ascii="Arial" w:hAnsi="Arial" w:cs="Arial"/>
                <w:lang w:val="tr-TR"/>
              </w:rPr>
              <w:t>Ödenecek sosyal güvenlik kesintileri</w:t>
            </w:r>
          </w:p>
        </w:tc>
        <w:tc>
          <w:tcPr>
            <w:tcW w:w="1701" w:type="dxa"/>
            <w:vAlign w:val="bottom"/>
          </w:tcPr>
          <w:p w:rsidR="002B5FEF" w:rsidRPr="00D00722" w:rsidRDefault="00021C8E" w:rsidP="00BE1B0F">
            <w:pPr>
              <w:jc w:val="right"/>
              <w:rPr>
                <w:rFonts w:ascii="Arial" w:hAnsi="Arial" w:cs="Arial"/>
                <w:b/>
                <w:lang w:val="tr-TR"/>
              </w:rPr>
            </w:pPr>
            <w:r w:rsidRPr="00D00722">
              <w:rPr>
                <w:rFonts w:ascii="Arial" w:hAnsi="Arial" w:cs="Arial"/>
                <w:b/>
                <w:lang w:val="tr-TR"/>
              </w:rPr>
              <w:t>20.871</w:t>
            </w:r>
          </w:p>
        </w:tc>
        <w:tc>
          <w:tcPr>
            <w:tcW w:w="1701" w:type="dxa"/>
            <w:vAlign w:val="bottom"/>
          </w:tcPr>
          <w:p w:rsidR="002B5FEF" w:rsidRPr="00D00722" w:rsidRDefault="002B5FEF" w:rsidP="002B5FEF">
            <w:pPr>
              <w:jc w:val="right"/>
              <w:rPr>
                <w:rFonts w:ascii="Arial" w:hAnsi="Arial" w:cs="Arial"/>
                <w:lang w:val="tr-TR"/>
              </w:rPr>
            </w:pPr>
            <w:r w:rsidRPr="00D00722">
              <w:rPr>
                <w:rFonts w:ascii="Arial" w:hAnsi="Arial" w:cs="Arial"/>
                <w:lang w:val="tr-TR"/>
              </w:rPr>
              <w:t>20.065</w:t>
            </w:r>
          </w:p>
        </w:tc>
      </w:tr>
      <w:tr w:rsidR="002B5FEF" w:rsidRPr="00D00722" w:rsidTr="002B5FEF">
        <w:tc>
          <w:tcPr>
            <w:tcW w:w="5670" w:type="dxa"/>
            <w:tcBorders>
              <w:bottom w:val="single" w:sz="4" w:space="0" w:color="auto"/>
            </w:tcBorders>
          </w:tcPr>
          <w:p w:rsidR="002B5FEF" w:rsidRPr="00D00722" w:rsidRDefault="002B5FEF" w:rsidP="00BE1B0F">
            <w:pPr>
              <w:autoSpaceDE w:val="0"/>
              <w:autoSpaceDN w:val="0"/>
              <w:adjustRightInd w:val="0"/>
              <w:ind w:left="-108"/>
              <w:jc w:val="both"/>
              <w:rPr>
                <w:rFonts w:ascii="Arial" w:hAnsi="Arial" w:cs="Arial"/>
                <w:lang w:val="tr-TR"/>
              </w:rPr>
            </w:pPr>
          </w:p>
        </w:tc>
        <w:tc>
          <w:tcPr>
            <w:tcW w:w="1701" w:type="dxa"/>
            <w:tcBorders>
              <w:bottom w:val="single" w:sz="4" w:space="0" w:color="auto"/>
            </w:tcBorders>
            <w:vAlign w:val="bottom"/>
          </w:tcPr>
          <w:p w:rsidR="002B5FEF" w:rsidRPr="00D00722" w:rsidRDefault="002B5FEF" w:rsidP="00BE1B0F">
            <w:pPr>
              <w:autoSpaceDE w:val="0"/>
              <w:autoSpaceDN w:val="0"/>
              <w:adjustRightInd w:val="0"/>
              <w:jc w:val="right"/>
              <w:rPr>
                <w:rFonts w:ascii="Arial" w:hAnsi="Arial" w:cs="Arial"/>
                <w:b/>
                <w:lang w:val="tr-TR"/>
              </w:rPr>
            </w:pPr>
          </w:p>
        </w:tc>
        <w:tc>
          <w:tcPr>
            <w:tcW w:w="1701" w:type="dxa"/>
            <w:tcBorders>
              <w:bottom w:val="single" w:sz="4" w:space="0" w:color="auto"/>
            </w:tcBorders>
            <w:vAlign w:val="bottom"/>
          </w:tcPr>
          <w:p w:rsidR="002B5FEF" w:rsidRPr="00D00722" w:rsidRDefault="002B5FEF" w:rsidP="002B5FEF">
            <w:pPr>
              <w:autoSpaceDE w:val="0"/>
              <w:autoSpaceDN w:val="0"/>
              <w:adjustRightInd w:val="0"/>
              <w:jc w:val="right"/>
              <w:rPr>
                <w:rFonts w:ascii="Arial" w:hAnsi="Arial" w:cs="Arial"/>
                <w:lang w:val="tr-TR"/>
              </w:rPr>
            </w:pPr>
          </w:p>
        </w:tc>
      </w:tr>
      <w:tr w:rsidR="002B5FEF" w:rsidRPr="00D00722" w:rsidTr="002B5FEF">
        <w:tc>
          <w:tcPr>
            <w:tcW w:w="5670" w:type="dxa"/>
            <w:tcBorders>
              <w:top w:val="single" w:sz="4" w:space="0" w:color="auto"/>
              <w:bottom w:val="double" w:sz="4" w:space="0" w:color="auto"/>
            </w:tcBorders>
          </w:tcPr>
          <w:p w:rsidR="002B5FEF" w:rsidRPr="00D00722" w:rsidRDefault="002B5FEF" w:rsidP="00BE1B0F">
            <w:pPr>
              <w:autoSpaceDE w:val="0"/>
              <w:autoSpaceDN w:val="0"/>
              <w:adjustRightInd w:val="0"/>
              <w:ind w:left="-108"/>
              <w:jc w:val="both"/>
              <w:rPr>
                <w:rFonts w:ascii="Arial" w:hAnsi="Arial" w:cs="Arial"/>
                <w:lang w:val="tr-TR"/>
              </w:rPr>
            </w:pPr>
          </w:p>
        </w:tc>
        <w:tc>
          <w:tcPr>
            <w:tcW w:w="1701" w:type="dxa"/>
            <w:tcBorders>
              <w:top w:val="single" w:sz="4" w:space="0" w:color="auto"/>
              <w:bottom w:val="double" w:sz="4" w:space="0" w:color="auto"/>
            </w:tcBorders>
            <w:vAlign w:val="bottom"/>
          </w:tcPr>
          <w:p w:rsidR="002B5FEF" w:rsidRPr="00D00722" w:rsidRDefault="002F77AE" w:rsidP="002F77AE">
            <w:pPr>
              <w:jc w:val="right"/>
              <w:rPr>
                <w:rFonts w:ascii="Arial" w:hAnsi="Arial" w:cs="Arial"/>
                <w:b/>
                <w:bCs/>
                <w:color w:val="000000"/>
              </w:rPr>
            </w:pPr>
            <w:r w:rsidRPr="00D00722">
              <w:rPr>
                <w:rFonts w:ascii="Arial" w:hAnsi="Arial" w:cs="Arial"/>
                <w:b/>
                <w:bCs/>
                <w:color w:val="000000"/>
              </w:rPr>
              <w:t>48</w:t>
            </w:r>
            <w:r w:rsidR="00021C8E" w:rsidRPr="00D00722">
              <w:rPr>
                <w:rFonts w:ascii="Arial" w:hAnsi="Arial" w:cs="Arial"/>
                <w:b/>
                <w:bCs/>
                <w:color w:val="000000"/>
              </w:rPr>
              <w:t>.</w:t>
            </w:r>
            <w:r w:rsidRPr="00D00722">
              <w:rPr>
                <w:rFonts w:ascii="Arial" w:hAnsi="Arial" w:cs="Arial"/>
                <w:b/>
                <w:bCs/>
                <w:color w:val="000000"/>
              </w:rPr>
              <w:t>798</w:t>
            </w:r>
          </w:p>
        </w:tc>
        <w:tc>
          <w:tcPr>
            <w:tcW w:w="1701" w:type="dxa"/>
            <w:tcBorders>
              <w:top w:val="single" w:sz="4" w:space="0" w:color="auto"/>
              <w:bottom w:val="double" w:sz="4" w:space="0" w:color="auto"/>
            </w:tcBorders>
            <w:vAlign w:val="bottom"/>
          </w:tcPr>
          <w:p w:rsidR="002B5FEF" w:rsidRPr="00D00722" w:rsidRDefault="002B5FEF" w:rsidP="002B5FEF">
            <w:pPr>
              <w:jc w:val="right"/>
              <w:rPr>
                <w:rFonts w:ascii="Arial" w:hAnsi="Arial" w:cs="Arial"/>
                <w:bCs/>
                <w:color w:val="000000"/>
              </w:rPr>
            </w:pPr>
            <w:r w:rsidRPr="00D00722">
              <w:rPr>
                <w:rFonts w:ascii="Arial" w:hAnsi="Arial" w:cs="Arial"/>
                <w:bCs/>
                <w:color w:val="000000"/>
              </w:rPr>
              <w:t>51.656</w:t>
            </w:r>
          </w:p>
        </w:tc>
      </w:tr>
    </w:tbl>
    <w:p w:rsidR="00717C49" w:rsidRPr="00D00722" w:rsidRDefault="00717C49" w:rsidP="00D55510">
      <w:pPr>
        <w:rPr>
          <w:rFonts w:ascii="Arial" w:hAnsi="Arial" w:cs="Arial"/>
          <w:b/>
          <w:lang w:val="tr-TR"/>
        </w:rPr>
      </w:pPr>
    </w:p>
    <w:p w:rsidR="00717C49" w:rsidRPr="00D00722" w:rsidRDefault="00717C49" w:rsidP="00D55510">
      <w:pPr>
        <w:rPr>
          <w:rFonts w:ascii="Arial" w:hAnsi="Arial" w:cs="Arial"/>
          <w:b/>
          <w:lang w:val="tr-TR"/>
        </w:rPr>
      </w:pPr>
    </w:p>
    <w:p w:rsidR="00BB4CBF" w:rsidRPr="00D00722" w:rsidRDefault="00A45A83" w:rsidP="00D55510">
      <w:pPr>
        <w:rPr>
          <w:rFonts w:ascii="Arial" w:hAnsi="Arial" w:cs="Arial"/>
          <w:b/>
          <w:lang w:val="tr-TR"/>
        </w:rPr>
      </w:pPr>
      <w:r w:rsidRPr="00D00722">
        <w:rPr>
          <w:rFonts w:ascii="Arial" w:hAnsi="Arial" w:cs="Arial"/>
          <w:b/>
          <w:lang w:val="tr-TR"/>
        </w:rPr>
        <w:t>1</w:t>
      </w:r>
      <w:r w:rsidR="00717C49" w:rsidRPr="00D00722">
        <w:rPr>
          <w:rFonts w:ascii="Arial" w:hAnsi="Arial" w:cs="Arial"/>
          <w:b/>
          <w:lang w:val="tr-TR"/>
        </w:rPr>
        <w:t>3</w:t>
      </w:r>
      <w:r w:rsidR="00792AEE" w:rsidRPr="00D00722">
        <w:rPr>
          <w:rFonts w:ascii="Arial" w:hAnsi="Arial" w:cs="Arial"/>
          <w:b/>
          <w:lang w:val="tr-TR"/>
        </w:rPr>
        <w:t>.</w:t>
      </w:r>
      <w:r w:rsidR="00BB4CBF" w:rsidRPr="00D00722">
        <w:rPr>
          <w:rFonts w:ascii="Arial" w:hAnsi="Arial" w:cs="Arial"/>
          <w:b/>
          <w:lang w:val="tr-TR"/>
        </w:rPr>
        <w:tab/>
      </w:r>
      <w:r w:rsidRPr="00D00722">
        <w:rPr>
          <w:rFonts w:ascii="Arial" w:hAnsi="Arial" w:cs="Arial"/>
          <w:b/>
          <w:lang w:val="tr-TR"/>
        </w:rPr>
        <w:t>Kısa ve uzun vadeli karşılıklar</w:t>
      </w:r>
    </w:p>
    <w:p w:rsidR="00B20BB7" w:rsidRPr="00D00722" w:rsidRDefault="00B20BB7" w:rsidP="00AE0484">
      <w:pPr>
        <w:ind w:left="567" w:hanging="567"/>
        <w:rPr>
          <w:rFonts w:ascii="Arial" w:hAnsi="Arial" w:cs="Arial"/>
          <w:b/>
          <w:lang w:val="tr-TR"/>
        </w:rPr>
      </w:pPr>
    </w:p>
    <w:p w:rsidR="00B20BB7" w:rsidRPr="00D00722" w:rsidRDefault="00C01FD8" w:rsidP="00AE0484">
      <w:pPr>
        <w:autoSpaceDE w:val="0"/>
        <w:autoSpaceDN w:val="0"/>
        <w:adjustRightInd w:val="0"/>
        <w:jc w:val="both"/>
        <w:rPr>
          <w:rFonts w:ascii="Arial" w:hAnsi="Arial" w:cs="Arial"/>
          <w:b/>
          <w:lang w:val="tr-TR"/>
        </w:rPr>
      </w:pPr>
      <w:r w:rsidRPr="00D00722">
        <w:rPr>
          <w:rFonts w:ascii="Arial" w:hAnsi="Arial" w:cs="Arial"/>
          <w:b/>
          <w:lang w:val="tr-TR"/>
        </w:rPr>
        <w:t>Çalışanlara sağlanan faydalara ilişkin uzun vadeli karşılıklar</w:t>
      </w:r>
    </w:p>
    <w:p w:rsidR="00A67E2A" w:rsidRPr="00D00722" w:rsidRDefault="00A67E2A" w:rsidP="00AE0484">
      <w:pPr>
        <w:autoSpaceDE w:val="0"/>
        <w:autoSpaceDN w:val="0"/>
        <w:adjustRightInd w:val="0"/>
        <w:jc w:val="both"/>
        <w:rPr>
          <w:rFonts w:ascii="Arial" w:hAnsi="Arial" w:cs="Arial"/>
          <w:b/>
          <w:lang w:val="tr-TR"/>
        </w:rPr>
      </w:pPr>
    </w:p>
    <w:tbl>
      <w:tblPr>
        <w:tblW w:w="9072" w:type="dxa"/>
        <w:tblInd w:w="108" w:type="dxa"/>
        <w:tblLayout w:type="fixed"/>
        <w:tblLook w:val="01E0"/>
      </w:tblPr>
      <w:tblGrid>
        <w:gridCol w:w="5670"/>
        <w:gridCol w:w="1701"/>
        <w:gridCol w:w="1701"/>
      </w:tblGrid>
      <w:tr w:rsidR="002B5FEF" w:rsidRPr="00D00722" w:rsidTr="002B5FEF">
        <w:tc>
          <w:tcPr>
            <w:tcW w:w="5670" w:type="dxa"/>
            <w:tcBorders>
              <w:top w:val="single" w:sz="4" w:space="0" w:color="auto"/>
              <w:bottom w:val="single" w:sz="4" w:space="0" w:color="auto"/>
            </w:tcBorders>
          </w:tcPr>
          <w:p w:rsidR="002B5FEF" w:rsidRPr="00D00722" w:rsidRDefault="002B5FEF" w:rsidP="009F4D08">
            <w:pPr>
              <w:autoSpaceDE w:val="0"/>
              <w:autoSpaceDN w:val="0"/>
              <w:adjustRightInd w:val="0"/>
              <w:ind w:left="-108"/>
              <w:jc w:val="both"/>
              <w:rPr>
                <w:rFonts w:ascii="Arial" w:hAnsi="Arial" w:cs="Arial"/>
                <w:lang w:val="tr-TR"/>
              </w:rPr>
            </w:pPr>
          </w:p>
        </w:tc>
        <w:tc>
          <w:tcPr>
            <w:tcW w:w="1701" w:type="dxa"/>
            <w:tcBorders>
              <w:top w:val="single" w:sz="4" w:space="0" w:color="auto"/>
              <w:bottom w:val="single" w:sz="4" w:space="0" w:color="auto"/>
            </w:tcBorders>
            <w:vAlign w:val="bottom"/>
          </w:tcPr>
          <w:p w:rsidR="002B5FEF" w:rsidRPr="00D00722" w:rsidRDefault="002B5FEF" w:rsidP="002B5FEF">
            <w:pPr>
              <w:autoSpaceDE w:val="0"/>
              <w:autoSpaceDN w:val="0"/>
              <w:adjustRightInd w:val="0"/>
              <w:jc w:val="right"/>
              <w:rPr>
                <w:rFonts w:ascii="Arial" w:hAnsi="Arial" w:cs="Arial"/>
                <w:b/>
                <w:lang w:val="tr-TR"/>
              </w:rPr>
            </w:pPr>
            <w:r w:rsidRPr="00D00722">
              <w:rPr>
                <w:rFonts w:ascii="Arial" w:hAnsi="Arial" w:cs="Arial"/>
                <w:b/>
                <w:lang w:val="tr-TR"/>
              </w:rPr>
              <w:t>31 Mart 2014</w:t>
            </w:r>
          </w:p>
        </w:tc>
        <w:tc>
          <w:tcPr>
            <w:tcW w:w="1701" w:type="dxa"/>
            <w:tcBorders>
              <w:top w:val="single" w:sz="4" w:space="0" w:color="auto"/>
              <w:bottom w:val="single" w:sz="4" w:space="0" w:color="auto"/>
            </w:tcBorders>
            <w:vAlign w:val="bottom"/>
          </w:tcPr>
          <w:p w:rsidR="002B5FEF" w:rsidRPr="00D00722" w:rsidRDefault="002B5FEF" w:rsidP="002B5FEF">
            <w:pPr>
              <w:autoSpaceDE w:val="0"/>
              <w:autoSpaceDN w:val="0"/>
              <w:adjustRightInd w:val="0"/>
              <w:jc w:val="right"/>
              <w:rPr>
                <w:rFonts w:ascii="Arial" w:hAnsi="Arial" w:cs="Arial"/>
                <w:lang w:val="tr-TR"/>
              </w:rPr>
            </w:pPr>
            <w:r w:rsidRPr="00D00722">
              <w:rPr>
                <w:rFonts w:ascii="Arial" w:hAnsi="Arial" w:cs="Arial"/>
                <w:lang w:val="tr-TR"/>
              </w:rPr>
              <w:t>31 Aralık 2013</w:t>
            </w:r>
          </w:p>
        </w:tc>
      </w:tr>
      <w:tr w:rsidR="002B5FEF" w:rsidRPr="00D00722" w:rsidTr="002B5FEF">
        <w:tc>
          <w:tcPr>
            <w:tcW w:w="5670" w:type="dxa"/>
            <w:tcBorders>
              <w:top w:val="single" w:sz="4" w:space="0" w:color="auto"/>
            </w:tcBorders>
          </w:tcPr>
          <w:p w:rsidR="002B5FEF" w:rsidRPr="00D00722" w:rsidRDefault="002B5FEF" w:rsidP="00237DCB">
            <w:pPr>
              <w:autoSpaceDE w:val="0"/>
              <w:autoSpaceDN w:val="0"/>
              <w:adjustRightInd w:val="0"/>
              <w:ind w:left="-108"/>
              <w:jc w:val="both"/>
              <w:rPr>
                <w:rFonts w:ascii="Arial" w:hAnsi="Arial" w:cs="Arial"/>
                <w:lang w:val="tr-TR"/>
              </w:rPr>
            </w:pPr>
          </w:p>
        </w:tc>
        <w:tc>
          <w:tcPr>
            <w:tcW w:w="1701" w:type="dxa"/>
            <w:tcBorders>
              <w:top w:val="single" w:sz="4" w:space="0" w:color="auto"/>
            </w:tcBorders>
            <w:vAlign w:val="center"/>
          </w:tcPr>
          <w:p w:rsidR="002B5FEF" w:rsidRPr="00D00722" w:rsidRDefault="002B5FEF" w:rsidP="00C621FD">
            <w:pPr>
              <w:autoSpaceDE w:val="0"/>
              <w:autoSpaceDN w:val="0"/>
              <w:adjustRightInd w:val="0"/>
              <w:jc w:val="right"/>
              <w:rPr>
                <w:rFonts w:ascii="Arial" w:hAnsi="Arial" w:cs="Arial"/>
                <w:b/>
                <w:lang w:val="tr-TR"/>
              </w:rPr>
            </w:pPr>
          </w:p>
        </w:tc>
        <w:tc>
          <w:tcPr>
            <w:tcW w:w="1701" w:type="dxa"/>
            <w:tcBorders>
              <w:top w:val="single" w:sz="4" w:space="0" w:color="auto"/>
            </w:tcBorders>
            <w:vAlign w:val="center"/>
          </w:tcPr>
          <w:p w:rsidR="002B5FEF" w:rsidRPr="00D00722" w:rsidRDefault="002B5FEF" w:rsidP="002B5FEF">
            <w:pPr>
              <w:autoSpaceDE w:val="0"/>
              <w:autoSpaceDN w:val="0"/>
              <w:adjustRightInd w:val="0"/>
              <w:jc w:val="right"/>
              <w:rPr>
                <w:rFonts w:ascii="Arial" w:hAnsi="Arial" w:cs="Arial"/>
                <w:lang w:val="tr-TR"/>
              </w:rPr>
            </w:pPr>
          </w:p>
        </w:tc>
      </w:tr>
      <w:tr w:rsidR="002B5FEF" w:rsidRPr="00D00722" w:rsidTr="002B5FEF">
        <w:tc>
          <w:tcPr>
            <w:tcW w:w="5670" w:type="dxa"/>
          </w:tcPr>
          <w:p w:rsidR="002B5FEF" w:rsidRPr="00D00722" w:rsidRDefault="002B5FEF" w:rsidP="00237DCB">
            <w:pPr>
              <w:autoSpaceDE w:val="0"/>
              <w:autoSpaceDN w:val="0"/>
              <w:adjustRightInd w:val="0"/>
              <w:ind w:left="-108"/>
              <w:jc w:val="both"/>
              <w:rPr>
                <w:rFonts w:ascii="Arial" w:hAnsi="Arial" w:cs="Arial"/>
                <w:lang w:val="tr-TR"/>
              </w:rPr>
            </w:pPr>
            <w:r w:rsidRPr="00D00722">
              <w:rPr>
                <w:rFonts w:ascii="Arial" w:hAnsi="Arial" w:cs="Arial"/>
                <w:lang w:val="tr-TR"/>
              </w:rPr>
              <w:t>Kıdem tazminatı karşılığı</w:t>
            </w:r>
          </w:p>
        </w:tc>
        <w:tc>
          <w:tcPr>
            <w:tcW w:w="1701" w:type="dxa"/>
            <w:vAlign w:val="bottom"/>
          </w:tcPr>
          <w:p w:rsidR="002B5FEF" w:rsidRPr="00D00722" w:rsidRDefault="00F35967" w:rsidP="00C621FD">
            <w:pPr>
              <w:jc w:val="right"/>
              <w:rPr>
                <w:rFonts w:ascii="Arial" w:hAnsi="Arial" w:cs="Arial"/>
                <w:b/>
                <w:lang w:val="tr-TR"/>
              </w:rPr>
            </w:pPr>
            <w:r w:rsidRPr="00D00722">
              <w:rPr>
                <w:rFonts w:ascii="Arial" w:hAnsi="Arial" w:cs="Arial"/>
                <w:b/>
                <w:lang w:val="tr-TR"/>
              </w:rPr>
              <w:t>90.296</w:t>
            </w:r>
          </w:p>
        </w:tc>
        <w:tc>
          <w:tcPr>
            <w:tcW w:w="1701" w:type="dxa"/>
            <w:vAlign w:val="bottom"/>
          </w:tcPr>
          <w:p w:rsidR="002B5FEF" w:rsidRPr="00D00722" w:rsidRDefault="002B5FEF" w:rsidP="002B5FEF">
            <w:pPr>
              <w:jc w:val="right"/>
              <w:rPr>
                <w:rFonts w:ascii="Arial" w:hAnsi="Arial" w:cs="Arial"/>
                <w:lang w:val="tr-TR"/>
              </w:rPr>
            </w:pPr>
            <w:r w:rsidRPr="00D00722">
              <w:rPr>
                <w:rFonts w:ascii="Arial" w:hAnsi="Arial" w:cs="Arial"/>
                <w:lang w:val="tr-TR"/>
              </w:rPr>
              <w:t>76.997</w:t>
            </w:r>
          </w:p>
        </w:tc>
      </w:tr>
      <w:tr w:rsidR="002B5FEF" w:rsidRPr="00D00722" w:rsidTr="002B5FEF">
        <w:tc>
          <w:tcPr>
            <w:tcW w:w="5670" w:type="dxa"/>
          </w:tcPr>
          <w:p w:rsidR="002B5FEF" w:rsidRPr="00D00722" w:rsidRDefault="002B5FEF" w:rsidP="00237DCB">
            <w:pPr>
              <w:autoSpaceDE w:val="0"/>
              <w:autoSpaceDN w:val="0"/>
              <w:adjustRightInd w:val="0"/>
              <w:ind w:left="-108"/>
              <w:jc w:val="both"/>
              <w:rPr>
                <w:rFonts w:ascii="Arial" w:hAnsi="Arial" w:cs="Arial"/>
                <w:lang w:val="tr-TR"/>
              </w:rPr>
            </w:pPr>
            <w:r w:rsidRPr="00D00722">
              <w:rPr>
                <w:rFonts w:ascii="Arial" w:hAnsi="Arial" w:cs="Arial"/>
                <w:lang w:val="tr-TR"/>
              </w:rPr>
              <w:t>Kullanılmamış izin karşılığı</w:t>
            </w:r>
          </w:p>
        </w:tc>
        <w:tc>
          <w:tcPr>
            <w:tcW w:w="1701" w:type="dxa"/>
            <w:vAlign w:val="bottom"/>
          </w:tcPr>
          <w:p w:rsidR="002B5FEF" w:rsidRPr="00D00722" w:rsidRDefault="00F35967" w:rsidP="00C621FD">
            <w:pPr>
              <w:jc w:val="right"/>
              <w:rPr>
                <w:rFonts w:ascii="Arial" w:hAnsi="Arial" w:cs="Arial"/>
                <w:b/>
                <w:lang w:val="tr-TR"/>
              </w:rPr>
            </w:pPr>
            <w:r w:rsidRPr="00D00722">
              <w:rPr>
                <w:rFonts w:ascii="Arial" w:hAnsi="Arial" w:cs="Arial"/>
                <w:b/>
                <w:lang w:val="tr-TR"/>
              </w:rPr>
              <w:t>56.855</w:t>
            </w:r>
          </w:p>
        </w:tc>
        <w:tc>
          <w:tcPr>
            <w:tcW w:w="1701" w:type="dxa"/>
            <w:vAlign w:val="bottom"/>
          </w:tcPr>
          <w:p w:rsidR="002B5FEF" w:rsidRPr="00D00722" w:rsidRDefault="002B5FEF" w:rsidP="002B5FEF">
            <w:pPr>
              <w:jc w:val="right"/>
              <w:rPr>
                <w:rFonts w:ascii="Arial" w:hAnsi="Arial" w:cs="Arial"/>
                <w:lang w:val="tr-TR"/>
              </w:rPr>
            </w:pPr>
            <w:r w:rsidRPr="00D00722">
              <w:rPr>
                <w:rFonts w:ascii="Arial" w:hAnsi="Arial" w:cs="Arial"/>
                <w:lang w:val="tr-TR"/>
              </w:rPr>
              <w:t>54.070</w:t>
            </w:r>
          </w:p>
        </w:tc>
      </w:tr>
      <w:tr w:rsidR="002B5FEF" w:rsidRPr="00D00722" w:rsidTr="002B5FEF">
        <w:tc>
          <w:tcPr>
            <w:tcW w:w="5670" w:type="dxa"/>
            <w:tcBorders>
              <w:bottom w:val="single" w:sz="4" w:space="0" w:color="auto"/>
            </w:tcBorders>
          </w:tcPr>
          <w:p w:rsidR="002B5FEF" w:rsidRPr="00D00722" w:rsidRDefault="002B5FEF" w:rsidP="00237DCB">
            <w:pPr>
              <w:autoSpaceDE w:val="0"/>
              <w:autoSpaceDN w:val="0"/>
              <w:adjustRightInd w:val="0"/>
              <w:ind w:left="-108"/>
              <w:jc w:val="both"/>
              <w:rPr>
                <w:rFonts w:ascii="Arial" w:hAnsi="Arial" w:cs="Arial"/>
                <w:lang w:val="tr-TR"/>
              </w:rPr>
            </w:pPr>
          </w:p>
        </w:tc>
        <w:tc>
          <w:tcPr>
            <w:tcW w:w="1701" w:type="dxa"/>
            <w:tcBorders>
              <w:bottom w:val="single" w:sz="4" w:space="0" w:color="auto"/>
            </w:tcBorders>
            <w:vAlign w:val="bottom"/>
          </w:tcPr>
          <w:p w:rsidR="002B5FEF" w:rsidRPr="00D00722" w:rsidRDefault="002B5FEF" w:rsidP="00C621FD">
            <w:pPr>
              <w:autoSpaceDE w:val="0"/>
              <w:autoSpaceDN w:val="0"/>
              <w:adjustRightInd w:val="0"/>
              <w:jc w:val="right"/>
              <w:rPr>
                <w:rFonts w:ascii="Arial" w:hAnsi="Arial" w:cs="Arial"/>
                <w:b/>
                <w:lang w:val="tr-TR"/>
              </w:rPr>
            </w:pPr>
          </w:p>
        </w:tc>
        <w:tc>
          <w:tcPr>
            <w:tcW w:w="1701" w:type="dxa"/>
            <w:tcBorders>
              <w:bottom w:val="single" w:sz="4" w:space="0" w:color="auto"/>
            </w:tcBorders>
            <w:vAlign w:val="bottom"/>
          </w:tcPr>
          <w:p w:rsidR="002B5FEF" w:rsidRPr="00D00722" w:rsidRDefault="002B5FEF" w:rsidP="002B5FEF">
            <w:pPr>
              <w:autoSpaceDE w:val="0"/>
              <w:autoSpaceDN w:val="0"/>
              <w:adjustRightInd w:val="0"/>
              <w:jc w:val="right"/>
              <w:rPr>
                <w:rFonts w:ascii="Arial" w:hAnsi="Arial" w:cs="Arial"/>
                <w:lang w:val="tr-TR"/>
              </w:rPr>
            </w:pPr>
          </w:p>
        </w:tc>
      </w:tr>
      <w:tr w:rsidR="002B5FEF" w:rsidRPr="00D00722" w:rsidTr="002B5FEF">
        <w:tc>
          <w:tcPr>
            <w:tcW w:w="5670" w:type="dxa"/>
            <w:tcBorders>
              <w:top w:val="single" w:sz="4" w:space="0" w:color="auto"/>
              <w:bottom w:val="double" w:sz="4" w:space="0" w:color="auto"/>
            </w:tcBorders>
          </w:tcPr>
          <w:p w:rsidR="002B5FEF" w:rsidRPr="00D00722" w:rsidRDefault="002B5FEF" w:rsidP="00237DCB">
            <w:pPr>
              <w:autoSpaceDE w:val="0"/>
              <w:autoSpaceDN w:val="0"/>
              <w:adjustRightInd w:val="0"/>
              <w:ind w:left="-108"/>
              <w:jc w:val="both"/>
              <w:rPr>
                <w:rFonts w:ascii="Arial" w:hAnsi="Arial" w:cs="Arial"/>
                <w:lang w:val="tr-TR"/>
              </w:rPr>
            </w:pPr>
          </w:p>
        </w:tc>
        <w:tc>
          <w:tcPr>
            <w:tcW w:w="1701" w:type="dxa"/>
            <w:tcBorders>
              <w:top w:val="single" w:sz="4" w:space="0" w:color="auto"/>
              <w:bottom w:val="double" w:sz="4" w:space="0" w:color="auto"/>
            </w:tcBorders>
            <w:vAlign w:val="bottom"/>
          </w:tcPr>
          <w:p w:rsidR="002B5FEF" w:rsidRPr="00D00722" w:rsidRDefault="00F35967" w:rsidP="00C621FD">
            <w:pPr>
              <w:jc w:val="right"/>
              <w:rPr>
                <w:rFonts w:ascii="Arial" w:hAnsi="Arial" w:cs="Arial"/>
                <w:b/>
                <w:lang w:val="tr-TR"/>
              </w:rPr>
            </w:pPr>
            <w:r w:rsidRPr="00D00722">
              <w:rPr>
                <w:rFonts w:ascii="Arial" w:hAnsi="Arial" w:cs="Arial"/>
                <w:b/>
                <w:lang w:val="tr-TR"/>
              </w:rPr>
              <w:t>147.151</w:t>
            </w:r>
          </w:p>
        </w:tc>
        <w:tc>
          <w:tcPr>
            <w:tcW w:w="1701" w:type="dxa"/>
            <w:tcBorders>
              <w:top w:val="single" w:sz="4" w:space="0" w:color="auto"/>
              <w:bottom w:val="double" w:sz="4" w:space="0" w:color="auto"/>
            </w:tcBorders>
            <w:vAlign w:val="bottom"/>
          </w:tcPr>
          <w:p w:rsidR="002B5FEF" w:rsidRPr="00D00722" w:rsidRDefault="002B5FEF" w:rsidP="002B5FEF">
            <w:pPr>
              <w:jc w:val="right"/>
              <w:rPr>
                <w:rFonts w:ascii="Arial" w:hAnsi="Arial" w:cs="Arial"/>
                <w:lang w:val="tr-TR"/>
              </w:rPr>
            </w:pPr>
            <w:r w:rsidRPr="00D00722">
              <w:rPr>
                <w:rFonts w:ascii="Arial" w:hAnsi="Arial" w:cs="Arial"/>
                <w:lang w:val="tr-TR"/>
              </w:rPr>
              <w:t>131.067</w:t>
            </w:r>
          </w:p>
        </w:tc>
      </w:tr>
    </w:tbl>
    <w:p w:rsidR="00C621FD" w:rsidRPr="00D00722" w:rsidRDefault="00C621FD" w:rsidP="006E13E5">
      <w:pPr>
        <w:rPr>
          <w:rFonts w:ascii="Arial" w:hAnsi="Arial" w:cs="Arial"/>
          <w:b/>
          <w:lang w:val="tr-TR"/>
        </w:rPr>
      </w:pPr>
    </w:p>
    <w:p w:rsidR="00CD2048" w:rsidRPr="00D00722" w:rsidRDefault="00CD2048" w:rsidP="002A2682">
      <w:pPr>
        <w:rPr>
          <w:rFonts w:ascii="Arial" w:hAnsi="Arial" w:cs="Arial"/>
        </w:rPr>
      </w:pPr>
      <w:r w:rsidRPr="00D00722">
        <w:rPr>
          <w:sz w:val="22"/>
          <w:szCs w:val="22"/>
        </w:rPr>
        <w:t>İ</w:t>
      </w:r>
      <w:r w:rsidRPr="00D00722">
        <w:rPr>
          <w:rFonts w:ascii="Arial" w:hAnsi="Arial" w:cs="Arial"/>
        </w:rPr>
        <w:t xml:space="preserve">ş Kanunu’na </w:t>
      </w:r>
      <w:proofErr w:type="gramStart"/>
      <w:r w:rsidRPr="00D00722">
        <w:rPr>
          <w:rFonts w:ascii="Arial" w:hAnsi="Arial" w:cs="Arial"/>
        </w:rPr>
        <w:t>göre  Şirket</w:t>
      </w:r>
      <w:proofErr w:type="gramEnd"/>
      <w:r w:rsidRPr="00D00722">
        <w:rPr>
          <w:rFonts w:ascii="Arial" w:hAnsi="Arial" w:cs="Arial"/>
        </w:rPr>
        <w:t xml:space="preserve"> en az bir yıllık hizmeti tamamlayarak 25 yıllık (kadınlar için 20 yıl) çalışma hayatı ardından emekliye ayrılan (kadınlar için 58, erkekler için 60 yaş), iş ilişkisi kesilenve askerlik için çağrılan her çalışanına vefat eden çalışanının mirasçılarına kıdem tazminatı ödemek mecburiyetindedir.</w:t>
      </w:r>
    </w:p>
    <w:p w:rsidR="00CD2048" w:rsidRPr="00D00722" w:rsidRDefault="00CD2048" w:rsidP="002A2682">
      <w:pPr>
        <w:rPr>
          <w:rFonts w:ascii="Arial" w:hAnsi="Arial" w:cs="Arial"/>
        </w:rPr>
      </w:pPr>
    </w:p>
    <w:p w:rsidR="00CD2048" w:rsidRPr="00D00722" w:rsidRDefault="00CD2048" w:rsidP="002A2682">
      <w:pPr>
        <w:rPr>
          <w:rFonts w:ascii="Arial" w:hAnsi="Arial" w:cs="Arial"/>
        </w:rPr>
      </w:pPr>
      <w:r w:rsidRPr="00D00722">
        <w:rPr>
          <w:rFonts w:ascii="Arial" w:hAnsi="Arial" w:cs="Arial"/>
        </w:rPr>
        <w:t xml:space="preserve">Kıdem tazminatı ödemeleri, her hizmet yılı için 30 günlük brüt </w:t>
      </w:r>
      <w:proofErr w:type="gramStart"/>
      <w:r w:rsidRPr="00D00722">
        <w:rPr>
          <w:rFonts w:ascii="Arial" w:hAnsi="Arial" w:cs="Arial"/>
        </w:rPr>
        <w:t>maaş</w:t>
      </w:r>
      <w:proofErr w:type="gramEnd"/>
      <w:r w:rsidRPr="00D00722">
        <w:rPr>
          <w:rFonts w:ascii="Arial" w:hAnsi="Arial" w:cs="Arial"/>
        </w:rPr>
        <w:t xml:space="preserve"> üzerinden hesaplanmaktadır. </w:t>
      </w:r>
      <w:proofErr w:type="gramStart"/>
      <w:r w:rsidRPr="00D00722">
        <w:rPr>
          <w:rFonts w:ascii="Arial" w:hAnsi="Arial" w:cs="Arial"/>
        </w:rPr>
        <w:t xml:space="preserve">31 </w:t>
      </w:r>
      <w:r w:rsidR="001D4D21" w:rsidRPr="00D00722">
        <w:rPr>
          <w:rFonts w:ascii="Arial" w:hAnsi="Arial" w:cs="Arial"/>
        </w:rPr>
        <w:t>Mart</w:t>
      </w:r>
      <w:r w:rsidRPr="00D00722">
        <w:rPr>
          <w:rFonts w:ascii="Arial" w:hAnsi="Arial" w:cs="Arial"/>
        </w:rPr>
        <w:t xml:space="preserve"> 201</w:t>
      </w:r>
      <w:r w:rsidR="001D4D21" w:rsidRPr="00D00722">
        <w:rPr>
          <w:rFonts w:ascii="Arial" w:hAnsi="Arial" w:cs="Arial"/>
        </w:rPr>
        <w:t>4</w:t>
      </w:r>
      <w:r w:rsidRPr="00D00722">
        <w:rPr>
          <w:rFonts w:ascii="Arial" w:hAnsi="Arial" w:cs="Arial"/>
        </w:rPr>
        <w:t xml:space="preserve"> tarihi itibariyle ödenecek kıdem tazminatı 3.</w:t>
      </w:r>
      <w:r w:rsidR="00456F0B" w:rsidRPr="00D00722">
        <w:rPr>
          <w:rFonts w:ascii="Arial" w:hAnsi="Arial" w:cs="Arial"/>
        </w:rPr>
        <w:t>438</w:t>
      </w:r>
      <w:r w:rsidRPr="00D00722">
        <w:rPr>
          <w:rFonts w:ascii="Arial" w:hAnsi="Arial" w:cs="Arial"/>
        </w:rPr>
        <w:t xml:space="preserve"> TL/yıl tavanına tabidir (31 Aralık 201</w:t>
      </w:r>
      <w:r w:rsidR="001D4D21" w:rsidRPr="00D00722">
        <w:rPr>
          <w:rFonts w:ascii="Arial" w:hAnsi="Arial" w:cs="Arial"/>
        </w:rPr>
        <w:t>3</w:t>
      </w:r>
      <w:r w:rsidRPr="00D00722">
        <w:rPr>
          <w:rFonts w:ascii="Arial" w:hAnsi="Arial" w:cs="Arial"/>
        </w:rPr>
        <w:t>: 3.</w:t>
      </w:r>
      <w:r w:rsidR="001D4D21" w:rsidRPr="00D00722">
        <w:rPr>
          <w:rFonts w:ascii="Arial" w:hAnsi="Arial" w:cs="Arial"/>
        </w:rPr>
        <w:t>254</w:t>
      </w:r>
      <w:r w:rsidRPr="00D00722">
        <w:rPr>
          <w:rFonts w:ascii="Arial" w:hAnsi="Arial" w:cs="Arial"/>
        </w:rPr>
        <w:t xml:space="preserve"> TL/yıl).</w:t>
      </w:r>
      <w:proofErr w:type="gramEnd"/>
      <w:r w:rsidRPr="00D00722">
        <w:rPr>
          <w:rFonts w:ascii="Arial" w:hAnsi="Arial" w:cs="Arial"/>
        </w:rPr>
        <w:t xml:space="preserve"> </w:t>
      </w:r>
    </w:p>
    <w:p w:rsidR="004941C0" w:rsidRPr="00D00722" w:rsidRDefault="004941C0" w:rsidP="004941C0">
      <w:pPr>
        <w:ind w:right="-1"/>
        <w:rPr>
          <w:rFonts w:ascii="Arial" w:hAnsi="Arial" w:cs="Arial"/>
          <w:lang w:val="tr-TR"/>
        </w:rPr>
      </w:pPr>
    </w:p>
    <w:p w:rsidR="004941C0" w:rsidRPr="00D00722" w:rsidRDefault="004941C0" w:rsidP="004941C0">
      <w:pPr>
        <w:rPr>
          <w:rFonts w:ascii="Arial" w:hAnsi="Arial" w:cs="Arial"/>
        </w:rPr>
      </w:pPr>
      <w:proofErr w:type="gramStart"/>
      <w:r w:rsidRPr="00D00722">
        <w:rPr>
          <w:rFonts w:ascii="Arial" w:hAnsi="Arial" w:cs="Arial"/>
        </w:rPr>
        <w:t>Kıdem tazminatı karşılığı herhangi bir fonlamaya tabi değildir ve herhangi bir fonlama şartı bulunmamaktadır.</w:t>
      </w:r>
      <w:proofErr w:type="gramEnd"/>
    </w:p>
    <w:p w:rsidR="004941C0" w:rsidRPr="00D00722" w:rsidRDefault="004941C0" w:rsidP="004941C0">
      <w:pPr>
        <w:rPr>
          <w:rFonts w:ascii="Arial" w:hAnsi="Arial" w:cs="Arial"/>
        </w:rPr>
      </w:pPr>
    </w:p>
    <w:p w:rsidR="004941C0" w:rsidRPr="00D00722" w:rsidRDefault="004941C0" w:rsidP="004941C0">
      <w:pPr>
        <w:ind w:right="-1"/>
        <w:rPr>
          <w:rFonts w:ascii="Arial" w:hAnsi="Arial" w:cs="Arial"/>
        </w:rPr>
      </w:pPr>
      <w:proofErr w:type="gramStart"/>
      <w:r w:rsidRPr="00D00722">
        <w:rPr>
          <w:rFonts w:ascii="Arial" w:hAnsi="Arial" w:cs="Arial"/>
        </w:rPr>
        <w:t>Söz konusu karşılık, Şirket’in çalışanlarının emekli olmasından doğan gelecekteki olası yükümlülüğün bugünkü değerinin tahmini ile hesaplanır.</w:t>
      </w:r>
      <w:proofErr w:type="gramEnd"/>
    </w:p>
    <w:p w:rsidR="008C2E6B" w:rsidRPr="00D00722" w:rsidRDefault="008C2E6B" w:rsidP="004941C0">
      <w:pPr>
        <w:ind w:right="-1"/>
        <w:rPr>
          <w:rFonts w:ascii="Arial" w:hAnsi="Arial" w:cs="Arial"/>
          <w:lang w:val="tr-TR"/>
        </w:rPr>
      </w:pPr>
    </w:p>
    <w:p w:rsidR="008C2E6B" w:rsidRPr="00D00722" w:rsidRDefault="004941C0" w:rsidP="004941C0">
      <w:pPr>
        <w:ind w:right="-1"/>
        <w:rPr>
          <w:rFonts w:ascii="Arial" w:hAnsi="Arial" w:cs="Arial"/>
          <w:lang w:val="tr-TR"/>
        </w:rPr>
      </w:pPr>
      <w:r w:rsidRPr="00D00722">
        <w:rPr>
          <w:rFonts w:ascii="Arial" w:hAnsi="Arial" w:cs="Arial"/>
          <w:lang w:val="tr-TR"/>
        </w:rPr>
        <w:t>Tebliğ, Şirket’in kıdem tazminatı karşılığını tahmin etmek için aktüer değerleme yöntemlerinin geliştirilmesini öngörmektedir. Buna göre toplam yükümlülüğün hesaplanmasında aşağıda yer alan aktüer öngörüler kullanılmıştır:</w:t>
      </w:r>
    </w:p>
    <w:p w:rsidR="004941C0" w:rsidRPr="00D00722" w:rsidRDefault="004941C0" w:rsidP="004941C0">
      <w:pPr>
        <w:rPr>
          <w:rFonts w:ascii="Arial" w:hAnsi="Arial" w:cs="Arial"/>
          <w:spacing w:val="-3"/>
          <w:lang w:val="tr-TR"/>
        </w:rPr>
      </w:pPr>
    </w:p>
    <w:tbl>
      <w:tblPr>
        <w:tblW w:w="9072" w:type="dxa"/>
        <w:tblInd w:w="108" w:type="dxa"/>
        <w:tblLook w:val="04A0"/>
      </w:tblPr>
      <w:tblGrid>
        <w:gridCol w:w="5529"/>
        <w:gridCol w:w="1701"/>
        <w:gridCol w:w="1842"/>
      </w:tblGrid>
      <w:tr w:rsidR="002B5FEF" w:rsidRPr="00D00722" w:rsidTr="002B5FEF">
        <w:tc>
          <w:tcPr>
            <w:tcW w:w="5529" w:type="dxa"/>
            <w:tcBorders>
              <w:top w:val="single" w:sz="4" w:space="0" w:color="auto"/>
              <w:bottom w:val="single" w:sz="4" w:space="0" w:color="auto"/>
            </w:tcBorders>
          </w:tcPr>
          <w:p w:rsidR="002B5FEF" w:rsidRPr="00D00722" w:rsidRDefault="002B5FEF" w:rsidP="00D20F17">
            <w:pPr>
              <w:widowControl w:val="0"/>
              <w:ind w:left="-108"/>
              <w:jc w:val="both"/>
              <w:rPr>
                <w:rFonts w:ascii="Arial" w:hAnsi="Arial" w:cs="Arial"/>
                <w:b/>
              </w:rPr>
            </w:pPr>
          </w:p>
        </w:tc>
        <w:tc>
          <w:tcPr>
            <w:tcW w:w="1701" w:type="dxa"/>
            <w:tcBorders>
              <w:top w:val="single" w:sz="4" w:space="0" w:color="auto"/>
              <w:bottom w:val="single" w:sz="4" w:space="0" w:color="auto"/>
            </w:tcBorders>
          </w:tcPr>
          <w:p w:rsidR="002B5FEF" w:rsidRPr="00D00722" w:rsidRDefault="002B5FEF" w:rsidP="00F66002">
            <w:pPr>
              <w:widowControl w:val="0"/>
              <w:jc w:val="right"/>
              <w:rPr>
                <w:rFonts w:ascii="Arial" w:hAnsi="Arial" w:cs="Arial"/>
                <w:b/>
              </w:rPr>
            </w:pPr>
            <w:r w:rsidRPr="00D00722">
              <w:rPr>
                <w:rFonts w:ascii="Arial" w:hAnsi="Arial" w:cs="Arial"/>
                <w:b/>
              </w:rPr>
              <w:t xml:space="preserve">31 </w:t>
            </w:r>
            <w:r w:rsidR="00F66002" w:rsidRPr="00D00722">
              <w:rPr>
                <w:rFonts w:ascii="Arial" w:hAnsi="Arial" w:cs="Arial"/>
                <w:b/>
              </w:rPr>
              <w:t>Mart</w:t>
            </w:r>
            <w:r w:rsidRPr="00D00722">
              <w:rPr>
                <w:rFonts w:ascii="Arial" w:hAnsi="Arial" w:cs="Arial"/>
                <w:b/>
              </w:rPr>
              <w:t xml:space="preserve"> 201</w:t>
            </w:r>
            <w:r w:rsidR="00F66002" w:rsidRPr="00D00722">
              <w:rPr>
                <w:rFonts w:ascii="Arial" w:hAnsi="Arial" w:cs="Arial"/>
                <w:b/>
              </w:rPr>
              <w:t>4</w:t>
            </w:r>
          </w:p>
        </w:tc>
        <w:tc>
          <w:tcPr>
            <w:tcW w:w="1842" w:type="dxa"/>
            <w:tcBorders>
              <w:top w:val="single" w:sz="4" w:space="0" w:color="auto"/>
              <w:bottom w:val="single" w:sz="4" w:space="0" w:color="auto"/>
            </w:tcBorders>
          </w:tcPr>
          <w:p w:rsidR="002B5FEF" w:rsidRPr="00D00722" w:rsidRDefault="002B5FEF" w:rsidP="002B5FEF">
            <w:pPr>
              <w:widowControl w:val="0"/>
              <w:jc w:val="right"/>
              <w:rPr>
                <w:rFonts w:ascii="Arial" w:hAnsi="Arial" w:cs="Arial"/>
              </w:rPr>
            </w:pPr>
            <w:r w:rsidRPr="00D00722">
              <w:rPr>
                <w:rFonts w:ascii="Arial" w:hAnsi="Arial" w:cs="Arial"/>
              </w:rPr>
              <w:t>31 Aralık 2013</w:t>
            </w:r>
          </w:p>
        </w:tc>
      </w:tr>
      <w:tr w:rsidR="002B5FEF" w:rsidRPr="00D00722" w:rsidTr="002B5FEF">
        <w:tc>
          <w:tcPr>
            <w:tcW w:w="5529" w:type="dxa"/>
            <w:tcBorders>
              <w:top w:val="single" w:sz="4" w:space="0" w:color="auto"/>
            </w:tcBorders>
          </w:tcPr>
          <w:p w:rsidR="002B5FEF" w:rsidRPr="00D00722" w:rsidRDefault="002B5FEF" w:rsidP="00D20F17">
            <w:pPr>
              <w:widowControl w:val="0"/>
              <w:ind w:left="-108"/>
              <w:jc w:val="both"/>
              <w:rPr>
                <w:rFonts w:ascii="Arial" w:hAnsi="Arial" w:cs="Arial"/>
                <w:b/>
              </w:rPr>
            </w:pPr>
          </w:p>
        </w:tc>
        <w:tc>
          <w:tcPr>
            <w:tcW w:w="1701" w:type="dxa"/>
            <w:tcBorders>
              <w:top w:val="single" w:sz="4" w:space="0" w:color="auto"/>
            </w:tcBorders>
          </w:tcPr>
          <w:p w:rsidR="002B5FEF" w:rsidRPr="00D00722" w:rsidRDefault="002B5FEF" w:rsidP="00D20F17">
            <w:pPr>
              <w:widowControl w:val="0"/>
              <w:jc w:val="right"/>
              <w:rPr>
                <w:rFonts w:ascii="Arial" w:hAnsi="Arial" w:cs="Arial"/>
                <w:b/>
              </w:rPr>
            </w:pPr>
          </w:p>
        </w:tc>
        <w:tc>
          <w:tcPr>
            <w:tcW w:w="1842" w:type="dxa"/>
            <w:tcBorders>
              <w:top w:val="single" w:sz="4" w:space="0" w:color="auto"/>
            </w:tcBorders>
          </w:tcPr>
          <w:p w:rsidR="002B5FEF" w:rsidRPr="00D00722" w:rsidRDefault="002B5FEF" w:rsidP="002B5FEF">
            <w:pPr>
              <w:widowControl w:val="0"/>
              <w:jc w:val="right"/>
              <w:rPr>
                <w:rFonts w:ascii="Arial" w:hAnsi="Arial" w:cs="Arial"/>
              </w:rPr>
            </w:pPr>
          </w:p>
        </w:tc>
      </w:tr>
      <w:tr w:rsidR="002B5FEF" w:rsidRPr="00D00722" w:rsidTr="002B5FEF">
        <w:tc>
          <w:tcPr>
            <w:tcW w:w="5529" w:type="dxa"/>
          </w:tcPr>
          <w:p w:rsidR="002B5FEF" w:rsidRPr="00D00722" w:rsidRDefault="002B5FEF" w:rsidP="00D20F17">
            <w:pPr>
              <w:widowControl w:val="0"/>
              <w:ind w:left="-108"/>
              <w:jc w:val="both"/>
              <w:rPr>
                <w:rFonts w:ascii="Arial" w:hAnsi="Arial" w:cs="Arial"/>
                <w:bCs/>
              </w:rPr>
            </w:pPr>
            <w:r w:rsidRPr="00D00722">
              <w:rPr>
                <w:rFonts w:ascii="Arial" w:hAnsi="Arial" w:cs="Arial"/>
                <w:bCs/>
              </w:rPr>
              <w:t>İskonto oranı (%)</w:t>
            </w:r>
          </w:p>
        </w:tc>
        <w:tc>
          <w:tcPr>
            <w:tcW w:w="1701" w:type="dxa"/>
          </w:tcPr>
          <w:p w:rsidR="002B5FEF" w:rsidRPr="00D00722" w:rsidRDefault="002B5FEF" w:rsidP="00D20F17">
            <w:pPr>
              <w:widowControl w:val="0"/>
              <w:jc w:val="right"/>
              <w:rPr>
                <w:rFonts w:ascii="Arial" w:hAnsi="Arial" w:cs="Arial"/>
                <w:b/>
                <w:bCs/>
              </w:rPr>
            </w:pPr>
            <w:r w:rsidRPr="00D00722">
              <w:rPr>
                <w:rFonts w:ascii="Arial" w:hAnsi="Arial" w:cs="Arial"/>
                <w:b/>
                <w:bCs/>
              </w:rPr>
              <w:t>8,6</w:t>
            </w:r>
          </w:p>
        </w:tc>
        <w:tc>
          <w:tcPr>
            <w:tcW w:w="1842" w:type="dxa"/>
          </w:tcPr>
          <w:p w:rsidR="002B5FEF" w:rsidRPr="00D00722" w:rsidRDefault="002B5FEF" w:rsidP="002B5FEF">
            <w:pPr>
              <w:widowControl w:val="0"/>
              <w:jc w:val="right"/>
              <w:rPr>
                <w:rFonts w:ascii="Arial" w:hAnsi="Arial" w:cs="Arial"/>
                <w:bCs/>
              </w:rPr>
            </w:pPr>
            <w:r w:rsidRPr="00D00722">
              <w:rPr>
                <w:rFonts w:ascii="Arial" w:hAnsi="Arial" w:cs="Arial"/>
                <w:bCs/>
              </w:rPr>
              <w:t>8,6</w:t>
            </w:r>
          </w:p>
        </w:tc>
      </w:tr>
      <w:tr w:rsidR="002B5FEF" w:rsidRPr="00D00722" w:rsidTr="002B5FEF">
        <w:tc>
          <w:tcPr>
            <w:tcW w:w="5529" w:type="dxa"/>
          </w:tcPr>
          <w:p w:rsidR="002B5FEF" w:rsidRPr="00D00722" w:rsidRDefault="002B5FEF" w:rsidP="00D20F17">
            <w:pPr>
              <w:widowControl w:val="0"/>
              <w:ind w:left="-108"/>
              <w:jc w:val="both"/>
              <w:rPr>
                <w:rFonts w:ascii="Arial" w:hAnsi="Arial" w:cs="Arial"/>
                <w:bCs/>
              </w:rPr>
            </w:pPr>
            <w:r w:rsidRPr="00D00722">
              <w:rPr>
                <w:rFonts w:ascii="Arial" w:hAnsi="Arial" w:cs="Arial"/>
                <w:bCs/>
              </w:rPr>
              <w:t>Beklenen ücret/limit artışlar (%)</w:t>
            </w:r>
          </w:p>
        </w:tc>
        <w:tc>
          <w:tcPr>
            <w:tcW w:w="1701" w:type="dxa"/>
          </w:tcPr>
          <w:p w:rsidR="002B5FEF" w:rsidRPr="00D00722" w:rsidRDefault="002B5FEF" w:rsidP="00D20F17">
            <w:pPr>
              <w:widowControl w:val="0"/>
              <w:jc w:val="right"/>
              <w:rPr>
                <w:rFonts w:ascii="Arial" w:hAnsi="Arial" w:cs="Arial"/>
                <w:b/>
                <w:bCs/>
                <w:spacing w:val="-2"/>
              </w:rPr>
            </w:pPr>
            <w:r w:rsidRPr="00D00722">
              <w:rPr>
                <w:rFonts w:ascii="Arial" w:hAnsi="Arial" w:cs="Arial"/>
                <w:b/>
                <w:bCs/>
                <w:spacing w:val="-2"/>
              </w:rPr>
              <w:t>5</w:t>
            </w:r>
          </w:p>
        </w:tc>
        <w:tc>
          <w:tcPr>
            <w:tcW w:w="1842" w:type="dxa"/>
          </w:tcPr>
          <w:p w:rsidR="002B5FEF" w:rsidRPr="00D00722" w:rsidRDefault="002B5FEF" w:rsidP="002B5FEF">
            <w:pPr>
              <w:widowControl w:val="0"/>
              <w:jc w:val="right"/>
              <w:rPr>
                <w:rFonts w:ascii="Arial" w:hAnsi="Arial" w:cs="Arial"/>
                <w:bCs/>
                <w:spacing w:val="-2"/>
              </w:rPr>
            </w:pPr>
            <w:r w:rsidRPr="00D00722">
              <w:rPr>
                <w:rFonts w:ascii="Arial" w:hAnsi="Arial" w:cs="Arial"/>
                <w:bCs/>
                <w:spacing w:val="-2"/>
              </w:rPr>
              <w:t>5</w:t>
            </w:r>
          </w:p>
        </w:tc>
      </w:tr>
    </w:tbl>
    <w:p w:rsidR="003B42C2" w:rsidRPr="00D00722" w:rsidRDefault="003B42C2" w:rsidP="00CB6B56">
      <w:pPr>
        <w:ind w:right="-1"/>
        <w:rPr>
          <w:rFonts w:ascii="Arial" w:hAnsi="Arial" w:cs="Arial"/>
          <w:spacing w:val="-3"/>
          <w:lang w:val="tr-TR"/>
        </w:rPr>
      </w:pPr>
    </w:p>
    <w:p w:rsidR="003B42C2" w:rsidRPr="00D00722" w:rsidRDefault="003B42C2">
      <w:pPr>
        <w:rPr>
          <w:rFonts w:ascii="Arial" w:hAnsi="Arial" w:cs="Arial"/>
          <w:spacing w:val="-3"/>
          <w:lang w:val="tr-TR"/>
        </w:rPr>
      </w:pPr>
      <w:r w:rsidRPr="00D00722">
        <w:rPr>
          <w:rFonts w:ascii="Arial" w:hAnsi="Arial" w:cs="Arial"/>
          <w:spacing w:val="-3"/>
          <w:lang w:val="tr-TR"/>
        </w:rPr>
        <w:br w:type="page"/>
      </w:r>
    </w:p>
    <w:p w:rsidR="003B42C2" w:rsidRPr="00D00722" w:rsidRDefault="003B42C2" w:rsidP="003B42C2">
      <w:pPr>
        <w:rPr>
          <w:rFonts w:ascii="Arial" w:hAnsi="Arial" w:cs="Arial"/>
          <w:b/>
          <w:lang w:val="tr-TR"/>
        </w:rPr>
      </w:pPr>
      <w:r w:rsidRPr="00D00722">
        <w:rPr>
          <w:rFonts w:ascii="Arial" w:hAnsi="Arial" w:cs="Arial"/>
          <w:b/>
          <w:lang w:val="tr-TR"/>
        </w:rPr>
        <w:t>13.</w:t>
      </w:r>
      <w:r w:rsidRPr="00D00722">
        <w:rPr>
          <w:rFonts w:ascii="Arial" w:hAnsi="Arial" w:cs="Arial"/>
          <w:b/>
          <w:lang w:val="tr-TR"/>
        </w:rPr>
        <w:tab/>
        <w:t>Kısa ve uzun vadeli karşılıklar (devamı)</w:t>
      </w:r>
    </w:p>
    <w:p w:rsidR="00CB6B56" w:rsidRPr="00D00722" w:rsidRDefault="00CB6B56" w:rsidP="00CB6B56">
      <w:pPr>
        <w:ind w:right="-1"/>
        <w:rPr>
          <w:rFonts w:ascii="Arial" w:hAnsi="Arial" w:cs="Arial"/>
          <w:spacing w:val="-3"/>
          <w:lang w:val="tr-TR"/>
        </w:rPr>
      </w:pPr>
    </w:p>
    <w:p w:rsidR="00A15A6E" w:rsidRPr="00D00722" w:rsidRDefault="00A15A6E" w:rsidP="00A15A6E">
      <w:pPr>
        <w:autoSpaceDE w:val="0"/>
        <w:autoSpaceDN w:val="0"/>
        <w:adjustRightInd w:val="0"/>
        <w:rPr>
          <w:rFonts w:ascii="Arial" w:hAnsi="Arial" w:cs="Arial"/>
          <w:lang w:val="tr-TR"/>
        </w:rPr>
      </w:pPr>
      <w:r w:rsidRPr="00D00722">
        <w:rPr>
          <w:rFonts w:ascii="Arial" w:hAnsi="Arial" w:cs="Arial"/>
        </w:rPr>
        <w:t>31 Aralık tarihlerinde sona eren yıl içerisindeki kıdem tazminatı karşılığının hareketleri aşağıdaki gibidir:</w:t>
      </w:r>
    </w:p>
    <w:p w:rsidR="00D64A9F" w:rsidRPr="00D00722" w:rsidRDefault="00D64A9F" w:rsidP="009F4D08">
      <w:pPr>
        <w:autoSpaceDE w:val="0"/>
        <w:autoSpaceDN w:val="0"/>
        <w:adjustRightInd w:val="0"/>
        <w:rPr>
          <w:rFonts w:ascii="Arial" w:hAnsi="Arial" w:cs="Arial"/>
          <w:lang w:val="tr-TR"/>
        </w:rPr>
      </w:pPr>
    </w:p>
    <w:tbl>
      <w:tblPr>
        <w:tblW w:w="9037" w:type="dxa"/>
        <w:tblInd w:w="108" w:type="dxa"/>
        <w:tblLayout w:type="fixed"/>
        <w:tblLook w:val="0000"/>
      </w:tblPr>
      <w:tblGrid>
        <w:gridCol w:w="5529"/>
        <w:gridCol w:w="1701"/>
        <w:gridCol w:w="1807"/>
      </w:tblGrid>
      <w:tr w:rsidR="002B5FEF" w:rsidRPr="00D00722" w:rsidTr="002B5FEF">
        <w:trPr>
          <w:trHeight w:val="113"/>
        </w:trPr>
        <w:tc>
          <w:tcPr>
            <w:tcW w:w="5529" w:type="dxa"/>
            <w:tcBorders>
              <w:top w:val="single" w:sz="6" w:space="0" w:color="auto"/>
              <w:left w:val="nil"/>
              <w:bottom w:val="single" w:sz="6" w:space="0" w:color="auto"/>
              <w:right w:val="nil"/>
            </w:tcBorders>
          </w:tcPr>
          <w:p w:rsidR="002B5FEF" w:rsidRPr="00D00722" w:rsidRDefault="002B5FEF" w:rsidP="00467CA9">
            <w:pPr>
              <w:autoSpaceDE w:val="0"/>
              <w:autoSpaceDN w:val="0"/>
              <w:adjustRightInd w:val="0"/>
              <w:jc w:val="right"/>
              <w:rPr>
                <w:rFonts w:ascii="Arial" w:hAnsi="Arial" w:cs="Arial"/>
                <w:color w:val="000000"/>
              </w:rPr>
            </w:pPr>
          </w:p>
        </w:tc>
        <w:tc>
          <w:tcPr>
            <w:tcW w:w="1701" w:type="dxa"/>
            <w:tcBorders>
              <w:top w:val="single" w:sz="6" w:space="0" w:color="auto"/>
              <w:left w:val="nil"/>
              <w:bottom w:val="single" w:sz="6" w:space="0" w:color="auto"/>
              <w:right w:val="nil"/>
            </w:tcBorders>
          </w:tcPr>
          <w:p w:rsidR="002B5FEF" w:rsidRPr="00D00722" w:rsidRDefault="002B5FEF" w:rsidP="002B5FEF">
            <w:pPr>
              <w:autoSpaceDE w:val="0"/>
              <w:autoSpaceDN w:val="0"/>
              <w:adjustRightInd w:val="0"/>
              <w:jc w:val="right"/>
              <w:rPr>
                <w:rFonts w:ascii="Arial" w:hAnsi="Arial" w:cs="Arial"/>
                <w:b/>
                <w:bCs/>
                <w:color w:val="000000"/>
              </w:rPr>
            </w:pPr>
            <w:r w:rsidRPr="00D00722">
              <w:rPr>
                <w:rFonts w:ascii="Arial" w:hAnsi="Arial" w:cs="Arial"/>
                <w:b/>
                <w:bCs/>
                <w:color w:val="000000"/>
              </w:rPr>
              <w:t>31 Mart 2014</w:t>
            </w:r>
          </w:p>
        </w:tc>
        <w:tc>
          <w:tcPr>
            <w:tcW w:w="1807" w:type="dxa"/>
            <w:tcBorders>
              <w:top w:val="single" w:sz="6" w:space="0" w:color="auto"/>
              <w:left w:val="nil"/>
              <w:bottom w:val="single" w:sz="6" w:space="0" w:color="auto"/>
              <w:right w:val="nil"/>
            </w:tcBorders>
          </w:tcPr>
          <w:p w:rsidR="002B5FEF" w:rsidRPr="00D00722" w:rsidRDefault="002B5FEF" w:rsidP="002B5FEF">
            <w:pPr>
              <w:autoSpaceDE w:val="0"/>
              <w:autoSpaceDN w:val="0"/>
              <w:adjustRightInd w:val="0"/>
              <w:jc w:val="right"/>
              <w:rPr>
                <w:rFonts w:ascii="Arial" w:hAnsi="Arial" w:cs="Arial"/>
                <w:bCs/>
                <w:color w:val="000000"/>
              </w:rPr>
            </w:pPr>
            <w:r w:rsidRPr="00D00722">
              <w:rPr>
                <w:rFonts w:ascii="Arial" w:hAnsi="Arial" w:cs="Arial"/>
                <w:bCs/>
                <w:color w:val="000000"/>
              </w:rPr>
              <w:t>31 Aralık 2013</w:t>
            </w:r>
          </w:p>
        </w:tc>
      </w:tr>
      <w:tr w:rsidR="002B5FEF" w:rsidRPr="00D00722" w:rsidTr="002B5FEF">
        <w:trPr>
          <w:trHeight w:val="113"/>
        </w:trPr>
        <w:tc>
          <w:tcPr>
            <w:tcW w:w="5529" w:type="dxa"/>
            <w:tcBorders>
              <w:top w:val="nil"/>
              <w:left w:val="nil"/>
              <w:bottom w:val="nil"/>
              <w:right w:val="nil"/>
            </w:tcBorders>
          </w:tcPr>
          <w:p w:rsidR="002B5FEF" w:rsidRPr="00D00722" w:rsidRDefault="002B5FEF" w:rsidP="00467CA9">
            <w:pPr>
              <w:autoSpaceDE w:val="0"/>
              <w:autoSpaceDN w:val="0"/>
              <w:adjustRightInd w:val="0"/>
              <w:jc w:val="right"/>
              <w:rPr>
                <w:rFonts w:ascii="Arial" w:hAnsi="Arial" w:cs="Arial"/>
                <w:color w:val="000000"/>
              </w:rPr>
            </w:pPr>
          </w:p>
        </w:tc>
        <w:tc>
          <w:tcPr>
            <w:tcW w:w="1701" w:type="dxa"/>
            <w:tcBorders>
              <w:top w:val="nil"/>
              <w:left w:val="nil"/>
              <w:bottom w:val="nil"/>
              <w:right w:val="nil"/>
            </w:tcBorders>
          </w:tcPr>
          <w:p w:rsidR="002B5FEF" w:rsidRPr="00D00722" w:rsidRDefault="002B5FEF" w:rsidP="003F2B3E">
            <w:pPr>
              <w:autoSpaceDE w:val="0"/>
              <w:autoSpaceDN w:val="0"/>
              <w:adjustRightInd w:val="0"/>
              <w:jc w:val="right"/>
              <w:rPr>
                <w:rFonts w:ascii="Arial" w:hAnsi="Arial" w:cs="Arial"/>
                <w:b/>
                <w:bCs/>
                <w:color w:val="000000"/>
              </w:rPr>
            </w:pPr>
          </w:p>
        </w:tc>
        <w:tc>
          <w:tcPr>
            <w:tcW w:w="1807" w:type="dxa"/>
            <w:tcBorders>
              <w:top w:val="nil"/>
              <w:left w:val="nil"/>
              <w:bottom w:val="nil"/>
              <w:right w:val="nil"/>
            </w:tcBorders>
          </w:tcPr>
          <w:p w:rsidR="002B5FEF" w:rsidRPr="00D00722" w:rsidRDefault="002B5FEF" w:rsidP="002B5FEF">
            <w:pPr>
              <w:autoSpaceDE w:val="0"/>
              <w:autoSpaceDN w:val="0"/>
              <w:adjustRightInd w:val="0"/>
              <w:jc w:val="right"/>
              <w:rPr>
                <w:rFonts w:ascii="Arial" w:hAnsi="Arial" w:cs="Arial"/>
                <w:bCs/>
                <w:color w:val="000000"/>
              </w:rPr>
            </w:pPr>
          </w:p>
        </w:tc>
      </w:tr>
      <w:tr w:rsidR="002B5FEF" w:rsidRPr="00D00722" w:rsidTr="002B5FEF">
        <w:trPr>
          <w:trHeight w:val="113"/>
        </w:trPr>
        <w:tc>
          <w:tcPr>
            <w:tcW w:w="5529" w:type="dxa"/>
            <w:tcBorders>
              <w:top w:val="nil"/>
              <w:left w:val="nil"/>
              <w:bottom w:val="nil"/>
              <w:right w:val="nil"/>
            </w:tcBorders>
          </w:tcPr>
          <w:p w:rsidR="002B5FEF" w:rsidRPr="00D00722" w:rsidRDefault="002B5FEF" w:rsidP="00467CA9">
            <w:pPr>
              <w:autoSpaceDE w:val="0"/>
              <w:autoSpaceDN w:val="0"/>
              <w:adjustRightInd w:val="0"/>
              <w:rPr>
                <w:rFonts w:ascii="Arial" w:hAnsi="Arial" w:cs="Arial"/>
                <w:color w:val="000000"/>
              </w:rPr>
            </w:pPr>
            <w:r w:rsidRPr="00D00722">
              <w:rPr>
                <w:rFonts w:ascii="Arial" w:hAnsi="Arial" w:cs="Arial"/>
                <w:color w:val="000000"/>
              </w:rPr>
              <w:t>1 Ocak bakiyesi</w:t>
            </w:r>
          </w:p>
        </w:tc>
        <w:tc>
          <w:tcPr>
            <w:tcW w:w="1701" w:type="dxa"/>
            <w:tcBorders>
              <w:top w:val="nil"/>
              <w:left w:val="nil"/>
              <w:bottom w:val="nil"/>
              <w:right w:val="nil"/>
            </w:tcBorders>
            <w:vAlign w:val="bottom"/>
          </w:tcPr>
          <w:p w:rsidR="002B5FEF" w:rsidRPr="00D00722" w:rsidRDefault="00AA1E80" w:rsidP="00F66002">
            <w:pPr>
              <w:autoSpaceDE w:val="0"/>
              <w:autoSpaceDN w:val="0"/>
              <w:adjustRightInd w:val="0"/>
              <w:jc w:val="right"/>
              <w:rPr>
                <w:rFonts w:ascii="Arial" w:hAnsi="Arial" w:cs="Arial"/>
                <w:b/>
                <w:bCs/>
                <w:color w:val="000000"/>
              </w:rPr>
            </w:pPr>
            <w:r w:rsidRPr="00D00722">
              <w:rPr>
                <w:rFonts w:ascii="Arial" w:hAnsi="Arial" w:cs="Arial"/>
                <w:b/>
                <w:bCs/>
                <w:color w:val="000000"/>
              </w:rPr>
              <w:t>76.99</w:t>
            </w:r>
            <w:r w:rsidR="00F66002" w:rsidRPr="00D00722">
              <w:rPr>
                <w:rFonts w:ascii="Arial" w:hAnsi="Arial" w:cs="Arial"/>
                <w:b/>
                <w:bCs/>
                <w:color w:val="000000"/>
              </w:rPr>
              <w:t>7</w:t>
            </w:r>
          </w:p>
        </w:tc>
        <w:tc>
          <w:tcPr>
            <w:tcW w:w="1807" w:type="dxa"/>
            <w:tcBorders>
              <w:top w:val="nil"/>
              <w:left w:val="nil"/>
              <w:bottom w:val="nil"/>
              <w:right w:val="nil"/>
            </w:tcBorders>
            <w:vAlign w:val="bottom"/>
          </w:tcPr>
          <w:p w:rsidR="002B5FEF" w:rsidRPr="00D00722" w:rsidRDefault="002B5FEF" w:rsidP="002B5FEF">
            <w:pPr>
              <w:autoSpaceDE w:val="0"/>
              <w:autoSpaceDN w:val="0"/>
              <w:adjustRightInd w:val="0"/>
              <w:jc w:val="right"/>
              <w:rPr>
                <w:rFonts w:ascii="Arial" w:hAnsi="Arial" w:cs="Arial"/>
                <w:bCs/>
                <w:color w:val="000000"/>
              </w:rPr>
            </w:pPr>
            <w:r w:rsidRPr="00D00722">
              <w:rPr>
                <w:rFonts w:ascii="Arial" w:hAnsi="Arial" w:cs="Arial"/>
                <w:bCs/>
                <w:color w:val="000000"/>
              </w:rPr>
              <w:t>51.664</w:t>
            </w:r>
          </w:p>
        </w:tc>
      </w:tr>
      <w:tr w:rsidR="002B5FEF" w:rsidRPr="00D00722" w:rsidTr="002B5FEF">
        <w:trPr>
          <w:trHeight w:val="113"/>
        </w:trPr>
        <w:tc>
          <w:tcPr>
            <w:tcW w:w="5529" w:type="dxa"/>
            <w:tcBorders>
              <w:top w:val="nil"/>
              <w:left w:val="nil"/>
              <w:bottom w:val="nil"/>
              <w:right w:val="nil"/>
            </w:tcBorders>
            <w:vAlign w:val="bottom"/>
          </w:tcPr>
          <w:p w:rsidR="002B5FEF" w:rsidRPr="00D00722" w:rsidRDefault="002B5FEF" w:rsidP="00467CA9">
            <w:pPr>
              <w:autoSpaceDE w:val="0"/>
              <w:autoSpaceDN w:val="0"/>
              <w:adjustRightInd w:val="0"/>
              <w:rPr>
                <w:rFonts w:ascii="Arial" w:hAnsi="Arial" w:cs="Arial"/>
                <w:color w:val="000000"/>
              </w:rPr>
            </w:pPr>
            <w:r w:rsidRPr="00D00722">
              <w:rPr>
                <w:rFonts w:ascii="Arial" w:hAnsi="Arial" w:cs="Arial"/>
                <w:color w:val="000000"/>
              </w:rPr>
              <w:t>Dönem içinde ödenen kıdem</w:t>
            </w:r>
          </w:p>
        </w:tc>
        <w:tc>
          <w:tcPr>
            <w:tcW w:w="1701" w:type="dxa"/>
            <w:tcBorders>
              <w:top w:val="nil"/>
              <w:left w:val="nil"/>
              <w:bottom w:val="nil"/>
              <w:right w:val="nil"/>
            </w:tcBorders>
            <w:vAlign w:val="bottom"/>
          </w:tcPr>
          <w:p w:rsidR="002B5FEF" w:rsidRPr="00D00722" w:rsidRDefault="002B5FEF" w:rsidP="003F2B3E">
            <w:pPr>
              <w:autoSpaceDE w:val="0"/>
              <w:autoSpaceDN w:val="0"/>
              <w:adjustRightInd w:val="0"/>
              <w:jc w:val="right"/>
              <w:rPr>
                <w:rFonts w:ascii="Arial" w:hAnsi="Arial" w:cs="Arial"/>
                <w:b/>
                <w:bCs/>
                <w:color w:val="000000"/>
              </w:rPr>
            </w:pPr>
          </w:p>
        </w:tc>
        <w:tc>
          <w:tcPr>
            <w:tcW w:w="1807" w:type="dxa"/>
            <w:tcBorders>
              <w:top w:val="nil"/>
              <w:left w:val="nil"/>
              <w:bottom w:val="nil"/>
              <w:right w:val="nil"/>
            </w:tcBorders>
            <w:vAlign w:val="bottom"/>
          </w:tcPr>
          <w:p w:rsidR="002B5FEF" w:rsidRPr="00D00722" w:rsidRDefault="002B5FEF" w:rsidP="002B5FEF">
            <w:pPr>
              <w:autoSpaceDE w:val="0"/>
              <w:autoSpaceDN w:val="0"/>
              <w:adjustRightInd w:val="0"/>
              <w:jc w:val="right"/>
              <w:rPr>
                <w:rFonts w:ascii="Arial" w:hAnsi="Arial" w:cs="Arial"/>
                <w:bCs/>
                <w:color w:val="000000"/>
              </w:rPr>
            </w:pPr>
            <w:r w:rsidRPr="00D00722">
              <w:rPr>
                <w:rFonts w:ascii="Arial" w:hAnsi="Arial" w:cs="Arial"/>
                <w:bCs/>
                <w:color w:val="000000"/>
              </w:rPr>
              <w:t>-</w:t>
            </w:r>
          </w:p>
        </w:tc>
      </w:tr>
      <w:tr w:rsidR="002B5FEF" w:rsidRPr="00D00722" w:rsidTr="002B5FEF">
        <w:trPr>
          <w:trHeight w:val="113"/>
        </w:trPr>
        <w:tc>
          <w:tcPr>
            <w:tcW w:w="5529" w:type="dxa"/>
            <w:tcBorders>
              <w:top w:val="nil"/>
              <w:left w:val="nil"/>
              <w:bottom w:val="nil"/>
              <w:right w:val="nil"/>
            </w:tcBorders>
          </w:tcPr>
          <w:p w:rsidR="002B5FEF" w:rsidRPr="00D00722" w:rsidRDefault="002B5FEF" w:rsidP="00467CA9">
            <w:pPr>
              <w:autoSpaceDE w:val="0"/>
              <w:autoSpaceDN w:val="0"/>
              <w:adjustRightInd w:val="0"/>
              <w:rPr>
                <w:rFonts w:ascii="Arial" w:hAnsi="Arial" w:cs="Arial"/>
                <w:color w:val="000000"/>
              </w:rPr>
            </w:pPr>
            <w:r w:rsidRPr="00D00722">
              <w:rPr>
                <w:rFonts w:ascii="Arial" w:hAnsi="Arial" w:cs="Arial"/>
                <w:color w:val="000000"/>
              </w:rPr>
              <w:t>Hizmet maliyeti</w:t>
            </w:r>
          </w:p>
        </w:tc>
        <w:tc>
          <w:tcPr>
            <w:tcW w:w="1701" w:type="dxa"/>
            <w:tcBorders>
              <w:top w:val="nil"/>
              <w:left w:val="nil"/>
              <w:bottom w:val="nil"/>
              <w:right w:val="nil"/>
            </w:tcBorders>
            <w:vAlign w:val="bottom"/>
          </w:tcPr>
          <w:p w:rsidR="002B5FEF" w:rsidRPr="00D00722" w:rsidRDefault="007061A4" w:rsidP="007061A4">
            <w:pPr>
              <w:autoSpaceDE w:val="0"/>
              <w:autoSpaceDN w:val="0"/>
              <w:adjustRightInd w:val="0"/>
              <w:jc w:val="right"/>
              <w:rPr>
                <w:rFonts w:ascii="Arial" w:hAnsi="Arial" w:cs="Arial"/>
                <w:b/>
                <w:bCs/>
                <w:color w:val="000000"/>
              </w:rPr>
            </w:pPr>
            <w:r w:rsidRPr="00D00722">
              <w:rPr>
                <w:rFonts w:ascii="Arial" w:hAnsi="Arial" w:cs="Arial"/>
                <w:b/>
                <w:bCs/>
                <w:color w:val="000000"/>
              </w:rPr>
              <w:t>12.648</w:t>
            </w:r>
          </w:p>
        </w:tc>
        <w:tc>
          <w:tcPr>
            <w:tcW w:w="1807" w:type="dxa"/>
            <w:tcBorders>
              <w:top w:val="nil"/>
              <w:left w:val="nil"/>
              <w:bottom w:val="nil"/>
              <w:right w:val="nil"/>
            </w:tcBorders>
            <w:vAlign w:val="bottom"/>
          </w:tcPr>
          <w:p w:rsidR="002B5FEF" w:rsidRPr="00D00722" w:rsidRDefault="002B5FEF" w:rsidP="002B5FEF">
            <w:pPr>
              <w:autoSpaceDE w:val="0"/>
              <w:autoSpaceDN w:val="0"/>
              <w:adjustRightInd w:val="0"/>
              <w:jc w:val="right"/>
              <w:rPr>
                <w:rFonts w:ascii="Arial" w:hAnsi="Arial" w:cs="Arial"/>
                <w:bCs/>
                <w:color w:val="000000"/>
              </w:rPr>
            </w:pPr>
            <w:r w:rsidRPr="00D00722">
              <w:rPr>
                <w:rFonts w:ascii="Arial" w:hAnsi="Arial" w:cs="Arial"/>
                <w:bCs/>
                <w:color w:val="000000"/>
              </w:rPr>
              <w:t>23.562</w:t>
            </w:r>
          </w:p>
        </w:tc>
      </w:tr>
      <w:tr w:rsidR="002B5FEF" w:rsidRPr="00D00722" w:rsidTr="002B5FEF">
        <w:trPr>
          <w:trHeight w:val="113"/>
        </w:trPr>
        <w:tc>
          <w:tcPr>
            <w:tcW w:w="5529" w:type="dxa"/>
            <w:tcBorders>
              <w:top w:val="nil"/>
              <w:left w:val="nil"/>
              <w:bottom w:val="nil"/>
              <w:right w:val="nil"/>
            </w:tcBorders>
          </w:tcPr>
          <w:p w:rsidR="002B5FEF" w:rsidRPr="00D00722" w:rsidRDefault="002B5FEF" w:rsidP="00467CA9">
            <w:pPr>
              <w:autoSpaceDE w:val="0"/>
              <w:autoSpaceDN w:val="0"/>
              <w:adjustRightInd w:val="0"/>
              <w:rPr>
                <w:rFonts w:ascii="Arial" w:hAnsi="Arial" w:cs="Arial"/>
                <w:color w:val="000000"/>
              </w:rPr>
            </w:pPr>
            <w:r w:rsidRPr="00D00722">
              <w:rPr>
                <w:rFonts w:ascii="Arial" w:hAnsi="Arial" w:cs="Arial"/>
                <w:color w:val="000000"/>
              </w:rPr>
              <w:t>Faiz maliyeti</w:t>
            </w:r>
          </w:p>
        </w:tc>
        <w:tc>
          <w:tcPr>
            <w:tcW w:w="1701" w:type="dxa"/>
            <w:tcBorders>
              <w:top w:val="nil"/>
              <w:left w:val="nil"/>
              <w:bottom w:val="nil"/>
              <w:right w:val="nil"/>
            </w:tcBorders>
            <w:vAlign w:val="bottom"/>
          </w:tcPr>
          <w:p w:rsidR="002B5FEF" w:rsidRPr="00D00722" w:rsidRDefault="00AA1E80" w:rsidP="003F2B3E">
            <w:pPr>
              <w:autoSpaceDE w:val="0"/>
              <w:autoSpaceDN w:val="0"/>
              <w:adjustRightInd w:val="0"/>
              <w:jc w:val="right"/>
              <w:rPr>
                <w:rFonts w:ascii="Arial" w:hAnsi="Arial" w:cs="Arial"/>
                <w:b/>
                <w:bCs/>
                <w:color w:val="000000"/>
              </w:rPr>
            </w:pPr>
            <w:r w:rsidRPr="00D00722">
              <w:rPr>
                <w:rFonts w:ascii="Arial" w:hAnsi="Arial" w:cs="Arial"/>
                <w:b/>
                <w:bCs/>
                <w:color w:val="000000"/>
              </w:rPr>
              <w:t>651</w:t>
            </w:r>
          </w:p>
        </w:tc>
        <w:tc>
          <w:tcPr>
            <w:tcW w:w="1807" w:type="dxa"/>
            <w:tcBorders>
              <w:top w:val="nil"/>
              <w:left w:val="nil"/>
              <w:bottom w:val="nil"/>
              <w:right w:val="nil"/>
            </w:tcBorders>
            <w:vAlign w:val="bottom"/>
          </w:tcPr>
          <w:p w:rsidR="002B5FEF" w:rsidRPr="00D00722" w:rsidRDefault="002B5FEF" w:rsidP="002B5FEF">
            <w:pPr>
              <w:autoSpaceDE w:val="0"/>
              <w:autoSpaceDN w:val="0"/>
              <w:adjustRightInd w:val="0"/>
              <w:jc w:val="right"/>
              <w:rPr>
                <w:rFonts w:ascii="Arial" w:hAnsi="Arial" w:cs="Arial"/>
                <w:bCs/>
                <w:color w:val="000000"/>
              </w:rPr>
            </w:pPr>
            <w:r w:rsidRPr="00D00722">
              <w:rPr>
                <w:rFonts w:ascii="Arial" w:hAnsi="Arial" w:cs="Arial"/>
                <w:bCs/>
                <w:color w:val="000000"/>
              </w:rPr>
              <w:t>1.771</w:t>
            </w:r>
          </w:p>
        </w:tc>
      </w:tr>
      <w:tr w:rsidR="002B5FEF" w:rsidRPr="00D00722" w:rsidTr="002B5FEF">
        <w:trPr>
          <w:trHeight w:val="113"/>
        </w:trPr>
        <w:tc>
          <w:tcPr>
            <w:tcW w:w="5529" w:type="dxa"/>
            <w:tcBorders>
              <w:top w:val="nil"/>
              <w:left w:val="nil"/>
              <w:bottom w:val="nil"/>
              <w:right w:val="nil"/>
            </w:tcBorders>
          </w:tcPr>
          <w:p w:rsidR="002B5FEF" w:rsidRPr="00D00722" w:rsidRDefault="002B5FEF" w:rsidP="00467CA9">
            <w:pPr>
              <w:autoSpaceDE w:val="0"/>
              <w:autoSpaceDN w:val="0"/>
              <w:adjustRightInd w:val="0"/>
              <w:rPr>
                <w:rFonts w:ascii="Arial" w:hAnsi="Arial" w:cs="Arial"/>
                <w:color w:val="000000"/>
              </w:rPr>
            </w:pPr>
          </w:p>
        </w:tc>
        <w:tc>
          <w:tcPr>
            <w:tcW w:w="1701" w:type="dxa"/>
            <w:tcBorders>
              <w:top w:val="nil"/>
              <w:left w:val="nil"/>
              <w:bottom w:val="nil"/>
              <w:right w:val="nil"/>
            </w:tcBorders>
          </w:tcPr>
          <w:p w:rsidR="002B5FEF" w:rsidRPr="00D00722" w:rsidRDefault="002B5FEF" w:rsidP="003F2B3E">
            <w:pPr>
              <w:autoSpaceDE w:val="0"/>
              <w:autoSpaceDN w:val="0"/>
              <w:adjustRightInd w:val="0"/>
              <w:jc w:val="right"/>
              <w:rPr>
                <w:rFonts w:ascii="Arial" w:hAnsi="Arial" w:cs="Arial"/>
                <w:b/>
                <w:bCs/>
                <w:color w:val="000000"/>
              </w:rPr>
            </w:pPr>
          </w:p>
        </w:tc>
        <w:tc>
          <w:tcPr>
            <w:tcW w:w="1807" w:type="dxa"/>
            <w:tcBorders>
              <w:top w:val="nil"/>
              <w:left w:val="nil"/>
              <w:bottom w:val="nil"/>
              <w:right w:val="nil"/>
            </w:tcBorders>
          </w:tcPr>
          <w:p w:rsidR="002B5FEF" w:rsidRPr="00D00722" w:rsidRDefault="002B5FEF" w:rsidP="002B5FEF">
            <w:pPr>
              <w:autoSpaceDE w:val="0"/>
              <w:autoSpaceDN w:val="0"/>
              <w:adjustRightInd w:val="0"/>
              <w:jc w:val="right"/>
              <w:rPr>
                <w:rFonts w:ascii="Arial" w:hAnsi="Arial" w:cs="Arial"/>
                <w:bCs/>
                <w:color w:val="000000"/>
              </w:rPr>
            </w:pPr>
          </w:p>
        </w:tc>
      </w:tr>
      <w:tr w:rsidR="002B5FEF" w:rsidRPr="00D00722" w:rsidTr="002B5FEF">
        <w:trPr>
          <w:trHeight w:val="113"/>
        </w:trPr>
        <w:tc>
          <w:tcPr>
            <w:tcW w:w="5529" w:type="dxa"/>
            <w:tcBorders>
              <w:top w:val="single" w:sz="6" w:space="0" w:color="auto"/>
              <w:left w:val="nil"/>
              <w:bottom w:val="double" w:sz="6" w:space="0" w:color="auto"/>
              <w:right w:val="nil"/>
            </w:tcBorders>
          </w:tcPr>
          <w:p w:rsidR="002B5FEF" w:rsidRPr="00D00722" w:rsidRDefault="002B5FEF" w:rsidP="00467CA9">
            <w:pPr>
              <w:autoSpaceDE w:val="0"/>
              <w:autoSpaceDN w:val="0"/>
              <w:adjustRightInd w:val="0"/>
              <w:jc w:val="right"/>
              <w:rPr>
                <w:rFonts w:ascii="Arial" w:hAnsi="Arial" w:cs="Arial"/>
                <w:color w:val="000000"/>
              </w:rPr>
            </w:pPr>
          </w:p>
        </w:tc>
        <w:tc>
          <w:tcPr>
            <w:tcW w:w="1701" w:type="dxa"/>
            <w:tcBorders>
              <w:top w:val="single" w:sz="6" w:space="0" w:color="auto"/>
              <w:left w:val="nil"/>
              <w:bottom w:val="double" w:sz="6" w:space="0" w:color="auto"/>
              <w:right w:val="nil"/>
            </w:tcBorders>
          </w:tcPr>
          <w:p w:rsidR="002B5FEF" w:rsidRPr="00D00722" w:rsidRDefault="00AA1E80" w:rsidP="007061A4">
            <w:pPr>
              <w:autoSpaceDE w:val="0"/>
              <w:autoSpaceDN w:val="0"/>
              <w:adjustRightInd w:val="0"/>
              <w:jc w:val="right"/>
              <w:rPr>
                <w:rFonts w:ascii="Arial" w:hAnsi="Arial" w:cs="Arial"/>
                <w:b/>
                <w:bCs/>
                <w:color w:val="000000"/>
              </w:rPr>
            </w:pPr>
            <w:r w:rsidRPr="00D00722">
              <w:rPr>
                <w:rFonts w:ascii="Arial" w:hAnsi="Arial" w:cs="Arial"/>
                <w:b/>
                <w:bCs/>
                <w:color w:val="000000"/>
              </w:rPr>
              <w:t>90.</w:t>
            </w:r>
            <w:r w:rsidR="007061A4" w:rsidRPr="00D00722">
              <w:rPr>
                <w:rFonts w:ascii="Arial" w:hAnsi="Arial" w:cs="Arial"/>
                <w:b/>
                <w:bCs/>
                <w:color w:val="000000"/>
              </w:rPr>
              <w:t>296</w:t>
            </w:r>
          </w:p>
        </w:tc>
        <w:tc>
          <w:tcPr>
            <w:tcW w:w="1807" w:type="dxa"/>
            <w:tcBorders>
              <w:top w:val="single" w:sz="6" w:space="0" w:color="auto"/>
              <w:left w:val="nil"/>
              <w:bottom w:val="double" w:sz="6" w:space="0" w:color="auto"/>
              <w:right w:val="nil"/>
            </w:tcBorders>
          </w:tcPr>
          <w:p w:rsidR="002B5FEF" w:rsidRPr="00D00722" w:rsidRDefault="002B5FEF" w:rsidP="002B5FEF">
            <w:pPr>
              <w:autoSpaceDE w:val="0"/>
              <w:autoSpaceDN w:val="0"/>
              <w:adjustRightInd w:val="0"/>
              <w:jc w:val="right"/>
              <w:rPr>
                <w:rFonts w:ascii="Arial" w:hAnsi="Arial" w:cs="Arial"/>
                <w:bCs/>
                <w:color w:val="000000"/>
              </w:rPr>
            </w:pPr>
            <w:r w:rsidRPr="00D00722">
              <w:rPr>
                <w:rFonts w:ascii="Arial" w:hAnsi="Arial" w:cs="Arial"/>
                <w:bCs/>
                <w:color w:val="000000"/>
              </w:rPr>
              <w:t>76.997</w:t>
            </w:r>
          </w:p>
        </w:tc>
      </w:tr>
    </w:tbl>
    <w:p w:rsidR="00237DCB" w:rsidRPr="00D00722" w:rsidRDefault="00237DCB" w:rsidP="00237DCB">
      <w:pPr>
        <w:tabs>
          <w:tab w:val="right" w:pos="6660"/>
          <w:tab w:val="right" w:pos="8640"/>
        </w:tabs>
        <w:rPr>
          <w:rFonts w:ascii="Arial" w:hAnsi="Arial" w:cs="Arial"/>
          <w:lang w:val="tr-TR"/>
        </w:rPr>
      </w:pPr>
    </w:p>
    <w:p w:rsidR="00237DCB" w:rsidRPr="00D00722" w:rsidRDefault="00CB6B56" w:rsidP="003F2B3E">
      <w:pPr>
        <w:suppressAutoHyphens/>
        <w:ind w:right="2"/>
        <w:rPr>
          <w:rFonts w:ascii="Arial" w:hAnsi="Arial" w:cs="Arial"/>
          <w:lang w:val="tr-TR"/>
        </w:rPr>
      </w:pPr>
      <w:r w:rsidRPr="00D00722">
        <w:rPr>
          <w:rFonts w:ascii="Arial" w:hAnsi="Arial" w:cs="Arial"/>
          <w:lang w:val="tr-TR"/>
        </w:rPr>
        <w:t xml:space="preserve">1 Ocak – </w:t>
      </w:r>
      <w:r w:rsidR="003972A7" w:rsidRPr="00D00722">
        <w:rPr>
          <w:rFonts w:ascii="Arial" w:hAnsi="Arial" w:cs="Arial"/>
          <w:lang w:val="tr-TR"/>
        </w:rPr>
        <w:t xml:space="preserve">31 </w:t>
      </w:r>
      <w:r w:rsidR="00F66002" w:rsidRPr="00D00722">
        <w:rPr>
          <w:rFonts w:ascii="Arial" w:hAnsi="Arial" w:cs="Arial"/>
          <w:lang w:val="tr-TR"/>
        </w:rPr>
        <w:t>Mart</w:t>
      </w:r>
      <w:r w:rsidR="003972A7" w:rsidRPr="00D00722">
        <w:rPr>
          <w:rFonts w:ascii="Arial" w:hAnsi="Arial" w:cs="Arial"/>
          <w:lang w:val="tr-TR"/>
        </w:rPr>
        <w:t xml:space="preserve"> </w:t>
      </w:r>
      <w:r w:rsidR="008C2E6B" w:rsidRPr="00D00722">
        <w:rPr>
          <w:rFonts w:ascii="Arial" w:hAnsi="Arial" w:cs="Arial"/>
          <w:lang w:val="tr-TR"/>
        </w:rPr>
        <w:t>201</w:t>
      </w:r>
      <w:r w:rsidR="00F66002" w:rsidRPr="00D00722">
        <w:rPr>
          <w:rFonts w:ascii="Arial" w:hAnsi="Arial" w:cs="Arial"/>
          <w:lang w:val="tr-TR"/>
        </w:rPr>
        <w:t>4</w:t>
      </w:r>
      <w:r w:rsidR="00237DCB" w:rsidRPr="00D00722">
        <w:rPr>
          <w:rFonts w:ascii="Arial" w:hAnsi="Arial" w:cs="Arial"/>
          <w:lang w:val="tr-TR"/>
        </w:rPr>
        <w:t xml:space="preserve"> dönemine ait kıdem tazminatı karşılık </w:t>
      </w:r>
      <w:r w:rsidR="00DE1740" w:rsidRPr="00D00722">
        <w:rPr>
          <w:rFonts w:ascii="Arial" w:hAnsi="Arial" w:cs="Arial"/>
          <w:lang w:val="tr-TR"/>
        </w:rPr>
        <w:t>gider</w:t>
      </w:r>
      <w:r w:rsidR="00525AF5" w:rsidRPr="00D00722">
        <w:rPr>
          <w:rFonts w:ascii="Arial" w:hAnsi="Arial" w:cs="Arial"/>
          <w:lang w:val="tr-TR"/>
        </w:rPr>
        <w:t>i</w:t>
      </w:r>
      <w:r w:rsidR="00237DCB" w:rsidRPr="00D00722">
        <w:rPr>
          <w:rFonts w:ascii="Arial" w:hAnsi="Arial" w:cs="Arial"/>
          <w:lang w:val="tr-TR"/>
        </w:rPr>
        <w:t xml:space="preserve"> olan </w:t>
      </w:r>
      <w:r w:rsidR="00F66002" w:rsidRPr="00D00722">
        <w:rPr>
          <w:rFonts w:ascii="Arial" w:hAnsi="Arial" w:cs="Arial"/>
          <w:lang w:val="tr-TR"/>
        </w:rPr>
        <w:t>13</w:t>
      </w:r>
      <w:r w:rsidR="008C2E6B" w:rsidRPr="00D00722">
        <w:rPr>
          <w:rFonts w:ascii="Arial" w:hAnsi="Arial" w:cs="Arial"/>
          <w:lang w:val="tr-TR"/>
        </w:rPr>
        <w:t>.</w:t>
      </w:r>
      <w:r w:rsidR="001E725D" w:rsidRPr="00D00722">
        <w:rPr>
          <w:rFonts w:ascii="Arial" w:hAnsi="Arial" w:cs="Arial"/>
          <w:lang w:val="tr-TR"/>
        </w:rPr>
        <w:t>299</w:t>
      </w:r>
      <w:r w:rsidR="00933CD9" w:rsidRPr="00D00722">
        <w:rPr>
          <w:rFonts w:ascii="Arial" w:hAnsi="Arial" w:cs="Arial"/>
          <w:lang w:val="tr-TR"/>
        </w:rPr>
        <w:t xml:space="preserve"> TL</w:t>
      </w:r>
      <w:r w:rsidR="00DE1740" w:rsidRPr="00D00722">
        <w:rPr>
          <w:rFonts w:ascii="Arial" w:hAnsi="Arial" w:cs="Arial"/>
          <w:lang w:val="tr-TR"/>
        </w:rPr>
        <w:t xml:space="preserve"> genel yönetim giderlerinde</w:t>
      </w:r>
      <w:r w:rsidR="00525AF5" w:rsidRPr="00D00722">
        <w:rPr>
          <w:rFonts w:ascii="Arial" w:hAnsi="Arial" w:cs="Arial"/>
          <w:lang w:val="tr-TR"/>
        </w:rPr>
        <w:t xml:space="preserve"> </w:t>
      </w:r>
      <w:r w:rsidR="00DE1740" w:rsidRPr="00D00722">
        <w:rPr>
          <w:rFonts w:ascii="Arial" w:hAnsi="Arial" w:cs="Arial"/>
          <w:lang w:val="tr-TR"/>
        </w:rPr>
        <w:t>muhasebeleştirilmiştir</w:t>
      </w:r>
      <w:r w:rsidR="00933CD9" w:rsidRPr="00D00722">
        <w:rPr>
          <w:rFonts w:ascii="Arial" w:hAnsi="Arial" w:cs="Arial"/>
          <w:lang w:val="tr-TR"/>
        </w:rPr>
        <w:t xml:space="preserve"> </w:t>
      </w:r>
      <w:r w:rsidR="00120176" w:rsidRPr="00D00722">
        <w:rPr>
          <w:rFonts w:ascii="Arial" w:hAnsi="Arial" w:cs="Arial"/>
          <w:lang w:val="tr-TR"/>
        </w:rPr>
        <w:t xml:space="preserve">(Not:18) </w:t>
      </w:r>
      <w:r w:rsidR="00933CD9" w:rsidRPr="00D00722">
        <w:rPr>
          <w:rFonts w:ascii="Arial" w:hAnsi="Arial" w:cs="Arial"/>
          <w:lang w:val="tr-TR"/>
        </w:rPr>
        <w:t>(1 Ocak – 3</w:t>
      </w:r>
      <w:r w:rsidR="001210CB" w:rsidRPr="00D00722">
        <w:rPr>
          <w:rFonts w:ascii="Arial" w:hAnsi="Arial" w:cs="Arial"/>
          <w:lang w:val="tr-TR"/>
        </w:rPr>
        <w:t xml:space="preserve">1 Aralık </w:t>
      </w:r>
      <w:r w:rsidR="008C2E6B" w:rsidRPr="00D00722">
        <w:rPr>
          <w:rFonts w:ascii="Arial" w:hAnsi="Arial" w:cs="Arial"/>
          <w:lang w:val="tr-TR"/>
        </w:rPr>
        <w:t>201</w:t>
      </w:r>
      <w:r w:rsidR="00F66002" w:rsidRPr="00D00722">
        <w:rPr>
          <w:rFonts w:ascii="Arial" w:hAnsi="Arial" w:cs="Arial"/>
          <w:lang w:val="tr-TR"/>
        </w:rPr>
        <w:t>3</w:t>
      </w:r>
      <w:r w:rsidR="00933CD9" w:rsidRPr="00D00722">
        <w:rPr>
          <w:rFonts w:ascii="Arial" w:hAnsi="Arial" w:cs="Arial"/>
          <w:lang w:val="tr-TR"/>
        </w:rPr>
        <w:t xml:space="preserve"> karşılık g</w:t>
      </w:r>
      <w:r w:rsidR="00DE1740" w:rsidRPr="00D00722">
        <w:rPr>
          <w:rFonts w:ascii="Arial" w:hAnsi="Arial" w:cs="Arial"/>
          <w:lang w:val="tr-TR"/>
        </w:rPr>
        <w:t>elir</w:t>
      </w:r>
      <w:r w:rsidR="00933CD9" w:rsidRPr="00D00722">
        <w:rPr>
          <w:rFonts w:ascii="Arial" w:hAnsi="Arial" w:cs="Arial"/>
          <w:lang w:val="tr-TR"/>
        </w:rPr>
        <w:t xml:space="preserve">i </w:t>
      </w:r>
      <w:r w:rsidR="000E62CC" w:rsidRPr="00D00722">
        <w:rPr>
          <w:rFonts w:ascii="Arial" w:hAnsi="Arial" w:cs="Arial"/>
          <w:lang w:val="tr-TR"/>
        </w:rPr>
        <w:t>olan</w:t>
      </w:r>
      <w:r w:rsidR="00933CD9" w:rsidRPr="00D00722">
        <w:rPr>
          <w:rFonts w:ascii="Arial" w:hAnsi="Arial" w:cs="Arial"/>
          <w:lang w:val="tr-TR"/>
        </w:rPr>
        <w:t xml:space="preserve"> </w:t>
      </w:r>
      <w:r w:rsidR="008C2E6B" w:rsidRPr="00D00722">
        <w:rPr>
          <w:rFonts w:ascii="Arial" w:hAnsi="Arial" w:cs="Arial"/>
          <w:lang w:val="tr-TR"/>
        </w:rPr>
        <w:t>2</w:t>
      </w:r>
      <w:r w:rsidR="00F66002" w:rsidRPr="00D00722">
        <w:rPr>
          <w:rFonts w:ascii="Arial" w:hAnsi="Arial" w:cs="Arial"/>
          <w:lang w:val="tr-TR"/>
        </w:rPr>
        <w:t>5</w:t>
      </w:r>
      <w:r w:rsidR="008C2E6B" w:rsidRPr="00D00722">
        <w:rPr>
          <w:rFonts w:ascii="Arial" w:hAnsi="Arial" w:cs="Arial"/>
          <w:lang w:val="tr-TR"/>
        </w:rPr>
        <w:t>.</w:t>
      </w:r>
      <w:r w:rsidR="00F66002" w:rsidRPr="00D00722">
        <w:rPr>
          <w:rFonts w:ascii="Arial" w:hAnsi="Arial" w:cs="Arial"/>
          <w:lang w:val="tr-TR"/>
        </w:rPr>
        <w:t>334</w:t>
      </w:r>
      <w:r w:rsidR="00933CD9" w:rsidRPr="00D00722">
        <w:rPr>
          <w:rFonts w:ascii="Arial" w:hAnsi="Arial" w:cs="Arial"/>
          <w:lang w:val="tr-TR"/>
        </w:rPr>
        <w:t xml:space="preserve"> TL</w:t>
      </w:r>
      <w:r w:rsidR="001631CD" w:rsidRPr="00D00722">
        <w:rPr>
          <w:rFonts w:ascii="Arial" w:hAnsi="Arial" w:cs="Arial"/>
          <w:lang w:val="tr-TR"/>
        </w:rPr>
        <w:t xml:space="preserve"> genel yönetim giderlerinden düşülmüştür</w:t>
      </w:r>
      <w:r w:rsidR="00933CD9" w:rsidRPr="00D00722">
        <w:rPr>
          <w:rFonts w:ascii="Arial" w:hAnsi="Arial" w:cs="Arial"/>
          <w:lang w:val="tr-TR"/>
        </w:rPr>
        <w:t>).</w:t>
      </w:r>
    </w:p>
    <w:p w:rsidR="00CE6E77" w:rsidRPr="00D00722" w:rsidRDefault="00CE6E77">
      <w:pPr>
        <w:rPr>
          <w:rFonts w:ascii="Arial" w:hAnsi="Arial" w:cs="Arial"/>
          <w:b/>
          <w:lang w:val="tr-TR"/>
        </w:rPr>
      </w:pPr>
    </w:p>
    <w:p w:rsidR="003B42C2" w:rsidRPr="00D00722" w:rsidRDefault="003B42C2">
      <w:pPr>
        <w:rPr>
          <w:rFonts w:ascii="Arial" w:hAnsi="Arial" w:cs="Arial"/>
          <w:b/>
          <w:lang w:val="tr-TR"/>
        </w:rPr>
      </w:pPr>
    </w:p>
    <w:p w:rsidR="008C2E6B" w:rsidRPr="00D00722" w:rsidRDefault="008C2E6B" w:rsidP="008C2E6B">
      <w:pPr>
        <w:ind w:left="567" w:hanging="567"/>
        <w:rPr>
          <w:rFonts w:ascii="Arial" w:hAnsi="Arial" w:cs="Arial"/>
          <w:b/>
          <w:lang w:val="tr-TR"/>
        </w:rPr>
      </w:pPr>
      <w:r w:rsidRPr="00D00722">
        <w:rPr>
          <w:rFonts w:ascii="Arial" w:hAnsi="Arial" w:cs="Arial"/>
          <w:b/>
          <w:lang w:val="tr-TR"/>
        </w:rPr>
        <w:t>14.</w:t>
      </w:r>
      <w:r w:rsidRPr="00D00722">
        <w:rPr>
          <w:rFonts w:ascii="Arial" w:hAnsi="Arial" w:cs="Arial"/>
          <w:b/>
          <w:lang w:val="tr-TR"/>
        </w:rPr>
        <w:tab/>
        <w:t>Karşılıklar, koşullu varlık ve yükümlülükler</w:t>
      </w:r>
    </w:p>
    <w:p w:rsidR="00BF2DF4" w:rsidRPr="00D00722" w:rsidRDefault="00BF2DF4" w:rsidP="008C2E6B">
      <w:pPr>
        <w:ind w:left="567" w:hanging="567"/>
        <w:rPr>
          <w:rFonts w:ascii="Arial" w:hAnsi="Arial" w:cs="Arial"/>
          <w:b/>
          <w:lang w:val="tr-TR"/>
        </w:rPr>
      </w:pPr>
    </w:p>
    <w:p w:rsidR="00BF2DF4" w:rsidRPr="00D00722" w:rsidRDefault="00BF2DF4" w:rsidP="00BF2DF4">
      <w:pPr>
        <w:autoSpaceDE w:val="0"/>
        <w:autoSpaceDN w:val="0"/>
        <w:adjustRightInd w:val="0"/>
        <w:rPr>
          <w:rFonts w:ascii="Arial" w:hAnsi="Arial" w:cs="Arial"/>
          <w:lang w:val="tr-TR"/>
        </w:rPr>
      </w:pPr>
      <w:r w:rsidRPr="00D00722">
        <w:rPr>
          <w:rFonts w:ascii="Arial" w:hAnsi="Arial" w:cs="Arial"/>
          <w:lang w:val="tr-TR"/>
        </w:rPr>
        <w:t xml:space="preserve">31 </w:t>
      </w:r>
      <w:r w:rsidR="00F66002" w:rsidRPr="00D00722">
        <w:rPr>
          <w:rFonts w:ascii="Arial" w:hAnsi="Arial" w:cs="Arial"/>
          <w:lang w:val="tr-TR"/>
        </w:rPr>
        <w:t>Mart</w:t>
      </w:r>
      <w:r w:rsidRPr="00D00722">
        <w:rPr>
          <w:rFonts w:ascii="Arial" w:hAnsi="Arial" w:cs="Arial"/>
          <w:lang w:val="tr-TR"/>
        </w:rPr>
        <w:t xml:space="preserve"> 201</w:t>
      </w:r>
      <w:r w:rsidR="00F66002" w:rsidRPr="00D00722">
        <w:rPr>
          <w:rFonts w:ascii="Arial" w:hAnsi="Arial" w:cs="Arial"/>
          <w:lang w:val="tr-TR"/>
        </w:rPr>
        <w:t>4</w:t>
      </w:r>
      <w:r w:rsidRPr="00D00722">
        <w:rPr>
          <w:rFonts w:ascii="Arial" w:hAnsi="Arial" w:cs="Arial"/>
          <w:lang w:val="tr-TR"/>
        </w:rPr>
        <w:t xml:space="preserve"> tarihi itibariyle aktif değerler üzerinde ipotek veya rehin bulunmamaktadır. Bilanço tarihi itibariyle Şirket aleyhine açılmış dava bulunmamaktadır (31 Aralık 201</w:t>
      </w:r>
      <w:r w:rsidR="00F66002" w:rsidRPr="00D00722">
        <w:rPr>
          <w:rFonts w:ascii="Arial" w:hAnsi="Arial" w:cs="Arial"/>
          <w:lang w:val="tr-TR"/>
        </w:rPr>
        <w:t>3</w:t>
      </w:r>
      <w:r w:rsidRPr="00D00722">
        <w:rPr>
          <w:rFonts w:ascii="Arial" w:hAnsi="Arial" w:cs="Arial"/>
          <w:lang w:val="tr-TR"/>
        </w:rPr>
        <w:t xml:space="preserve"> – Yoktur).</w:t>
      </w:r>
    </w:p>
    <w:p w:rsidR="00BF2DF4" w:rsidRPr="00D00722" w:rsidRDefault="00BF2DF4" w:rsidP="00BF2DF4">
      <w:pPr>
        <w:autoSpaceDE w:val="0"/>
        <w:autoSpaceDN w:val="0"/>
        <w:adjustRightInd w:val="0"/>
        <w:rPr>
          <w:rFonts w:ascii="Arial" w:hAnsi="Arial" w:cs="Arial"/>
          <w:lang w:val="tr-TR"/>
        </w:rPr>
      </w:pPr>
    </w:p>
    <w:p w:rsidR="00BF2DF4" w:rsidRPr="00D00722" w:rsidRDefault="00BF2DF4" w:rsidP="00BF2DF4">
      <w:pPr>
        <w:autoSpaceDE w:val="0"/>
        <w:autoSpaceDN w:val="0"/>
        <w:adjustRightInd w:val="0"/>
        <w:rPr>
          <w:rFonts w:ascii="Arial" w:hAnsi="Arial" w:cs="Arial"/>
          <w:lang w:val="tr-TR"/>
        </w:rPr>
      </w:pPr>
      <w:r w:rsidRPr="00D00722">
        <w:rPr>
          <w:rFonts w:ascii="Arial" w:hAnsi="Arial" w:cs="Arial"/>
          <w:lang w:val="tr-TR"/>
        </w:rPr>
        <w:t xml:space="preserve">31 </w:t>
      </w:r>
      <w:r w:rsidR="00F66002" w:rsidRPr="00D00722">
        <w:rPr>
          <w:rFonts w:ascii="Arial" w:hAnsi="Arial" w:cs="Arial"/>
          <w:lang w:val="tr-TR"/>
        </w:rPr>
        <w:t>Mart</w:t>
      </w:r>
      <w:r w:rsidRPr="00D00722">
        <w:rPr>
          <w:rFonts w:ascii="Arial" w:hAnsi="Arial" w:cs="Arial"/>
          <w:lang w:val="tr-TR"/>
        </w:rPr>
        <w:t xml:space="preserve"> 201</w:t>
      </w:r>
      <w:r w:rsidR="00F66002" w:rsidRPr="00D00722">
        <w:rPr>
          <w:rFonts w:ascii="Arial" w:hAnsi="Arial" w:cs="Arial"/>
          <w:lang w:val="tr-TR"/>
        </w:rPr>
        <w:t>4</w:t>
      </w:r>
      <w:r w:rsidRPr="00D00722">
        <w:rPr>
          <w:rFonts w:ascii="Arial" w:hAnsi="Arial" w:cs="Arial"/>
          <w:lang w:val="tr-TR"/>
        </w:rPr>
        <w:t xml:space="preserve"> tarihi itibariyle Şirket’in portföyündeki </w:t>
      </w:r>
      <w:r w:rsidRPr="00D00722">
        <w:rPr>
          <w:rFonts w:ascii="Arial" w:hAnsi="Arial" w:cs="Arial"/>
          <w:color w:val="000000"/>
          <w:lang w:val="tr-TR"/>
        </w:rPr>
        <w:t>100.000</w:t>
      </w:r>
      <w:r w:rsidRPr="00D00722">
        <w:rPr>
          <w:rFonts w:ascii="Arial" w:hAnsi="Arial" w:cs="Arial"/>
          <w:lang w:val="tr-TR"/>
        </w:rPr>
        <w:t xml:space="preserve"> TL (31 Aralık </w:t>
      </w:r>
      <w:r w:rsidR="0002499C" w:rsidRPr="00D00722">
        <w:rPr>
          <w:rFonts w:ascii="Arial" w:hAnsi="Arial" w:cs="Arial"/>
          <w:lang w:val="tr-TR"/>
        </w:rPr>
        <w:t>201</w:t>
      </w:r>
      <w:r w:rsidR="00F66002" w:rsidRPr="00D00722">
        <w:rPr>
          <w:rFonts w:ascii="Arial" w:hAnsi="Arial" w:cs="Arial"/>
          <w:lang w:val="tr-TR"/>
        </w:rPr>
        <w:t>3</w:t>
      </w:r>
      <w:r w:rsidRPr="00D00722">
        <w:rPr>
          <w:rFonts w:ascii="Arial" w:hAnsi="Arial" w:cs="Arial"/>
          <w:lang w:val="tr-TR"/>
        </w:rPr>
        <w:t xml:space="preserve"> – 10</w:t>
      </w:r>
      <w:r w:rsidR="0002499C" w:rsidRPr="00D00722">
        <w:rPr>
          <w:rFonts w:ascii="Arial" w:hAnsi="Arial" w:cs="Arial"/>
          <w:lang w:val="tr-TR"/>
        </w:rPr>
        <w:t>0.000 TL) nominal değerdeki</w:t>
      </w:r>
      <w:r w:rsidRPr="00D00722">
        <w:rPr>
          <w:rFonts w:ascii="Arial" w:hAnsi="Arial" w:cs="Arial"/>
          <w:lang w:val="tr-TR"/>
        </w:rPr>
        <w:t xml:space="preserve"> </w:t>
      </w:r>
      <w:r w:rsidR="0002499C" w:rsidRPr="00D00722">
        <w:rPr>
          <w:rFonts w:ascii="Arial" w:hAnsi="Arial" w:cs="Arial"/>
          <w:lang w:val="tr-TR"/>
        </w:rPr>
        <w:t xml:space="preserve">taşınan </w:t>
      </w:r>
      <w:r w:rsidRPr="00D00722">
        <w:rPr>
          <w:rFonts w:ascii="Arial" w:hAnsi="Arial" w:cs="Arial"/>
          <w:lang w:val="tr-TR"/>
        </w:rPr>
        <w:t xml:space="preserve">değeri </w:t>
      </w:r>
      <w:r w:rsidR="00F66002" w:rsidRPr="00D00722">
        <w:rPr>
          <w:rFonts w:ascii="Arial" w:hAnsi="Arial" w:cs="Arial"/>
          <w:lang w:val="tr-TR"/>
        </w:rPr>
        <w:t>98</w:t>
      </w:r>
      <w:r w:rsidR="001200BA" w:rsidRPr="00D00722">
        <w:rPr>
          <w:rFonts w:ascii="Arial" w:hAnsi="Arial" w:cs="Arial"/>
          <w:lang w:val="tr-TR"/>
        </w:rPr>
        <w:t>.</w:t>
      </w:r>
      <w:r w:rsidR="00F66002" w:rsidRPr="00D00722">
        <w:rPr>
          <w:rFonts w:ascii="Arial" w:hAnsi="Arial" w:cs="Arial"/>
          <w:lang w:val="tr-TR"/>
        </w:rPr>
        <w:t>454</w:t>
      </w:r>
      <w:r w:rsidRPr="00D00722">
        <w:rPr>
          <w:rFonts w:ascii="Arial" w:hAnsi="Arial" w:cs="Arial"/>
          <w:lang w:val="tr-TR"/>
        </w:rPr>
        <w:t xml:space="preserve"> TL (31 Aralık 201</w:t>
      </w:r>
      <w:r w:rsidR="00F66002" w:rsidRPr="00D00722">
        <w:rPr>
          <w:rFonts w:ascii="Arial" w:hAnsi="Arial" w:cs="Arial"/>
          <w:lang w:val="tr-TR"/>
        </w:rPr>
        <w:t>3</w:t>
      </w:r>
      <w:r w:rsidRPr="00D00722">
        <w:rPr>
          <w:rFonts w:ascii="Arial" w:hAnsi="Arial" w:cs="Arial"/>
          <w:lang w:val="tr-TR"/>
        </w:rPr>
        <w:t xml:space="preserve"> – 10</w:t>
      </w:r>
      <w:r w:rsidR="00F66002" w:rsidRPr="00D00722">
        <w:rPr>
          <w:rFonts w:ascii="Arial" w:hAnsi="Arial" w:cs="Arial"/>
          <w:lang w:val="tr-TR"/>
        </w:rPr>
        <w:t>3</w:t>
      </w:r>
      <w:r w:rsidRPr="00D00722">
        <w:rPr>
          <w:rFonts w:ascii="Arial" w:hAnsi="Arial" w:cs="Arial"/>
          <w:lang w:val="tr-TR"/>
        </w:rPr>
        <w:t>.</w:t>
      </w:r>
      <w:r w:rsidR="00F66002" w:rsidRPr="00D00722">
        <w:rPr>
          <w:rFonts w:ascii="Arial" w:hAnsi="Arial" w:cs="Arial"/>
          <w:lang w:val="tr-TR"/>
        </w:rPr>
        <w:t>038</w:t>
      </w:r>
      <w:r w:rsidRPr="00D00722">
        <w:rPr>
          <w:rFonts w:ascii="Arial" w:hAnsi="Arial" w:cs="Arial"/>
          <w:lang w:val="tr-TR"/>
        </w:rPr>
        <w:t xml:space="preserve"> TL) olan devlet iç borçlanma senedi, sermaye blokajı olarak SPK adına İstanbul Takas ve Saklama Bankası A.Ş.’de (“Takasbank”) bloke hesapta tutulmaktadır.</w:t>
      </w:r>
    </w:p>
    <w:p w:rsidR="001200BA" w:rsidRPr="00D00722" w:rsidRDefault="001200BA" w:rsidP="008C2E6B">
      <w:pPr>
        <w:ind w:left="567" w:hanging="567"/>
        <w:rPr>
          <w:rFonts w:ascii="Arial" w:hAnsi="Arial" w:cs="Arial"/>
          <w:b/>
          <w:lang w:val="tr-TR"/>
        </w:rPr>
      </w:pPr>
    </w:p>
    <w:p w:rsidR="00245BD3" w:rsidRPr="00D00722" w:rsidRDefault="001200BA" w:rsidP="001200BA">
      <w:pPr>
        <w:rPr>
          <w:rFonts w:ascii="Arial" w:hAnsi="Arial" w:cs="Arial"/>
          <w:b/>
          <w:lang w:val="tr-TR"/>
        </w:rPr>
      </w:pPr>
      <w:r w:rsidRPr="00D00722">
        <w:rPr>
          <w:rFonts w:ascii="Arial" w:hAnsi="Arial" w:cs="Arial"/>
          <w:b/>
          <w:lang w:val="tr-TR"/>
        </w:rPr>
        <w:t>15</w:t>
      </w:r>
      <w:r w:rsidR="00245BD3" w:rsidRPr="00D00722">
        <w:rPr>
          <w:rFonts w:ascii="Arial" w:hAnsi="Arial" w:cs="Arial"/>
          <w:b/>
          <w:lang w:val="tr-TR"/>
        </w:rPr>
        <w:t>.</w:t>
      </w:r>
      <w:r w:rsidR="00245BD3" w:rsidRPr="00D00722">
        <w:rPr>
          <w:rFonts w:ascii="Arial" w:hAnsi="Arial" w:cs="Arial"/>
          <w:b/>
          <w:lang w:val="tr-TR"/>
        </w:rPr>
        <w:tab/>
      </w:r>
      <w:r w:rsidRPr="00D00722">
        <w:rPr>
          <w:rFonts w:ascii="Arial" w:hAnsi="Arial" w:cs="Arial"/>
          <w:b/>
          <w:lang w:val="tr-TR"/>
        </w:rPr>
        <w:t>Özkaynaklar</w:t>
      </w:r>
    </w:p>
    <w:p w:rsidR="00245BD3" w:rsidRPr="00D00722" w:rsidRDefault="00245BD3" w:rsidP="00AE0484">
      <w:pPr>
        <w:ind w:left="567" w:hanging="567"/>
        <w:rPr>
          <w:rFonts w:ascii="Arial" w:hAnsi="Arial" w:cs="Arial"/>
          <w:lang w:val="tr-TR"/>
        </w:rPr>
      </w:pPr>
    </w:p>
    <w:p w:rsidR="00245BD3" w:rsidRPr="00D00722" w:rsidRDefault="00245BD3" w:rsidP="00AE0484">
      <w:pPr>
        <w:ind w:left="567" w:hanging="567"/>
        <w:rPr>
          <w:rFonts w:ascii="Arial" w:hAnsi="Arial" w:cs="Arial"/>
          <w:b/>
          <w:lang w:val="tr-TR"/>
        </w:rPr>
      </w:pPr>
      <w:r w:rsidRPr="00D00722">
        <w:rPr>
          <w:rFonts w:ascii="Arial" w:hAnsi="Arial" w:cs="Arial"/>
          <w:b/>
          <w:bCs/>
          <w:noProof/>
          <w:lang w:val="tr-TR"/>
        </w:rPr>
        <w:t xml:space="preserve">Ödenmiş </w:t>
      </w:r>
      <w:r w:rsidR="007C3C7C" w:rsidRPr="00D00722">
        <w:rPr>
          <w:rFonts w:ascii="Arial" w:hAnsi="Arial" w:cs="Arial"/>
          <w:b/>
          <w:bCs/>
          <w:noProof/>
          <w:lang w:val="tr-TR"/>
        </w:rPr>
        <w:t>sermaye</w:t>
      </w:r>
    </w:p>
    <w:p w:rsidR="00A70549" w:rsidRPr="00D00722" w:rsidRDefault="00A70549" w:rsidP="00A70549">
      <w:pPr>
        <w:jc w:val="both"/>
        <w:rPr>
          <w:rFonts w:ascii="Arial" w:hAnsi="Arial" w:cs="Arial"/>
          <w:lang w:val="tr-TR"/>
        </w:rPr>
      </w:pPr>
    </w:p>
    <w:p w:rsidR="00A70549" w:rsidRPr="00D00722" w:rsidRDefault="00A70549" w:rsidP="00A70549">
      <w:pPr>
        <w:jc w:val="both"/>
        <w:rPr>
          <w:rFonts w:ascii="Arial" w:hAnsi="Arial" w:cs="Arial"/>
          <w:lang w:val="tr-TR"/>
        </w:rPr>
      </w:pPr>
      <w:r w:rsidRPr="00D00722">
        <w:rPr>
          <w:rFonts w:ascii="Arial" w:hAnsi="Arial" w:cs="Arial"/>
          <w:lang w:val="tr-TR"/>
        </w:rPr>
        <w:t xml:space="preserve">31 </w:t>
      </w:r>
      <w:r w:rsidR="00F66002" w:rsidRPr="00D00722">
        <w:rPr>
          <w:rFonts w:ascii="Arial" w:hAnsi="Arial" w:cs="Arial"/>
          <w:lang w:val="tr-TR"/>
        </w:rPr>
        <w:t>Mart</w:t>
      </w:r>
      <w:r w:rsidRPr="00D00722">
        <w:rPr>
          <w:rFonts w:ascii="Arial" w:hAnsi="Arial" w:cs="Arial"/>
          <w:lang w:val="tr-TR"/>
        </w:rPr>
        <w:t xml:space="preserve"> 201</w:t>
      </w:r>
      <w:r w:rsidR="00F66002" w:rsidRPr="00D00722">
        <w:rPr>
          <w:rFonts w:ascii="Arial" w:hAnsi="Arial" w:cs="Arial"/>
          <w:lang w:val="tr-TR"/>
        </w:rPr>
        <w:t>4</w:t>
      </w:r>
      <w:r w:rsidRPr="00D00722">
        <w:rPr>
          <w:rFonts w:ascii="Arial" w:hAnsi="Arial" w:cs="Arial"/>
          <w:lang w:val="tr-TR"/>
        </w:rPr>
        <w:t xml:space="preserve"> ve 201</w:t>
      </w:r>
      <w:r w:rsidR="00F66002" w:rsidRPr="00D00722">
        <w:rPr>
          <w:rFonts w:ascii="Arial" w:hAnsi="Arial" w:cs="Arial"/>
          <w:lang w:val="tr-TR"/>
        </w:rPr>
        <w:t>3</w:t>
      </w:r>
      <w:r w:rsidRPr="00D00722">
        <w:rPr>
          <w:rFonts w:ascii="Arial" w:hAnsi="Arial" w:cs="Arial"/>
          <w:lang w:val="tr-TR"/>
        </w:rPr>
        <w:t xml:space="preserve"> tarihleri itibariyle ödenmiş sermaye yapısı aşağıdaki gibidir:</w:t>
      </w:r>
    </w:p>
    <w:p w:rsidR="002B5FEF" w:rsidRPr="00D00722" w:rsidRDefault="002B5FEF" w:rsidP="00AE0484">
      <w:pPr>
        <w:ind w:left="567" w:hanging="567"/>
        <w:rPr>
          <w:rFonts w:ascii="Arial" w:hAnsi="Arial" w:cs="Arial"/>
          <w:lang w:val="tr-TR"/>
        </w:rPr>
      </w:pPr>
    </w:p>
    <w:tbl>
      <w:tblPr>
        <w:tblW w:w="9071" w:type="dxa"/>
        <w:tblInd w:w="62" w:type="dxa"/>
        <w:tblLayout w:type="fixed"/>
        <w:tblCellMar>
          <w:left w:w="62" w:type="dxa"/>
          <w:right w:w="62" w:type="dxa"/>
        </w:tblCellMar>
        <w:tblLook w:val="0000"/>
      </w:tblPr>
      <w:tblGrid>
        <w:gridCol w:w="4536"/>
        <w:gridCol w:w="990"/>
        <w:gridCol w:w="1276"/>
        <w:gridCol w:w="851"/>
        <w:gridCol w:w="1418"/>
      </w:tblGrid>
      <w:tr w:rsidR="00A70549" w:rsidRPr="00D00722" w:rsidTr="00DF00C5">
        <w:tc>
          <w:tcPr>
            <w:tcW w:w="4536" w:type="dxa"/>
            <w:tcBorders>
              <w:top w:val="single" w:sz="4" w:space="0" w:color="auto"/>
              <w:bottom w:val="single" w:sz="4" w:space="0" w:color="auto"/>
            </w:tcBorders>
            <w:vAlign w:val="bottom"/>
          </w:tcPr>
          <w:p w:rsidR="00A70549" w:rsidRPr="00D00722" w:rsidRDefault="00A70549" w:rsidP="00DF00C5">
            <w:pPr>
              <w:pStyle w:val="Heading9"/>
              <w:tabs>
                <w:tab w:val="clear" w:pos="1082"/>
              </w:tabs>
              <w:suppressAutoHyphens/>
              <w:jc w:val="left"/>
              <w:rPr>
                <w:rFonts w:ascii="Arial" w:hAnsi="Arial" w:cs="Arial"/>
                <w:spacing w:val="-3"/>
                <w:sz w:val="20"/>
                <w:u w:val="none"/>
                <w:lang w:val="tr-TR"/>
              </w:rPr>
            </w:pPr>
          </w:p>
          <w:p w:rsidR="00A70549" w:rsidRPr="00D00722" w:rsidRDefault="00A70549" w:rsidP="00DF00C5">
            <w:pPr>
              <w:pStyle w:val="Heading9"/>
              <w:tabs>
                <w:tab w:val="clear" w:pos="1082"/>
              </w:tabs>
              <w:suppressAutoHyphens/>
              <w:jc w:val="left"/>
              <w:rPr>
                <w:rFonts w:ascii="Arial" w:hAnsi="Arial" w:cs="Arial"/>
                <w:spacing w:val="-3"/>
                <w:sz w:val="20"/>
                <w:u w:val="none"/>
                <w:lang w:val="tr-TR"/>
              </w:rPr>
            </w:pPr>
          </w:p>
          <w:p w:rsidR="00A70549" w:rsidRPr="00D00722" w:rsidRDefault="00A70549" w:rsidP="00DF00C5">
            <w:pPr>
              <w:pStyle w:val="Heading9"/>
              <w:tabs>
                <w:tab w:val="clear" w:pos="1082"/>
              </w:tabs>
              <w:suppressAutoHyphens/>
              <w:jc w:val="left"/>
              <w:rPr>
                <w:rFonts w:ascii="Arial" w:hAnsi="Arial" w:cs="Arial"/>
                <w:spacing w:val="-3"/>
                <w:sz w:val="20"/>
                <w:u w:val="none"/>
                <w:lang w:val="tr-TR"/>
              </w:rPr>
            </w:pPr>
            <w:r w:rsidRPr="00D00722">
              <w:rPr>
                <w:rFonts w:ascii="Arial" w:hAnsi="Arial" w:cs="Arial"/>
                <w:spacing w:val="-3"/>
                <w:sz w:val="20"/>
                <w:u w:val="none"/>
                <w:lang w:val="tr-TR"/>
              </w:rPr>
              <w:t>Ortaklar</w:t>
            </w:r>
          </w:p>
        </w:tc>
        <w:tc>
          <w:tcPr>
            <w:tcW w:w="990" w:type="dxa"/>
            <w:tcBorders>
              <w:top w:val="single" w:sz="4" w:space="0" w:color="auto"/>
              <w:bottom w:val="single" w:sz="4" w:space="0" w:color="auto"/>
            </w:tcBorders>
            <w:vAlign w:val="bottom"/>
          </w:tcPr>
          <w:p w:rsidR="00A70549" w:rsidRPr="00D00722" w:rsidRDefault="00A70549" w:rsidP="00DF00C5">
            <w:pPr>
              <w:suppressAutoHyphens/>
              <w:jc w:val="right"/>
              <w:rPr>
                <w:rFonts w:ascii="Arial" w:hAnsi="Arial" w:cs="Arial"/>
                <w:b/>
                <w:spacing w:val="-3"/>
                <w:lang w:val="tr-TR"/>
              </w:rPr>
            </w:pPr>
            <w:r w:rsidRPr="00D00722">
              <w:rPr>
                <w:rFonts w:ascii="Arial" w:hAnsi="Arial" w:cs="Arial"/>
                <w:b/>
                <w:spacing w:val="-3"/>
                <w:lang w:val="tr-TR"/>
              </w:rPr>
              <w:t>Pay</w:t>
            </w:r>
          </w:p>
          <w:p w:rsidR="00A70549" w:rsidRPr="00D00722" w:rsidRDefault="00A70549" w:rsidP="00DF00C5">
            <w:pPr>
              <w:suppressAutoHyphens/>
              <w:jc w:val="right"/>
              <w:rPr>
                <w:rFonts w:ascii="Arial" w:hAnsi="Arial" w:cs="Arial"/>
                <w:b/>
                <w:spacing w:val="-3"/>
                <w:lang w:val="tr-TR"/>
              </w:rPr>
            </w:pPr>
            <w:r w:rsidRPr="00D00722">
              <w:rPr>
                <w:rFonts w:ascii="Arial" w:hAnsi="Arial" w:cs="Arial"/>
                <w:b/>
                <w:spacing w:val="-3"/>
                <w:lang w:val="tr-TR"/>
              </w:rPr>
              <w:t>oranı</w:t>
            </w:r>
          </w:p>
          <w:p w:rsidR="00A70549" w:rsidRPr="00D00722" w:rsidRDefault="00A70549" w:rsidP="00DF00C5">
            <w:pPr>
              <w:suppressAutoHyphens/>
              <w:jc w:val="right"/>
              <w:rPr>
                <w:rFonts w:ascii="Arial" w:hAnsi="Arial" w:cs="Arial"/>
                <w:b/>
                <w:spacing w:val="-3"/>
                <w:lang w:val="tr-TR"/>
              </w:rPr>
            </w:pPr>
            <w:r w:rsidRPr="00D00722">
              <w:rPr>
                <w:rFonts w:ascii="Arial" w:hAnsi="Arial" w:cs="Arial"/>
                <w:b/>
                <w:spacing w:val="-3"/>
                <w:lang w:val="tr-TR"/>
              </w:rPr>
              <w:t>(% )</w:t>
            </w:r>
          </w:p>
        </w:tc>
        <w:tc>
          <w:tcPr>
            <w:tcW w:w="1276" w:type="dxa"/>
            <w:tcBorders>
              <w:top w:val="single" w:sz="4" w:space="0" w:color="auto"/>
              <w:bottom w:val="single" w:sz="4" w:space="0" w:color="auto"/>
            </w:tcBorders>
            <w:vAlign w:val="bottom"/>
          </w:tcPr>
          <w:p w:rsidR="00A70549" w:rsidRPr="00D00722" w:rsidRDefault="00A70549" w:rsidP="00DF00C5">
            <w:pPr>
              <w:suppressAutoHyphens/>
              <w:jc w:val="right"/>
              <w:rPr>
                <w:rFonts w:ascii="Arial" w:hAnsi="Arial" w:cs="Arial"/>
                <w:b/>
                <w:spacing w:val="-3"/>
                <w:lang w:val="tr-TR"/>
              </w:rPr>
            </w:pPr>
            <w:r w:rsidRPr="00D00722">
              <w:rPr>
                <w:rFonts w:ascii="Arial" w:hAnsi="Arial" w:cs="Arial"/>
                <w:b/>
                <w:spacing w:val="-3"/>
                <w:lang w:val="tr-TR"/>
              </w:rPr>
              <w:t>31 Mart</w:t>
            </w:r>
          </w:p>
          <w:p w:rsidR="00A70549" w:rsidRPr="00D00722" w:rsidRDefault="00A70549" w:rsidP="00A70549">
            <w:pPr>
              <w:suppressAutoHyphens/>
              <w:jc w:val="right"/>
              <w:rPr>
                <w:rFonts w:ascii="Arial" w:hAnsi="Arial" w:cs="Arial"/>
                <w:b/>
                <w:spacing w:val="-3"/>
                <w:lang w:val="tr-TR"/>
              </w:rPr>
            </w:pPr>
            <w:r w:rsidRPr="00D00722">
              <w:rPr>
                <w:rFonts w:ascii="Arial" w:hAnsi="Arial" w:cs="Arial"/>
                <w:b/>
                <w:spacing w:val="-3"/>
                <w:lang w:val="tr-TR"/>
              </w:rPr>
              <w:t>2014</w:t>
            </w:r>
          </w:p>
        </w:tc>
        <w:tc>
          <w:tcPr>
            <w:tcW w:w="851" w:type="dxa"/>
            <w:tcBorders>
              <w:top w:val="single" w:sz="4" w:space="0" w:color="auto"/>
              <w:bottom w:val="single" w:sz="4" w:space="0" w:color="auto"/>
            </w:tcBorders>
            <w:vAlign w:val="bottom"/>
          </w:tcPr>
          <w:p w:rsidR="00A70549" w:rsidRPr="00D00722" w:rsidRDefault="00A70549" w:rsidP="00DF00C5">
            <w:pPr>
              <w:suppressAutoHyphens/>
              <w:jc w:val="right"/>
              <w:rPr>
                <w:rFonts w:ascii="Arial" w:hAnsi="Arial" w:cs="Arial"/>
                <w:spacing w:val="-3"/>
                <w:lang w:val="tr-TR"/>
              </w:rPr>
            </w:pPr>
            <w:r w:rsidRPr="00D00722">
              <w:rPr>
                <w:rFonts w:ascii="Arial" w:hAnsi="Arial" w:cs="Arial"/>
                <w:spacing w:val="-3"/>
                <w:lang w:val="tr-TR"/>
              </w:rPr>
              <w:t>Pay</w:t>
            </w:r>
          </w:p>
          <w:p w:rsidR="00A70549" w:rsidRPr="00D00722" w:rsidRDefault="00A70549" w:rsidP="00DF00C5">
            <w:pPr>
              <w:suppressAutoHyphens/>
              <w:jc w:val="right"/>
              <w:rPr>
                <w:rFonts w:ascii="Arial" w:hAnsi="Arial" w:cs="Arial"/>
                <w:spacing w:val="-3"/>
                <w:lang w:val="tr-TR"/>
              </w:rPr>
            </w:pPr>
            <w:r w:rsidRPr="00D00722">
              <w:rPr>
                <w:rFonts w:ascii="Arial" w:hAnsi="Arial" w:cs="Arial"/>
                <w:spacing w:val="-3"/>
                <w:lang w:val="tr-TR"/>
              </w:rPr>
              <w:t>oranı</w:t>
            </w:r>
          </w:p>
          <w:p w:rsidR="00A70549" w:rsidRPr="00D00722" w:rsidRDefault="00A70549" w:rsidP="00DF00C5">
            <w:pPr>
              <w:suppressAutoHyphens/>
              <w:jc w:val="right"/>
              <w:rPr>
                <w:rFonts w:ascii="Arial" w:hAnsi="Arial" w:cs="Arial"/>
                <w:spacing w:val="-3"/>
                <w:lang w:val="tr-TR"/>
              </w:rPr>
            </w:pPr>
            <w:r w:rsidRPr="00D00722">
              <w:rPr>
                <w:rFonts w:ascii="Arial" w:hAnsi="Arial" w:cs="Arial"/>
                <w:spacing w:val="-3"/>
                <w:lang w:val="tr-TR"/>
              </w:rPr>
              <w:t>(% )</w:t>
            </w:r>
          </w:p>
        </w:tc>
        <w:tc>
          <w:tcPr>
            <w:tcW w:w="1418" w:type="dxa"/>
            <w:tcBorders>
              <w:top w:val="single" w:sz="4" w:space="0" w:color="auto"/>
              <w:bottom w:val="single" w:sz="4" w:space="0" w:color="auto"/>
            </w:tcBorders>
            <w:vAlign w:val="bottom"/>
          </w:tcPr>
          <w:p w:rsidR="00A70549" w:rsidRPr="00D00722" w:rsidRDefault="00A70549" w:rsidP="00DF00C5">
            <w:pPr>
              <w:suppressAutoHyphens/>
              <w:jc w:val="right"/>
              <w:rPr>
                <w:rFonts w:ascii="Arial" w:hAnsi="Arial" w:cs="Arial"/>
                <w:spacing w:val="-3"/>
                <w:lang w:val="tr-TR"/>
              </w:rPr>
            </w:pPr>
            <w:r w:rsidRPr="00D00722">
              <w:rPr>
                <w:rFonts w:ascii="Arial" w:hAnsi="Arial" w:cs="Arial"/>
                <w:spacing w:val="-3"/>
                <w:lang w:val="tr-TR"/>
              </w:rPr>
              <w:t>31 Aralık</w:t>
            </w:r>
          </w:p>
          <w:p w:rsidR="00A70549" w:rsidRPr="00D00722" w:rsidRDefault="00A70549" w:rsidP="00DF00C5">
            <w:pPr>
              <w:suppressAutoHyphens/>
              <w:jc w:val="right"/>
              <w:rPr>
                <w:rFonts w:ascii="Arial" w:hAnsi="Arial" w:cs="Arial"/>
                <w:spacing w:val="-3"/>
                <w:lang w:val="tr-TR"/>
              </w:rPr>
            </w:pPr>
            <w:r w:rsidRPr="00D00722">
              <w:rPr>
                <w:rFonts w:ascii="Arial" w:hAnsi="Arial" w:cs="Arial"/>
                <w:spacing w:val="-3"/>
                <w:lang w:val="tr-TR"/>
              </w:rPr>
              <w:t>2013</w:t>
            </w:r>
          </w:p>
        </w:tc>
      </w:tr>
      <w:tr w:rsidR="00A70549" w:rsidRPr="00D00722" w:rsidTr="00DF00C5">
        <w:tc>
          <w:tcPr>
            <w:tcW w:w="4536" w:type="dxa"/>
            <w:tcBorders>
              <w:top w:val="single" w:sz="4" w:space="0" w:color="auto"/>
            </w:tcBorders>
            <w:vAlign w:val="bottom"/>
          </w:tcPr>
          <w:p w:rsidR="00A70549" w:rsidRPr="00D00722" w:rsidRDefault="00A70549" w:rsidP="00DF00C5">
            <w:pPr>
              <w:pStyle w:val="Heading9"/>
              <w:tabs>
                <w:tab w:val="clear" w:pos="1082"/>
              </w:tabs>
              <w:suppressAutoHyphens/>
              <w:jc w:val="left"/>
              <w:rPr>
                <w:rFonts w:ascii="Arial" w:hAnsi="Arial" w:cs="Arial"/>
                <w:spacing w:val="-3"/>
                <w:sz w:val="20"/>
                <w:u w:val="none"/>
                <w:lang w:val="tr-TR"/>
              </w:rPr>
            </w:pPr>
          </w:p>
        </w:tc>
        <w:tc>
          <w:tcPr>
            <w:tcW w:w="990" w:type="dxa"/>
            <w:tcBorders>
              <w:top w:val="single" w:sz="4" w:space="0" w:color="auto"/>
            </w:tcBorders>
            <w:vAlign w:val="bottom"/>
          </w:tcPr>
          <w:p w:rsidR="00A70549" w:rsidRPr="00D00722" w:rsidRDefault="00A70549" w:rsidP="00DF00C5">
            <w:pPr>
              <w:suppressAutoHyphens/>
              <w:jc w:val="right"/>
              <w:rPr>
                <w:rFonts w:ascii="Arial" w:hAnsi="Arial" w:cs="Arial"/>
                <w:b/>
                <w:spacing w:val="-3"/>
                <w:lang w:val="tr-TR"/>
              </w:rPr>
            </w:pPr>
          </w:p>
        </w:tc>
        <w:tc>
          <w:tcPr>
            <w:tcW w:w="1276" w:type="dxa"/>
            <w:tcBorders>
              <w:top w:val="single" w:sz="4" w:space="0" w:color="auto"/>
            </w:tcBorders>
            <w:vAlign w:val="bottom"/>
          </w:tcPr>
          <w:p w:rsidR="00A70549" w:rsidRPr="00D00722" w:rsidRDefault="00A70549" w:rsidP="00DF00C5">
            <w:pPr>
              <w:suppressAutoHyphens/>
              <w:jc w:val="right"/>
              <w:rPr>
                <w:rFonts w:ascii="Arial" w:hAnsi="Arial" w:cs="Arial"/>
                <w:b/>
                <w:spacing w:val="-3"/>
                <w:lang w:val="tr-TR"/>
              </w:rPr>
            </w:pPr>
          </w:p>
        </w:tc>
        <w:tc>
          <w:tcPr>
            <w:tcW w:w="851" w:type="dxa"/>
            <w:tcBorders>
              <w:top w:val="single" w:sz="4" w:space="0" w:color="auto"/>
            </w:tcBorders>
            <w:vAlign w:val="bottom"/>
          </w:tcPr>
          <w:p w:rsidR="00A70549" w:rsidRPr="00D00722" w:rsidRDefault="00A70549" w:rsidP="00DF00C5">
            <w:pPr>
              <w:suppressAutoHyphens/>
              <w:jc w:val="right"/>
              <w:rPr>
                <w:rFonts w:ascii="Arial" w:hAnsi="Arial" w:cs="Arial"/>
                <w:spacing w:val="-3"/>
                <w:lang w:val="tr-TR"/>
              </w:rPr>
            </w:pPr>
          </w:p>
        </w:tc>
        <w:tc>
          <w:tcPr>
            <w:tcW w:w="1418" w:type="dxa"/>
            <w:tcBorders>
              <w:top w:val="single" w:sz="4" w:space="0" w:color="auto"/>
            </w:tcBorders>
            <w:vAlign w:val="bottom"/>
          </w:tcPr>
          <w:p w:rsidR="00A70549" w:rsidRPr="00D00722" w:rsidRDefault="00A70549" w:rsidP="00DF00C5">
            <w:pPr>
              <w:suppressAutoHyphens/>
              <w:jc w:val="right"/>
              <w:rPr>
                <w:rFonts w:ascii="Arial" w:hAnsi="Arial" w:cs="Arial"/>
                <w:spacing w:val="-3"/>
                <w:lang w:val="tr-TR"/>
              </w:rPr>
            </w:pPr>
          </w:p>
        </w:tc>
      </w:tr>
      <w:tr w:rsidR="00A70549" w:rsidRPr="00D00722" w:rsidTr="00DF00C5">
        <w:tc>
          <w:tcPr>
            <w:tcW w:w="4536" w:type="dxa"/>
            <w:vAlign w:val="bottom"/>
          </w:tcPr>
          <w:p w:rsidR="00A70549" w:rsidRPr="00D00722" w:rsidRDefault="00A70549" w:rsidP="00DF00C5">
            <w:pPr>
              <w:rPr>
                <w:rFonts w:ascii="Arial" w:eastAsia="Arial Unicode MS" w:hAnsi="Arial" w:cs="Arial"/>
                <w:lang w:val="tr-TR"/>
              </w:rPr>
            </w:pPr>
            <w:r w:rsidRPr="00D00722">
              <w:rPr>
                <w:rFonts w:ascii="Arial" w:eastAsia="Arial Unicode MS" w:hAnsi="Arial" w:cs="Arial"/>
                <w:lang w:val="tr-TR"/>
              </w:rPr>
              <w:t>Ata Yatırım Menkul Kıymetler A.Ş.</w:t>
            </w:r>
          </w:p>
        </w:tc>
        <w:tc>
          <w:tcPr>
            <w:tcW w:w="990" w:type="dxa"/>
            <w:vAlign w:val="bottom"/>
          </w:tcPr>
          <w:p w:rsidR="00A70549" w:rsidRPr="00D00722" w:rsidRDefault="00A70549" w:rsidP="00DF00C5">
            <w:pPr>
              <w:jc w:val="right"/>
              <w:rPr>
                <w:rFonts w:ascii="Arial" w:hAnsi="Arial" w:cs="Arial"/>
                <w:b/>
                <w:color w:val="000000"/>
              </w:rPr>
            </w:pPr>
            <w:r w:rsidRPr="00D00722">
              <w:rPr>
                <w:rFonts w:ascii="Arial" w:hAnsi="Arial" w:cs="Arial"/>
                <w:b/>
                <w:bCs/>
                <w:color w:val="000000"/>
              </w:rPr>
              <w:t>89,30%</w:t>
            </w:r>
          </w:p>
        </w:tc>
        <w:tc>
          <w:tcPr>
            <w:tcW w:w="1276" w:type="dxa"/>
            <w:vAlign w:val="bottom"/>
          </w:tcPr>
          <w:p w:rsidR="00A70549" w:rsidRPr="00D00722" w:rsidRDefault="00636FC1" w:rsidP="00636FC1">
            <w:pPr>
              <w:jc w:val="right"/>
              <w:rPr>
                <w:rFonts w:ascii="Arial" w:hAnsi="Arial" w:cs="Arial"/>
                <w:b/>
                <w:color w:val="000000"/>
              </w:rPr>
            </w:pPr>
            <w:r w:rsidRPr="00D00722">
              <w:rPr>
                <w:rFonts w:ascii="Arial" w:hAnsi="Arial" w:cs="Arial"/>
                <w:b/>
                <w:bCs/>
                <w:color w:val="000000"/>
              </w:rPr>
              <w:t>2</w:t>
            </w:r>
            <w:r w:rsidR="00A70549" w:rsidRPr="00D00722">
              <w:rPr>
                <w:rFonts w:ascii="Arial" w:hAnsi="Arial" w:cs="Arial"/>
                <w:b/>
                <w:bCs/>
                <w:color w:val="000000"/>
              </w:rPr>
              <w:t>.</w:t>
            </w:r>
            <w:r w:rsidRPr="00D00722">
              <w:rPr>
                <w:rFonts w:ascii="Arial" w:hAnsi="Arial" w:cs="Arial"/>
                <w:b/>
                <w:bCs/>
                <w:color w:val="000000"/>
              </w:rPr>
              <w:t>098</w:t>
            </w:r>
            <w:r w:rsidR="00A70549" w:rsidRPr="00D00722">
              <w:rPr>
                <w:rFonts w:ascii="Arial" w:hAnsi="Arial" w:cs="Arial"/>
                <w:b/>
                <w:bCs/>
                <w:color w:val="000000"/>
              </w:rPr>
              <w:t>.</w:t>
            </w:r>
            <w:r w:rsidRPr="00D00722">
              <w:rPr>
                <w:rFonts w:ascii="Arial" w:hAnsi="Arial" w:cs="Arial"/>
                <w:b/>
                <w:bCs/>
                <w:color w:val="000000"/>
              </w:rPr>
              <w:t>450</w:t>
            </w:r>
          </w:p>
        </w:tc>
        <w:tc>
          <w:tcPr>
            <w:tcW w:w="851" w:type="dxa"/>
            <w:vAlign w:val="bottom"/>
          </w:tcPr>
          <w:p w:rsidR="00A70549" w:rsidRPr="00D00722" w:rsidRDefault="00A70549" w:rsidP="00DF00C5">
            <w:pPr>
              <w:jc w:val="right"/>
              <w:rPr>
                <w:rFonts w:ascii="Arial" w:hAnsi="Arial" w:cs="Arial"/>
                <w:color w:val="000000"/>
              </w:rPr>
            </w:pPr>
            <w:r w:rsidRPr="00D00722">
              <w:rPr>
                <w:rFonts w:ascii="Arial" w:hAnsi="Arial" w:cs="Arial"/>
                <w:bCs/>
                <w:color w:val="000000"/>
              </w:rPr>
              <w:t>89,30%</w:t>
            </w:r>
          </w:p>
        </w:tc>
        <w:tc>
          <w:tcPr>
            <w:tcW w:w="1418" w:type="dxa"/>
            <w:vAlign w:val="bottom"/>
          </w:tcPr>
          <w:p w:rsidR="00A70549" w:rsidRPr="00D00722" w:rsidRDefault="00A70549" w:rsidP="00DF00C5">
            <w:pPr>
              <w:jc w:val="right"/>
              <w:rPr>
                <w:rFonts w:ascii="Arial" w:hAnsi="Arial" w:cs="Arial"/>
                <w:color w:val="000000"/>
              </w:rPr>
            </w:pPr>
            <w:r w:rsidRPr="00D00722">
              <w:rPr>
                <w:rFonts w:ascii="Arial" w:hAnsi="Arial" w:cs="Arial"/>
                <w:bCs/>
                <w:color w:val="000000"/>
              </w:rPr>
              <w:t>1.518.100</w:t>
            </w:r>
          </w:p>
        </w:tc>
      </w:tr>
      <w:tr w:rsidR="00A70549" w:rsidRPr="00D00722" w:rsidTr="00DF00C5">
        <w:tc>
          <w:tcPr>
            <w:tcW w:w="4536" w:type="dxa"/>
            <w:vAlign w:val="bottom"/>
          </w:tcPr>
          <w:p w:rsidR="00A70549" w:rsidRPr="00D00722" w:rsidRDefault="00A70549" w:rsidP="00DF00C5">
            <w:pPr>
              <w:rPr>
                <w:rFonts w:ascii="Arial" w:eastAsia="Arial Unicode MS" w:hAnsi="Arial" w:cs="Arial"/>
                <w:lang w:val="tr-TR"/>
              </w:rPr>
            </w:pPr>
            <w:r w:rsidRPr="00D00722">
              <w:rPr>
                <w:rFonts w:ascii="Arial" w:eastAsia="Arial Unicode MS" w:hAnsi="Arial" w:cs="Arial"/>
                <w:lang w:val="tr-TR"/>
              </w:rPr>
              <w:t>Ata Holding A.Ş.</w:t>
            </w:r>
          </w:p>
        </w:tc>
        <w:tc>
          <w:tcPr>
            <w:tcW w:w="990" w:type="dxa"/>
            <w:vAlign w:val="bottom"/>
          </w:tcPr>
          <w:p w:rsidR="00A70549" w:rsidRPr="00D00722" w:rsidRDefault="00A70549" w:rsidP="00DF00C5">
            <w:pPr>
              <w:jc w:val="right"/>
              <w:rPr>
                <w:rFonts w:ascii="Arial" w:hAnsi="Arial" w:cs="Arial"/>
                <w:b/>
                <w:color w:val="000000"/>
              </w:rPr>
            </w:pPr>
            <w:r w:rsidRPr="00D00722">
              <w:rPr>
                <w:rFonts w:ascii="Arial" w:hAnsi="Arial" w:cs="Arial"/>
                <w:b/>
                <w:bCs/>
                <w:color w:val="000000"/>
              </w:rPr>
              <w:t>9,70%</w:t>
            </w:r>
          </w:p>
        </w:tc>
        <w:tc>
          <w:tcPr>
            <w:tcW w:w="1276" w:type="dxa"/>
            <w:vAlign w:val="bottom"/>
          </w:tcPr>
          <w:p w:rsidR="00A70549" w:rsidRPr="00D00722" w:rsidRDefault="00787D9D" w:rsidP="00787D9D">
            <w:pPr>
              <w:jc w:val="right"/>
              <w:rPr>
                <w:rFonts w:ascii="Arial" w:hAnsi="Arial" w:cs="Arial"/>
                <w:b/>
                <w:color w:val="000000"/>
              </w:rPr>
            </w:pPr>
            <w:r w:rsidRPr="00D00722">
              <w:rPr>
                <w:rFonts w:ascii="Arial" w:hAnsi="Arial" w:cs="Arial"/>
                <w:b/>
                <w:bCs/>
                <w:color w:val="000000"/>
              </w:rPr>
              <w:t>227</w:t>
            </w:r>
            <w:r w:rsidR="00A70549" w:rsidRPr="00D00722">
              <w:rPr>
                <w:rFonts w:ascii="Arial" w:hAnsi="Arial" w:cs="Arial"/>
                <w:b/>
                <w:bCs/>
                <w:color w:val="000000"/>
              </w:rPr>
              <w:t>.</w:t>
            </w:r>
            <w:r w:rsidRPr="00D00722">
              <w:rPr>
                <w:rFonts w:ascii="Arial" w:hAnsi="Arial" w:cs="Arial"/>
                <w:b/>
                <w:bCs/>
                <w:color w:val="000000"/>
              </w:rPr>
              <w:t>950</w:t>
            </w:r>
          </w:p>
        </w:tc>
        <w:tc>
          <w:tcPr>
            <w:tcW w:w="851" w:type="dxa"/>
            <w:vAlign w:val="bottom"/>
          </w:tcPr>
          <w:p w:rsidR="00A70549" w:rsidRPr="00D00722" w:rsidRDefault="00A70549" w:rsidP="00DF00C5">
            <w:pPr>
              <w:jc w:val="right"/>
              <w:rPr>
                <w:rFonts w:ascii="Arial" w:hAnsi="Arial" w:cs="Arial"/>
                <w:color w:val="000000"/>
              </w:rPr>
            </w:pPr>
            <w:r w:rsidRPr="00D00722">
              <w:rPr>
                <w:rFonts w:ascii="Arial" w:hAnsi="Arial" w:cs="Arial"/>
                <w:bCs/>
                <w:color w:val="000000"/>
              </w:rPr>
              <w:t>9,70%</w:t>
            </w:r>
          </w:p>
        </w:tc>
        <w:tc>
          <w:tcPr>
            <w:tcW w:w="1418" w:type="dxa"/>
            <w:vAlign w:val="bottom"/>
          </w:tcPr>
          <w:p w:rsidR="00A70549" w:rsidRPr="00D00722" w:rsidRDefault="00A70549" w:rsidP="00DF00C5">
            <w:pPr>
              <w:jc w:val="right"/>
              <w:rPr>
                <w:rFonts w:ascii="Arial" w:hAnsi="Arial" w:cs="Arial"/>
                <w:color w:val="000000"/>
              </w:rPr>
            </w:pPr>
            <w:r w:rsidRPr="00D00722">
              <w:rPr>
                <w:rFonts w:ascii="Arial" w:hAnsi="Arial" w:cs="Arial"/>
                <w:bCs/>
                <w:color w:val="000000"/>
              </w:rPr>
              <w:t>164.900</w:t>
            </w:r>
          </w:p>
        </w:tc>
      </w:tr>
      <w:tr w:rsidR="00A70549" w:rsidRPr="00D00722" w:rsidTr="00DF00C5">
        <w:tc>
          <w:tcPr>
            <w:tcW w:w="4536" w:type="dxa"/>
            <w:vAlign w:val="bottom"/>
          </w:tcPr>
          <w:p w:rsidR="00A70549" w:rsidRPr="00D00722" w:rsidRDefault="00A70549" w:rsidP="00DF00C5">
            <w:pPr>
              <w:rPr>
                <w:rFonts w:ascii="Arial" w:eastAsia="Arial Unicode MS" w:hAnsi="Arial" w:cs="Arial"/>
                <w:lang w:val="tr-TR"/>
              </w:rPr>
            </w:pPr>
            <w:r w:rsidRPr="00D00722">
              <w:rPr>
                <w:rFonts w:ascii="Arial" w:eastAsia="Arial Unicode MS" w:hAnsi="Arial" w:cs="Arial"/>
                <w:lang w:val="tr-TR"/>
              </w:rPr>
              <w:t xml:space="preserve">Korhan Kurdoğlu </w:t>
            </w:r>
          </w:p>
        </w:tc>
        <w:tc>
          <w:tcPr>
            <w:tcW w:w="990" w:type="dxa"/>
            <w:vAlign w:val="bottom"/>
          </w:tcPr>
          <w:p w:rsidR="00A70549" w:rsidRPr="00D00722" w:rsidRDefault="00A70549" w:rsidP="00DF00C5">
            <w:pPr>
              <w:jc w:val="right"/>
              <w:rPr>
                <w:rFonts w:ascii="Arial" w:hAnsi="Arial" w:cs="Arial"/>
                <w:b/>
                <w:color w:val="000000"/>
              </w:rPr>
            </w:pPr>
            <w:r w:rsidRPr="00D00722">
              <w:rPr>
                <w:rFonts w:ascii="Arial" w:hAnsi="Arial" w:cs="Arial"/>
                <w:b/>
                <w:bCs/>
                <w:color w:val="000000"/>
              </w:rPr>
              <w:t>0,25%</w:t>
            </w:r>
          </w:p>
        </w:tc>
        <w:tc>
          <w:tcPr>
            <w:tcW w:w="1276" w:type="dxa"/>
            <w:vAlign w:val="bottom"/>
          </w:tcPr>
          <w:p w:rsidR="00A70549" w:rsidRPr="00D00722" w:rsidRDefault="00787D9D" w:rsidP="00787D9D">
            <w:pPr>
              <w:jc w:val="right"/>
              <w:rPr>
                <w:rFonts w:ascii="Arial" w:hAnsi="Arial" w:cs="Arial"/>
                <w:b/>
                <w:color w:val="000000"/>
              </w:rPr>
            </w:pPr>
            <w:r w:rsidRPr="00D00722">
              <w:rPr>
                <w:rFonts w:ascii="Arial" w:hAnsi="Arial" w:cs="Arial"/>
                <w:b/>
                <w:bCs/>
                <w:color w:val="000000"/>
              </w:rPr>
              <w:t>7</w:t>
            </w:r>
            <w:r w:rsidR="00A70549" w:rsidRPr="00D00722">
              <w:rPr>
                <w:rFonts w:ascii="Arial" w:hAnsi="Arial" w:cs="Arial"/>
                <w:b/>
                <w:bCs/>
                <w:color w:val="000000"/>
              </w:rPr>
              <w:t>.</w:t>
            </w:r>
            <w:r w:rsidRPr="00D00722">
              <w:rPr>
                <w:rFonts w:ascii="Arial" w:hAnsi="Arial" w:cs="Arial"/>
                <w:b/>
                <w:bCs/>
                <w:color w:val="000000"/>
              </w:rPr>
              <w:t>500</w:t>
            </w:r>
          </w:p>
        </w:tc>
        <w:tc>
          <w:tcPr>
            <w:tcW w:w="851" w:type="dxa"/>
            <w:vAlign w:val="bottom"/>
          </w:tcPr>
          <w:p w:rsidR="00A70549" w:rsidRPr="00D00722" w:rsidRDefault="00A70549" w:rsidP="00DF00C5">
            <w:pPr>
              <w:jc w:val="right"/>
              <w:rPr>
                <w:rFonts w:ascii="Arial" w:hAnsi="Arial" w:cs="Arial"/>
                <w:color w:val="000000"/>
              </w:rPr>
            </w:pPr>
            <w:r w:rsidRPr="00D00722">
              <w:rPr>
                <w:rFonts w:ascii="Arial" w:hAnsi="Arial" w:cs="Arial"/>
                <w:bCs/>
                <w:color w:val="000000"/>
              </w:rPr>
              <w:t>0,25%</w:t>
            </w:r>
          </w:p>
        </w:tc>
        <w:tc>
          <w:tcPr>
            <w:tcW w:w="1418" w:type="dxa"/>
            <w:vAlign w:val="bottom"/>
          </w:tcPr>
          <w:p w:rsidR="00A70549" w:rsidRPr="00D00722" w:rsidRDefault="00A70549" w:rsidP="00DF00C5">
            <w:pPr>
              <w:jc w:val="right"/>
              <w:rPr>
                <w:rFonts w:ascii="Arial" w:hAnsi="Arial" w:cs="Arial"/>
                <w:color w:val="000000"/>
              </w:rPr>
            </w:pPr>
            <w:r w:rsidRPr="00D00722">
              <w:rPr>
                <w:rFonts w:ascii="Arial" w:hAnsi="Arial" w:cs="Arial"/>
                <w:bCs/>
                <w:color w:val="000000"/>
              </w:rPr>
              <w:t>4.250</w:t>
            </w:r>
          </w:p>
        </w:tc>
      </w:tr>
      <w:tr w:rsidR="00A70549" w:rsidRPr="00D00722" w:rsidTr="00DF00C5">
        <w:tc>
          <w:tcPr>
            <w:tcW w:w="4536" w:type="dxa"/>
            <w:vAlign w:val="bottom"/>
          </w:tcPr>
          <w:p w:rsidR="00A70549" w:rsidRPr="00D00722" w:rsidRDefault="00A70549" w:rsidP="00DF00C5">
            <w:pPr>
              <w:rPr>
                <w:rFonts w:ascii="Arial" w:eastAsia="Arial Unicode MS" w:hAnsi="Arial" w:cs="Arial"/>
                <w:lang w:val="tr-TR"/>
              </w:rPr>
            </w:pPr>
            <w:r w:rsidRPr="00D00722">
              <w:rPr>
                <w:rFonts w:ascii="Arial" w:eastAsia="Arial Unicode MS" w:hAnsi="Arial" w:cs="Arial"/>
                <w:lang w:val="tr-TR"/>
              </w:rPr>
              <w:t>Erhan Kurdoğlu</w:t>
            </w:r>
          </w:p>
        </w:tc>
        <w:tc>
          <w:tcPr>
            <w:tcW w:w="990" w:type="dxa"/>
            <w:vAlign w:val="bottom"/>
          </w:tcPr>
          <w:p w:rsidR="00A70549" w:rsidRPr="00D00722" w:rsidRDefault="00A70549" w:rsidP="00DF00C5">
            <w:pPr>
              <w:jc w:val="right"/>
              <w:rPr>
                <w:rFonts w:ascii="Arial" w:hAnsi="Arial" w:cs="Arial"/>
                <w:b/>
                <w:color w:val="000000"/>
              </w:rPr>
            </w:pPr>
            <w:r w:rsidRPr="00D00722">
              <w:rPr>
                <w:rFonts w:ascii="Arial" w:hAnsi="Arial" w:cs="Arial"/>
                <w:b/>
                <w:bCs/>
                <w:color w:val="000000"/>
              </w:rPr>
              <w:t>0,25%</w:t>
            </w:r>
          </w:p>
        </w:tc>
        <w:tc>
          <w:tcPr>
            <w:tcW w:w="1276" w:type="dxa"/>
            <w:vAlign w:val="bottom"/>
          </w:tcPr>
          <w:p w:rsidR="00A70549" w:rsidRPr="00D00722" w:rsidRDefault="00787D9D" w:rsidP="00787D9D">
            <w:pPr>
              <w:jc w:val="right"/>
              <w:rPr>
                <w:rFonts w:ascii="Arial" w:hAnsi="Arial" w:cs="Arial"/>
                <w:b/>
                <w:color w:val="000000"/>
              </w:rPr>
            </w:pPr>
            <w:r w:rsidRPr="00D00722">
              <w:rPr>
                <w:rFonts w:ascii="Arial" w:hAnsi="Arial" w:cs="Arial"/>
                <w:b/>
                <w:bCs/>
                <w:color w:val="000000"/>
              </w:rPr>
              <w:t>7</w:t>
            </w:r>
            <w:r w:rsidR="00A70549" w:rsidRPr="00D00722">
              <w:rPr>
                <w:rFonts w:ascii="Arial" w:hAnsi="Arial" w:cs="Arial"/>
                <w:b/>
                <w:bCs/>
                <w:color w:val="000000"/>
              </w:rPr>
              <w:t>.</w:t>
            </w:r>
            <w:r w:rsidRPr="00D00722">
              <w:rPr>
                <w:rFonts w:ascii="Arial" w:hAnsi="Arial" w:cs="Arial"/>
                <w:b/>
                <w:bCs/>
                <w:color w:val="000000"/>
              </w:rPr>
              <w:t>50</w:t>
            </w:r>
            <w:r w:rsidR="00A70549" w:rsidRPr="00D00722">
              <w:rPr>
                <w:rFonts w:ascii="Arial" w:hAnsi="Arial" w:cs="Arial"/>
                <w:b/>
                <w:bCs/>
                <w:color w:val="000000"/>
              </w:rPr>
              <w:t>0</w:t>
            </w:r>
          </w:p>
        </w:tc>
        <w:tc>
          <w:tcPr>
            <w:tcW w:w="851" w:type="dxa"/>
            <w:vAlign w:val="bottom"/>
          </w:tcPr>
          <w:p w:rsidR="00A70549" w:rsidRPr="00D00722" w:rsidRDefault="00A70549" w:rsidP="00DF00C5">
            <w:pPr>
              <w:jc w:val="right"/>
              <w:rPr>
                <w:rFonts w:ascii="Arial" w:hAnsi="Arial" w:cs="Arial"/>
                <w:color w:val="000000"/>
              </w:rPr>
            </w:pPr>
            <w:r w:rsidRPr="00D00722">
              <w:rPr>
                <w:rFonts w:ascii="Arial" w:hAnsi="Arial" w:cs="Arial"/>
                <w:bCs/>
                <w:color w:val="000000"/>
              </w:rPr>
              <w:t>0,25%</w:t>
            </w:r>
          </w:p>
        </w:tc>
        <w:tc>
          <w:tcPr>
            <w:tcW w:w="1418" w:type="dxa"/>
            <w:vAlign w:val="bottom"/>
          </w:tcPr>
          <w:p w:rsidR="00A70549" w:rsidRPr="00D00722" w:rsidRDefault="00A70549" w:rsidP="00DF00C5">
            <w:pPr>
              <w:jc w:val="right"/>
              <w:rPr>
                <w:rFonts w:ascii="Arial" w:hAnsi="Arial" w:cs="Arial"/>
                <w:color w:val="000000"/>
              </w:rPr>
            </w:pPr>
            <w:r w:rsidRPr="00D00722">
              <w:rPr>
                <w:rFonts w:ascii="Arial" w:hAnsi="Arial" w:cs="Arial"/>
                <w:bCs/>
                <w:color w:val="000000"/>
              </w:rPr>
              <w:t>4.250</w:t>
            </w:r>
          </w:p>
        </w:tc>
      </w:tr>
      <w:tr w:rsidR="00A70549" w:rsidRPr="00D00722" w:rsidTr="00DF00C5">
        <w:tc>
          <w:tcPr>
            <w:tcW w:w="4536" w:type="dxa"/>
            <w:vAlign w:val="bottom"/>
          </w:tcPr>
          <w:p w:rsidR="00A70549" w:rsidRPr="00D00722" w:rsidRDefault="00A70549" w:rsidP="00DF00C5">
            <w:pPr>
              <w:rPr>
                <w:rFonts w:ascii="Arial" w:eastAsia="Arial Unicode MS" w:hAnsi="Arial" w:cs="Arial"/>
                <w:lang w:val="tr-TR"/>
              </w:rPr>
            </w:pPr>
            <w:r w:rsidRPr="00D00722">
              <w:rPr>
                <w:rFonts w:ascii="Arial" w:eastAsia="Arial Unicode MS" w:hAnsi="Arial" w:cs="Arial"/>
                <w:lang w:val="tr-TR"/>
              </w:rPr>
              <w:t>Duran Uğur</w:t>
            </w:r>
          </w:p>
        </w:tc>
        <w:tc>
          <w:tcPr>
            <w:tcW w:w="990" w:type="dxa"/>
            <w:vAlign w:val="bottom"/>
          </w:tcPr>
          <w:p w:rsidR="00A70549" w:rsidRPr="00D00722" w:rsidRDefault="00A70549" w:rsidP="00DF00C5">
            <w:pPr>
              <w:jc w:val="right"/>
              <w:rPr>
                <w:rFonts w:ascii="Arial" w:hAnsi="Arial" w:cs="Arial"/>
                <w:b/>
                <w:color w:val="000000"/>
              </w:rPr>
            </w:pPr>
            <w:r w:rsidRPr="00D00722">
              <w:rPr>
                <w:rFonts w:ascii="Arial" w:hAnsi="Arial" w:cs="Arial"/>
                <w:b/>
                <w:bCs/>
                <w:color w:val="000000"/>
              </w:rPr>
              <w:t>0,25%</w:t>
            </w:r>
          </w:p>
        </w:tc>
        <w:tc>
          <w:tcPr>
            <w:tcW w:w="1276" w:type="dxa"/>
            <w:vAlign w:val="bottom"/>
          </w:tcPr>
          <w:p w:rsidR="00A70549" w:rsidRPr="00D00722" w:rsidRDefault="00787D9D" w:rsidP="00787D9D">
            <w:pPr>
              <w:jc w:val="right"/>
              <w:rPr>
                <w:rFonts w:ascii="Arial" w:hAnsi="Arial" w:cs="Arial"/>
                <w:b/>
                <w:color w:val="000000"/>
              </w:rPr>
            </w:pPr>
            <w:r w:rsidRPr="00D00722">
              <w:rPr>
                <w:rFonts w:ascii="Arial" w:hAnsi="Arial" w:cs="Arial"/>
                <w:b/>
                <w:bCs/>
                <w:color w:val="000000"/>
              </w:rPr>
              <w:t>7</w:t>
            </w:r>
            <w:r w:rsidR="00A70549" w:rsidRPr="00D00722">
              <w:rPr>
                <w:rFonts w:ascii="Arial" w:hAnsi="Arial" w:cs="Arial"/>
                <w:b/>
                <w:bCs/>
                <w:color w:val="000000"/>
              </w:rPr>
              <w:t>.</w:t>
            </w:r>
            <w:r w:rsidRPr="00D00722">
              <w:rPr>
                <w:rFonts w:ascii="Arial" w:hAnsi="Arial" w:cs="Arial"/>
                <w:b/>
                <w:bCs/>
                <w:color w:val="000000"/>
              </w:rPr>
              <w:t>50</w:t>
            </w:r>
            <w:r w:rsidR="00A70549" w:rsidRPr="00D00722">
              <w:rPr>
                <w:rFonts w:ascii="Arial" w:hAnsi="Arial" w:cs="Arial"/>
                <w:b/>
                <w:bCs/>
                <w:color w:val="000000"/>
              </w:rPr>
              <w:t>0</w:t>
            </w:r>
          </w:p>
        </w:tc>
        <w:tc>
          <w:tcPr>
            <w:tcW w:w="851" w:type="dxa"/>
            <w:vAlign w:val="bottom"/>
          </w:tcPr>
          <w:p w:rsidR="00A70549" w:rsidRPr="00D00722" w:rsidRDefault="00A70549" w:rsidP="00DF00C5">
            <w:pPr>
              <w:jc w:val="right"/>
              <w:rPr>
                <w:rFonts w:ascii="Arial" w:hAnsi="Arial" w:cs="Arial"/>
                <w:color w:val="000000"/>
              </w:rPr>
            </w:pPr>
            <w:r w:rsidRPr="00D00722">
              <w:rPr>
                <w:rFonts w:ascii="Arial" w:hAnsi="Arial" w:cs="Arial"/>
                <w:bCs/>
                <w:color w:val="000000"/>
              </w:rPr>
              <w:t>0,25%</w:t>
            </w:r>
          </w:p>
        </w:tc>
        <w:tc>
          <w:tcPr>
            <w:tcW w:w="1418" w:type="dxa"/>
            <w:vAlign w:val="bottom"/>
          </w:tcPr>
          <w:p w:rsidR="00A70549" w:rsidRPr="00D00722" w:rsidRDefault="00A70549" w:rsidP="00DF00C5">
            <w:pPr>
              <w:jc w:val="right"/>
              <w:rPr>
                <w:rFonts w:ascii="Arial" w:hAnsi="Arial" w:cs="Arial"/>
                <w:color w:val="000000"/>
              </w:rPr>
            </w:pPr>
            <w:r w:rsidRPr="00D00722">
              <w:rPr>
                <w:rFonts w:ascii="Arial" w:hAnsi="Arial" w:cs="Arial"/>
                <w:bCs/>
                <w:color w:val="000000"/>
              </w:rPr>
              <w:t>4.250</w:t>
            </w:r>
          </w:p>
        </w:tc>
      </w:tr>
      <w:tr w:rsidR="00A70549" w:rsidRPr="00D00722" w:rsidTr="00DF00C5">
        <w:tc>
          <w:tcPr>
            <w:tcW w:w="4536" w:type="dxa"/>
            <w:vAlign w:val="bottom"/>
          </w:tcPr>
          <w:p w:rsidR="00A70549" w:rsidRPr="00D00722" w:rsidRDefault="00A70549" w:rsidP="00DF00C5">
            <w:pPr>
              <w:rPr>
                <w:rFonts w:ascii="Arial" w:eastAsia="Arial Unicode MS" w:hAnsi="Arial" w:cs="Arial"/>
                <w:lang w:val="tr-TR"/>
              </w:rPr>
            </w:pPr>
            <w:r w:rsidRPr="00D00722">
              <w:rPr>
                <w:rFonts w:ascii="Arial" w:eastAsia="Arial Unicode MS" w:hAnsi="Arial" w:cs="Arial"/>
                <w:lang w:val="tr-TR"/>
              </w:rPr>
              <w:t>Ömer Faruk Işık</w:t>
            </w:r>
          </w:p>
        </w:tc>
        <w:tc>
          <w:tcPr>
            <w:tcW w:w="990" w:type="dxa"/>
            <w:vAlign w:val="bottom"/>
          </w:tcPr>
          <w:p w:rsidR="00A70549" w:rsidRPr="00D00722" w:rsidRDefault="00A70549" w:rsidP="00DF00C5">
            <w:pPr>
              <w:jc w:val="right"/>
              <w:rPr>
                <w:rFonts w:ascii="Arial" w:hAnsi="Arial" w:cs="Arial"/>
                <w:b/>
                <w:color w:val="000000"/>
              </w:rPr>
            </w:pPr>
            <w:r w:rsidRPr="00D00722">
              <w:rPr>
                <w:rFonts w:ascii="Arial" w:hAnsi="Arial" w:cs="Arial"/>
                <w:b/>
                <w:bCs/>
                <w:color w:val="000000"/>
              </w:rPr>
              <w:t>0,25%</w:t>
            </w:r>
          </w:p>
        </w:tc>
        <w:tc>
          <w:tcPr>
            <w:tcW w:w="1276" w:type="dxa"/>
            <w:vAlign w:val="bottom"/>
          </w:tcPr>
          <w:p w:rsidR="00A70549" w:rsidRPr="00D00722" w:rsidRDefault="00787D9D" w:rsidP="00787D9D">
            <w:pPr>
              <w:jc w:val="right"/>
              <w:rPr>
                <w:rFonts w:ascii="Arial" w:hAnsi="Arial" w:cs="Arial"/>
                <w:b/>
                <w:color w:val="000000"/>
              </w:rPr>
            </w:pPr>
            <w:r w:rsidRPr="00D00722">
              <w:rPr>
                <w:rFonts w:ascii="Arial" w:hAnsi="Arial" w:cs="Arial"/>
                <w:b/>
                <w:bCs/>
                <w:color w:val="000000"/>
              </w:rPr>
              <w:t>7</w:t>
            </w:r>
            <w:r w:rsidR="00A70549" w:rsidRPr="00D00722">
              <w:rPr>
                <w:rFonts w:ascii="Arial" w:hAnsi="Arial" w:cs="Arial"/>
                <w:b/>
                <w:bCs/>
                <w:color w:val="000000"/>
              </w:rPr>
              <w:t>.</w:t>
            </w:r>
            <w:r w:rsidRPr="00D00722">
              <w:rPr>
                <w:rFonts w:ascii="Arial" w:hAnsi="Arial" w:cs="Arial"/>
                <w:b/>
                <w:bCs/>
                <w:color w:val="000000"/>
              </w:rPr>
              <w:t>500</w:t>
            </w:r>
          </w:p>
        </w:tc>
        <w:tc>
          <w:tcPr>
            <w:tcW w:w="851" w:type="dxa"/>
            <w:vAlign w:val="bottom"/>
          </w:tcPr>
          <w:p w:rsidR="00A70549" w:rsidRPr="00D00722" w:rsidRDefault="00A70549" w:rsidP="00DF00C5">
            <w:pPr>
              <w:jc w:val="right"/>
              <w:rPr>
                <w:rFonts w:ascii="Arial" w:hAnsi="Arial" w:cs="Arial"/>
                <w:color w:val="000000"/>
              </w:rPr>
            </w:pPr>
            <w:r w:rsidRPr="00D00722">
              <w:rPr>
                <w:rFonts w:ascii="Arial" w:hAnsi="Arial" w:cs="Arial"/>
                <w:bCs/>
                <w:color w:val="000000"/>
              </w:rPr>
              <w:t>0,25%</w:t>
            </w:r>
          </w:p>
        </w:tc>
        <w:tc>
          <w:tcPr>
            <w:tcW w:w="1418" w:type="dxa"/>
            <w:vAlign w:val="bottom"/>
          </w:tcPr>
          <w:p w:rsidR="00A70549" w:rsidRPr="00D00722" w:rsidRDefault="00A70549" w:rsidP="00DF00C5">
            <w:pPr>
              <w:jc w:val="right"/>
              <w:rPr>
                <w:rFonts w:ascii="Arial" w:hAnsi="Arial" w:cs="Arial"/>
                <w:color w:val="000000"/>
              </w:rPr>
            </w:pPr>
            <w:r w:rsidRPr="00D00722">
              <w:rPr>
                <w:rFonts w:ascii="Arial" w:hAnsi="Arial" w:cs="Arial"/>
                <w:bCs/>
                <w:color w:val="000000"/>
              </w:rPr>
              <w:t>4.250</w:t>
            </w:r>
          </w:p>
        </w:tc>
      </w:tr>
      <w:tr w:rsidR="00A70549" w:rsidRPr="00D00722" w:rsidTr="00DF00C5">
        <w:tc>
          <w:tcPr>
            <w:tcW w:w="4536" w:type="dxa"/>
            <w:tcBorders>
              <w:bottom w:val="single" w:sz="4" w:space="0" w:color="auto"/>
            </w:tcBorders>
            <w:vAlign w:val="bottom"/>
          </w:tcPr>
          <w:p w:rsidR="00A70549" w:rsidRPr="00D00722" w:rsidRDefault="00A70549" w:rsidP="00DF00C5">
            <w:pPr>
              <w:rPr>
                <w:rFonts w:ascii="Arial" w:eastAsia="Arial Unicode MS" w:hAnsi="Arial" w:cs="Arial"/>
                <w:lang w:val="tr-TR"/>
              </w:rPr>
            </w:pPr>
          </w:p>
        </w:tc>
        <w:tc>
          <w:tcPr>
            <w:tcW w:w="990" w:type="dxa"/>
            <w:tcBorders>
              <w:bottom w:val="single" w:sz="4" w:space="0" w:color="auto"/>
            </w:tcBorders>
            <w:vAlign w:val="bottom"/>
          </w:tcPr>
          <w:p w:rsidR="00A70549" w:rsidRPr="00D00722" w:rsidRDefault="00A70549" w:rsidP="00DF00C5">
            <w:pPr>
              <w:jc w:val="right"/>
              <w:rPr>
                <w:rFonts w:ascii="Arial" w:hAnsi="Arial" w:cs="Arial"/>
                <w:b/>
                <w:color w:val="000000"/>
              </w:rPr>
            </w:pPr>
            <w:r w:rsidRPr="00D00722">
              <w:rPr>
                <w:rFonts w:ascii="Arial" w:hAnsi="Arial" w:cs="Arial"/>
                <w:b/>
                <w:bCs/>
                <w:color w:val="000000"/>
              </w:rPr>
              <w:t> </w:t>
            </w:r>
          </w:p>
        </w:tc>
        <w:tc>
          <w:tcPr>
            <w:tcW w:w="1276" w:type="dxa"/>
            <w:tcBorders>
              <w:bottom w:val="single" w:sz="4" w:space="0" w:color="auto"/>
            </w:tcBorders>
            <w:vAlign w:val="bottom"/>
          </w:tcPr>
          <w:p w:rsidR="00A70549" w:rsidRPr="00D00722" w:rsidRDefault="00A70549" w:rsidP="00DF00C5">
            <w:pPr>
              <w:jc w:val="right"/>
              <w:rPr>
                <w:rFonts w:ascii="Arial" w:hAnsi="Arial" w:cs="Arial"/>
                <w:b/>
                <w:color w:val="000000"/>
              </w:rPr>
            </w:pPr>
            <w:r w:rsidRPr="00D00722">
              <w:rPr>
                <w:rFonts w:ascii="Arial" w:hAnsi="Arial" w:cs="Arial"/>
                <w:b/>
                <w:bCs/>
                <w:color w:val="000000"/>
              </w:rPr>
              <w:t> </w:t>
            </w:r>
          </w:p>
        </w:tc>
        <w:tc>
          <w:tcPr>
            <w:tcW w:w="851" w:type="dxa"/>
            <w:tcBorders>
              <w:bottom w:val="single" w:sz="4" w:space="0" w:color="auto"/>
            </w:tcBorders>
            <w:vAlign w:val="bottom"/>
          </w:tcPr>
          <w:p w:rsidR="00A70549" w:rsidRPr="00D00722" w:rsidRDefault="00A70549" w:rsidP="00DF00C5">
            <w:pPr>
              <w:jc w:val="right"/>
              <w:rPr>
                <w:rFonts w:ascii="Arial" w:hAnsi="Arial" w:cs="Arial"/>
                <w:color w:val="000000"/>
              </w:rPr>
            </w:pPr>
            <w:r w:rsidRPr="00D00722">
              <w:rPr>
                <w:rFonts w:ascii="Arial" w:hAnsi="Arial" w:cs="Arial"/>
                <w:bCs/>
                <w:color w:val="000000"/>
              </w:rPr>
              <w:t> </w:t>
            </w:r>
          </w:p>
        </w:tc>
        <w:tc>
          <w:tcPr>
            <w:tcW w:w="1418" w:type="dxa"/>
            <w:tcBorders>
              <w:bottom w:val="single" w:sz="4" w:space="0" w:color="auto"/>
            </w:tcBorders>
            <w:vAlign w:val="bottom"/>
          </w:tcPr>
          <w:p w:rsidR="00A70549" w:rsidRPr="00D00722" w:rsidRDefault="00A70549" w:rsidP="00DF00C5">
            <w:pPr>
              <w:jc w:val="right"/>
              <w:rPr>
                <w:rFonts w:ascii="Arial" w:hAnsi="Arial" w:cs="Arial"/>
                <w:color w:val="000000"/>
              </w:rPr>
            </w:pPr>
            <w:r w:rsidRPr="00D00722">
              <w:rPr>
                <w:rFonts w:ascii="Arial" w:hAnsi="Arial" w:cs="Arial"/>
                <w:bCs/>
                <w:color w:val="000000"/>
              </w:rPr>
              <w:t> </w:t>
            </w:r>
          </w:p>
        </w:tc>
      </w:tr>
      <w:tr w:rsidR="00A70549" w:rsidRPr="00D00722" w:rsidTr="00DF00C5">
        <w:tc>
          <w:tcPr>
            <w:tcW w:w="4536" w:type="dxa"/>
            <w:tcBorders>
              <w:top w:val="single" w:sz="4" w:space="0" w:color="auto"/>
              <w:bottom w:val="double" w:sz="4" w:space="0" w:color="auto"/>
            </w:tcBorders>
            <w:vAlign w:val="bottom"/>
          </w:tcPr>
          <w:p w:rsidR="00A70549" w:rsidRPr="00D00722" w:rsidRDefault="00A70549" w:rsidP="00DF00C5">
            <w:pPr>
              <w:suppressAutoHyphens/>
              <w:ind w:right="-469"/>
              <w:rPr>
                <w:rFonts w:ascii="Arial" w:hAnsi="Arial" w:cs="Arial"/>
                <w:spacing w:val="-3"/>
                <w:lang w:val="tr-TR"/>
              </w:rPr>
            </w:pPr>
          </w:p>
        </w:tc>
        <w:tc>
          <w:tcPr>
            <w:tcW w:w="990" w:type="dxa"/>
            <w:tcBorders>
              <w:top w:val="single" w:sz="4" w:space="0" w:color="auto"/>
              <w:bottom w:val="double" w:sz="4" w:space="0" w:color="auto"/>
            </w:tcBorders>
            <w:vAlign w:val="bottom"/>
          </w:tcPr>
          <w:p w:rsidR="00A70549" w:rsidRPr="00D00722" w:rsidRDefault="00A70549" w:rsidP="00DF00C5">
            <w:pPr>
              <w:jc w:val="right"/>
              <w:rPr>
                <w:rFonts w:ascii="Arial" w:hAnsi="Arial" w:cs="Arial"/>
                <w:b/>
                <w:color w:val="000000"/>
              </w:rPr>
            </w:pPr>
            <w:r w:rsidRPr="00D00722">
              <w:rPr>
                <w:rFonts w:ascii="Arial" w:hAnsi="Arial" w:cs="Arial"/>
                <w:b/>
                <w:bCs/>
                <w:color w:val="000000"/>
              </w:rPr>
              <w:t>100% </w:t>
            </w:r>
          </w:p>
        </w:tc>
        <w:tc>
          <w:tcPr>
            <w:tcW w:w="1276" w:type="dxa"/>
            <w:tcBorders>
              <w:top w:val="single" w:sz="4" w:space="0" w:color="auto"/>
              <w:bottom w:val="double" w:sz="4" w:space="0" w:color="auto"/>
            </w:tcBorders>
            <w:vAlign w:val="bottom"/>
          </w:tcPr>
          <w:p w:rsidR="00A70549" w:rsidRPr="00D00722" w:rsidRDefault="00787D9D" w:rsidP="00787D9D">
            <w:pPr>
              <w:jc w:val="right"/>
              <w:rPr>
                <w:rFonts w:ascii="Arial" w:hAnsi="Arial" w:cs="Arial"/>
                <w:b/>
                <w:color w:val="000000"/>
              </w:rPr>
            </w:pPr>
            <w:r w:rsidRPr="00D00722">
              <w:rPr>
                <w:rFonts w:ascii="Arial" w:hAnsi="Arial" w:cs="Arial"/>
                <w:b/>
                <w:bCs/>
                <w:color w:val="000000"/>
              </w:rPr>
              <w:t>2</w:t>
            </w:r>
            <w:r w:rsidR="00A70549" w:rsidRPr="00D00722">
              <w:rPr>
                <w:rFonts w:ascii="Arial" w:hAnsi="Arial" w:cs="Arial"/>
                <w:b/>
                <w:bCs/>
                <w:color w:val="000000"/>
              </w:rPr>
              <w:t>.</w:t>
            </w:r>
            <w:r w:rsidRPr="00D00722">
              <w:rPr>
                <w:rFonts w:ascii="Arial" w:hAnsi="Arial" w:cs="Arial"/>
                <w:b/>
                <w:bCs/>
                <w:color w:val="000000"/>
              </w:rPr>
              <w:t>356</w:t>
            </w:r>
            <w:r w:rsidR="00A70549" w:rsidRPr="00D00722">
              <w:rPr>
                <w:rFonts w:ascii="Arial" w:hAnsi="Arial" w:cs="Arial"/>
                <w:b/>
                <w:bCs/>
                <w:color w:val="000000"/>
              </w:rPr>
              <w:t>.</w:t>
            </w:r>
            <w:r w:rsidRPr="00D00722">
              <w:rPr>
                <w:rFonts w:ascii="Arial" w:hAnsi="Arial" w:cs="Arial"/>
                <w:b/>
                <w:bCs/>
                <w:color w:val="000000"/>
              </w:rPr>
              <w:t>4</w:t>
            </w:r>
            <w:r w:rsidR="00A70549" w:rsidRPr="00D00722">
              <w:rPr>
                <w:rFonts w:ascii="Arial" w:hAnsi="Arial" w:cs="Arial"/>
                <w:b/>
                <w:bCs/>
                <w:color w:val="000000"/>
              </w:rPr>
              <w:t>00</w:t>
            </w:r>
          </w:p>
        </w:tc>
        <w:tc>
          <w:tcPr>
            <w:tcW w:w="851" w:type="dxa"/>
            <w:tcBorders>
              <w:top w:val="single" w:sz="4" w:space="0" w:color="auto"/>
              <w:bottom w:val="double" w:sz="4" w:space="0" w:color="auto"/>
            </w:tcBorders>
            <w:vAlign w:val="bottom"/>
          </w:tcPr>
          <w:p w:rsidR="00A70549" w:rsidRPr="00D00722" w:rsidRDefault="00A70549" w:rsidP="00DF00C5">
            <w:pPr>
              <w:jc w:val="right"/>
              <w:rPr>
                <w:rFonts w:ascii="Arial" w:hAnsi="Arial" w:cs="Arial"/>
                <w:color w:val="000000"/>
              </w:rPr>
            </w:pPr>
            <w:r w:rsidRPr="00D00722">
              <w:rPr>
                <w:rFonts w:ascii="Arial" w:hAnsi="Arial" w:cs="Arial"/>
                <w:bCs/>
                <w:color w:val="000000"/>
              </w:rPr>
              <w:t>100% </w:t>
            </w:r>
          </w:p>
        </w:tc>
        <w:tc>
          <w:tcPr>
            <w:tcW w:w="1418" w:type="dxa"/>
            <w:tcBorders>
              <w:top w:val="single" w:sz="4" w:space="0" w:color="auto"/>
              <w:bottom w:val="double" w:sz="4" w:space="0" w:color="auto"/>
            </w:tcBorders>
            <w:vAlign w:val="bottom"/>
          </w:tcPr>
          <w:p w:rsidR="00A70549" w:rsidRPr="00D00722" w:rsidRDefault="00A70549" w:rsidP="00DF00C5">
            <w:pPr>
              <w:jc w:val="right"/>
              <w:rPr>
                <w:rFonts w:ascii="Arial" w:hAnsi="Arial" w:cs="Arial"/>
                <w:color w:val="000000"/>
              </w:rPr>
            </w:pPr>
            <w:r w:rsidRPr="00D00722">
              <w:rPr>
                <w:rFonts w:ascii="Arial" w:hAnsi="Arial" w:cs="Arial"/>
                <w:bCs/>
                <w:color w:val="000000"/>
              </w:rPr>
              <w:t>1.700.000</w:t>
            </w:r>
          </w:p>
        </w:tc>
      </w:tr>
      <w:tr w:rsidR="00A70549" w:rsidRPr="00D00722" w:rsidTr="00DF00C5">
        <w:tc>
          <w:tcPr>
            <w:tcW w:w="4536" w:type="dxa"/>
            <w:tcBorders>
              <w:top w:val="double" w:sz="4" w:space="0" w:color="auto"/>
              <w:bottom w:val="single" w:sz="4" w:space="0" w:color="auto"/>
            </w:tcBorders>
            <w:vAlign w:val="bottom"/>
          </w:tcPr>
          <w:p w:rsidR="00A70549" w:rsidRPr="00D00722" w:rsidRDefault="00A70549" w:rsidP="00DF00C5">
            <w:pPr>
              <w:suppressAutoHyphens/>
              <w:rPr>
                <w:rFonts w:ascii="Arial" w:hAnsi="Arial" w:cs="Arial"/>
                <w:spacing w:val="-3"/>
                <w:lang w:val="tr-TR"/>
              </w:rPr>
            </w:pPr>
          </w:p>
        </w:tc>
        <w:tc>
          <w:tcPr>
            <w:tcW w:w="990" w:type="dxa"/>
            <w:tcBorders>
              <w:top w:val="double" w:sz="4" w:space="0" w:color="auto"/>
              <w:bottom w:val="single" w:sz="4" w:space="0" w:color="auto"/>
            </w:tcBorders>
            <w:vAlign w:val="bottom"/>
          </w:tcPr>
          <w:p w:rsidR="00A70549" w:rsidRPr="00D00722" w:rsidRDefault="00A70549" w:rsidP="00DF00C5">
            <w:pPr>
              <w:suppressAutoHyphens/>
              <w:jc w:val="right"/>
              <w:rPr>
                <w:rFonts w:ascii="Arial" w:hAnsi="Arial" w:cs="Arial"/>
                <w:b/>
                <w:spacing w:val="-3"/>
                <w:lang w:val="tr-TR"/>
              </w:rPr>
            </w:pPr>
          </w:p>
        </w:tc>
        <w:tc>
          <w:tcPr>
            <w:tcW w:w="1276" w:type="dxa"/>
            <w:tcBorders>
              <w:top w:val="double" w:sz="4" w:space="0" w:color="auto"/>
              <w:bottom w:val="single" w:sz="4" w:space="0" w:color="auto"/>
            </w:tcBorders>
            <w:vAlign w:val="bottom"/>
          </w:tcPr>
          <w:p w:rsidR="00A70549" w:rsidRPr="00D00722" w:rsidRDefault="00A70549" w:rsidP="00DF00C5">
            <w:pPr>
              <w:suppressAutoHyphens/>
              <w:jc w:val="right"/>
              <w:rPr>
                <w:rFonts w:ascii="Arial" w:hAnsi="Arial" w:cs="Arial"/>
                <w:b/>
                <w:spacing w:val="-3"/>
                <w:lang w:val="tr-TR"/>
              </w:rPr>
            </w:pPr>
          </w:p>
        </w:tc>
        <w:tc>
          <w:tcPr>
            <w:tcW w:w="851" w:type="dxa"/>
            <w:tcBorders>
              <w:top w:val="double" w:sz="4" w:space="0" w:color="auto"/>
              <w:bottom w:val="single" w:sz="4" w:space="0" w:color="auto"/>
            </w:tcBorders>
            <w:vAlign w:val="bottom"/>
          </w:tcPr>
          <w:p w:rsidR="00A70549" w:rsidRPr="00D00722" w:rsidRDefault="00A70549" w:rsidP="00DF00C5">
            <w:pPr>
              <w:suppressAutoHyphens/>
              <w:jc w:val="right"/>
              <w:rPr>
                <w:rFonts w:ascii="Arial" w:hAnsi="Arial" w:cs="Arial"/>
                <w:spacing w:val="-3"/>
                <w:lang w:val="tr-TR"/>
              </w:rPr>
            </w:pPr>
          </w:p>
        </w:tc>
        <w:tc>
          <w:tcPr>
            <w:tcW w:w="1418" w:type="dxa"/>
            <w:tcBorders>
              <w:top w:val="double" w:sz="4" w:space="0" w:color="auto"/>
              <w:bottom w:val="single" w:sz="4" w:space="0" w:color="auto"/>
            </w:tcBorders>
            <w:vAlign w:val="bottom"/>
          </w:tcPr>
          <w:p w:rsidR="00A70549" w:rsidRPr="00D00722" w:rsidRDefault="00A70549" w:rsidP="00DF00C5">
            <w:pPr>
              <w:suppressAutoHyphens/>
              <w:jc w:val="right"/>
              <w:rPr>
                <w:rFonts w:ascii="Arial" w:hAnsi="Arial" w:cs="Arial"/>
                <w:spacing w:val="-3"/>
                <w:lang w:val="tr-TR"/>
              </w:rPr>
            </w:pPr>
          </w:p>
        </w:tc>
      </w:tr>
      <w:tr w:rsidR="00A70549" w:rsidRPr="00D00722" w:rsidTr="00DF00C5">
        <w:tc>
          <w:tcPr>
            <w:tcW w:w="4536" w:type="dxa"/>
            <w:tcBorders>
              <w:top w:val="single" w:sz="4" w:space="0" w:color="auto"/>
              <w:bottom w:val="double" w:sz="4" w:space="0" w:color="auto"/>
            </w:tcBorders>
            <w:vAlign w:val="bottom"/>
          </w:tcPr>
          <w:p w:rsidR="00A70549" w:rsidRPr="00D00722" w:rsidRDefault="00A70549" w:rsidP="00DF00C5">
            <w:pPr>
              <w:suppressAutoHyphens/>
              <w:rPr>
                <w:rFonts w:ascii="Arial" w:hAnsi="Arial" w:cs="Arial"/>
                <w:spacing w:val="-3"/>
                <w:lang w:val="tr-TR"/>
              </w:rPr>
            </w:pPr>
            <w:r w:rsidRPr="00D00722">
              <w:rPr>
                <w:rFonts w:ascii="Arial" w:hAnsi="Arial" w:cs="Arial"/>
                <w:spacing w:val="-3"/>
                <w:lang w:val="tr-TR"/>
              </w:rPr>
              <w:t>Sermaye düzeltmesi farkları</w:t>
            </w:r>
          </w:p>
        </w:tc>
        <w:tc>
          <w:tcPr>
            <w:tcW w:w="990" w:type="dxa"/>
            <w:tcBorders>
              <w:top w:val="single" w:sz="4" w:space="0" w:color="auto"/>
              <w:bottom w:val="double" w:sz="4" w:space="0" w:color="auto"/>
            </w:tcBorders>
            <w:vAlign w:val="bottom"/>
          </w:tcPr>
          <w:p w:rsidR="00A70549" w:rsidRPr="00D00722" w:rsidRDefault="00A70549" w:rsidP="00DF00C5">
            <w:pPr>
              <w:suppressAutoHyphens/>
              <w:jc w:val="right"/>
              <w:rPr>
                <w:rFonts w:ascii="Arial" w:hAnsi="Arial" w:cs="Arial"/>
                <w:b/>
                <w:spacing w:val="-3"/>
                <w:lang w:val="tr-TR"/>
              </w:rPr>
            </w:pPr>
          </w:p>
        </w:tc>
        <w:tc>
          <w:tcPr>
            <w:tcW w:w="1276" w:type="dxa"/>
            <w:tcBorders>
              <w:top w:val="single" w:sz="4" w:space="0" w:color="auto"/>
              <w:bottom w:val="double" w:sz="4" w:space="0" w:color="auto"/>
            </w:tcBorders>
            <w:vAlign w:val="bottom"/>
          </w:tcPr>
          <w:p w:rsidR="00A70549" w:rsidRPr="00D00722" w:rsidRDefault="00A70549" w:rsidP="00DF00C5">
            <w:pPr>
              <w:suppressAutoHyphens/>
              <w:jc w:val="right"/>
              <w:rPr>
                <w:rFonts w:ascii="Arial" w:hAnsi="Arial" w:cs="Arial"/>
                <w:b/>
                <w:spacing w:val="-3"/>
                <w:lang w:val="tr-TR"/>
              </w:rPr>
            </w:pPr>
            <w:r w:rsidRPr="00D00722">
              <w:rPr>
                <w:rFonts w:ascii="Arial" w:hAnsi="Arial" w:cs="Arial"/>
                <w:b/>
                <w:spacing w:val="-3"/>
                <w:lang w:val="tr-TR"/>
              </w:rPr>
              <w:t>133.130</w:t>
            </w:r>
          </w:p>
        </w:tc>
        <w:tc>
          <w:tcPr>
            <w:tcW w:w="851" w:type="dxa"/>
            <w:tcBorders>
              <w:top w:val="single" w:sz="4" w:space="0" w:color="auto"/>
              <w:bottom w:val="double" w:sz="4" w:space="0" w:color="auto"/>
            </w:tcBorders>
            <w:vAlign w:val="bottom"/>
          </w:tcPr>
          <w:p w:rsidR="00A70549" w:rsidRPr="00D00722" w:rsidRDefault="00A70549" w:rsidP="00DF00C5">
            <w:pPr>
              <w:suppressAutoHyphens/>
              <w:jc w:val="right"/>
              <w:rPr>
                <w:rFonts w:ascii="Arial" w:hAnsi="Arial" w:cs="Arial"/>
                <w:spacing w:val="-3"/>
                <w:lang w:val="tr-TR"/>
              </w:rPr>
            </w:pPr>
          </w:p>
        </w:tc>
        <w:tc>
          <w:tcPr>
            <w:tcW w:w="1418" w:type="dxa"/>
            <w:tcBorders>
              <w:top w:val="single" w:sz="4" w:space="0" w:color="auto"/>
              <w:bottom w:val="double" w:sz="4" w:space="0" w:color="auto"/>
            </w:tcBorders>
            <w:vAlign w:val="bottom"/>
          </w:tcPr>
          <w:p w:rsidR="00A70549" w:rsidRPr="00D00722" w:rsidRDefault="00A70549" w:rsidP="00DF00C5">
            <w:pPr>
              <w:suppressAutoHyphens/>
              <w:jc w:val="right"/>
              <w:rPr>
                <w:rFonts w:ascii="Arial" w:hAnsi="Arial" w:cs="Arial"/>
                <w:spacing w:val="-3"/>
                <w:lang w:val="tr-TR"/>
              </w:rPr>
            </w:pPr>
            <w:r w:rsidRPr="00D00722">
              <w:rPr>
                <w:rFonts w:ascii="Arial" w:hAnsi="Arial" w:cs="Arial"/>
                <w:spacing w:val="-3"/>
                <w:lang w:val="tr-TR"/>
              </w:rPr>
              <w:t>133.130</w:t>
            </w:r>
          </w:p>
        </w:tc>
      </w:tr>
    </w:tbl>
    <w:p w:rsidR="002B5FEF" w:rsidRPr="00D00722" w:rsidRDefault="002B5FEF" w:rsidP="00AE0484">
      <w:pPr>
        <w:ind w:left="567" w:hanging="567"/>
        <w:rPr>
          <w:rFonts w:ascii="Arial" w:hAnsi="Arial" w:cs="Arial"/>
          <w:lang w:val="tr-TR"/>
        </w:rPr>
      </w:pPr>
    </w:p>
    <w:p w:rsidR="001B6380" w:rsidRPr="00D00722" w:rsidRDefault="001B6380" w:rsidP="00510CC4">
      <w:pPr>
        <w:rPr>
          <w:rFonts w:ascii="Arial" w:hAnsi="Arial" w:cs="Arial"/>
          <w:lang w:val="tr-TR"/>
        </w:rPr>
      </w:pPr>
    </w:p>
    <w:p w:rsidR="00A70549" w:rsidRPr="00D00722" w:rsidRDefault="00D7465D" w:rsidP="003B42C2">
      <w:pPr>
        <w:rPr>
          <w:rFonts w:ascii="Arial" w:hAnsi="Arial" w:cs="Arial"/>
          <w:lang w:val="tr-TR"/>
        </w:rPr>
      </w:pPr>
      <w:r w:rsidRPr="00D00722">
        <w:rPr>
          <w:rFonts w:ascii="Arial" w:hAnsi="Arial" w:cs="Arial"/>
          <w:lang w:val="tr-TR"/>
        </w:rPr>
        <w:t xml:space="preserve">Şirket’in sermayesi </w:t>
      </w:r>
      <w:r w:rsidR="00787D9D" w:rsidRPr="00D00722">
        <w:rPr>
          <w:rFonts w:ascii="Arial" w:hAnsi="Arial" w:cs="Arial"/>
          <w:lang w:val="tr-TR"/>
        </w:rPr>
        <w:t>2</w:t>
      </w:r>
      <w:r w:rsidRPr="00D00722">
        <w:rPr>
          <w:rFonts w:ascii="Arial" w:hAnsi="Arial" w:cs="Arial"/>
          <w:color w:val="000000"/>
          <w:lang w:val="tr-TR"/>
        </w:rPr>
        <w:t>.</w:t>
      </w:r>
      <w:r w:rsidR="00787D9D" w:rsidRPr="00D00722">
        <w:rPr>
          <w:rFonts w:ascii="Arial" w:hAnsi="Arial" w:cs="Arial"/>
          <w:color w:val="000000"/>
          <w:lang w:val="tr-TR"/>
        </w:rPr>
        <w:t>356</w:t>
      </w:r>
      <w:r w:rsidRPr="00D00722">
        <w:rPr>
          <w:rFonts w:ascii="Arial" w:hAnsi="Arial" w:cs="Arial"/>
          <w:color w:val="000000"/>
          <w:lang w:val="tr-TR"/>
        </w:rPr>
        <w:t>.</w:t>
      </w:r>
      <w:r w:rsidR="00787D9D" w:rsidRPr="00D00722">
        <w:rPr>
          <w:rFonts w:ascii="Arial" w:hAnsi="Arial" w:cs="Arial"/>
          <w:color w:val="000000"/>
          <w:lang w:val="tr-TR"/>
        </w:rPr>
        <w:t>4</w:t>
      </w:r>
      <w:r w:rsidRPr="00D00722">
        <w:rPr>
          <w:rFonts w:ascii="Arial" w:hAnsi="Arial" w:cs="Arial"/>
          <w:color w:val="000000"/>
          <w:lang w:val="tr-TR"/>
        </w:rPr>
        <w:t>00 adet hisse</w:t>
      </w:r>
      <w:r w:rsidR="001200BA" w:rsidRPr="00D00722">
        <w:rPr>
          <w:rFonts w:ascii="Arial" w:hAnsi="Arial" w:cs="Arial"/>
          <w:color w:val="000000"/>
          <w:lang w:val="tr-TR"/>
        </w:rPr>
        <w:t>den oluşmaktadır (31 Aralık 201</w:t>
      </w:r>
      <w:r w:rsidR="00F66002" w:rsidRPr="00D00722">
        <w:rPr>
          <w:rFonts w:ascii="Arial" w:hAnsi="Arial" w:cs="Arial"/>
          <w:color w:val="000000"/>
          <w:lang w:val="tr-TR"/>
        </w:rPr>
        <w:t>3</w:t>
      </w:r>
      <w:r w:rsidRPr="00D00722">
        <w:rPr>
          <w:rFonts w:ascii="Arial" w:hAnsi="Arial" w:cs="Arial"/>
          <w:color w:val="000000"/>
          <w:lang w:val="tr-TR"/>
        </w:rPr>
        <w:t xml:space="preserve"> – 1.700.000 adet hisse). Hisselerin itibari değeri hisse başına 1</w:t>
      </w:r>
      <w:r w:rsidRPr="00D00722">
        <w:rPr>
          <w:rFonts w:ascii="Arial" w:hAnsi="Arial" w:cs="Arial"/>
          <w:lang w:val="tr-TR"/>
        </w:rPr>
        <w:t xml:space="preserve"> TL’dir (</w:t>
      </w:r>
      <w:r w:rsidR="001200BA" w:rsidRPr="00D00722">
        <w:rPr>
          <w:rFonts w:ascii="Arial" w:hAnsi="Arial" w:cs="Arial"/>
          <w:color w:val="000000"/>
          <w:lang w:val="tr-TR"/>
        </w:rPr>
        <w:t>31 Aralık 201</w:t>
      </w:r>
      <w:r w:rsidR="00F66002" w:rsidRPr="00D00722">
        <w:rPr>
          <w:rFonts w:ascii="Arial" w:hAnsi="Arial" w:cs="Arial"/>
          <w:color w:val="000000"/>
          <w:lang w:val="tr-TR"/>
        </w:rPr>
        <w:t>3</w:t>
      </w:r>
      <w:r w:rsidRPr="00D00722">
        <w:rPr>
          <w:rFonts w:ascii="Arial" w:hAnsi="Arial" w:cs="Arial"/>
          <w:color w:val="000000"/>
          <w:lang w:val="tr-TR"/>
        </w:rPr>
        <w:t xml:space="preserve"> – </w:t>
      </w:r>
      <w:r w:rsidRPr="00D00722">
        <w:rPr>
          <w:rFonts w:ascii="Arial" w:hAnsi="Arial" w:cs="Arial"/>
          <w:lang w:val="tr-TR"/>
        </w:rPr>
        <w:t>hisse başı 1 TL). İmtiyazlı hisse senedi bulunmamaktadır</w:t>
      </w:r>
      <w:r w:rsidR="009208C6" w:rsidRPr="00D00722">
        <w:rPr>
          <w:rFonts w:ascii="Arial" w:hAnsi="Arial" w:cs="Arial"/>
          <w:lang w:val="tr-TR"/>
        </w:rPr>
        <w:t>.</w:t>
      </w:r>
    </w:p>
    <w:p w:rsidR="00A70549" w:rsidRPr="00D00722" w:rsidRDefault="00A70549" w:rsidP="003B42C2">
      <w:pPr>
        <w:rPr>
          <w:rFonts w:ascii="Arial" w:hAnsi="Arial" w:cs="Arial"/>
          <w:b/>
          <w:lang w:val="tr-TR"/>
        </w:rPr>
      </w:pPr>
    </w:p>
    <w:p w:rsidR="003B42C2" w:rsidRPr="00D00722" w:rsidRDefault="003B42C2" w:rsidP="003B42C2">
      <w:pPr>
        <w:rPr>
          <w:rFonts w:ascii="Arial" w:hAnsi="Arial" w:cs="Arial"/>
          <w:b/>
          <w:lang w:val="tr-TR"/>
        </w:rPr>
      </w:pPr>
      <w:r w:rsidRPr="00D00722">
        <w:rPr>
          <w:rFonts w:ascii="Arial" w:hAnsi="Arial" w:cs="Arial"/>
          <w:b/>
          <w:lang w:val="tr-TR"/>
        </w:rPr>
        <w:t>15.</w:t>
      </w:r>
      <w:r w:rsidRPr="00D00722">
        <w:rPr>
          <w:rFonts w:ascii="Arial" w:hAnsi="Arial" w:cs="Arial"/>
          <w:b/>
          <w:lang w:val="tr-TR"/>
        </w:rPr>
        <w:tab/>
        <w:t>Özkaynaklar (devamı)</w:t>
      </w:r>
    </w:p>
    <w:p w:rsidR="00B37F4A" w:rsidRPr="00D00722" w:rsidRDefault="00B37F4A">
      <w:pPr>
        <w:rPr>
          <w:rFonts w:ascii="Arial" w:hAnsi="Arial" w:cs="Arial"/>
          <w:b/>
          <w:lang w:val="tr-TR"/>
        </w:rPr>
      </w:pPr>
    </w:p>
    <w:p w:rsidR="00245BD3" w:rsidRPr="00D00722" w:rsidRDefault="00245BD3" w:rsidP="0090567F">
      <w:pPr>
        <w:ind w:left="567" w:hanging="567"/>
        <w:rPr>
          <w:rFonts w:ascii="Arial" w:hAnsi="Arial" w:cs="Arial"/>
          <w:b/>
          <w:lang w:val="tr-TR"/>
        </w:rPr>
      </w:pPr>
      <w:r w:rsidRPr="00D00722">
        <w:rPr>
          <w:rFonts w:ascii="Arial" w:hAnsi="Arial" w:cs="Arial"/>
          <w:b/>
          <w:lang w:val="tr-TR"/>
        </w:rPr>
        <w:t xml:space="preserve">Kardan </w:t>
      </w:r>
      <w:r w:rsidR="007C3C7C" w:rsidRPr="00D00722">
        <w:rPr>
          <w:rFonts w:ascii="Arial" w:hAnsi="Arial" w:cs="Arial"/>
          <w:b/>
          <w:lang w:val="tr-TR"/>
        </w:rPr>
        <w:t>ayrılan kısıtlanmış yedekler</w:t>
      </w:r>
    </w:p>
    <w:p w:rsidR="00F62CC3" w:rsidRPr="00D00722" w:rsidRDefault="00F62CC3" w:rsidP="0090567F">
      <w:pPr>
        <w:autoSpaceDE w:val="0"/>
        <w:autoSpaceDN w:val="0"/>
        <w:adjustRightInd w:val="0"/>
        <w:rPr>
          <w:rFonts w:ascii="Arial" w:hAnsi="Arial" w:cs="Arial"/>
          <w:lang w:val="tr-TR"/>
        </w:rPr>
      </w:pPr>
    </w:p>
    <w:p w:rsidR="0045432E" w:rsidRPr="00D00722" w:rsidRDefault="0045432E" w:rsidP="0045432E">
      <w:pPr>
        <w:rPr>
          <w:rFonts w:ascii="Arial" w:hAnsi="Arial" w:cs="Arial"/>
        </w:rPr>
      </w:pPr>
      <w:r w:rsidRPr="00D00722">
        <w:rPr>
          <w:rFonts w:ascii="Arial" w:hAnsi="Arial" w:cs="Arial"/>
        </w:rPr>
        <w:t xml:space="preserve">SPK’nın 1 Şubat 2014 tarihinden itibaren yürürlüğe giren II-19.1 no’lu Kâr Payı Tebliği’ne göre, payları borsada işlem görmeyen ortaklıklar için kâr payı dağıtım oranı, bağışlar eklenmiş net dağıtılabilir dönem kârının yüzde yirmisinden az olamaz. </w:t>
      </w:r>
      <w:proofErr w:type="gramStart"/>
      <w:r w:rsidRPr="00D00722">
        <w:rPr>
          <w:rFonts w:ascii="Arial" w:hAnsi="Arial" w:cs="Arial"/>
        </w:rPr>
        <w:t>Yine aynı tebliğe göre, payları borsada işlem görmeyen ortaklıkların kâr payını tam ve nakden dağıtmaları zorunludur ve halka açık şirketlere tanınan taksitle kâr dağıtımı uygulamasından yaralanamazlar.</w:t>
      </w:r>
      <w:proofErr w:type="gramEnd"/>
      <w:r w:rsidRPr="00D00722">
        <w:rPr>
          <w:rFonts w:ascii="Arial" w:hAnsi="Arial" w:cs="Arial"/>
        </w:rPr>
        <w:t xml:space="preserve"> </w:t>
      </w:r>
    </w:p>
    <w:p w:rsidR="0045432E" w:rsidRPr="00D00722" w:rsidRDefault="0045432E" w:rsidP="0045432E">
      <w:pPr>
        <w:rPr>
          <w:rFonts w:ascii="Arial" w:hAnsi="Arial" w:cs="Arial"/>
        </w:rPr>
      </w:pPr>
    </w:p>
    <w:p w:rsidR="0045432E" w:rsidRPr="00D00722" w:rsidRDefault="0045432E" w:rsidP="0045432E">
      <w:pPr>
        <w:rPr>
          <w:rFonts w:ascii="Arial" w:hAnsi="Arial" w:cs="Arial"/>
        </w:rPr>
      </w:pPr>
      <w:r w:rsidRPr="00D00722">
        <w:rPr>
          <w:rFonts w:ascii="Arial" w:hAnsi="Arial" w:cs="Arial"/>
        </w:rPr>
        <w:t>Bahsi geçen tebliğ hükümleri doğrultusunda, payları borsada işlem görmeyen ortaklıklar, hesaplanan kâr payı tutarının genel kurula sunulacak son yıllık finansal tablolara göre sermayenin yüzde beşinden daha düşük olması veya söz konusu finansal tablolara göre net dağıtılabilir dönem kârının 100.000 TL’nin altında olması durumunda, ilgili hesap dönemi için kâr payı dağıtmayabilir ve bu durumda dağıtılmayan kâr payı, daha sonraki dönemlerde dağıtılır.</w:t>
      </w:r>
    </w:p>
    <w:p w:rsidR="0045432E" w:rsidRPr="00D00722" w:rsidRDefault="0045432E" w:rsidP="0035786A">
      <w:pPr>
        <w:autoSpaceDE w:val="0"/>
        <w:autoSpaceDN w:val="0"/>
        <w:adjustRightInd w:val="0"/>
        <w:rPr>
          <w:rFonts w:ascii="Arial" w:hAnsi="Arial" w:cs="Arial"/>
          <w:lang w:val="tr-TR"/>
        </w:rPr>
      </w:pPr>
    </w:p>
    <w:p w:rsidR="00B84C43" w:rsidRPr="00D00722" w:rsidRDefault="003972A7" w:rsidP="00B84C43">
      <w:pPr>
        <w:autoSpaceDE w:val="0"/>
        <w:autoSpaceDN w:val="0"/>
        <w:adjustRightInd w:val="0"/>
        <w:rPr>
          <w:rFonts w:ascii="Arial" w:hAnsi="Arial" w:cs="Arial"/>
          <w:lang w:val="tr-TR"/>
        </w:rPr>
      </w:pPr>
      <w:r w:rsidRPr="00D00722">
        <w:rPr>
          <w:rFonts w:ascii="Arial" w:hAnsi="Arial" w:cs="Arial"/>
          <w:lang w:val="tr-TR"/>
        </w:rPr>
        <w:t xml:space="preserve">31 </w:t>
      </w:r>
      <w:r w:rsidR="008F3393" w:rsidRPr="00D00722">
        <w:rPr>
          <w:rFonts w:ascii="Arial" w:hAnsi="Arial" w:cs="Arial"/>
          <w:lang w:val="tr-TR"/>
        </w:rPr>
        <w:t>Mart</w:t>
      </w:r>
      <w:r w:rsidRPr="00D00722">
        <w:rPr>
          <w:rFonts w:ascii="Arial" w:hAnsi="Arial" w:cs="Arial"/>
          <w:lang w:val="tr-TR"/>
        </w:rPr>
        <w:t xml:space="preserve"> </w:t>
      </w:r>
      <w:r w:rsidR="006B7B62" w:rsidRPr="00D00722">
        <w:rPr>
          <w:rFonts w:ascii="Arial" w:hAnsi="Arial" w:cs="Arial"/>
          <w:lang w:val="tr-TR"/>
        </w:rPr>
        <w:t>201</w:t>
      </w:r>
      <w:r w:rsidR="008F3393" w:rsidRPr="00D00722">
        <w:rPr>
          <w:rFonts w:ascii="Arial" w:hAnsi="Arial" w:cs="Arial"/>
          <w:lang w:val="tr-TR"/>
        </w:rPr>
        <w:t>4</w:t>
      </w:r>
      <w:r w:rsidR="00B84C43" w:rsidRPr="00D00722">
        <w:rPr>
          <w:rFonts w:ascii="Arial" w:hAnsi="Arial" w:cs="Arial"/>
          <w:lang w:val="tr-TR"/>
        </w:rPr>
        <w:t xml:space="preserve"> ve </w:t>
      </w:r>
      <w:r w:rsidR="006B7B62" w:rsidRPr="00D00722">
        <w:rPr>
          <w:rFonts w:ascii="Arial" w:hAnsi="Arial" w:cs="Arial"/>
          <w:lang w:val="tr-TR"/>
        </w:rPr>
        <w:t>201</w:t>
      </w:r>
      <w:r w:rsidR="008F3393" w:rsidRPr="00D00722">
        <w:rPr>
          <w:rFonts w:ascii="Arial" w:hAnsi="Arial" w:cs="Arial"/>
          <w:lang w:val="tr-TR"/>
        </w:rPr>
        <w:t>3</w:t>
      </w:r>
      <w:r w:rsidR="00B84C43" w:rsidRPr="00D00722">
        <w:rPr>
          <w:rFonts w:ascii="Arial" w:hAnsi="Arial" w:cs="Arial"/>
          <w:lang w:val="tr-TR"/>
        </w:rPr>
        <w:t xml:space="preserve"> tarihleri </w:t>
      </w:r>
      <w:r w:rsidR="00200AA8" w:rsidRPr="00D00722">
        <w:rPr>
          <w:rFonts w:ascii="Arial" w:hAnsi="Arial" w:cs="Arial"/>
          <w:lang w:val="tr-TR"/>
        </w:rPr>
        <w:t>itibariyle</w:t>
      </w:r>
      <w:r w:rsidR="00B84C43" w:rsidRPr="00D00722">
        <w:rPr>
          <w:rFonts w:ascii="Arial" w:hAnsi="Arial" w:cs="Arial"/>
          <w:lang w:val="tr-TR"/>
        </w:rPr>
        <w:t xml:space="preserve"> kar yedekleri aşağıdaki gibidir:</w:t>
      </w:r>
    </w:p>
    <w:p w:rsidR="007576E9" w:rsidRPr="00D00722" w:rsidRDefault="007576E9" w:rsidP="00B84C43">
      <w:pPr>
        <w:autoSpaceDE w:val="0"/>
        <w:autoSpaceDN w:val="0"/>
        <w:adjustRightInd w:val="0"/>
        <w:rPr>
          <w:rFonts w:ascii="Arial" w:hAnsi="Arial" w:cs="Arial"/>
          <w:lang w:val="tr-TR"/>
        </w:rPr>
      </w:pPr>
    </w:p>
    <w:tbl>
      <w:tblPr>
        <w:tblW w:w="9042" w:type="dxa"/>
        <w:tblInd w:w="108" w:type="dxa"/>
        <w:tblLayout w:type="fixed"/>
        <w:tblLook w:val="01E0"/>
      </w:tblPr>
      <w:tblGrid>
        <w:gridCol w:w="5670"/>
        <w:gridCol w:w="1686"/>
        <w:gridCol w:w="1686"/>
      </w:tblGrid>
      <w:tr w:rsidR="00A70549" w:rsidRPr="00D00722" w:rsidTr="00A70549">
        <w:tc>
          <w:tcPr>
            <w:tcW w:w="5670" w:type="dxa"/>
            <w:tcBorders>
              <w:top w:val="single" w:sz="4" w:space="0" w:color="auto"/>
              <w:bottom w:val="single" w:sz="4" w:space="0" w:color="auto"/>
            </w:tcBorders>
          </w:tcPr>
          <w:p w:rsidR="00A70549" w:rsidRPr="00D00722" w:rsidRDefault="00A70549" w:rsidP="007576E9">
            <w:pPr>
              <w:autoSpaceDE w:val="0"/>
              <w:autoSpaceDN w:val="0"/>
              <w:adjustRightInd w:val="0"/>
              <w:jc w:val="both"/>
              <w:rPr>
                <w:rFonts w:ascii="Arial" w:hAnsi="Arial" w:cs="Arial"/>
                <w:u w:val="single"/>
                <w:lang w:val="tr-TR"/>
              </w:rPr>
            </w:pPr>
          </w:p>
        </w:tc>
        <w:tc>
          <w:tcPr>
            <w:tcW w:w="1686" w:type="dxa"/>
            <w:tcBorders>
              <w:top w:val="single" w:sz="4" w:space="0" w:color="auto"/>
              <w:bottom w:val="single" w:sz="4" w:space="0" w:color="auto"/>
            </w:tcBorders>
            <w:vAlign w:val="bottom"/>
          </w:tcPr>
          <w:p w:rsidR="00A70549" w:rsidRPr="00D00722" w:rsidRDefault="00A70549" w:rsidP="00A70549">
            <w:pPr>
              <w:autoSpaceDE w:val="0"/>
              <w:autoSpaceDN w:val="0"/>
              <w:adjustRightInd w:val="0"/>
              <w:jc w:val="right"/>
              <w:rPr>
                <w:rFonts w:ascii="Arial" w:hAnsi="Arial" w:cs="Arial"/>
                <w:b/>
                <w:lang w:val="tr-TR"/>
              </w:rPr>
            </w:pPr>
            <w:r w:rsidRPr="00D00722">
              <w:rPr>
                <w:rFonts w:ascii="Arial" w:hAnsi="Arial" w:cs="Arial"/>
                <w:b/>
                <w:lang w:val="tr-TR"/>
              </w:rPr>
              <w:t>31 Mart 2014</w:t>
            </w:r>
          </w:p>
        </w:tc>
        <w:tc>
          <w:tcPr>
            <w:tcW w:w="1686" w:type="dxa"/>
            <w:tcBorders>
              <w:top w:val="single" w:sz="4" w:space="0" w:color="auto"/>
              <w:bottom w:val="single" w:sz="4" w:space="0" w:color="auto"/>
            </w:tcBorders>
            <w:vAlign w:val="bottom"/>
          </w:tcPr>
          <w:p w:rsidR="00A70549" w:rsidRPr="00D00722" w:rsidRDefault="00A70549" w:rsidP="00DF00C5">
            <w:pPr>
              <w:autoSpaceDE w:val="0"/>
              <w:autoSpaceDN w:val="0"/>
              <w:adjustRightInd w:val="0"/>
              <w:jc w:val="right"/>
              <w:rPr>
                <w:rFonts w:ascii="Arial" w:hAnsi="Arial" w:cs="Arial"/>
                <w:lang w:val="tr-TR"/>
              </w:rPr>
            </w:pPr>
            <w:r w:rsidRPr="00D00722">
              <w:rPr>
                <w:rFonts w:ascii="Arial" w:hAnsi="Arial" w:cs="Arial"/>
                <w:lang w:val="tr-TR"/>
              </w:rPr>
              <w:t>31 Aralık 2013</w:t>
            </w:r>
          </w:p>
        </w:tc>
      </w:tr>
      <w:tr w:rsidR="00A70549" w:rsidRPr="00D00722" w:rsidTr="00A70549">
        <w:tc>
          <w:tcPr>
            <w:tcW w:w="5670" w:type="dxa"/>
            <w:tcBorders>
              <w:top w:val="single" w:sz="4" w:space="0" w:color="auto"/>
            </w:tcBorders>
          </w:tcPr>
          <w:p w:rsidR="00A70549" w:rsidRPr="00D00722" w:rsidRDefault="00A70549" w:rsidP="007576E9">
            <w:pPr>
              <w:autoSpaceDE w:val="0"/>
              <w:autoSpaceDN w:val="0"/>
              <w:adjustRightInd w:val="0"/>
              <w:jc w:val="both"/>
              <w:rPr>
                <w:rFonts w:ascii="Arial" w:hAnsi="Arial" w:cs="Arial"/>
                <w:lang w:val="tr-TR"/>
              </w:rPr>
            </w:pPr>
          </w:p>
        </w:tc>
        <w:tc>
          <w:tcPr>
            <w:tcW w:w="1686" w:type="dxa"/>
            <w:tcBorders>
              <w:top w:val="single" w:sz="4" w:space="0" w:color="auto"/>
            </w:tcBorders>
            <w:vAlign w:val="bottom"/>
          </w:tcPr>
          <w:p w:rsidR="00A70549" w:rsidRPr="00D00722" w:rsidRDefault="00A70549" w:rsidP="007576E9">
            <w:pPr>
              <w:autoSpaceDE w:val="0"/>
              <w:autoSpaceDN w:val="0"/>
              <w:adjustRightInd w:val="0"/>
              <w:jc w:val="right"/>
              <w:rPr>
                <w:rFonts w:ascii="Arial" w:hAnsi="Arial" w:cs="Arial"/>
                <w:lang w:val="tr-TR"/>
              </w:rPr>
            </w:pPr>
          </w:p>
        </w:tc>
        <w:tc>
          <w:tcPr>
            <w:tcW w:w="1686" w:type="dxa"/>
            <w:tcBorders>
              <w:top w:val="single" w:sz="4" w:space="0" w:color="auto"/>
            </w:tcBorders>
            <w:vAlign w:val="bottom"/>
          </w:tcPr>
          <w:p w:rsidR="00A70549" w:rsidRPr="00D00722" w:rsidRDefault="00A70549" w:rsidP="00DF00C5">
            <w:pPr>
              <w:autoSpaceDE w:val="0"/>
              <w:autoSpaceDN w:val="0"/>
              <w:adjustRightInd w:val="0"/>
              <w:jc w:val="right"/>
              <w:rPr>
                <w:rFonts w:ascii="Arial" w:hAnsi="Arial" w:cs="Arial"/>
                <w:lang w:val="tr-TR"/>
              </w:rPr>
            </w:pPr>
          </w:p>
        </w:tc>
      </w:tr>
      <w:tr w:rsidR="00A70549" w:rsidRPr="00D00722" w:rsidTr="00A70549">
        <w:tc>
          <w:tcPr>
            <w:tcW w:w="5670" w:type="dxa"/>
          </w:tcPr>
          <w:p w:rsidR="00A70549" w:rsidRPr="00D00722" w:rsidRDefault="00A70549" w:rsidP="007576E9">
            <w:pPr>
              <w:autoSpaceDE w:val="0"/>
              <w:autoSpaceDN w:val="0"/>
              <w:adjustRightInd w:val="0"/>
              <w:jc w:val="both"/>
              <w:rPr>
                <w:rFonts w:ascii="Arial" w:hAnsi="Arial" w:cs="Arial"/>
                <w:spacing w:val="-3"/>
                <w:lang w:val="tr-TR"/>
              </w:rPr>
            </w:pPr>
            <w:r w:rsidRPr="00D00722">
              <w:rPr>
                <w:rFonts w:ascii="Arial" w:hAnsi="Arial" w:cs="Arial"/>
                <w:spacing w:val="-3"/>
                <w:lang w:val="tr-TR"/>
              </w:rPr>
              <w:t>Yasal yedekler</w:t>
            </w:r>
          </w:p>
        </w:tc>
        <w:tc>
          <w:tcPr>
            <w:tcW w:w="1686" w:type="dxa"/>
            <w:vAlign w:val="bottom"/>
          </w:tcPr>
          <w:p w:rsidR="00A70549" w:rsidRPr="00D00722" w:rsidRDefault="00AA1E80" w:rsidP="007576E9">
            <w:pPr>
              <w:jc w:val="right"/>
              <w:rPr>
                <w:rFonts w:ascii="Arial" w:hAnsi="Arial" w:cs="Arial"/>
                <w:b/>
                <w:lang w:val="tr-TR"/>
              </w:rPr>
            </w:pPr>
            <w:r w:rsidRPr="00D00722">
              <w:rPr>
                <w:rFonts w:ascii="Arial" w:hAnsi="Arial" w:cs="Arial"/>
                <w:b/>
                <w:lang w:val="tr-TR"/>
              </w:rPr>
              <w:t>44.772</w:t>
            </w:r>
          </w:p>
        </w:tc>
        <w:tc>
          <w:tcPr>
            <w:tcW w:w="1686" w:type="dxa"/>
            <w:vAlign w:val="bottom"/>
          </w:tcPr>
          <w:p w:rsidR="00A70549" w:rsidRPr="00D00722" w:rsidRDefault="00A70549" w:rsidP="00DF00C5">
            <w:pPr>
              <w:jc w:val="right"/>
              <w:rPr>
                <w:rFonts w:ascii="Arial" w:hAnsi="Arial" w:cs="Arial"/>
                <w:lang w:val="tr-TR"/>
              </w:rPr>
            </w:pPr>
            <w:r w:rsidRPr="00D00722">
              <w:rPr>
                <w:rFonts w:ascii="Arial" w:hAnsi="Arial" w:cs="Arial"/>
                <w:lang w:val="tr-TR"/>
              </w:rPr>
              <w:t>44.772</w:t>
            </w:r>
          </w:p>
        </w:tc>
      </w:tr>
      <w:tr w:rsidR="00A70549" w:rsidRPr="00D00722" w:rsidTr="00A70549">
        <w:tc>
          <w:tcPr>
            <w:tcW w:w="5670" w:type="dxa"/>
            <w:tcBorders>
              <w:bottom w:val="single" w:sz="4" w:space="0" w:color="auto"/>
            </w:tcBorders>
          </w:tcPr>
          <w:p w:rsidR="00A70549" w:rsidRPr="00D00722" w:rsidRDefault="00A70549" w:rsidP="007576E9">
            <w:pPr>
              <w:autoSpaceDE w:val="0"/>
              <w:autoSpaceDN w:val="0"/>
              <w:adjustRightInd w:val="0"/>
              <w:jc w:val="both"/>
              <w:rPr>
                <w:rFonts w:ascii="Arial" w:hAnsi="Arial" w:cs="Arial"/>
                <w:spacing w:val="-3"/>
                <w:lang w:val="tr-TR"/>
              </w:rPr>
            </w:pPr>
          </w:p>
        </w:tc>
        <w:tc>
          <w:tcPr>
            <w:tcW w:w="1686" w:type="dxa"/>
            <w:tcBorders>
              <w:bottom w:val="single" w:sz="4" w:space="0" w:color="auto"/>
            </w:tcBorders>
            <w:vAlign w:val="bottom"/>
          </w:tcPr>
          <w:p w:rsidR="00A70549" w:rsidRPr="00D00722" w:rsidRDefault="00A70549" w:rsidP="007576E9">
            <w:pPr>
              <w:autoSpaceDE w:val="0"/>
              <w:autoSpaceDN w:val="0"/>
              <w:adjustRightInd w:val="0"/>
              <w:jc w:val="right"/>
              <w:rPr>
                <w:rFonts w:ascii="Arial" w:hAnsi="Arial" w:cs="Arial"/>
                <w:b/>
                <w:lang w:val="tr-TR"/>
              </w:rPr>
            </w:pPr>
          </w:p>
        </w:tc>
        <w:tc>
          <w:tcPr>
            <w:tcW w:w="1686" w:type="dxa"/>
            <w:tcBorders>
              <w:bottom w:val="single" w:sz="4" w:space="0" w:color="auto"/>
            </w:tcBorders>
            <w:vAlign w:val="bottom"/>
          </w:tcPr>
          <w:p w:rsidR="00A70549" w:rsidRPr="00D00722" w:rsidRDefault="00A70549" w:rsidP="00DF00C5">
            <w:pPr>
              <w:autoSpaceDE w:val="0"/>
              <w:autoSpaceDN w:val="0"/>
              <w:adjustRightInd w:val="0"/>
              <w:jc w:val="right"/>
              <w:rPr>
                <w:rFonts w:ascii="Arial" w:hAnsi="Arial" w:cs="Arial"/>
                <w:lang w:val="tr-TR"/>
              </w:rPr>
            </w:pPr>
          </w:p>
        </w:tc>
      </w:tr>
      <w:tr w:rsidR="00A70549" w:rsidRPr="00D00722" w:rsidTr="00A70549">
        <w:tc>
          <w:tcPr>
            <w:tcW w:w="5670" w:type="dxa"/>
            <w:tcBorders>
              <w:top w:val="single" w:sz="4" w:space="0" w:color="auto"/>
              <w:bottom w:val="double" w:sz="4" w:space="0" w:color="auto"/>
            </w:tcBorders>
          </w:tcPr>
          <w:p w:rsidR="00A70549" w:rsidRPr="00D00722" w:rsidRDefault="00A70549" w:rsidP="007576E9">
            <w:pPr>
              <w:autoSpaceDE w:val="0"/>
              <w:autoSpaceDN w:val="0"/>
              <w:adjustRightInd w:val="0"/>
              <w:jc w:val="both"/>
              <w:rPr>
                <w:rFonts w:ascii="Arial" w:hAnsi="Arial" w:cs="Arial"/>
                <w:spacing w:val="-3"/>
                <w:lang w:val="tr-TR"/>
              </w:rPr>
            </w:pPr>
          </w:p>
        </w:tc>
        <w:tc>
          <w:tcPr>
            <w:tcW w:w="1686" w:type="dxa"/>
            <w:tcBorders>
              <w:top w:val="single" w:sz="4" w:space="0" w:color="auto"/>
              <w:bottom w:val="double" w:sz="4" w:space="0" w:color="auto"/>
            </w:tcBorders>
            <w:vAlign w:val="bottom"/>
          </w:tcPr>
          <w:p w:rsidR="00A70549" w:rsidRPr="00D00722" w:rsidRDefault="00AA1E80" w:rsidP="007576E9">
            <w:pPr>
              <w:autoSpaceDE w:val="0"/>
              <w:autoSpaceDN w:val="0"/>
              <w:adjustRightInd w:val="0"/>
              <w:jc w:val="right"/>
              <w:rPr>
                <w:rFonts w:ascii="Arial" w:hAnsi="Arial" w:cs="Arial"/>
                <w:b/>
                <w:lang w:val="tr-TR"/>
              </w:rPr>
            </w:pPr>
            <w:r w:rsidRPr="00D00722">
              <w:rPr>
                <w:rFonts w:ascii="Arial" w:hAnsi="Arial" w:cs="Arial"/>
                <w:b/>
                <w:lang w:val="tr-TR"/>
              </w:rPr>
              <w:t>44.772</w:t>
            </w:r>
          </w:p>
        </w:tc>
        <w:tc>
          <w:tcPr>
            <w:tcW w:w="1686" w:type="dxa"/>
            <w:tcBorders>
              <w:top w:val="single" w:sz="4" w:space="0" w:color="auto"/>
              <w:bottom w:val="double" w:sz="4" w:space="0" w:color="auto"/>
            </w:tcBorders>
            <w:vAlign w:val="bottom"/>
          </w:tcPr>
          <w:p w:rsidR="00A70549" w:rsidRPr="00D00722" w:rsidRDefault="00A70549" w:rsidP="00DF00C5">
            <w:pPr>
              <w:autoSpaceDE w:val="0"/>
              <w:autoSpaceDN w:val="0"/>
              <w:adjustRightInd w:val="0"/>
              <w:jc w:val="right"/>
              <w:rPr>
                <w:rFonts w:ascii="Arial" w:hAnsi="Arial" w:cs="Arial"/>
                <w:lang w:val="tr-TR"/>
              </w:rPr>
            </w:pPr>
            <w:r w:rsidRPr="00D00722">
              <w:rPr>
                <w:rFonts w:ascii="Arial" w:hAnsi="Arial" w:cs="Arial"/>
                <w:lang w:val="tr-TR"/>
              </w:rPr>
              <w:t>44.772</w:t>
            </w:r>
          </w:p>
        </w:tc>
      </w:tr>
    </w:tbl>
    <w:p w:rsidR="007576E9" w:rsidRPr="00D00722" w:rsidRDefault="007576E9" w:rsidP="00B84C43">
      <w:pPr>
        <w:autoSpaceDE w:val="0"/>
        <w:autoSpaceDN w:val="0"/>
        <w:adjustRightInd w:val="0"/>
        <w:rPr>
          <w:rFonts w:ascii="Arial" w:hAnsi="Arial" w:cs="Arial"/>
          <w:lang w:val="tr-TR"/>
        </w:rPr>
      </w:pPr>
    </w:p>
    <w:p w:rsidR="001576F6" w:rsidRPr="00D00722" w:rsidRDefault="001576F6" w:rsidP="0015474E">
      <w:pPr>
        <w:pStyle w:val="body0"/>
        <w:spacing w:after="0" w:line="240" w:lineRule="auto"/>
        <w:rPr>
          <w:rFonts w:ascii="Arial" w:hAnsi="Arial" w:cs="Arial"/>
          <w:bCs/>
          <w:noProof/>
          <w:sz w:val="20"/>
          <w:szCs w:val="20"/>
          <w:lang w:val="tr-TR"/>
        </w:rPr>
      </w:pPr>
    </w:p>
    <w:tbl>
      <w:tblPr>
        <w:tblW w:w="9042" w:type="dxa"/>
        <w:tblInd w:w="108" w:type="dxa"/>
        <w:tblLayout w:type="fixed"/>
        <w:tblLook w:val="01E0"/>
      </w:tblPr>
      <w:tblGrid>
        <w:gridCol w:w="5670"/>
        <w:gridCol w:w="1686"/>
        <w:gridCol w:w="1686"/>
      </w:tblGrid>
      <w:tr w:rsidR="00A70549" w:rsidRPr="00D00722" w:rsidTr="00A70549">
        <w:tc>
          <w:tcPr>
            <w:tcW w:w="5670" w:type="dxa"/>
            <w:tcBorders>
              <w:top w:val="single" w:sz="4" w:space="0" w:color="auto"/>
              <w:bottom w:val="single" w:sz="4" w:space="0" w:color="auto"/>
            </w:tcBorders>
          </w:tcPr>
          <w:p w:rsidR="00A70549" w:rsidRPr="00D00722" w:rsidRDefault="00A70549" w:rsidP="00AE0484">
            <w:pPr>
              <w:autoSpaceDE w:val="0"/>
              <w:autoSpaceDN w:val="0"/>
              <w:adjustRightInd w:val="0"/>
              <w:jc w:val="both"/>
              <w:rPr>
                <w:rFonts w:ascii="Arial" w:hAnsi="Arial" w:cs="Arial"/>
                <w:u w:val="single"/>
                <w:lang w:val="tr-TR"/>
              </w:rPr>
            </w:pPr>
          </w:p>
        </w:tc>
        <w:tc>
          <w:tcPr>
            <w:tcW w:w="1686" w:type="dxa"/>
            <w:tcBorders>
              <w:top w:val="single" w:sz="4" w:space="0" w:color="auto"/>
              <w:bottom w:val="single" w:sz="4" w:space="0" w:color="auto"/>
            </w:tcBorders>
            <w:vAlign w:val="bottom"/>
          </w:tcPr>
          <w:p w:rsidR="00A70549" w:rsidRPr="00D00722" w:rsidRDefault="00A70549" w:rsidP="00A70549">
            <w:pPr>
              <w:autoSpaceDE w:val="0"/>
              <w:autoSpaceDN w:val="0"/>
              <w:adjustRightInd w:val="0"/>
              <w:jc w:val="right"/>
              <w:rPr>
                <w:rFonts w:ascii="Arial" w:hAnsi="Arial" w:cs="Arial"/>
                <w:b/>
                <w:lang w:val="tr-TR"/>
              </w:rPr>
            </w:pPr>
            <w:r w:rsidRPr="00D00722">
              <w:rPr>
                <w:rFonts w:ascii="Arial" w:hAnsi="Arial" w:cs="Arial"/>
                <w:b/>
                <w:lang w:val="tr-TR"/>
              </w:rPr>
              <w:t>31 Mart 2014</w:t>
            </w:r>
          </w:p>
        </w:tc>
        <w:tc>
          <w:tcPr>
            <w:tcW w:w="1686" w:type="dxa"/>
            <w:tcBorders>
              <w:top w:val="single" w:sz="4" w:space="0" w:color="auto"/>
              <w:bottom w:val="single" w:sz="4" w:space="0" w:color="auto"/>
            </w:tcBorders>
            <w:vAlign w:val="bottom"/>
          </w:tcPr>
          <w:p w:rsidR="00A70549" w:rsidRPr="00D00722" w:rsidRDefault="00A70549" w:rsidP="00DF00C5">
            <w:pPr>
              <w:autoSpaceDE w:val="0"/>
              <w:autoSpaceDN w:val="0"/>
              <w:adjustRightInd w:val="0"/>
              <w:jc w:val="right"/>
              <w:rPr>
                <w:rFonts w:ascii="Arial" w:hAnsi="Arial" w:cs="Arial"/>
                <w:lang w:val="tr-TR"/>
              </w:rPr>
            </w:pPr>
            <w:r w:rsidRPr="00D00722">
              <w:rPr>
                <w:rFonts w:ascii="Arial" w:hAnsi="Arial" w:cs="Arial"/>
                <w:lang w:val="tr-TR"/>
              </w:rPr>
              <w:t>31 Aralık 2013</w:t>
            </w:r>
          </w:p>
        </w:tc>
      </w:tr>
      <w:tr w:rsidR="00A70549" w:rsidRPr="00D00722" w:rsidTr="00A70549">
        <w:tc>
          <w:tcPr>
            <w:tcW w:w="5670" w:type="dxa"/>
            <w:tcBorders>
              <w:top w:val="single" w:sz="4" w:space="0" w:color="auto"/>
            </w:tcBorders>
          </w:tcPr>
          <w:p w:rsidR="00A70549" w:rsidRPr="00D00722" w:rsidRDefault="00A70549" w:rsidP="00AE0484">
            <w:pPr>
              <w:autoSpaceDE w:val="0"/>
              <w:autoSpaceDN w:val="0"/>
              <w:adjustRightInd w:val="0"/>
              <w:jc w:val="both"/>
              <w:rPr>
                <w:rFonts w:ascii="Arial" w:hAnsi="Arial" w:cs="Arial"/>
                <w:lang w:val="tr-TR"/>
              </w:rPr>
            </w:pPr>
          </w:p>
        </w:tc>
        <w:tc>
          <w:tcPr>
            <w:tcW w:w="1686" w:type="dxa"/>
            <w:tcBorders>
              <w:top w:val="single" w:sz="4" w:space="0" w:color="auto"/>
            </w:tcBorders>
            <w:vAlign w:val="bottom"/>
          </w:tcPr>
          <w:p w:rsidR="00A70549" w:rsidRPr="00D00722" w:rsidRDefault="00A70549" w:rsidP="0015474E">
            <w:pPr>
              <w:autoSpaceDE w:val="0"/>
              <w:autoSpaceDN w:val="0"/>
              <w:adjustRightInd w:val="0"/>
              <w:jc w:val="right"/>
              <w:rPr>
                <w:rFonts w:ascii="Arial" w:hAnsi="Arial" w:cs="Arial"/>
                <w:lang w:val="tr-TR"/>
              </w:rPr>
            </w:pPr>
          </w:p>
        </w:tc>
        <w:tc>
          <w:tcPr>
            <w:tcW w:w="1686" w:type="dxa"/>
            <w:tcBorders>
              <w:top w:val="single" w:sz="4" w:space="0" w:color="auto"/>
            </w:tcBorders>
            <w:vAlign w:val="bottom"/>
          </w:tcPr>
          <w:p w:rsidR="00A70549" w:rsidRPr="00D00722" w:rsidRDefault="00A70549" w:rsidP="00DF00C5">
            <w:pPr>
              <w:autoSpaceDE w:val="0"/>
              <w:autoSpaceDN w:val="0"/>
              <w:adjustRightInd w:val="0"/>
              <w:jc w:val="right"/>
              <w:rPr>
                <w:rFonts w:ascii="Arial" w:hAnsi="Arial" w:cs="Arial"/>
                <w:lang w:val="tr-TR"/>
              </w:rPr>
            </w:pPr>
          </w:p>
        </w:tc>
      </w:tr>
      <w:tr w:rsidR="00A70549" w:rsidRPr="00D00722" w:rsidTr="00A70549">
        <w:tc>
          <w:tcPr>
            <w:tcW w:w="5670" w:type="dxa"/>
          </w:tcPr>
          <w:p w:rsidR="00A70549" w:rsidRPr="00D00722" w:rsidRDefault="00A70549" w:rsidP="00AE0484">
            <w:pPr>
              <w:autoSpaceDE w:val="0"/>
              <w:autoSpaceDN w:val="0"/>
              <w:adjustRightInd w:val="0"/>
              <w:jc w:val="both"/>
              <w:rPr>
                <w:rFonts w:ascii="Arial" w:hAnsi="Arial" w:cs="Arial"/>
                <w:spacing w:val="-3"/>
                <w:lang w:val="tr-TR"/>
              </w:rPr>
            </w:pPr>
            <w:r w:rsidRPr="00D00722">
              <w:rPr>
                <w:rFonts w:ascii="Arial" w:hAnsi="Arial" w:cs="Arial"/>
                <w:spacing w:val="-3"/>
                <w:lang w:val="tr-TR"/>
              </w:rPr>
              <w:t>Geçmiş yıl (zararları) / karları</w:t>
            </w:r>
          </w:p>
        </w:tc>
        <w:tc>
          <w:tcPr>
            <w:tcW w:w="1686" w:type="dxa"/>
            <w:vAlign w:val="bottom"/>
          </w:tcPr>
          <w:p w:rsidR="00A70549" w:rsidRPr="00D00722" w:rsidRDefault="00AA1E80" w:rsidP="001E725D">
            <w:pPr>
              <w:jc w:val="right"/>
              <w:rPr>
                <w:rFonts w:ascii="Arial" w:hAnsi="Arial" w:cs="Arial"/>
                <w:b/>
                <w:lang w:val="tr-TR"/>
              </w:rPr>
            </w:pPr>
            <w:r w:rsidRPr="00D00722">
              <w:rPr>
                <w:rFonts w:ascii="Arial" w:hAnsi="Arial" w:cs="Arial"/>
                <w:b/>
                <w:lang w:val="tr-TR"/>
              </w:rPr>
              <w:t>(</w:t>
            </w:r>
            <w:r w:rsidR="001E725D" w:rsidRPr="00D00722">
              <w:rPr>
                <w:rFonts w:ascii="Arial" w:hAnsi="Arial" w:cs="Arial"/>
                <w:b/>
                <w:lang w:val="tr-TR"/>
              </w:rPr>
              <w:t>961</w:t>
            </w:r>
            <w:r w:rsidRPr="00D00722">
              <w:rPr>
                <w:rFonts w:ascii="Arial" w:hAnsi="Arial" w:cs="Arial"/>
                <w:b/>
                <w:lang w:val="tr-TR"/>
              </w:rPr>
              <w:t>.</w:t>
            </w:r>
            <w:r w:rsidR="001E725D" w:rsidRPr="00D00722">
              <w:rPr>
                <w:rFonts w:ascii="Arial" w:hAnsi="Arial" w:cs="Arial"/>
                <w:b/>
                <w:lang w:val="tr-TR"/>
              </w:rPr>
              <w:t>077</w:t>
            </w:r>
            <w:r w:rsidRPr="00D00722">
              <w:rPr>
                <w:rFonts w:ascii="Arial" w:hAnsi="Arial" w:cs="Arial"/>
                <w:b/>
                <w:lang w:val="tr-TR"/>
              </w:rPr>
              <w:t>)</w:t>
            </w:r>
          </w:p>
        </w:tc>
        <w:tc>
          <w:tcPr>
            <w:tcW w:w="1686" w:type="dxa"/>
            <w:vAlign w:val="bottom"/>
          </w:tcPr>
          <w:p w:rsidR="00A70549" w:rsidRPr="00D00722" w:rsidRDefault="00A70549" w:rsidP="00DF00C5">
            <w:pPr>
              <w:jc w:val="right"/>
              <w:rPr>
                <w:rFonts w:ascii="Arial" w:hAnsi="Arial" w:cs="Arial"/>
                <w:lang w:val="tr-TR"/>
              </w:rPr>
            </w:pPr>
            <w:r w:rsidRPr="00D00722">
              <w:rPr>
                <w:rFonts w:ascii="Arial" w:hAnsi="Arial" w:cs="Arial"/>
                <w:lang w:val="tr-TR"/>
              </w:rPr>
              <w:t>(316.912)</w:t>
            </w:r>
          </w:p>
        </w:tc>
      </w:tr>
      <w:tr w:rsidR="00A70549" w:rsidRPr="00D00722" w:rsidTr="00A70549">
        <w:tc>
          <w:tcPr>
            <w:tcW w:w="5670" w:type="dxa"/>
            <w:tcBorders>
              <w:bottom w:val="single" w:sz="4" w:space="0" w:color="auto"/>
            </w:tcBorders>
          </w:tcPr>
          <w:p w:rsidR="00A70549" w:rsidRPr="00D00722" w:rsidRDefault="00A70549" w:rsidP="00AE0484">
            <w:pPr>
              <w:autoSpaceDE w:val="0"/>
              <w:autoSpaceDN w:val="0"/>
              <w:adjustRightInd w:val="0"/>
              <w:jc w:val="both"/>
              <w:rPr>
                <w:rFonts w:ascii="Arial" w:hAnsi="Arial" w:cs="Arial"/>
                <w:spacing w:val="-3"/>
                <w:lang w:val="tr-TR"/>
              </w:rPr>
            </w:pPr>
          </w:p>
        </w:tc>
        <w:tc>
          <w:tcPr>
            <w:tcW w:w="1686" w:type="dxa"/>
            <w:tcBorders>
              <w:bottom w:val="single" w:sz="4" w:space="0" w:color="auto"/>
            </w:tcBorders>
            <w:vAlign w:val="bottom"/>
          </w:tcPr>
          <w:p w:rsidR="00A70549" w:rsidRPr="00D00722" w:rsidRDefault="00A70549" w:rsidP="0015474E">
            <w:pPr>
              <w:autoSpaceDE w:val="0"/>
              <w:autoSpaceDN w:val="0"/>
              <w:adjustRightInd w:val="0"/>
              <w:jc w:val="right"/>
              <w:rPr>
                <w:rFonts w:ascii="Arial" w:hAnsi="Arial" w:cs="Arial"/>
                <w:b/>
                <w:lang w:val="tr-TR"/>
              </w:rPr>
            </w:pPr>
          </w:p>
        </w:tc>
        <w:tc>
          <w:tcPr>
            <w:tcW w:w="1686" w:type="dxa"/>
            <w:tcBorders>
              <w:bottom w:val="single" w:sz="4" w:space="0" w:color="auto"/>
            </w:tcBorders>
            <w:vAlign w:val="bottom"/>
          </w:tcPr>
          <w:p w:rsidR="00A70549" w:rsidRPr="00D00722" w:rsidRDefault="00A70549" w:rsidP="00DF00C5">
            <w:pPr>
              <w:autoSpaceDE w:val="0"/>
              <w:autoSpaceDN w:val="0"/>
              <w:adjustRightInd w:val="0"/>
              <w:jc w:val="right"/>
              <w:rPr>
                <w:rFonts w:ascii="Arial" w:hAnsi="Arial" w:cs="Arial"/>
                <w:lang w:val="tr-TR"/>
              </w:rPr>
            </w:pPr>
          </w:p>
        </w:tc>
      </w:tr>
      <w:tr w:rsidR="00A70549" w:rsidRPr="00D00722" w:rsidTr="00A70549">
        <w:tc>
          <w:tcPr>
            <w:tcW w:w="5670" w:type="dxa"/>
            <w:tcBorders>
              <w:top w:val="single" w:sz="4" w:space="0" w:color="auto"/>
              <w:bottom w:val="double" w:sz="4" w:space="0" w:color="auto"/>
            </w:tcBorders>
          </w:tcPr>
          <w:p w:rsidR="00A70549" w:rsidRPr="00D00722" w:rsidRDefault="00A70549" w:rsidP="00AE0484">
            <w:pPr>
              <w:autoSpaceDE w:val="0"/>
              <w:autoSpaceDN w:val="0"/>
              <w:adjustRightInd w:val="0"/>
              <w:jc w:val="both"/>
              <w:rPr>
                <w:rFonts w:ascii="Arial" w:hAnsi="Arial" w:cs="Arial"/>
                <w:spacing w:val="-3"/>
                <w:lang w:val="tr-TR"/>
              </w:rPr>
            </w:pPr>
          </w:p>
        </w:tc>
        <w:tc>
          <w:tcPr>
            <w:tcW w:w="1686" w:type="dxa"/>
            <w:tcBorders>
              <w:top w:val="single" w:sz="4" w:space="0" w:color="auto"/>
              <w:bottom w:val="double" w:sz="4" w:space="0" w:color="auto"/>
            </w:tcBorders>
            <w:vAlign w:val="bottom"/>
          </w:tcPr>
          <w:p w:rsidR="00A70549" w:rsidRPr="00D00722" w:rsidRDefault="00AA1E80" w:rsidP="001E725D">
            <w:pPr>
              <w:autoSpaceDE w:val="0"/>
              <w:autoSpaceDN w:val="0"/>
              <w:adjustRightInd w:val="0"/>
              <w:jc w:val="right"/>
              <w:rPr>
                <w:rFonts w:ascii="Arial" w:hAnsi="Arial" w:cs="Arial"/>
                <w:b/>
                <w:lang w:val="tr-TR"/>
              </w:rPr>
            </w:pPr>
            <w:r w:rsidRPr="00D00722">
              <w:rPr>
                <w:rFonts w:ascii="Arial" w:hAnsi="Arial" w:cs="Arial"/>
                <w:b/>
                <w:lang w:val="tr-TR"/>
              </w:rPr>
              <w:t>(</w:t>
            </w:r>
            <w:r w:rsidR="001E725D" w:rsidRPr="00D00722">
              <w:rPr>
                <w:rFonts w:ascii="Arial" w:hAnsi="Arial" w:cs="Arial"/>
                <w:b/>
                <w:lang w:val="tr-TR"/>
              </w:rPr>
              <w:t>961</w:t>
            </w:r>
            <w:r w:rsidRPr="00D00722">
              <w:rPr>
                <w:rFonts w:ascii="Arial" w:hAnsi="Arial" w:cs="Arial"/>
                <w:b/>
                <w:lang w:val="tr-TR"/>
              </w:rPr>
              <w:t>.</w:t>
            </w:r>
            <w:r w:rsidR="001E725D" w:rsidRPr="00D00722">
              <w:rPr>
                <w:rFonts w:ascii="Arial" w:hAnsi="Arial" w:cs="Arial"/>
                <w:b/>
                <w:lang w:val="tr-TR"/>
              </w:rPr>
              <w:t>077</w:t>
            </w:r>
            <w:r w:rsidR="00A70549" w:rsidRPr="00D00722">
              <w:rPr>
                <w:rFonts w:ascii="Arial" w:hAnsi="Arial" w:cs="Arial"/>
                <w:b/>
                <w:lang w:val="tr-TR"/>
              </w:rPr>
              <w:t>)</w:t>
            </w:r>
          </w:p>
        </w:tc>
        <w:tc>
          <w:tcPr>
            <w:tcW w:w="1686" w:type="dxa"/>
            <w:tcBorders>
              <w:top w:val="single" w:sz="4" w:space="0" w:color="auto"/>
              <w:bottom w:val="double" w:sz="4" w:space="0" w:color="auto"/>
            </w:tcBorders>
            <w:vAlign w:val="bottom"/>
          </w:tcPr>
          <w:p w:rsidR="00A70549" w:rsidRPr="00D00722" w:rsidRDefault="00A70549" w:rsidP="00DF00C5">
            <w:pPr>
              <w:autoSpaceDE w:val="0"/>
              <w:autoSpaceDN w:val="0"/>
              <w:adjustRightInd w:val="0"/>
              <w:jc w:val="right"/>
              <w:rPr>
                <w:rFonts w:ascii="Arial" w:hAnsi="Arial" w:cs="Arial"/>
                <w:lang w:val="tr-TR"/>
              </w:rPr>
            </w:pPr>
            <w:r w:rsidRPr="00D00722">
              <w:rPr>
                <w:rFonts w:ascii="Arial" w:hAnsi="Arial" w:cs="Arial"/>
                <w:lang w:val="tr-TR"/>
              </w:rPr>
              <w:t>(316.912)</w:t>
            </w:r>
          </w:p>
        </w:tc>
      </w:tr>
    </w:tbl>
    <w:p w:rsidR="0015474E" w:rsidRPr="00D00722" w:rsidRDefault="0015474E" w:rsidP="0090567F">
      <w:pPr>
        <w:autoSpaceDE w:val="0"/>
        <w:autoSpaceDN w:val="0"/>
        <w:adjustRightInd w:val="0"/>
        <w:rPr>
          <w:rFonts w:ascii="Arial" w:hAnsi="Arial" w:cs="Arial"/>
          <w:lang w:val="tr-TR"/>
        </w:rPr>
      </w:pPr>
    </w:p>
    <w:p w:rsidR="008E1A75" w:rsidRPr="00D00722" w:rsidRDefault="008E1A75" w:rsidP="0090567F">
      <w:pPr>
        <w:autoSpaceDE w:val="0"/>
        <w:autoSpaceDN w:val="0"/>
        <w:adjustRightInd w:val="0"/>
        <w:rPr>
          <w:rFonts w:ascii="Arial" w:hAnsi="Arial" w:cs="Arial"/>
          <w:lang w:val="tr-TR"/>
        </w:rPr>
      </w:pPr>
    </w:p>
    <w:p w:rsidR="008E1A75" w:rsidRPr="00D00722" w:rsidRDefault="008E1A75" w:rsidP="0090567F">
      <w:pPr>
        <w:autoSpaceDE w:val="0"/>
        <w:autoSpaceDN w:val="0"/>
        <w:adjustRightInd w:val="0"/>
        <w:rPr>
          <w:rFonts w:ascii="Arial" w:hAnsi="Arial" w:cs="Arial"/>
          <w:lang w:val="tr-TR"/>
        </w:rPr>
      </w:pPr>
      <w:r w:rsidRPr="00D00722">
        <w:rPr>
          <w:rFonts w:ascii="Arial" w:hAnsi="Arial" w:cs="Arial"/>
          <w:lang w:val="tr-TR"/>
        </w:rPr>
        <w:t>30.09.2013 tarih ve 2013/10 sayılı Yönetim Kurulu kararına istinaden Şirket’in sermayesi 1.700.000 TL’den 3.000.000 TL’ye çıkarılmıştır. Bu kapsamda önceki sermayeyi teşkil eden 1.700.000 TL’nin tamamı pay sahipleri tarafından muvazaadan ari olarak nakden ödenmiştir. Arttırılan 1.300.000 TL pay sahipleri tarafından payları oranında muvazaadan ari olarak nakden ve tamamen taahhüt edilmiştir. Nakit artışların ¼ oranındaki kısmı peşinen ve nakden ödenmiş olup, kalanı en geç 24 ay içinde ödenecektir. Sermaye Piyasası Kurulu’nun 24.12.2013 tarihli yazısına istinaden, sermaye artırım talebi; esas sözleşme değişikliğinin görüşüleceği genel kurul toplantısında Gümrük ve Ticaret Bakanlığı tarafından yayınlanan 25.01.2013 tarih ve 548 sayılı Genelge’de yer alan esaslar çerçevesinde, bütün pay sahiplerinin temsil edilmeleri ve sermaye artırımına ilişkin kararın oybirliğiyle alınması şartıyla olumlu karşılanmıştır. Bu sermaye artırımına istinaden Şirket’in hissedarları tarafından 30.09.2013 tarihinde 6102 Türk Ticaret Kanunu’nun hükmü gereğince Şirket adına Yapı ve Kredi Bankası A.Ş tarafından özel bir hesap açılması talep edilmiştir, ve banka tarafından 290.225 TL “Sermaye artırımına ilişkin taahhüt edilen sermaye payı” açıklaması ile bloke edilmiştir, Şirket’in finansal tablolarında geçmiş yıllar kar/zararlarına eklenmiştir.</w:t>
      </w:r>
    </w:p>
    <w:p w:rsidR="00200144" w:rsidRPr="00D00722" w:rsidRDefault="00200144" w:rsidP="002E291B">
      <w:pPr>
        <w:autoSpaceDE w:val="0"/>
        <w:autoSpaceDN w:val="0"/>
        <w:adjustRightInd w:val="0"/>
        <w:rPr>
          <w:rFonts w:ascii="Arial" w:hAnsi="Arial" w:cs="Arial"/>
          <w:lang w:val="tr-TR"/>
        </w:rPr>
      </w:pPr>
    </w:p>
    <w:p w:rsidR="003B42C2" w:rsidRPr="00D00722" w:rsidRDefault="008649EA">
      <w:pPr>
        <w:rPr>
          <w:rFonts w:ascii="Arial" w:hAnsi="Arial" w:cs="Arial"/>
          <w:b/>
          <w:lang w:val="tr-TR"/>
        </w:rPr>
      </w:pPr>
      <w:r w:rsidRPr="00D00722">
        <w:rPr>
          <w:rFonts w:ascii="Arial" w:hAnsi="Arial" w:cs="Arial"/>
          <w:lang w:val="tr-TR"/>
        </w:rPr>
        <w:t>Ş</w:t>
      </w:r>
      <w:r w:rsidR="002D317E" w:rsidRPr="00D00722">
        <w:rPr>
          <w:rFonts w:ascii="Arial" w:hAnsi="Arial" w:cs="Arial"/>
          <w:lang w:val="tr-TR"/>
        </w:rPr>
        <w:t>irket’in geçmiş yıl kar/(zararları) içerisinde sınıflandırılan olağanüstü yedekler</w:t>
      </w:r>
      <w:r w:rsidR="005273D8" w:rsidRPr="00D00722">
        <w:rPr>
          <w:rFonts w:ascii="Arial" w:hAnsi="Arial" w:cs="Arial"/>
          <w:lang w:val="tr-TR"/>
        </w:rPr>
        <w:t>i</w:t>
      </w:r>
      <w:r w:rsidR="002D317E" w:rsidRPr="00D00722">
        <w:rPr>
          <w:rFonts w:ascii="Arial" w:hAnsi="Arial" w:cs="Arial"/>
          <w:lang w:val="tr-TR"/>
        </w:rPr>
        <w:t xml:space="preserve"> </w:t>
      </w:r>
      <w:r w:rsidR="003972A7" w:rsidRPr="00D00722">
        <w:rPr>
          <w:rFonts w:ascii="Arial" w:hAnsi="Arial" w:cs="Arial"/>
          <w:lang w:val="tr-TR"/>
        </w:rPr>
        <w:t xml:space="preserve">31 </w:t>
      </w:r>
      <w:r w:rsidR="004548C7" w:rsidRPr="00D00722">
        <w:rPr>
          <w:rFonts w:ascii="Arial" w:hAnsi="Arial" w:cs="Arial"/>
          <w:lang w:val="tr-TR"/>
        </w:rPr>
        <w:t>Mart</w:t>
      </w:r>
      <w:r w:rsidR="003972A7" w:rsidRPr="00D00722">
        <w:rPr>
          <w:rFonts w:ascii="Arial" w:hAnsi="Arial" w:cs="Arial"/>
          <w:lang w:val="tr-TR"/>
        </w:rPr>
        <w:t xml:space="preserve"> </w:t>
      </w:r>
      <w:r w:rsidR="006B7B62" w:rsidRPr="00D00722">
        <w:rPr>
          <w:rFonts w:ascii="Arial" w:hAnsi="Arial" w:cs="Arial"/>
          <w:lang w:val="tr-TR"/>
        </w:rPr>
        <w:t>201</w:t>
      </w:r>
      <w:r w:rsidR="004548C7" w:rsidRPr="00D00722">
        <w:rPr>
          <w:rFonts w:ascii="Arial" w:hAnsi="Arial" w:cs="Arial"/>
          <w:lang w:val="tr-TR"/>
        </w:rPr>
        <w:t>4</w:t>
      </w:r>
      <w:r w:rsidR="002B4187" w:rsidRPr="00D00722">
        <w:rPr>
          <w:rFonts w:ascii="Arial" w:hAnsi="Arial" w:cs="Arial"/>
          <w:lang w:val="tr-TR"/>
        </w:rPr>
        <w:t xml:space="preserve"> </w:t>
      </w:r>
      <w:r w:rsidR="002D317E" w:rsidRPr="00D00722">
        <w:rPr>
          <w:rFonts w:ascii="Arial" w:hAnsi="Arial" w:cs="Arial"/>
          <w:lang w:val="tr-TR"/>
        </w:rPr>
        <w:t>t</w:t>
      </w:r>
      <w:r w:rsidR="00F06CFD" w:rsidRPr="00D00722">
        <w:rPr>
          <w:rFonts w:ascii="Arial" w:hAnsi="Arial" w:cs="Arial"/>
          <w:lang w:val="tr-TR"/>
        </w:rPr>
        <w:t xml:space="preserve">arihi </w:t>
      </w:r>
      <w:r w:rsidR="00200AA8" w:rsidRPr="00D00722">
        <w:rPr>
          <w:rFonts w:ascii="Arial" w:hAnsi="Arial" w:cs="Arial"/>
          <w:lang w:val="tr-TR"/>
        </w:rPr>
        <w:t>itibariyl</w:t>
      </w:r>
      <w:r w:rsidR="002E291B" w:rsidRPr="00D00722">
        <w:rPr>
          <w:rFonts w:ascii="Arial" w:hAnsi="Arial" w:cs="Arial"/>
          <w:lang w:val="tr-TR"/>
        </w:rPr>
        <w:t>e</w:t>
      </w:r>
      <w:r w:rsidR="00CC3618" w:rsidRPr="00D00722">
        <w:rPr>
          <w:rFonts w:ascii="Arial" w:hAnsi="Arial" w:cs="Arial"/>
          <w:lang w:val="tr-TR"/>
        </w:rPr>
        <w:t xml:space="preserve"> </w:t>
      </w:r>
      <w:r w:rsidR="002E291B" w:rsidRPr="00D00722">
        <w:rPr>
          <w:rFonts w:ascii="Arial" w:hAnsi="Arial" w:cs="Arial"/>
          <w:lang w:val="tr-TR"/>
        </w:rPr>
        <w:t xml:space="preserve">347.769 </w:t>
      </w:r>
      <w:r w:rsidR="00CC3618" w:rsidRPr="00D00722">
        <w:rPr>
          <w:rFonts w:ascii="Arial" w:hAnsi="Arial" w:cs="Arial"/>
          <w:lang w:val="tr-TR"/>
        </w:rPr>
        <w:t>TL</w:t>
      </w:r>
      <w:r w:rsidR="002D317E" w:rsidRPr="00D00722">
        <w:rPr>
          <w:rFonts w:ascii="Arial" w:hAnsi="Arial" w:cs="Arial"/>
          <w:lang w:val="tr-TR"/>
        </w:rPr>
        <w:t xml:space="preserve"> (</w:t>
      </w:r>
      <w:r w:rsidR="000A744F" w:rsidRPr="00D00722">
        <w:rPr>
          <w:rFonts w:ascii="Arial" w:hAnsi="Arial" w:cs="Arial"/>
          <w:lang w:val="tr-TR"/>
        </w:rPr>
        <w:t xml:space="preserve">31 Aralık </w:t>
      </w:r>
      <w:r w:rsidR="006B7B62" w:rsidRPr="00D00722">
        <w:rPr>
          <w:rFonts w:ascii="Arial" w:hAnsi="Arial" w:cs="Arial"/>
          <w:lang w:val="tr-TR"/>
        </w:rPr>
        <w:t>201</w:t>
      </w:r>
      <w:r w:rsidR="004548C7" w:rsidRPr="00D00722">
        <w:rPr>
          <w:rFonts w:ascii="Arial" w:hAnsi="Arial" w:cs="Arial"/>
          <w:lang w:val="tr-TR"/>
        </w:rPr>
        <w:t>3</w:t>
      </w:r>
      <w:r w:rsidR="00933CD9" w:rsidRPr="00D00722">
        <w:rPr>
          <w:rFonts w:ascii="Arial" w:hAnsi="Arial" w:cs="Arial"/>
          <w:lang w:val="tr-TR"/>
        </w:rPr>
        <w:t xml:space="preserve"> </w:t>
      </w:r>
      <w:r w:rsidR="003F2B3E" w:rsidRPr="00D00722">
        <w:rPr>
          <w:rFonts w:ascii="Arial" w:hAnsi="Arial" w:cs="Arial"/>
          <w:lang w:val="tr-TR"/>
        </w:rPr>
        <w:t>-</w:t>
      </w:r>
      <w:r w:rsidR="008670B2" w:rsidRPr="00D00722">
        <w:rPr>
          <w:rFonts w:ascii="Arial" w:hAnsi="Arial" w:cs="Arial"/>
          <w:lang w:val="tr-TR"/>
        </w:rPr>
        <w:t xml:space="preserve"> </w:t>
      </w:r>
      <w:r w:rsidR="002B4187" w:rsidRPr="00D00722">
        <w:rPr>
          <w:rFonts w:ascii="Arial" w:hAnsi="Arial" w:cs="Arial"/>
          <w:lang w:val="tr-TR"/>
        </w:rPr>
        <w:t xml:space="preserve">347.769 </w:t>
      </w:r>
      <w:r w:rsidR="008670B2" w:rsidRPr="00D00722">
        <w:rPr>
          <w:rFonts w:ascii="Arial" w:hAnsi="Arial" w:cs="Arial"/>
          <w:lang w:val="tr-TR"/>
        </w:rPr>
        <w:t>TL</w:t>
      </w:r>
      <w:r w:rsidR="002D317E" w:rsidRPr="00D00722">
        <w:rPr>
          <w:rFonts w:ascii="Arial" w:hAnsi="Arial" w:cs="Arial"/>
          <w:lang w:val="tr-TR"/>
        </w:rPr>
        <w:t>)’dir.</w:t>
      </w:r>
      <w:r w:rsidR="003B42C2" w:rsidRPr="00D00722">
        <w:rPr>
          <w:rFonts w:ascii="Arial" w:hAnsi="Arial" w:cs="Arial"/>
          <w:b/>
          <w:lang w:val="tr-TR"/>
        </w:rPr>
        <w:br w:type="page"/>
      </w:r>
    </w:p>
    <w:p w:rsidR="0099593D" w:rsidRPr="00D00722" w:rsidRDefault="002E291B" w:rsidP="0099593D">
      <w:pPr>
        <w:tabs>
          <w:tab w:val="right" w:pos="6660"/>
          <w:tab w:val="right" w:pos="8640"/>
        </w:tabs>
        <w:ind w:left="567" w:hanging="567"/>
        <w:rPr>
          <w:rFonts w:ascii="Arial" w:hAnsi="Arial" w:cs="Arial"/>
          <w:b/>
          <w:lang w:val="tr-TR"/>
        </w:rPr>
      </w:pPr>
      <w:r w:rsidRPr="00D00722">
        <w:rPr>
          <w:rFonts w:ascii="Arial" w:hAnsi="Arial" w:cs="Arial"/>
          <w:b/>
          <w:lang w:val="tr-TR"/>
        </w:rPr>
        <w:t>16.</w:t>
      </w:r>
      <w:r w:rsidRPr="00D00722">
        <w:rPr>
          <w:rFonts w:ascii="Arial" w:hAnsi="Arial" w:cs="Arial"/>
          <w:b/>
          <w:lang w:val="tr-TR"/>
        </w:rPr>
        <w:tab/>
        <w:t>Hasılat ve satışların maliyeti</w:t>
      </w:r>
    </w:p>
    <w:p w:rsidR="0099593D" w:rsidRPr="00D00722" w:rsidRDefault="0099593D" w:rsidP="0099593D">
      <w:pPr>
        <w:tabs>
          <w:tab w:val="right" w:pos="6660"/>
          <w:tab w:val="right" w:pos="8640"/>
        </w:tabs>
        <w:ind w:left="567" w:hanging="567"/>
        <w:rPr>
          <w:rFonts w:ascii="Arial" w:hAnsi="Arial" w:cs="Arial"/>
          <w:b/>
          <w:lang w:val="tr-TR"/>
        </w:rPr>
      </w:pPr>
    </w:p>
    <w:p w:rsidR="00E01B6C" w:rsidRPr="00D00722" w:rsidRDefault="002E291B" w:rsidP="0099593D">
      <w:pPr>
        <w:tabs>
          <w:tab w:val="right" w:pos="6660"/>
          <w:tab w:val="right" w:pos="8640"/>
        </w:tabs>
        <w:ind w:left="567" w:hanging="567"/>
        <w:rPr>
          <w:rFonts w:ascii="Arial" w:hAnsi="Arial" w:cs="Arial"/>
          <w:b/>
          <w:lang w:val="tr-TR"/>
        </w:rPr>
      </w:pPr>
      <w:r w:rsidRPr="00D00722">
        <w:rPr>
          <w:rFonts w:ascii="Arial" w:hAnsi="Arial" w:cs="Arial"/>
          <w:b/>
          <w:bCs/>
          <w:color w:val="000000"/>
        </w:rPr>
        <w:t>Hasılat</w:t>
      </w:r>
    </w:p>
    <w:p w:rsidR="00E01B6C" w:rsidRPr="00D00722" w:rsidRDefault="00E01B6C" w:rsidP="0099593D">
      <w:pPr>
        <w:tabs>
          <w:tab w:val="right" w:pos="6660"/>
          <w:tab w:val="right" w:pos="8640"/>
        </w:tabs>
        <w:ind w:left="567" w:hanging="567"/>
        <w:rPr>
          <w:rFonts w:ascii="Arial" w:hAnsi="Arial" w:cs="Arial"/>
          <w:b/>
          <w:lang w:val="tr-TR"/>
        </w:rPr>
      </w:pPr>
    </w:p>
    <w:tbl>
      <w:tblPr>
        <w:tblW w:w="9072" w:type="dxa"/>
        <w:tblInd w:w="108" w:type="dxa"/>
        <w:tblLayout w:type="fixed"/>
        <w:tblLook w:val="0000"/>
      </w:tblPr>
      <w:tblGrid>
        <w:gridCol w:w="5670"/>
        <w:gridCol w:w="1701"/>
        <w:gridCol w:w="1701"/>
      </w:tblGrid>
      <w:tr w:rsidR="008310F3" w:rsidRPr="00D00722" w:rsidTr="003F2B3E">
        <w:trPr>
          <w:trHeight w:val="113"/>
        </w:trPr>
        <w:tc>
          <w:tcPr>
            <w:tcW w:w="5670" w:type="dxa"/>
            <w:tcBorders>
              <w:top w:val="single" w:sz="6" w:space="0" w:color="auto"/>
              <w:left w:val="nil"/>
              <w:bottom w:val="single" w:sz="6" w:space="0" w:color="auto"/>
              <w:right w:val="nil"/>
            </w:tcBorders>
          </w:tcPr>
          <w:p w:rsidR="008310F3" w:rsidRPr="00D00722" w:rsidRDefault="008310F3" w:rsidP="008310F3">
            <w:pPr>
              <w:autoSpaceDE w:val="0"/>
              <w:autoSpaceDN w:val="0"/>
              <w:adjustRightInd w:val="0"/>
              <w:rPr>
                <w:rFonts w:ascii="Arial" w:hAnsi="Arial" w:cs="Arial"/>
                <w:b/>
                <w:bCs/>
                <w:color w:val="000000"/>
              </w:rPr>
            </w:pPr>
          </w:p>
        </w:tc>
        <w:tc>
          <w:tcPr>
            <w:tcW w:w="1701" w:type="dxa"/>
            <w:tcBorders>
              <w:top w:val="single" w:sz="6" w:space="0" w:color="auto"/>
              <w:left w:val="nil"/>
              <w:bottom w:val="single" w:sz="6" w:space="0" w:color="auto"/>
              <w:right w:val="nil"/>
            </w:tcBorders>
            <w:vAlign w:val="bottom"/>
          </w:tcPr>
          <w:p w:rsidR="003F2B3E" w:rsidRPr="00D00722" w:rsidRDefault="008310F3" w:rsidP="003F2B3E">
            <w:pPr>
              <w:autoSpaceDE w:val="0"/>
              <w:autoSpaceDN w:val="0"/>
              <w:adjustRightInd w:val="0"/>
              <w:jc w:val="right"/>
              <w:rPr>
                <w:rFonts w:ascii="Arial" w:hAnsi="Arial" w:cs="Arial"/>
                <w:b/>
                <w:bCs/>
                <w:color w:val="000000"/>
              </w:rPr>
            </w:pPr>
            <w:r w:rsidRPr="00D00722">
              <w:rPr>
                <w:rFonts w:ascii="Arial" w:hAnsi="Arial" w:cs="Arial"/>
                <w:b/>
                <w:bCs/>
                <w:color w:val="000000"/>
              </w:rPr>
              <w:t>1 Ocak -</w:t>
            </w:r>
          </w:p>
          <w:p w:rsidR="008310F3" w:rsidRPr="00D00722" w:rsidRDefault="008310F3" w:rsidP="00A70549">
            <w:pPr>
              <w:autoSpaceDE w:val="0"/>
              <w:autoSpaceDN w:val="0"/>
              <w:adjustRightInd w:val="0"/>
              <w:jc w:val="right"/>
              <w:rPr>
                <w:rFonts w:ascii="Arial" w:hAnsi="Arial" w:cs="Arial"/>
                <w:b/>
                <w:bCs/>
                <w:color w:val="000000"/>
              </w:rPr>
            </w:pPr>
            <w:r w:rsidRPr="00D00722">
              <w:rPr>
                <w:rFonts w:ascii="Arial" w:hAnsi="Arial" w:cs="Arial"/>
                <w:b/>
                <w:bCs/>
                <w:color w:val="000000"/>
              </w:rPr>
              <w:t xml:space="preserve">31 </w:t>
            </w:r>
            <w:r w:rsidR="00A70549" w:rsidRPr="00D00722">
              <w:rPr>
                <w:rFonts w:ascii="Arial" w:hAnsi="Arial" w:cs="Arial"/>
                <w:b/>
                <w:bCs/>
                <w:color w:val="000000"/>
              </w:rPr>
              <w:t xml:space="preserve">Mart </w:t>
            </w:r>
            <w:r w:rsidR="00350F68" w:rsidRPr="00D00722">
              <w:rPr>
                <w:rFonts w:ascii="Arial" w:hAnsi="Arial" w:cs="Arial"/>
                <w:b/>
                <w:bCs/>
                <w:color w:val="000000"/>
              </w:rPr>
              <w:t>201</w:t>
            </w:r>
            <w:r w:rsidR="00A70549" w:rsidRPr="00D00722">
              <w:rPr>
                <w:rFonts w:ascii="Arial" w:hAnsi="Arial" w:cs="Arial"/>
                <w:b/>
                <w:bCs/>
                <w:color w:val="000000"/>
              </w:rPr>
              <w:t>4</w:t>
            </w:r>
          </w:p>
        </w:tc>
        <w:tc>
          <w:tcPr>
            <w:tcW w:w="1701" w:type="dxa"/>
            <w:tcBorders>
              <w:top w:val="single" w:sz="6" w:space="0" w:color="auto"/>
              <w:left w:val="nil"/>
              <w:bottom w:val="single" w:sz="6" w:space="0" w:color="auto"/>
              <w:right w:val="nil"/>
            </w:tcBorders>
            <w:vAlign w:val="bottom"/>
          </w:tcPr>
          <w:p w:rsidR="003F2B3E" w:rsidRPr="00D00722" w:rsidRDefault="008310F3" w:rsidP="003F2B3E">
            <w:pPr>
              <w:autoSpaceDE w:val="0"/>
              <w:autoSpaceDN w:val="0"/>
              <w:adjustRightInd w:val="0"/>
              <w:jc w:val="right"/>
              <w:rPr>
                <w:rFonts w:ascii="Arial" w:hAnsi="Arial" w:cs="Arial"/>
                <w:bCs/>
                <w:color w:val="000000"/>
              </w:rPr>
            </w:pPr>
            <w:r w:rsidRPr="00D00722">
              <w:rPr>
                <w:rFonts w:ascii="Arial" w:hAnsi="Arial" w:cs="Arial"/>
                <w:bCs/>
                <w:color w:val="000000"/>
              </w:rPr>
              <w:t>1 Ocak -</w:t>
            </w:r>
          </w:p>
          <w:p w:rsidR="008310F3" w:rsidRPr="00D00722" w:rsidRDefault="008310F3" w:rsidP="00A70549">
            <w:pPr>
              <w:autoSpaceDE w:val="0"/>
              <w:autoSpaceDN w:val="0"/>
              <w:adjustRightInd w:val="0"/>
              <w:jc w:val="right"/>
              <w:rPr>
                <w:rFonts w:ascii="Arial" w:hAnsi="Arial" w:cs="Arial"/>
                <w:b/>
                <w:bCs/>
                <w:color w:val="000000"/>
              </w:rPr>
            </w:pPr>
            <w:r w:rsidRPr="00D00722">
              <w:rPr>
                <w:rFonts w:ascii="Arial" w:hAnsi="Arial" w:cs="Arial"/>
                <w:bCs/>
                <w:color w:val="000000"/>
              </w:rPr>
              <w:t xml:space="preserve">31 </w:t>
            </w:r>
            <w:r w:rsidR="00A70549" w:rsidRPr="00D00722">
              <w:rPr>
                <w:rFonts w:ascii="Arial" w:hAnsi="Arial" w:cs="Arial"/>
                <w:bCs/>
                <w:color w:val="000000"/>
              </w:rPr>
              <w:t>Mart</w:t>
            </w:r>
            <w:r w:rsidRPr="00D00722">
              <w:rPr>
                <w:rFonts w:ascii="Arial" w:hAnsi="Arial" w:cs="Arial"/>
                <w:bCs/>
                <w:color w:val="000000"/>
              </w:rPr>
              <w:t xml:space="preserve"> </w:t>
            </w:r>
            <w:r w:rsidR="00350F68" w:rsidRPr="00D00722">
              <w:rPr>
                <w:rFonts w:ascii="Arial" w:hAnsi="Arial" w:cs="Arial"/>
                <w:bCs/>
                <w:color w:val="000000"/>
              </w:rPr>
              <w:t>201</w:t>
            </w:r>
            <w:r w:rsidR="00A70549" w:rsidRPr="00D00722">
              <w:rPr>
                <w:rFonts w:ascii="Arial" w:hAnsi="Arial" w:cs="Arial"/>
                <w:bCs/>
                <w:color w:val="000000"/>
              </w:rPr>
              <w:t>3</w:t>
            </w:r>
          </w:p>
        </w:tc>
      </w:tr>
      <w:tr w:rsidR="008310F3" w:rsidRPr="00D00722" w:rsidTr="003F2B3E">
        <w:trPr>
          <w:trHeight w:val="113"/>
        </w:trPr>
        <w:tc>
          <w:tcPr>
            <w:tcW w:w="5670" w:type="dxa"/>
            <w:tcBorders>
              <w:top w:val="single" w:sz="6" w:space="0" w:color="auto"/>
              <w:left w:val="nil"/>
              <w:bottom w:val="nil"/>
              <w:right w:val="nil"/>
            </w:tcBorders>
          </w:tcPr>
          <w:p w:rsidR="008310F3" w:rsidRPr="00D00722" w:rsidRDefault="008310F3" w:rsidP="008310F3">
            <w:pPr>
              <w:autoSpaceDE w:val="0"/>
              <w:autoSpaceDN w:val="0"/>
              <w:adjustRightInd w:val="0"/>
              <w:rPr>
                <w:rFonts w:ascii="Arial" w:hAnsi="Arial" w:cs="Arial"/>
                <w:color w:val="000000"/>
              </w:rPr>
            </w:pPr>
          </w:p>
        </w:tc>
        <w:tc>
          <w:tcPr>
            <w:tcW w:w="1701" w:type="dxa"/>
            <w:tcBorders>
              <w:top w:val="single" w:sz="6" w:space="0" w:color="auto"/>
              <w:left w:val="nil"/>
              <w:bottom w:val="nil"/>
              <w:right w:val="nil"/>
            </w:tcBorders>
            <w:vAlign w:val="bottom"/>
          </w:tcPr>
          <w:p w:rsidR="008310F3" w:rsidRPr="00D00722" w:rsidRDefault="008310F3" w:rsidP="003F2B3E">
            <w:pPr>
              <w:autoSpaceDE w:val="0"/>
              <w:autoSpaceDN w:val="0"/>
              <w:adjustRightInd w:val="0"/>
              <w:jc w:val="right"/>
              <w:rPr>
                <w:rFonts w:ascii="Arial" w:hAnsi="Arial" w:cs="Arial"/>
                <w:color w:val="000000"/>
              </w:rPr>
            </w:pPr>
          </w:p>
        </w:tc>
        <w:tc>
          <w:tcPr>
            <w:tcW w:w="1701" w:type="dxa"/>
            <w:tcBorders>
              <w:top w:val="single" w:sz="6" w:space="0" w:color="auto"/>
              <w:left w:val="nil"/>
              <w:bottom w:val="nil"/>
              <w:right w:val="nil"/>
            </w:tcBorders>
            <w:vAlign w:val="bottom"/>
          </w:tcPr>
          <w:p w:rsidR="008310F3" w:rsidRPr="00D00722" w:rsidRDefault="008310F3" w:rsidP="003F2B3E">
            <w:pPr>
              <w:autoSpaceDE w:val="0"/>
              <w:autoSpaceDN w:val="0"/>
              <w:adjustRightInd w:val="0"/>
              <w:jc w:val="right"/>
              <w:rPr>
                <w:rFonts w:ascii="Arial" w:hAnsi="Arial" w:cs="Arial"/>
                <w:color w:val="000000"/>
              </w:rPr>
            </w:pPr>
          </w:p>
        </w:tc>
      </w:tr>
      <w:tr w:rsidR="006B7B62" w:rsidRPr="00D00722" w:rsidTr="003F2B3E">
        <w:trPr>
          <w:trHeight w:val="113"/>
        </w:trPr>
        <w:tc>
          <w:tcPr>
            <w:tcW w:w="5670" w:type="dxa"/>
            <w:tcBorders>
              <w:top w:val="nil"/>
              <w:left w:val="nil"/>
              <w:bottom w:val="nil"/>
              <w:right w:val="nil"/>
            </w:tcBorders>
          </w:tcPr>
          <w:p w:rsidR="006B7B62" w:rsidRPr="00D00722" w:rsidRDefault="006B7B62" w:rsidP="008310F3">
            <w:pPr>
              <w:autoSpaceDE w:val="0"/>
              <w:autoSpaceDN w:val="0"/>
              <w:adjustRightInd w:val="0"/>
              <w:rPr>
                <w:rFonts w:ascii="Arial" w:hAnsi="Arial" w:cs="Arial"/>
                <w:color w:val="000000"/>
              </w:rPr>
            </w:pPr>
            <w:r w:rsidRPr="00D00722">
              <w:rPr>
                <w:rFonts w:ascii="Arial" w:hAnsi="Arial" w:cs="Arial"/>
                <w:color w:val="000000"/>
              </w:rPr>
              <w:t>Portföy yönetim komisyonlar</w:t>
            </w:r>
            <w:r w:rsidR="002E291B" w:rsidRPr="00D00722">
              <w:rPr>
                <w:rFonts w:ascii="Arial" w:hAnsi="Arial" w:cs="Arial"/>
                <w:color w:val="000000"/>
              </w:rPr>
              <w:t>ı</w:t>
            </w:r>
          </w:p>
        </w:tc>
        <w:tc>
          <w:tcPr>
            <w:tcW w:w="1701" w:type="dxa"/>
            <w:tcBorders>
              <w:top w:val="nil"/>
              <w:left w:val="nil"/>
              <w:bottom w:val="nil"/>
              <w:right w:val="nil"/>
            </w:tcBorders>
            <w:vAlign w:val="bottom"/>
          </w:tcPr>
          <w:p w:rsidR="006B7B62" w:rsidRPr="00D00722" w:rsidRDefault="008C0361" w:rsidP="003F2B3E">
            <w:pPr>
              <w:autoSpaceDE w:val="0"/>
              <w:autoSpaceDN w:val="0"/>
              <w:adjustRightInd w:val="0"/>
              <w:jc w:val="right"/>
              <w:rPr>
                <w:rFonts w:ascii="Arial" w:hAnsi="Arial" w:cs="Arial"/>
                <w:b/>
                <w:bCs/>
                <w:color w:val="000000"/>
              </w:rPr>
            </w:pPr>
            <w:r w:rsidRPr="00D00722">
              <w:rPr>
                <w:rFonts w:ascii="Arial" w:hAnsi="Arial" w:cs="Arial"/>
                <w:b/>
                <w:bCs/>
                <w:color w:val="000000"/>
              </w:rPr>
              <w:t>381.236</w:t>
            </w:r>
          </w:p>
        </w:tc>
        <w:tc>
          <w:tcPr>
            <w:tcW w:w="1701" w:type="dxa"/>
            <w:tcBorders>
              <w:top w:val="nil"/>
              <w:left w:val="nil"/>
              <w:bottom w:val="nil"/>
              <w:right w:val="nil"/>
            </w:tcBorders>
            <w:vAlign w:val="bottom"/>
          </w:tcPr>
          <w:p w:rsidR="006B7B62" w:rsidRPr="00D00722" w:rsidRDefault="00A70549" w:rsidP="00A70549">
            <w:pPr>
              <w:autoSpaceDE w:val="0"/>
              <w:autoSpaceDN w:val="0"/>
              <w:adjustRightInd w:val="0"/>
              <w:jc w:val="right"/>
              <w:rPr>
                <w:rFonts w:ascii="Arial" w:hAnsi="Arial" w:cs="Arial"/>
                <w:bCs/>
                <w:color w:val="000000"/>
              </w:rPr>
            </w:pPr>
            <w:r w:rsidRPr="00D00722">
              <w:rPr>
                <w:rFonts w:ascii="Arial" w:hAnsi="Arial" w:cs="Arial"/>
                <w:bCs/>
                <w:color w:val="000000"/>
              </w:rPr>
              <w:t>588.244</w:t>
            </w:r>
          </w:p>
        </w:tc>
      </w:tr>
      <w:tr w:rsidR="006B7B62" w:rsidRPr="00D00722" w:rsidTr="003F2B3E">
        <w:trPr>
          <w:trHeight w:val="113"/>
        </w:trPr>
        <w:tc>
          <w:tcPr>
            <w:tcW w:w="5670" w:type="dxa"/>
            <w:tcBorders>
              <w:top w:val="nil"/>
              <w:left w:val="nil"/>
              <w:bottom w:val="nil"/>
              <w:right w:val="nil"/>
            </w:tcBorders>
          </w:tcPr>
          <w:p w:rsidR="006B7B62" w:rsidRPr="00D00722" w:rsidRDefault="006B7B62" w:rsidP="008310F3">
            <w:pPr>
              <w:autoSpaceDE w:val="0"/>
              <w:autoSpaceDN w:val="0"/>
              <w:adjustRightInd w:val="0"/>
              <w:rPr>
                <w:rFonts w:ascii="Arial" w:hAnsi="Arial" w:cs="Arial"/>
                <w:color w:val="000000"/>
              </w:rPr>
            </w:pPr>
            <w:r w:rsidRPr="00D00722">
              <w:rPr>
                <w:rFonts w:ascii="Arial" w:hAnsi="Arial" w:cs="Arial"/>
                <w:color w:val="000000"/>
              </w:rPr>
              <w:t>Portföy yönetim ücreti</w:t>
            </w:r>
          </w:p>
        </w:tc>
        <w:tc>
          <w:tcPr>
            <w:tcW w:w="1701" w:type="dxa"/>
            <w:tcBorders>
              <w:top w:val="nil"/>
              <w:left w:val="nil"/>
              <w:bottom w:val="nil"/>
              <w:right w:val="nil"/>
            </w:tcBorders>
            <w:vAlign w:val="bottom"/>
          </w:tcPr>
          <w:p w:rsidR="006B7B62" w:rsidRPr="00D00722" w:rsidRDefault="008C0361" w:rsidP="00B12161">
            <w:pPr>
              <w:autoSpaceDE w:val="0"/>
              <w:autoSpaceDN w:val="0"/>
              <w:adjustRightInd w:val="0"/>
              <w:jc w:val="right"/>
              <w:rPr>
                <w:rFonts w:ascii="Arial" w:hAnsi="Arial" w:cs="Arial"/>
                <w:b/>
                <w:bCs/>
                <w:color w:val="000000"/>
              </w:rPr>
            </w:pPr>
            <w:r w:rsidRPr="00D00722">
              <w:rPr>
                <w:rFonts w:ascii="Arial" w:hAnsi="Arial" w:cs="Arial"/>
                <w:b/>
                <w:bCs/>
                <w:color w:val="000000"/>
              </w:rPr>
              <w:t>6.26</w:t>
            </w:r>
            <w:r w:rsidR="00B12161" w:rsidRPr="00D00722">
              <w:rPr>
                <w:rFonts w:ascii="Arial" w:hAnsi="Arial" w:cs="Arial"/>
                <w:b/>
                <w:bCs/>
                <w:color w:val="000000"/>
              </w:rPr>
              <w:t>7</w:t>
            </w:r>
          </w:p>
        </w:tc>
        <w:tc>
          <w:tcPr>
            <w:tcW w:w="1701" w:type="dxa"/>
            <w:tcBorders>
              <w:top w:val="nil"/>
              <w:left w:val="nil"/>
              <w:bottom w:val="nil"/>
              <w:right w:val="nil"/>
            </w:tcBorders>
            <w:vAlign w:val="bottom"/>
          </w:tcPr>
          <w:p w:rsidR="006B7B62" w:rsidRPr="00D00722" w:rsidRDefault="00A70549" w:rsidP="002E27C3">
            <w:pPr>
              <w:autoSpaceDE w:val="0"/>
              <w:autoSpaceDN w:val="0"/>
              <w:adjustRightInd w:val="0"/>
              <w:jc w:val="right"/>
              <w:rPr>
                <w:rFonts w:ascii="Arial" w:hAnsi="Arial" w:cs="Arial"/>
                <w:bCs/>
                <w:color w:val="000000"/>
              </w:rPr>
            </w:pPr>
            <w:r w:rsidRPr="00D00722">
              <w:rPr>
                <w:rFonts w:ascii="Arial" w:hAnsi="Arial" w:cs="Arial"/>
                <w:bCs/>
                <w:color w:val="000000"/>
              </w:rPr>
              <w:t>3.000</w:t>
            </w:r>
          </w:p>
        </w:tc>
      </w:tr>
      <w:tr w:rsidR="006B7B62" w:rsidRPr="00D00722" w:rsidTr="003F2B3E">
        <w:trPr>
          <w:trHeight w:val="113"/>
        </w:trPr>
        <w:tc>
          <w:tcPr>
            <w:tcW w:w="5670" w:type="dxa"/>
            <w:tcBorders>
              <w:top w:val="nil"/>
              <w:left w:val="nil"/>
              <w:bottom w:val="single" w:sz="6" w:space="0" w:color="auto"/>
              <w:right w:val="nil"/>
            </w:tcBorders>
          </w:tcPr>
          <w:p w:rsidR="006B7B62" w:rsidRPr="00D00722" w:rsidRDefault="006B7B62" w:rsidP="008310F3">
            <w:pPr>
              <w:autoSpaceDE w:val="0"/>
              <w:autoSpaceDN w:val="0"/>
              <w:adjustRightInd w:val="0"/>
              <w:rPr>
                <w:rFonts w:ascii="Arial" w:hAnsi="Arial" w:cs="Arial"/>
                <w:color w:val="000000"/>
              </w:rPr>
            </w:pPr>
          </w:p>
        </w:tc>
        <w:tc>
          <w:tcPr>
            <w:tcW w:w="1701" w:type="dxa"/>
            <w:tcBorders>
              <w:top w:val="nil"/>
              <w:left w:val="nil"/>
              <w:bottom w:val="single" w:sz="6" w:space="0" w:color="auto"/>
              <w:right w:val="nil"/>
            </w:tcBorders>
            <w:vAlign w:val="bottom"/>
          </w:tcPr>
          <w:p w:rsidR="006B7B62" w:rsidRPr="00D00722" w:rsidRDefault="006B7B62" w:rsidP="003F2B3E">
            <w:pPr>
              <w:autoSpaceDE w:val="0"/>
              <w:autoSpaceDN w:val="0"/>
              <w:adjustRightInd w:val="0"/>
              <w:jc w:val="right"/>
              <w:rPr>
                <w:rFonts w:ascii="Arial" w:hAnsi="Arial" w:cs="Arial"/>
                <w:color w:val="000000"/>
              </w:rPr>
            </w:pPr>
          </w:p>
        </w:tc>
        <w:tc>
          <w:tcPr>
            <w:tcW w:w="1701" w:type="dxa"/>
            <w:tcBorders>
              <w:top w:val="nil"/>
              <w:left w:val="nil"/>
              <w:bottom w:val="single" w:sz="6" w:space="0" w:color="auto"/>
              <w:right w:val="nil"/>
            </w:tcBorders>
            <w:vAlign w:val="bottom"/>
          </w:tcPr>
          <w:p w:rsidR="006B7B62" w:rsidRPr="00D00722" w:rsidRDefault="006B7B62" w:rsidP="002E27C3">
            <w:pPr>
              <w:autoSpaceDE w:val="0"/>
              <w:autoSpaceDN w:val="0"/>
              <w:adjustRightInd w:val="0"/>
              <w:jc w:val="right"/>
              <w:rPr>
                <w:rFonts w:ascii="Arial" w:hAnsi="Arial" w:cs="Arial"/>
                <w:color w:val="000000"/>
              </w:rPr>
            </w:pPr>
          </w:p>
        </w:tc>
      </w:tr>
      <w:tr w:rsidR="006B7B62" w:rsidRPr="00D00722" w:rsidTr="003F2B3E">
        <w:trPr>
          <w:trHeight w:val="113"/>
        </w:trPr>
        <w:tc>
          <w:tcPr>
            <w:tcW w:w="5670" w:type="dxa"/>
            <w:tcBorders>
              <w:top w:val="single" w:sz="6" w:space="0" w:color="auto"/>
              <w:left w:val="nil"/>
              <w:bottom w:val="double" w:sz="6" w:space="0" w:color="auto"/>
              <w:right w:val="nil"/>
            </w:tcBorders>
          </w:tcPr>
          <w:p w:rsidR="006B7B62" w:rsidRPr="00D00722" w:rsidRDefault="006B7B62" w:rsidP="008310F3">
            <w:pPr>
              <w:autoSpaceDE w:val="0"/>
              <w:autoSpaceDN w:val="0"/>
              <w:adjustRightInd w:val="0"/>
              <w:rPr>
                <w:rFonts w:ascii="Arial" w:hAnsi="Arial" w:cs="Arial"/>
                <w:color w:val="000000"/>
              </w:rPr>
            </w:pPr>
          </w:p>
        </w:tc>
        <w:tc>
          <w:tcPr>
            <w:tcW w:w="1701" w:type="dxa"/>
            <w:tcBorders>
              <w:top w:val="single" w:sz="6" w:space="0" w:color="auto"/>
              <w:left w:val="nil"/>
              <w:bottom w:val="double" w:sz="6" w:space="0" w:color="auto"/>
              <w:right w:val="nil"/>
            </w:tcBorders>
            <w:vAlign w:val="bottom"/>
          </w:tcPr>
          <w:p w:rsidR="006B7B62" w:rsidRPr="00D00722" w:rsidRDefault="008C0361" w:rsidP="003F2B3E">
            <w:pPr>
              <w:autoSpaceDE w:val="0"/>
              <w:autoSpaceDN w:val="0"/>
              <w:adjustRightInd w:val="0"/>
              <w:jc w:val="right"/>
              <w:rPr>
                <w:rFonts w:ascii="Arial" w:hAnsi="Arial" w:cs="Arial"/>
                <w:b/>
                <w:bCs/>
                <w:color w:val="000000"/>
              </w:rPr>
            </w:pPr>
            <w:r w:rsidRPr="00D00722">
              <w:rPr>
                <w:rFonts w:ascii="Arial" w:hAnsi="Arial" w:cs="Arial"/>
                <w:b/>
                <w:bCs/>
                <w:color w:val="000000"/>
              </w:rPr>
              <w:t>387.503</w:t>
            </w:r>
          </w:p>
        </w:tc>
        <w:tc>
          <w:tcPr>
            <w:tcW w:w="1701" w:type="dxa"/>
            <w:tcBorders>
              <w:top w:val="single" w:sz="6" w:space="0" w:color="auto"/>
              <w:left w:val="nil"/>
              <w:bottom w:val="double" w:sz="6" w:space="0" w:color="auto"/>
              <w:right w:val="nil"/>
            </w:tcBorders>
            <w:vAlign w:val="bottom"/>
          </w:tcPr>
          <w:p w:rsidR="006B7B62" w:rsidRPr="00D00722" w:rsidRDefault="00A70549" w:rsidP="002E27C3">
            <w:pPr>
              <w:autoSpaceDE w:val="0"/>
              <w:autoSpaceDN w:val="0"/>
              <w:adjustRightInd w:val="0"/>
              <w:jc w:val="right"/>
              <w:rPr>
                <w:rFonts w:ascii="Arial" w:hAnsi="Arial" w:cs="Arial"/>
                <w:bCs/>
                <w:color w:val="000000"/>
              </w:rPr>
            </w:pPr>
            <w:r w:rsidRPr="00D00722">
              <w:rPr>
                <w:rFonts w:ascii="Arial" w:hAnsi="Arial" w:cs="Arial"/>
                <w:bCs/>
                <w:color w:val="000000"/>
              </w:rPr>
              <w:t>591.244</w:t>
            </w:r>
          </w:p>
        </w:tc>
      </w:tr>
    </w:tbl>
    <w:p w:rsidR="00B37F4A" w:rsidRPr="00D00722" w:rsidRDefault="00B37F4A">
      <w:pPr>
        <w:rPr>
          <w:rFonts w:ascii="Arial" w:hAnsi="Arial" w:cs="Arial"/>
          <w:b/>
          <w:lang w:val="tr-TR"/>
        </w:rPr>
      </w:pPr>
    </w:p>
    <w:p w:rsidR="003B42C2" w:rsidRPr="00D00722" w:rsidRDefault="003B42C2">
      <w:pPr>
        <w:rPr>
          <w:rFonts w:ascii="Arial" w:hAnsi="Arial" w:cs="Arial"/>
          <w:b/>
          <w:lang w:val="tr-TR"/>
        </w:rPr>
      </w:pPr>
    </w:p>
    <w:p w:rsidR="00B002DE" w:rsidRPr="00D00722" w:rsidRDefault="0075192A" w:rsidP="00B37F4A">
      <w:pPr>
        <w:tabs>
          <w:tab w:val="right" w:pos="6660"/>
          <w:tab w:val="right" w:pos="8640"/>
        </w:tabs>
        <w:spacing w:line="230" w:lineRule="auto"/>
        <w:ind w:left="567" w:hanging="567"/>
        <w:rPr>
          <w:rFonts w:ascii="Arial" w:hAnsi="Arial" w:cs="Arial"/>
          <w:lang w:val="tr-TR"/>
        </w:rPr>
      </w:pPr>
      <w:r w:rsidRPr="00D00722">
        <w:rPr>
          <w:rFonts w:ascii="Arial" w:hAnsi="Arial" w:cs="Arial"/>
          <w:b/>
          <w:lang w:val="tr-TR"/>
        </w:rPr>
        <w:t>17</w:t>
      </w:r>
      <w:r w:rsidR="0099593D" w:rsidRPr="00D00722">
        <w:rPr>
          <w:rFonts w:ascii="Arial" w:hAnsi="Arial" w:cs="Arial"/>
          <w:b/>
          <w:lang w:val="tr-TR"/>
        </w:rPr>
        <w:t>.</w:t>
      </w:r>
      <w:r w:rsidRPr="00D00722">
        <w:rPr>
          <w:rFonts w:ascii="Arial" w:hAnsi="Arial" w:cs="Arial"/>
          <w:b/>
          <w:lang w:val="tr-TR"/>
        </w:rPr>
        <w:tab/>
        <w:t>Genel yönetim</w:t>
      </w:r>
      <w:r w:rsidR="0099593D" w:rsidRPr="00D00722">
        <w:rPr>
          <w:rFonts w:ascii="Arial" w:hAnsi="Arial" w:cs="Arial"/>
          <w:b/>
          <w:lang w:val="tr-TR"/>
        </w:rPr>
        <w:t xml:space="preserve"> giderleri, pazarlama, satış ve dağıtım giderleri, </w:t>
      </w:r>
      <w:r w:rsidR="003C66D3" w:rsidRPr="00D00722">
        <w:rPr>
          <w:rFonts w:ascii="Arial" w:hAnsi="Arial" w:cs="Arial"/>
          <w:b/>
          <w:lang w:val="tr-TR"/>
        </w:rPr>
        <w:t>araştırma ve geliştirme giderleri</w:t>
      </w:r>
    </w:p>
    <w:p w:rsidR="0099593D" w:rsidRPr="00D00722" w:rsidRDefault="0099593D" w:rsidP="00B37F4A">
      <w:pPr>
        <w:tabs>
          <w:tab w:val="right" w:pos="6660"/>
          <w:tab w:val="right" w:pos="8640"/>
        </w:tabs>
        <w:spacing w:line="230" w:lineRule="auto"/>
        <w:ind w:left="567" w:hanging="567"/>
        <w:rPr>
          <w:rFonts w:ascii="Arial" w:hAnsi="Arial" w:cs="Arial"/>
          <w:lang w:val="tr-TR"/>
        </w:rPr>
      </w:pPr>
    </w:p>
    <w:tbl>
      <w:tblPr>
        <w:tblW w:w="9072" w:type="dxa"/>
        <w:tblInd w:w="108" w:type="dxa"/>
        <w:tblLayout w:type="fixed"/>
        <w:tblLook w:val="0000"/>
      </w:tblPr>
      <w:tblGrid>
        <w:gridCol w:w="5670"/>
        <w:gridCol w:w="1843"/>
        <w:gridCol w:w="1559"/>
      </w:tblGrid>
      <w:tr w:rsidR="00DF00C5" w:rsidRPr="00D00722" w:rsidTr="00F94040">
        <w:trPr>
          <w:trHeight w:val="113"/>
        </w:trPr>
        <w:tc>
          <w:tcPr>
            <w:tcW w:w="5670" w:type="dxa"/>
            <w:tcBorders>
              <w:top w:val="single" w:sz="6" w:space="0" w:color="auto"/>
              <w:left w:val="nil"/>
              <w:bottom w:val="single" w:sz="6" w:space="0" w:color="auto"/>
              <w:right w:val="nil"/>
            </w:tcBorders>
          </w:tcPr>
          <w:p w:rsidR="00DF00C5" w:rsidRPr="00D00722" w:rsidRDefault="00DF00C5" w:rsidP="00B37F4A">
            <w:pPr>
              <w:autoSpaceDE w:val="0"/>
              <w:autoSpaceDN w:val="0"/>
              <w:adjustRightInd w:val="0"/>
              <w:spacing w:line="230" w:lineRule="auto"/>
              <w:ind w:hanging="108"/>
              <w:rPr>
                <w:rFonts w:ascii="Arial" w:hAnsi="Arial" w:cs="Arial"/>
                <w:b/>
                <w:bCs/>
                <w:color w:val="000000"/>
              </w:rPr>
            </w:pPr>
          </w:p>
        </w:tc>
        <w:tc>
          <w:tcPr>
            <w:tcW w:w="1843" w:type="dxa"/>
            <w:tcBorders>
              <w:top w:val="single" w:sz="6" w:space="0" w:color="auto"/>
              <w:left w:val="nil"/>
              <w:bottom w:val="single" w:sz="6" w:space="0" w:color="auto"/>
              <w:right w:val="nil"/>
            </w:tcBorders>
            <w:vAlign w:val="bottom"/>
          </w:tcPr>
          <w:p w:rsidR="00DF00C5" w:rsidRPr="00D00722" w:rsidRDefault="00DF00C5" w:rsidP="00DF00C5">
            <w:pPr>
              <w:autoSpaceDE w:val="0"/>
              <w:autoSpaceDN w:val="0"/>
              <w:adjustRightInd w:val="0"/>
              <w:jc w:val="right"/>
              <w:rPr>
                <w:rFonts w:ascii="Arial" w:hAnsi="Arial" w:cs="Arial"/>
                <w:b/>
                <w:bCs/>
                <w:color w:val="000000"/>
              </w:rPr>
            </w:pPr>
            <w:r w:rsidRPr="00D00722">
              <w:rPr>
                <w:rFonts w:ascii="Arial" w:hAnsi="Arial" w:cs="Arial"/>
                <w:b/>
                <w:bCs/>
                <w:color w:val="000000"/>
              </w:rPr>
              <w:t>1 Ocak -</w:t>
            </w:r>
          </w:p>
          <w:p w:rsidR="00DF00C5" w:rsidRPr="00D00722" w:rsidRDefault="00DF00C5" w:rsidP="00DF00C5">
            <w:pPr>
              <w:autoSpaceDE w:val="0"/>
              <w:autoSpaceDN w:val="0"/>
              <w:adjustRightInd w:val="0"/>
              <w:jc w:val="right"/>
              <w:rPr>
                <w:rFonts w:ascii="Arial" w:hAnsi="Arial" w:cs="Arial"/>
                <w:b/>
                <w:bCs/>
                <w:color w:val="000000"/>
              </w:rPr>
            </w:pPr>
            <w:r w:rsidRPr="00D00722">
              <w:rPr>
                <w:rFonts w:ascii="Arial" w:hAnsi="Arial" w:cs="Arial"/>
                <w:b/>
                <w:bCs/>
                <w:color w:val="000000"/>
              </w:rPr>
              <w:t>31 Mart 2014</w:t>
            </w:r>
          </w:p>
        </w:tc>
        <w:tc>
          <w:tcPr>
            <w:tcW w:w="1559" w:type="dxa"/>
            <w:tcBorders>
              <w:top w:val="single" w:sz="6" w:space="0" w:color="auto"/>
              <w:left w:val="nil"/>
              <w:bottom w:val="single" w:sz="6" w:space="0" w:color="auto"/>
              <w:right w:val="nil"/>
            </w:tcBorders>
            <w:vAlign w:val="bottom"/>
          </w:tcPr>
          <w:p w:rsidR="00DF00C5" w:rsidRPr="00D00722" w:rsidRDefault="00DF00C5" w:rsidP="00DF00C5">
            <w:pPr>
              <w:autoSpaceDE w:val="0"/>
              <w:autoSpaceDN w:val="0"/>
              <w:adjustRightInd w:val="0"/>
              <w:jc w:val="right"/>
              <w:rPr>
                <w:rFonts w:ascii="Arial" w:hAnsi="Arial" w:cs="Arial"/>
                <w:bCs/>
                <w:color w:val="000000"/>
              </w:rPr>
            </w:pPr>
            <w:r w:rsidRPr="00D00722">
              <w:rPr>
                <w:rFonts w:ascii="Arial" w:hAnsi="Arial" w:cs="Arial"/>
                <w:bCs/>
                <w:color w:val="000000"/>
              </w:rPr>
              <w:t>1 Ocak -</w:t>
            </w:r>
          </w:p>
          <w:p w:rsidR="00DF00C5" w:rsidRPr="00D00722" w:rsidRDefault="00DF00C5" w:rsidP="00DF00C5">
            <w:pPr>
              <w:autoSpaceDE w:val="0"/>
              <w:autoSpaceDN w:val="0"/>
              <w:adjustRightInd w:val="0"/>
              <w:jc w:val="right"/>
              <w:rPr>
                <w:rFonts w:ascii="Arial" w:hAnsi="Arial" w:cs="Arial"/>
                <w:b/>
                <w:bCs/>
                <w:color w:val="000000"/>
              </w:rPr>
            </w:pPr>
            <w:r w:rsidRPr="00D00722">
              <w:rPr>
                <w:rFonts w:ascii="Arial" w:hAnsi="Arial" w:cs="Arial"/>
                <w:bCs/>
                <w:color w:val="000000"/>
              </w:rPr>
              <w:t>31 Mart 2013</w:t>
            </w:r>
          </w:p>
        </w:tc>
      </w:tr>
      <w:tr w:rsidR="00DC4881" w:rsidRPr="00D00722" w:rsidTr="003F2B3E">
        <w:trPr>
          <w:trHeight w:val="113"/>
        </w:trPr>
        <w:tc>
          <w:tcPr>
            <w:tcW w:w="5670" w:type="dxa"/>
            <w:tcBorders>
              <w:top w:val="nil"/>
              <w:left w:val="nil"/>
              <w:bottom w:val="nil"/>
              <w:right w:val="nil"/>
            </w:tcBorders>
          </w:tcPr>
          <w:p w:rsidR="00DC4881" w:rsidRPr="00D00722" w:rsidRDefault="00DC4881" w:rsidP="00B37F4A">
            <w:pPr>
              <w:autoSpaceDE w:val="0"/>
              <w:autoSpaceDN w:val="0"/>
              <w:adjustRightInd w:val="0"/>
              <w:spacing w:line="230" w:lineRule="auto"/>
              <w:ind w:hanging="108"/>
              <w:jc w:val="right"/>
              <w:rPr>
                <w:rFonts w:ascii="Arial" w:hAnsi="Arial" w:cs="Arial"/>
                <w:color w:val="000000"/>
              </w:rPr>
            </w:pPr>
          </w:p>
        </w:tc>
        <w:tc>
          <w:tcPr>
            <w:tcW w:w="1843" w:type="dxa"/>
            <w:tcBorders>
              <w:top w:val="nil"/>
              <w:left w:val="nil"/>
              <w:bottom w:val="nil"/>
              <w:right w:val="nil"/>
            </w:tcBorders>
          </w:tcPr>
          <w:p w:rsidR="00DC4881" w:rsidRPr="00D00722" w:rsidRDefault="00DC4881" w:rsidP="00B37F4A">
            <w:pPr>
              <w:autoSpaceDE w:val="0"/>
              <w:autoSpaceDN w:val="0"/>
              <w:adjustRightInd w:val="0"/>
              <w:spacing w:line="230" w:lineRule="auto"/>
              <w:jc w:val="right"/>
              <w:rPr>
                <w:rFonts w:ascii="Arial" w:hAnsi="Arial" w:cs="Arial"/>
                <w:color w:val="000000"/>
              </w:rPr>
            </w:pPr>
          </w:p>
        </w:tc>
        <w:tc>
          <w:tcPr>
            <w:tcW w:w="1559" w:type="dxa"/>
            <w:tcBorders>
              <w:top w:val="nil"/>
              <w:left w:val="nil"/>
              <w:bottom w:val="nil"/>
              <w:right w:val="nil"/>
            </w:tcBorders>
          </w:tcPr>
          <w:p w:rsidR="00DC4881" w:rsidRPr="00D00722" w:rsidRDefault="00DC4881" w:rsidP="00DC4881">
            <w:pPr>
              <w:autoSpaceDE w:val="0"/>
              <w:autoSpaceDN w:val="0"/>
              <w:adjustRightInd w:val="0"/>
              <w:spacing w:line="230" w:lineRule="auto"/>
              <w:jc w:val="right"/>
              <w:rPr>
                <w:rFonts w:ascii="Arial" w:hAnsi="Arial" w:cs="Arial"/>
                <w:b/>
                <w:color w:val="000000"/>
              </w:rPr>
            </w:pPr>
          </w:p>
        </w:tc>
      </w:tr>
      <w:tr w:rsidR="00DC4881" w:rsidRPr="00D00722" w:rsidTr="003F2B3E">
        <w:trPr>
          <w:trHeight w:val="113"/>
        </w:trPr>
        <w:tc>
          <w:tcPr>
            <w:tcW w:w="5670" w:type="dxa"/>
            <w:tcBorders>
              <w:top w:val="nil"/>
              <w:left w:val="nil"/>
              <w:bottom w:val="nil"/>
              <w:right w:val="nil"/>
            </w:tcBorders>
          </w:tcPr>
          <w:p w:rsidR="00DC4881" w:rsidRPr="00D00722" w:rsidRDefault="00DC4881" w:rsidP="00B37F4A">
            <w:pPr>
              <w:autoSpaceDE w:val="0"/>
              <w:autoSpaceDN w:val="0"/>
              <w:adjustRightInd w:val="0"/>
              <w:spacing w:line="230" w:lineRule="auto"/>
              <w:ind w:hanging="108"/>
              <w:rPr>
                <w:rFonts w:ascii="Arial" w:hAnsi="Arial" w:cs="Arial"/>
                <w:color w:val="000000"/>
              </w:rPr>
            </w:pPr>
            <w:r w:rsidRPr="00D00722">
              <w:rPr>
                <w:rFonts w:ascii="Arial" w:hAnsi="Arial" w:cs="Arial"/>
                <w:color w:val="000000"/>
              </w:rPr>
              <w:t>Genel yönetim giderleri</w:t>
            </w:r>
          </w:p>
        </w:tc>
        <w:tc>
          <w:tcPr>
            <w:tcW w:w="1843" w:type="dxa"/>
            <w:tcBorders>
              <w:top w:val="nil"/>
              <w:left w:val="nil"/>
              <w:bottom w:val="nil"/>
              <w:right w:val="nil"/>
            </w:tcBorders>
          </w:tcPr>
          <w:p w:rsidR="00DC4881" w:rsidRPr="00D00722" w:rsidRDefault="008C0361" w:rsidP="001E725D">
            <w:pPr>
              <w:autoSpaceDE w:val="0"/>
              <w:autoSpaceDN w:val="0"/>
              <w:adjustRightInd w:val="0"/>
              <w:spacing w:line="230" w:lineRule="auto"/>
              <w:jc w:val="right"/>
              <w:rPr>
                <w:rFonts w:ascii="Arial" w:hAnsi="Arial" w:cs="Arial"/>
                <w:b/>
                <w:bCs/>
                <w:color w:val="000000"/>
              </w:rPr>
            </w:pPr>
            <w:r w:rsidRPr="00D00722">
              <w:rPr>
                <w:rFonts w:ascii="Arial" w:hAnsi="Arial" w:cs="Arial"/>
                <w:b/>
                <w:bCs/>
                <w:color w:val="000000"/>
              </w:rPr>
              <w:t>(697.17</w:t>
            </w:r>
            <w:r w:rsidR="001E725D" w:rsidRPr="00D00722">
              <w:rPr>
                <w:rFonts w:ascii="Arial" w:hAnsi="Arial" w:cs="Arial"/>
                <w:b/>
                <w:bCs/>
                <w:color w:val="000000"/>
              </w:rPr>
              <w:t>5</w:t>
            </w:r>
            <w:r w:rsidRPr="00D00722">
              <w:rPr>
                <w:rFonts w:ascii="Arial" w:hAnsi="Arial" w:cs="Arial"/>
                <w:b/>
                <w:bCs/>
                <w:color w:val="000000"/>
              </w:rPr>
              <w:t>)</w:t>
            </w:r>
          </w:p>
        </w:tc>
        <w:tc>
          <w:tcPr>
            <w:tcW w:w="1559" w:type="dxa"/>
            <w:tcBorders>
              <w:top w:val="nil"/>
              <w:left w:val="nil"/>
              <w:bottom w:val="nil"/>
              <w:right w:val="nil"/>
            </w:tcBorders>
          </w:tcPr>
          <w:p w:rsidR="00DC4881" w:rsidRPr="00D00722" w:rsidRDefault="008C0361" w:rsidP="008C0361">
            <w:pPr>
              <w:autoSpaceDE w:val="0"/>
              <w:autoSpaceDN w:val="0"/>
              <w:adjustRightInd w:val="0"/>
              <w:spacing w:line="230" w:lineRule="auto"/>
              <w:jc w:val="right"/>
              <w:rPr>
                <w:rFonts w:ascii="Arial" w:hAnsi="Arial" w:cs="Arial"/>
                <w:bCs/>
                <w:color w:val="000000"/>
              </w:rPr>
            </w:pPr>
            <w:r w:rsidRPr="00D00722">
              <w:rPr>
                <w:rFonts w:ascii="Arial" w:hAnsi="Arial" w:cs="Arial"/>
                <w:bCs/>
                <w:color w:val="000000"/>
              </w:rPr>
              <w:t>(655.502</w:t>
            </w:r>
            <w:r w:rsidR="00DC4881" w:rsidRPr="00D00722">
              <w:rPr>
                <w:rFonts w:ascii="Arial" w:hAnsi="Arial" w:cs="Arial"/>
                <w:bCs/>
                <w:color w:val="000000"/>
              </w:rPr>
              <w:t>)</w:t>
            </w:r>
          </w:p>
        </w:tc>
      </w:tr>
      <w:tr w:rsidR="00DC4881" w:rsidRPr="00D00722" w:rsidTr="003F2B3E">
        <w:trPr>
          <w:trHeight w:val="113"/>
        </w:trPr>
        <w:tc>
          <w:tcPr>
            <w:tcW w:w="5670" w:type="dxa"/>
            <w:tcBorders>
              <w:top w:val="nil"/>
              <w:left w:val="nil"/>
              <w:bottom w:val="nil"/>
              <w:right w:val="nil"/>
            </w:tcBorders>
          </w:tcPr>
          <w:p w:rsidR="00DC4881" w:rsidRPr="00D00722" w:rsidRDefault="00DC4881" w:rsidP="00B37F4A">
            <w:pPr>
              <w:autoSpaceDE w:val="0"/>
              <w:autoSpaceDN w:val="0"/>
              <w:adjustRightInd w:val="0"/>
              <w:spacing w:line="230" w:lineRule="auto"/>
              <w:ind w:hanging="108"/>
              <w:rPr>
                <w:rFonts w:ascii="Arial" w:hAnsi="Arial" w:cs="Arial"/>
                <w:color w:val="000000"/>
              </w:rPr>
            </w:pPr>
            <w:r w:rsidRPr="00D00722">
              <w:rPr>
                <w:rFonts w:ascii="Arial" w:hAnsi="Arial" w:cs="Arial"/>
                <w:color w:val="000000"/>
              </w:rPr>
              <w:t>Araştırma ve geliştirme giderleri</w:t>
            </w:r>
          </w:p>
        </w:tc>
        <w:tc>
          <w:tcPr>
            <w:tcW w:w="1843" w:type="dxa"/>
            <w:tcBorders>
              <w:top w:val="nil"/>
              <w:left w:val="nil"/>
              <w:bottom w:val="nil"/>
              <w:right w:val="nil"/>
            </w:tcBorders>
          </w:tcPr>
          <w:p w:rsidR="00DC4881" w:rsidRPr="00D00722" w:rsidRDefault="008C0361" w:rsidP="00B37F4A">
            <w:pPr>
              <w:autoSpaceDE w:val="0"/>
              <w:autoSpaceDN w:val="0"/>
              <w:adjustRightInd w:val="0"/>
              <w:spacing w:line="230" w:lineRule="auto"/>
              <w:jc w:val="right"/>
              <w:rPr>
                <w:rFonts w:ascii="Arial" w:hAnsi="Arial" w:cs="Arial"/>
                <w:b/>
                <w:bCs/>
                <w:color w:val="000000"/>
              </w:rPr>
            </w:pPr>
            <w:r w:rsidRPr="00D00722">
              <w:rPr>
                <w:rFonts w:ascii="Arial" w:hAnsi="Arial" w:cs="Arial"/>
                <w:b/>
                <w:bCs/>
                <w:color w:val="000000"/>
              </w:rPr>
              <w:t>(159)</w:t>
            </w:r>
          </w:p>
        </w:tc>
        <w:tc>
          <w:tcPr>
            <w:tcW w:w="1559" w:type="dxa"/>
            <w:tcBorders>
              <w:top w:val="nil"/>
              <w:left w:val="nil"/>
              <w:bottom w:val="nil"/>
              <w:right w:val="nil"/>
            </w:tcBorders>
          </w:tcPr>
          <w:p w:rsidR="00DC4881" w:rsidRPr="00D00722" w:rsidRDefault="00DC4881" w:rsidP="008C0361">
            <w:pPr>
              <w:autoSpaceDE w:val="0"/>
              <w:autoSpaceDN w:val="0"/>
              <w:adjustRightInd w:val="0"/>
              <w:spacing w:line="230" w:lineRule="auto"/>
              <w:jc w:val="right"/>
              <w:rPr>
                <w:rFonts w:ascii="Arial" w:hAnsi="Arial" w:cs="Arial"/>
                <w:bCs/>
                <w:color w:val="000000"/>
              </w:rPr>
            </w:pPr>
            <w:r w:rsidRPr="00D00722">
              <w:rPr>
                <w:rFonts w:ascii="Arial" w:hAnsi="Arial" w:cs="Arial"/>
                <w:bCs/>
                <w:color w:val="000000"/>
              </w:rPr>
              <w:t>(</w:t>
            </w:r>
            <w:r w:rsidR="008C0361" w:rsidRPr="00D00722">
              <w:rPr>
                <w:rFonts w:ascii="Arial" w:hAnsi="Arial" w:cs="Arial"/>
                <w:bCs/>
                <w:color w:val="000000"/>
              </w:rPr>
              <w:t>324</w:t>
            </w:r>
            <w:r w:rsidRPr="00D00722">
              <w:rPr>
                <w:rFonts w:ascii="Arial" w:hAnsi="Arial" w:cs="Arial"/>
                <w:bCs/>
                <w:color w:val="000000"/>
              </w:rPr>
              <w:t>)</w:t>
            </w:r>
          </w:p>
        </w:tc>
      </w:tr>
      <w:tr w:rsidR="00DC4881" w:rsidRPr="00D00722" w:rsidTr="003F2B3E">
        <w:trPr>
          <w:trHeight w:val="113"/>
        </w:trPr>
        <w:tc>
          <w:tcPr>
            <w:tcW w:w="5670" w:type="dxa"/>
            <w:tcBorders>
              <w:top w:val="nil"/>
              <w:left w:val="nil"/>
              <w:bottom w:val="nil"/>
              <w:right w:val="nil"/>
            </w:tcBorders>
          </w:tcPr>
          <w:p w:rsidR="00DC4881" w:rsidRPr="00D00722" w:rsidRDefault="00DC4881" w:rsidP="00B37F4A">
            <w:pPr>
              <w:autoSpaceDE w:val="0"/>
              <w:autoSpaceDN w:val="0"/>
              <w:adjustRightInd w:val="0"/>
              <w:spacing w:line="230" w:lineRule="auto"/>
              <w:ind w:hanging="108"/>
              <w:rPr>
                <w:rFonts w:ascii="Arial" w:hAnsi="Arial" w:cs="Arial"/>
                <w:color w:val="000000"/>
              </w:rPr>
            </w:pPr>
            <w:r w:rsidRPr="00D00722">
              <w:rPr>
                <w:rFonts w:ascii="Arial" w:hAnsi="Arial" w:cs="Arial"/>
                <w:color w:val="000000"/>
              </w:rPr>
              <w:t>Pazarlama, satış ve dağıtım giderleri</w:t>
            </w:r>
          </w:p>
        </w:tc>
        <w:tc>
          <w:tcPr>
            <w:tcW w:w="1843" w:type="dxa"/>
            <w:tcBorders>
              <w:top w:val="nil"/>
              <w:left w:val="nil"/>
              <w:bottom w:val="nil"/>
              <w:right w:val="nil"/>
            </w:tcBorders>
          </w:tcPr>
          <w:p w:rsidR="00DC4881" w:rsidRPr="00D00722" w:rsidRDefault="008C0361" w:rsidP="00B37F4A">
            <w:pPr>
              <w:autoSpaceDE w:val="0"/>
              <w:autoSpaceDN w:val="0"/>
              <w:adjustRightInd w:val="0"/>
              <w:spacing w:line="230" w:lineRule="auto"/>
              <w:jc w:val="right"/>
              <w:rPr>
                <w:rFonts w:ascii="Arial" w:hAnsi="Arial" w:cs="Arial"/>
                <w:b/>
                <w:bCs/>
                <w:color w:val="000000"/>
              </w:rPr>
            </w:pPr>
            <w:r w:rsidRPr="00D00722">
              <w:rPr>
                <w:rFonts w:ascii="Arial" w:hAnsi="Arial" w:cs="Arial"/>
                <w:b/>
                <w:bCs/>
                <w:color w:val="000000"/>
              </w:rPr>
              <w:t>(325)</w:t>
            </w:r>
          </w:p>
        </w:tc>
        <w:tc>
          <w:tcPr>
            <w:tcW w:w="1559" w:type="dxa"/>
            <w:tcBorders>
              <w:top w:val="nil"/>
              <w:left w:val="nil"/>
              <w:bottom w:val="nil"/>
              <w:right w:val="nil"/>
            </w:tcBorders>
          </w:tcPr>
          <w:p w:rsidR="00DC4881" w:rsidRPr="00D00722" w:rsidRDefault="00DC4881" w:rsidP="00DC4881">
            <w:pPr>
              <w:autoSpaceDE w:val="0"/>
              <w:autoSpaceDN w:val="0"/>
              <w:adjustRightInd w:val="0"/>
              <w:spacing w:line="230" w:lineRule="auto"/>
              <w:jc w:val="right"/>
              <w:rPr>
                <w:rFonts w:ascii="Arial" w:hAnsi="Arial" w:cs="Arial"/>
                <w:bCs/>
                <w:color w:val="000000"/>
              </w:rPr>
            </w:pPr>
            <w:r w:rsidRPr="00D00722">
              <w:rPr>
                <w:rFonts w:ascii="Arial" w:hAnsi="Arial" w:cs="Arial"/>
                <w:bCs/>
                <w:color w:val="000000"/>
              </w:rPr>
              <w:t>(366)</w:t>
            </w:r>
          </w:p>
        </w:tc>
      </w:tr>
      <w:tr w:rsidR="00DC4881" w:rsidRPr="00D00722" w:rsidTr="003F2B3E">
        <w:trPr>
          <w:trHeight w:val="113"/>
        </w:trPr>
        <w:tc>
          <w:tcPr>
            <w:tcW w:w="5670" w:type="dxa"/>
            <w:tcBorders>
              <w:top w:val="nil"/>
              <w:left w:val="nil"/>
              <w:bottom w:val="nil"/>
              <w:right w:val="nil"/>
            </w:tcBorders>
          </w:tcPr>
          <w:p w:rsidR="00DC4881" w:rsidRPr="00D00722" w:rsidRDefault="00DC4881" w:rsidP="00B37F4A">
            <w:pPr>
              <w:autoSpaceDE w:val="0"/>
              <w:autoSpaceDN w:val="0"/>
              <w:adjustRightInd w:val="0"/>
              <w:spacing w:line="230" w:lineRule="auto"/>
              <w:ind w:hanging="108"/>
              <w:rPr>
                <w:rFonts w:ascii="Arial" w:hAnsi="Arial" w:cs="Arial"/>
                <w:color w:val="000000"/>
              </w:rPr>
            </w:pPr>
          </w:p>
        </w:tc>
        <w:tc>
          <w:tcPr>
            <w:tcW w:w="1843" w:type="dxa"/>
            <w:tcBorders>
              <w:top w:val="nil"/>
              <w:left w:val="nil"/>
              <w:bottom w:val="nil"/>
              <w:right w:val="nil"/>
            </w:tcBorders>
          </w:tcPr>
          <w:p w:rsidR="00DC4881" w:rsidRPr="00D00722" w:rsidRDefault="00DC4881" w:rsidP="00B37F4A">
            <w:pPr>
              <w:autoSpaceDE w:val="0"/>
              <w:autoSpaceDN w:val="0"/>
              <w:adjustRightInd w:val="0"/>
              <w:spacing w:line="230" w:lineRule="auto"/>
              <w:jc w:val="right"/>
              <w:rPr>
                <w:rFonts w:ascii="Arial" w:hAnsi="Arial" w:cs="Arial"/>
                <w:b/>
                <w:bCs/>
                <w:color w:val="000000"/>
              </w:rPr>
            </w:pPr>
          </w:p>
        </w:tc>
        <w:tc>
          <w:tcPr>
            <w:tcW w:w="1559" w:type="dxa"/>
            <w:tcBorders>
              <w:top w:val="nil"/>
              <w:left w:val="nil"/>
              <w:bottom w:val="nil"/>
              <w:right w:val="nil"/>
            </w:tcBorders>
          </w:tcPr>
          <w:p w:rsidR="00DC4881" w:rsidRPr="00D00722" w:rsidRDefault="00DC4881" w:rsidP="00DC4881">
            <w:pPr>
              <w:autoSpaceDE w:val="0"/>
              <w:autoSpaceDN w:val="0"/>
              <w:adjustRightInd w:val="0"/>
              <w:spacing w:line="230" w:lineRule="auto"/>
              <w:jc w:val="right"/>
              <w:rPr>
                <w:rFonts w:ascii="Arial" w:hAnsi="Arial" w:cs="Arial"/>
                <w:bCs/>
                <w:color w:val="000000"/>
              </w:rPr>
            </w:pPr>
          </w:p>
        </w:tc>
      </w:tr>
      <w:tr w:rsidR="00DC4881" w:rsidRPr="00D00722" w:rsidTr="003F2B3E">
        <w:trPr>
          <w:trHeight w:val="113"/>
        </w:trPr>
        <w:tc>
          <w:tcPr>
            <w:tcW w:w="5670" w:type="dxa"/>
            <w:tcBorders>
              <w:top w:val="single" w:sz="6" w:space="0" w:color="auto"/>
              <w:left w:val="nil"/>
              <w:bottom w:val="double" w:sz="6" w:space="0" w:color="auto"/>
              <w:right w:val="nil"/>
            </w:tcBorders>
          </w:tcPr>
          <w:p w:rsidR="00DC4881" w:rsidRPr="00D00722" w:rsidRDefault="00DC4881" w:rsidP="00B37F4A">
            <w:pPr>
              <w:autoSpaceDE w:val="0"/>
              <w:autoSpaceDN w:val="0"/>
              <w:adjustRightInd w:val="0"/>
              <w:spacing w:line="230" w:lineRule="auto"/>
              <w:ind w:hanging="108"/>
              <w:jc w:val="right"/>
              <w:rPr>
                <w:rFonts w:ascii="Arial" w:hAnsi="Arial" w:cs="Arial"/>
                <w:color w:val="000000"/>
              </w:rPr>
            </w:pPr>
          </w:p>
        </w:tc>
        <w:tc>
          <w:tcPr>
            <w:tcW w:w="1843" w:type="dxa"/>
            <w:tcBorders>
              <w:top w:val="single" w:sz="6" w:space="0" w:color="auto"/>
              <w:left w:val="nil"/>
              <w:bottom w:val="double" w:sz="6" w:space="0" w:color="auto"/>
              <w:right w:val="nil"/>
            </w:tcBorders>
          </w:tcPr>
          <w:p w:rsidR="00DC4881" w:rsidRPr="00D00722" w:rsidRDefault="008C0361" w:rsidP="00AF1716">
            <w:pPr>
              <w:autoSpaceDE w:val="0"/>
              <w:autoSpaceDN w:val="0"/>
              <w:adjustRightInd w:val="0"/>
              <w:spacing w:line="230" w:lineRule="auto"/>
              <w:jc w:val="right"/>
              <w:rPr>
                <w:rFonts w:ascii="Arial" w:hAnsi="Arial" w:cs="Arial"/>
                <w:b/>
                <w:bCs/>
                <w:color w:val="000000"/>
              </w:rPr>
            </w:pPr>
            <w:r w:rsidRPr="00D00722">
              <w:rPr>
                <w:rFonts w:ascii="Arial" w:hAnsi="Arial" w:cs="Arial"/>
                <w:b/>
                <w:bCs/>
                <w:color w:val="000000"/>
              </w:rPr>
              <w:t>(697.65</w:t>
            </w:r>
            <w:r w:rsidR="00AF1716" w:rsidRPr="00D00722">
              <w:rPr>
                <w:rFonts w:ascii="Arial" w:hAnsi="Arial" w:cs="Arial"/>
                <w:b/>
                <w:bCs/>
                <w:color w:val="000000"/>
              </w:rPr>
              <w:t>9</w:t>
            </w:r>
            <w:r w:rsidRPr="00D00722">
              <w:rPr>
                <w:rFonts w:ascii="Arial" w:hAnsi="Arial" w:cs="Arial"/>
                <w:b/>
                <w:bCs/>
                <w:color w:val="000000"/>
              </w:rPr>
              <w:t>)</w:t>
            </w:r>
          </w:p>
        </w:tc>
        <w:tc>
          <w:tcPr>
            <w:tcW w:w="1559" w:type="dxa"/>
            <w:tcBorders>
              <w:top w:val="single" w:sz="6" w:space="0" w:color="auto"/>
              <w:left w:val="nil"/>
              <w:bottom w:val="double" w:sz="6" w:space="0" w:color="auto"/>
              <w:right w:val="nil"/>
            </w:tcBorders>
          </w:tcPr>
          <w:p w:rsidR="00DC4881" w:rsidRPr="00D00722" w:rsidRDefault="00DC4881" w:rsidP="00DC4881">
            <w:pPr>
              <w:autoSpaceDE w:val="0"/>
              <w:autoSpaceDN w:val="0"/>
              <w:adjustRightInd w:val="0"/>
              <w:spacing w:line="230" w:lineRule="auto"/>
              <w:jc w:val="right"/>
              <w:rPr>
                <w:rFonts w:ascii="Arial" w:hAnsi="Arial" w:cs="Arial"/>
                <w:bCs/>
                <w:color w:val="000000"/>
              </w:rPr>
            </w:pPr>
            <w:r w:rsidRPr="00D00722">
              <w:rPr>
                <w:rFonts w:ascii="Arial" w:hAnsi="Arial" w:cs="Arial"/>
                <w:bCs/>
                <w:color w:val="000000"/>
              </w:rPr>
              <w:t>(656.192)</w:t>
            </w:r>
          </w:p>
        </w:tc>
      </w:tr>
    </w:tbl>
    <w:p w:rsidR="003B42C2" w:rsidRPr="00D00722" w:rsidRDefault="003B42C2" w:rsidP="00B37F4A">
      <w:pPr>
        <w:tabs>
          <w:tab w:val="right" w:pos="6660"/>
          <w:tab w:val="right" w:pos="8640"/>
        </w:tabs>
        <w:spacing w:line="230" w:lineRule="auto"/>
        <w:ind w:left="567" w:hanging="567"/>
        <w:rPr>
          <w:rFonts w:ascii="Arial" w:hAnsi="Arial" w:cs="Arial"/>
          <w:b/>
          <w:lang w:val="tr-TR"/>
        </w:rPr>
      </w:pPr>
    </w:p>
    <w:p w:rsidR="003B42C2" w:rsidRPr="00D00722" w:rsidRDefault="003B42C2" w:rsidP="00B37F4A">
      <w:pPr>
        <w:tabs>
          <w:tab w:val="right" w:pos="6660"/>
          <w:tab w:val="right" w:pos="8640"/>
        </w:tabs>
        <w:spacing w:line="230" w:lineRule="auto"/>
        <w:ind w:left="567" w:hanging="567"/>
        <w:rPr>
          <w:rFonts w:ascii="Arial" w:hAnsi="Arial" w:cs="Arial"/>
          <w:b/>
          <w:lang w:val="tr-TR"/>
        </w:rPr>
      </w:pPr>
    </w:p>
    <w:p w:rsidR="0099593D" w:rsidRPr="00D00722" w:rsidRDefault="00D62A94" w:rsidP="00B37F4A">
      <w:pPr>
        <w:tabs>
          <w:tab w:val="right" w:pos="6660"/>
          <w:tab w:val="right" w:pos="8640"/>
        </w:tabs>
        <w:spacing w:line="230" w:lineRule="auto"/>
        <w:ind w:left="567" w:hanging="567"/>
        <w:rPr>
          <w:rFonts w:ascii="Arial" w:hAnsi="Arial" w:cs="Arial"/>
          <w:b/>
          <w:lang w:val="tr-TR"/>
        </w:rPr>
      </w:pPr>
      <w:r w:rsidRPr="00D00722">
        <w:rPr>
          <w:rFonts w:ascii="Arial" w:hAnsi="Arial" w:cs="Arial"/>
          <w:b/>
          <w:lang w:val="tr-TR"/>
        </w:rPr>
        <w:t>18</w:t>
      </w:r>
      <w:r w:rsidR="0099593D" w:rsidRPr="00D00722">
        <w:rPr>
          <w:rFonts w:ascii="Arial" w:hAnsi="Arial" w:cs="Arial"/>
          <w:b/>
          <w:lang w:val="tr-TR"/>
        </w:rPr>
        <w:t>.</w:t>
      </w:r>
      <w:r w:rsidR="00792AEE" w:rsidRPr="00D00722">
        <w:rPr>
          <w:rFonts w:ascii="Arial" w:hAnsi="Arial" w:cs="Arial"/>
          <w:b/>
          <w:lang w:val="tr-TR"/>
        </w:rPr>
        <w:tab/>
      </w:r>
      <w:r w:rsidR="0099593D" w:rsidRPr="00D00722">
        <w:rPr>
          <w:rFonts w:ascii="Arial" w:hAnsi="Arial" w:cs="Arial"/>
          <w:b/>
          <w:lang w:val="tr-TR"/>
        </w:rPr>
        <w:t>Niteliklerine göre giderler</w:t>
      </w:r>
    </w:p>
    <w:p w:rsidR="0099593D" w:rsidRPr="00D00722" w:rsidRDefault="0099593D" w:rsidP="00B37F4A">
      <w:pPr>
        <w:tabs>
          <w:tab w:val="right" w:pos="6660"/>
          <w:tab w:val="right" w:pos="8640"/>
        </w:tabs>
        <w:spacing w:line="230" w:lineRule="auto"/>
        <w:ind w:left="567" w:hanging="567"/>
        <w:rPr>
          <w:rFonts w:ascii="Arial" w:hAnsi="Arial" w:cs="Arial"/>
          <w:b/>
          <w:lang w:val="tr-TR"/>
        </w:rPr>
      </w:pPr>
    </w:p>
    <w:tbl>
      <w:tblPr>
        <w:tblW w:w="9072" w:type="dxa"/>
        <w:tblInd w:w="108" w:type="dxa"/>
        <w:tblLayout w:type="fixed"/>
        <w:tblLook w:val="0000"/>
      </w:tblPr>
      <w:tblGrid>
        <w:gridCol w:w="5670"/>
        <w:gridCol w:w="1843"/>
        <w:gridCol w:w="1559"/>
      </w:tblGrid>
      <w:tr w:rsidR="00DF00C5" w:rsidRPr="00D00722" w:rsidTr="00F94040">
        <w:trPr>
          <w:trHeight w:val="113"/>
        </w:trPr>
        <w:tc>
          <w:tcPr>
            <w:tcW w:w="5670" w:type="dxa"/>
            <w:tcBorders>
              <w:top w:val="single" w:sz="6" w:space="0" w:color="auto"/>
              <w:left w:val="nil"/>
              <w:bottom w:val="single" w:sz="6" w:space="0" w:color="auto"/>
              <w:right w:val="nil"/>
            </w:tcBorders>
          </w:tcPr>
          <w:p w:rsidR="00DF00C5" w:rsidRPr="00D00722" w:rsidRDefault="00DF00C5" w:rsidP="00B37F4A">
            <w:pPr>
              <w:autoSpaceDE w:val="0"/>
              <w:autoSpaceDN w:val="0"/>
              <w:adjustRightInd w:val="0"/>
              <w:spacing w:line="230" w:lineRule="auto"/>
              <w:rPr>
                <w:rFonts w:ascii="Arial" w:hAnsi="Arial" w:cs="Arial"/>
                <w:b/>
                <w:bCs/>
                <w:color w:val="000000"/>
              </w:rPr>
            </w:pPr>
          </w:p>
        </w:tc>
        <w:tc>
          <w:tcPr>
            <w:tcW w:w="1843" w:type="dxa"/>
            <w:tcBorders>
              <w:top w:val="single" w:sz="6" w:space="0" w:color="auto"/>
              <w:left w:val="nil"/>
              <w:bottom w:val="single" w:sz="6" w:space="0" w:color="auto"/>
              <w:right w:val="nil"/>
            </w:tcBorders>
            <w:vAlign w:val="bottom"/>
          </w:tcPr>
          <w:p w:rsidR="00DF00C5" w:rsidRPr="00D00722" w:rsidRDefault="00DF00C5" w:rsidP="00DF00C5">
            <w:pPr>
              <w:autoSpaceDE w:val="0"/>
              <w:autoSpaceDN w:val="0"/>
              <w:adjustRightInd w:val="0"/>
              <w:jc w:val="right"/>
              <w:rPr>
                <w:rFonts w:ascii="Arial" w:hAnsi="Arial" w:cs="Arial"/>
                <w:b/>
                <w:bCs/>
                <w:color w:val="000000"/>
              </w:rPr>
            </w:pPr>
            <w:r w:rsidRPr="00D00722">
              <w:rPr>
                <w:rFonts w:ascii="Arial" w:hAnsi="Arial" w:cs="Arial"/>
                <w:b/>
                <w:bCs/>
                <w:color w:val="000000"/>
              </w:rPr>
              <w:t>1 Ocak -</w:t>
            </w:r>
          </w:p>
          <w:p w:rsidR="00DF00C5" w:rsidRPr="00D00722" w:rsidRDefault="00DF00C5" w:rsidP="00DF00C5">
            <w:pPr>
              <w:autoSpaceDE w:val="0"/>
              <w:autoSpaceDN w:val="0"/>
              <w:adjustRightInd w:val="0"/>
              <w:jc w:val="right"/>
              <w:rPr>
                <w:rFonts w:ascii="Arial" w:hAnsi="Arial" w:cs="Arial"/>
                <w:b/>
                <w:bCs/>
                <w:color w:val="000000"/>
              </w:rPr>
            </w:pPr>
            <w:r w:rsidRPr="00D00722">
              <w:rPr>
                <w:rFonts w:ascii="Arial" w:hAnsi="Arial" w:cs="Arial"/>
                <w:b/>
                <w:bCs/>
                <w:color w:val="000000"/>
              </w:rPr>
              <w:t>31 Mart 2014</w:t>
            </w:r>
          </w:p>
        </w:tc>
        <w:tc>
          <w:tcPr>
            <w:tcW w:w="1559" w:type="dxa"/>
            <w:tcBorders>
              <w:top w:val="single" w:sz="6" w:space="0" w:color="auto"/>
              <w:left w:val="nil"/>
              <w:bottom w:val="single" w:sz="6" w:space="0" w:color="auto"/>
              <w:right w:val="nil"/>
            </w:tcBorders>
            <w:vAlign w:val="bottom"/>
          </w:tcPr>
          <w:p w:rsidR="00DF00C5" w:rsidRPr="00D00722" w:rsidRDefault="00DF00C5" w:rsidP="00DF00C5">
            <w:pPr>
              <w:autoSpaceDE w:val="0"/>
              <w:autoSpaceDN w:val="0"/>
              <w:adjustRightInd w:val="0"/>
              <w:jc w:val="right"/>
              <w:rPr>
                <w:rFonts w:ascii="Arial" w:hAnsi="Arial" w:cs="Arial"/>
                <w:bCs/>
                <w:color w:val="000000"/>
              </w:rPr>
            </w:pPr>
            <w:r w:rsidRPr="00D00722">
              <w:rPr>
                <w:rFonts w:ascii="Arial" w:hAnsi="Arial" w:cs="Arial"/>
                <w:bCs/>
                <w:color w:val="000000"/>
              </w:rPr>
              <w:t>1 Ocak -</w:t>
            </w:r>
          </w:p>
          <w:p w:rsidR="00DF00C5" w:rsidRPr="00D00722" w:rsidRDefault="00DF00C5" w:rsidP="00DF00C5">
            <w:pPr>
              <w:autoSpaceDE w:val="0"/>
              <w:autoSpaceDN w:val="0"/>
              <w:adjustRightInd w:val="0"/>
              <w:jc w:val="right"/>
              <w:rPr>
                <w:rFonts w:ascii="Arial" w:hAnsi="Arial" w:cs="Arial"/>
                <w:b/>
                <w:bCs/>
                <w:color w:val="000000"/>
              </w:rPr>
            </w:pPr>
            <w:r w:rsidRPr="00D00722">
              <w:rPr>
                <w:rFonts w:ascii="Arial" w:hAnsi="Arial" w:cs="Arial"/>
                <w:bCs/>
                <w:color w:val="000000"/>
              </w:rPr>
              <w:t>31 Mart 2013</w:t>
            </w:r>
          </w:p>
        </w:tc>
      </w:tr>
      <w:tr w:rsidR="008310F3" w:rsidRPr="00D00722" w:rsidTr="003F2B3E">
        <w:trPr>
          <w:trHeight w:val="113"/>
        </w:trPr>
        <w:tc>
          <w:tcPr>
            <w:tcW w:w="5670" w:type="dxa"/>
            <w:tcBorders>
              <w:top w:val="nil"/>
              <w:left w:val="nil"/>
              <w:bottom w:val="nil"/>
              <w:right w:val="nil"/>
            </w:tcBorders>
          </w:tcPr>
          <w:p w:rsidR="008310F3" w:rsidRPr="00D00722" w:rsidRDefault="008310F3" w:rsidP="00B37F4A">
            <w:pPr>
              <w:autoSpaceDE w:val="0"/>
              <w:autoSpaceDN w:val="0"/>
              <w:adjustRightInd w:val="0"/>
              <w:spacing w:line="230" w:lineRule="auto"/>
              <w:jc w:val="right"/>
              <w:rPr>
                <w:rFonts w:ascii="Arial" w:hAnsi="Arial" w:cs="Arial"/>
                <w:color w:val="000000"/>
              </w:rPr>
            </w:pPr>
          </w:p>
        </w:tc>
        <w:tc>
          <w:tcPr>
            <w:tcW w:w="1843" w:type="dxa"/>
            <w:tcBorders>
              <w:top w:val="nil"/>
              <w:left w:val="nil"/>
              <w:bottom w:val="nil"/>
              <w:right w:val="nil"/>
            </w:tcBorders>
          </w:tcPr>
          <w:p w:rsidR="008310F3" w:rsidRPr="00D00722" w:rsidRDefault="008310F3" w:rsidP="00B37F4A">
            <w:pPr>
              <w:autoSpaceDE w:val="0"/>
              <w:autoSpaceDN w:val="0"/>
              <w:adjustRightInd w:val="0"/>
              <w:spacing w:line="230" w:lineRule="auto"/>
              <w:jc w:val="right"/>
              <w:rPr>
                <w:rFonts w:ascii="Arial" w:hAnsi="Arial" w:cs="Arial"/>
                <w:b/>
                <w:bCs/>
                <w:color w:val="000000"/>
              </w:rPr>
            </w:pPr>
          </w:p>
        </w:tc>
        <w:tc>
          <w:tcPr>
            <w:tcW w:w="1559" w:type="dxa"/>
            <w:tcBorders>
              <w:top w:val="nil"/>
              <w:left w:val="nil"/>
              <w:bottom w:val="nil"/>
              <w:right w:val="nil"/>
            </w:tcBorders>
          </w:tcPr>
          <w:p w:rsidR="008310F3" w:rsidRPr="00D00722" w:rsidRDefault="008310F3" w:rsidP="00B37F4A">
            <w:pPr>
              <w:autoSpaceDE w:val="0"/>
              <w:autoSpaceDN w:val="0"/>
              <w:adjustRightInd w:val="0"/>
              <w:spacing w:line="230" w:lineRule="auto"/>
              <w:jc w:val="right"/>
              <w:rPr>
                <w:rFonts w:ascii="Arial" w:hAnsi="Arial" w:cs="Arial"/>
                <w:color w:val="000000"/>
              </w:rPr>
            </w:pPr>
          </w:p>
        </w:tc>
      </w:tr>
      <w:tr w:rsidR="00DC4881" w:rsidRPr="00D00722" w:rsidTr="003F2B3E">
        <w:trPr>
          <w:trHeight w:val="113"/>
        </w:trPr>
        <w:tc>
          <w:tcPr>
            <w:tcW w:w="5670" w:type="dxa"/>
            <w:tcBorders>
              <w:top w:val="nil"/>
              <w:left w:val="nil"/>
              <w:bottom w:val="nil"/>
              <w:right w:val="nil"/>
            </w:tcBorders>
          </w:tcPr>
          <w:p w:rsidR="00DC4881" w:rsidRPr="00D00722" w:rsidRDefault="00DC4881" w:rsidP="00B37F4A">
            <w:pPr>
              <w:autoSpaceDE w:val="0"/>
              <w:autoSpaceDN w:val="0"/>
              <w:adjustRightInd w:val="0"/>
              <w:spacing w:line="230" w:lineRule="auto"/>
              <w:rPr>
                <w:rFonts w:ascii="Arial" w:hAnsi="Arial" w:cs="Arial"/>
                <w:color w:val="000000"/>
              </w:rPr>
            </w:pPr>
            <w:r w:rsidRPr="00D00722">
              <w:rPr>
                <w:rFonts w:ascii="Arial" w:hAnsi="Arial" w:cs="Arial"/>
                <w:color w:val="000000"/>
              </w:rPr>
              <w:t>Personel maaş ve ücretleri</w:t>
            </w:r>
          </w:p>
        </w:tc>
        <w:tc>
          <w:tcPr>
            <w:tcW w:w="1843" w:type="dxa"/>
            <w:tcBorders>
              <w:top w:val="nil"/>
              <w:left w:val="nil"/>
              <w:bottom w:val="nil"/>
              <w:right w:val="nil"/>
            </w:tcBorders>
          </w:tcPr>
          <w:p w:rsidR="00DC4881" w:rsidRPr="00D00722" w:rsidRDefault="008F3393" w:rsidP="00AF1716">
            <w:pPr>
              <w:autoSpaceDE w:val="0"/>
              <w:autoSpaceDN w:val="0"/>
              <w:adjustRightInd w:val="0"/>
              <w:spacing w:line="230" w:lineRule="auto"/>
              <w:jc w:val="right"/>
              <w:rPr>
                <w:rFonts w:ascii="Arial" w:hAnsi="Arial" w:cs="Arial"/>
                <w:b/>
                <w:bCs/>
                <w:color w:val="000000"/>
              </w:rPr>
            </w:pPr>
            <w:r w:rsidRPr="00D00722">
              <w:rPr>
                <w:rFonts w:ascii="Arial" w:hAnsi="Arial" w:cs="Arial"/>
                <w:b/>
                <w:bCs/>
                <w:color w:val="000000"/>
              </w:rPr>
              <w:t>(446.34</w:t>
            </w:r>
            <w:r w:rsidR="00AF1716" w:rsidRPr="00D00722">
              <w:rPr>
                <w:rFonts w:ascii="Arial" w:hAnsi="Arial" w:cs="Arial"/>
                <w:b/>
                <w:bCs/>
                <w:color w:val="000000"/>
              </w:rPr>
              <w:t>6</w:t>
            </w:r>
            <w:r w:rsidRPr="00D00722">
              <w:rPr>
                <w:rFonts w:ascii="Arial" w:hAnsi="Arial" w:cs="Arial"/>
                <w:b/>
                <w:bCs/>
                <w:color w:val="000000"/>
              </w:rPr>
              <w:t>)</w:t>
            </w:r>
          </w:p>
        </w:tc>
        <w:tc>
          <w:tcPr>
            <w:tcW w:w="1559" w:type="dxa"/>
            <w:tcBorders>
              <w:top w:val="nil"/>
              <w:left w:val="nil"/>
              <w:bottom w:val="nil"/>
              <w:right w:val="nil"/>
            </w:tcBorders>
          </w:tcPr>
          <w:p w:rsidR="00DC4881" w:rsidRPr="00D00722" w:rsidRDefault="00DC4881" w:rsidP="00DC4881">
            <w:pPr>
              <w:autoSpaceDE w:val="0"/>
              <w:autoSpaceDN w:val="0"/>
              <w:adjustRightInd w:val="0"/>
              <w:spacing w:line="230" w:lineRule="auto"/>
              <w:jc w:val="right"/>
              <w:rPr>
                <w:rFonts w:ascii="Arial" w:hAnsi="Arial" w:cs="Arial"/>
                <w:bCs/>
                <w:color w:val="000000"/>
              </w:rPr>
            </w:pPr>
            <w:r w:rsidRPr="00D00722">
              <w:rPr>
                <w:rFonts w:ascii="Arial" w:hAnsi="Arial" w:cs="Arial"/>
                <w:bCs/>
                <w:color w:val="000000"/>
              </w:rPr>
              <w:t>(407.226)</w:t>
            </w:r>
          </w:p>
        </w:tc>
      </w:tr>
      <w:tr w:rsidR="00DC4881" w:rsidRPr="00D00722" w:rsidTr="003F2B3E">
        <w:trPr>
          <w:trHeight w:val="113"/>
        </w:trPr>
        <w:tc>
          <w:tcPr>
            <w:tcW w:w="5670" w:type="dxa"/>
            <w:tcBorders>
              <w:top w:val="nil"/>
              <w:left w:val="nil"/>
              <w:bottom w:val="nil"/>
              <w:right w:val="nil"/>
            </w:tcBorders>
          </w:tcPr>
          <w:p w:rsidR="00DC4881" w:rsidRPr="00D00722" w:rsidRDefault="00DC4881" w:rsidP="00B37F4A">
            <w:pPr>
              <w:autoSpaceDE w:val="0"/>
              <w:autoSpaceDN w:val="0"/>
              <w:adjustRightInd w:val="0"/>
              <w:spacing w:line="230" w:lineRule="auto"/>
              <w:rPr>
                <w:rFonts w:ascii="Arial" w:hAnsi="Arial" w:cs="Arial"/>
                <w:color w:val="000000"/>
              </w:rPr>
            </w:pPr>
            <w:r w:rsidRPr="00D00722">
              <w:rPr>
                <w:rFonts w:ascii="Arial" w:hAnsi="Arial" w:cs="Arial"/>
                <w:color w:val="000000"/>
              </w:rPr>
              <w:t xml:space="preserve">Bilgi işlem dağıtım ve hizmet giderleri </w:t>
            </w:r>
          </w:p>
        </w:tc>
        <w:tc>
          <w:tcPr>
            <w:tcW w:w="1843" w:type="dxa"/>
            <w:tcBorders>
              <w:top w:val="nil"/>
              <w:left w:val="nil"/>
              <w:bottom w:val="nil"/>
              <w:right w:val="nil"/>
            </w:tcBorders>
          </w:tcPr>
          <w:p w:rsidR="00DC4881" w:rsidRPr="00D00722" w:rsidRDefault="008F3393" w:rsidP="00B37F4A">
            <w:pPr>
              <w:autoSpaceDE w:val="0"/>
              <w:autoSpaceDN w:val="0"/>
              <w:adjustRightInd w:val="0"/>
              <w:spacing w:line="230" w:lineRule="auto"/>
              <w:jc w:val="right"/>
              <w:rPr>
                <w:rFonts w:ascii="Arial" w:hAnsi="Arial" w:cs="Arial"/>
                <w:b/>
                <w:bCs/>
                <w:color w:val="000000"/>
              </w:rPr>
            </w:pPr>
            <w:r w:rsidRPr="00D00722">
              <w:rPr>
                <w:rFonts w:ascii="Arial" w:hAnsi="Arial" w:cs="Arial"/>
                <w:b/>
                <w:bCs/>
                <w:color w:val="000000"/>
              </w:rPr>
              <w:t>(65.501)</w:t>
            </w:r>
          </w:p>
        </w:tc>
        <w:tc>
          <w:tcPr>
            <w:tcW w:w="1559" w:type="dxa"/>
            <w:tcBorders>
              <w:top w:val="nil"/>
              <w:left w:val="nil"/>
              <w:bottom w:val="nil"/>
              <w:right w:val="nil"/>
            </w:tcBorders>
          </w:tcPr>
          <w:p w:rsidR="00DC4881" w:rsidRPr="00D00722" w:rsidRDefault="00DC4881" w:rsidP="00DC4881">
            <w:pPr>
              <w:autoSpaceDE w:val="0"/>
              <w:autoSpaceDN w:val="0"/>
              <w:adjustRightInd w:val="0"/>
              <w:spacing w:line="230" w:lineRule="auto"/>
              <w:jc w:val="right"/>
              <w:rPr>
                <w:rFonts w:ascii="Arial" w:hAnsi="Arial" w:cs="Arial"/>
                <w:bCs/>
                <w:color w:val="000000"/>
              </w:rPr>
            </w:pPr>
            <w:r w:rsidRPr="00D00722">
              <w:rPr>
                <w:rFonts w:ascii="Arial" w:hAnsi="Arial" w:cs="Arial"/>
                <w:bCs/>
                <w:color w:val="000000"/>
              </w:rPr>
              <w:t>(45.838)</w:t>
            </w:r>
          </w:p>
        </w:tc>
      </w:tr>
      <w:tr w:rsidR="00DC4881" w:rsidRPr="00D00722" w:rsidTr="003F2B3E">
        <w:trPr>
          <w:trHeight w:val="113"/>
        </w:trPr>
        <w:tc>
          <w:tcPr>
            <w:tcW w:w="5670" w:type="dxa"/>
            <w:tcBorders>
              <w:top w:val="nil"/>
              <w:left w:val="nil"/>
              <w:bottom w:val="nil"/>
              <w:right w:val="nil"/>
            </w:tcBorders>
          </w:tcPr>
          <w:p w:rsidR="00DC4881" w:rsidRPr="00D00722" w:rsidRDefault="00DC4881" w:rsidP="00B37F4A">
            <w:pPr>
              <w:autoSpaceDE w:val="0"/>
              <w:autoSpaceDN w:val="0"/>
              <w:adjustRightInd w:val="0"/>
              <w:spacing w:line="230" w:lineRule="auto"/>
              <w:rPr>
                <w:rFonts w:ascii="Arial" w:hAnsi="Arial" w:cs="Arial"/>
                <w:color w:val="000000"/>
              </w:rPr>
            </w:pPr>
            <w:r w:rsidRPr="00D00722">
              <w:rPr>
                <w:rFonts w:ascii="Arial" w:hAnsi="Arial" w:cs="Arial"/>
                <w:color w:val="000000"/>
              </w:rPr>
              <w:t>Vergi, resim, harç ve resmi giderler</w:t>
            </w:r>
          </w:p>
        </w:tc>
        <w:tc>
          <w:tcPr>
            <w:tcW w:w="1843" w:type="dxa"/>
            <w:tcBorders>
              <w:top w:val="nil"/>
              <w:left w:val="nil"/>
              <w:bottom w:val="nil"/>
              <w:right w:val="nil"/>
            </w:tcBorders>
          </w:tcPr>
          <w:p w:rsidR="00DC4881" w:rsidRPr="00D00722" w:rsidRDefault="008F3393" w:rsidP="00D34484">
            <w:pPr>
              <w:autoSpaceDE w:val="0"/>
              <w:autoSpaceDN w:val="0"/>
              <w:adjustRightInd w:val="0"/>
              <w:spacing w:line="230" w:lineRule="auto"/>
              <w:jc w:val="right"/>
              <w:rPr>
                <w:rFonts w:ascii="Arial" w:hAnsi="Arial" w:cs="Arial"/>
                <w:b/>
                <w:bCs/>
                <w:color w:val="000000"/>
              </w:rPr>
            </w:pPr>
            <w:r w:rsidRPr="00D00722">
              <w:rPr>
                <w:rFonts w:ascii="Arial" w:hAnsi="Arial" w:cs="Arial"/>
                <w:b/>
                <w:bCs/>
                <w:color w:val="000000"/>
              </w:rPr>
              <w:t>(30.49</w:t>
            </w:r>
            <w:r w:rsidR="00D34484" w:rsidRPr="00D00722">
              <w:rPr>
                <w:rFonts w:ascii="Arial" w:hAnsi="Arial" w:cs="Arial"/>
                <w:b/>
                <w:bCs/>
                <w:color w:val="000000"/>
              </w:rPr>
              <w:t>8</w:t>
            </w:r>
            <w:r w:rsidRPr="00D00722">
              <w:rPr>
                <w:rFonts w:ascii="Arial" w:hAnsi="Arial" w:cs="Arial"/>
                <w:b/>
                <w:bCs/>
                <w:color w:val="000000"/>
              </w:rPr>
              <w:t>)</w:t>
            </w:r>
          </w:p>
        </w:tc>
        <w:tc>
          <w:tcPr>
            <w:tcW w:w="1559" w:type="dxa"/>
            <w:tcBorders>
              <w:top w:val="nil"/>
              <w:left w:val="nil"/>
              <w:bottom w:val="nil"/>
              <w:right w:val="nil"/>
            </w:tcBorders>
          </w:tcPr>
          <w:p w:rsidR="00DC4881" w:rsidRPr="00D00722" w:rsidRDefault="00DC4881" w:rsidP="00DC4881">
            <w:pPr>
              <w:autoSpaceDE w:val="0"/>
              <w:autoSpaceDN w:val="0"/>
              <w:adjustRightInd w:val="0"/>
              <w:spacing w:line="230" w:lineRule="auto"/>
              <w:jc w:val="right"/>
              <w:rPr>
                <w:rFonts w:ascii="Arial" w:hAnsi="Arial" w:cs="Arial"/>
                <w:bCs/>
                <w:color w:val="000000"/>
              </w:rPr>
            </w:pPr>
            <w:r w:rsidRPr="00D00722">
              <w:rPr>
                <w:rFonts w:ascii="Arial" w:hAnsi="Arial" w:cs="Arial"/>
                <w:bCs/>
                <w:color w:val="000000"/>
              </w:rPr>
              <w:t>(36.735)</w:t>
            </w:r>
          </w:p>
        </w:tc>
      </w:tr>
      <w:tr w:rsidR="00DC4881" w:rsidRPr="00D00722" w:rsidTr="003F2B3E">
        <w:trPr>
          <w:trHeight w:val="113"/>
        </w:trPr>
        <w:tc>
          <w:tcPr>
            <w:tcW w:w="5670" w:type="dxa"/>
            <w:tcBorders>
              <w:top w:val="nil"/>
              <w:left w:val="nil"/>
              <w:bottom w:val="nil"/>
              <w:right w:val="nil"/>
            </w:tcBorders>
          </w:tcPr>
          <w:p w:rsidR="00DC4881" w:rsidRPr="00D00722" w:rsidRDefault="00DC4881" w:rsidP="00B37F4A">
            <w:pPr>
              <w:autoSpaceDE w:val="0"/>
              <w:autoSpaceDN w:val="0"/>
              <w:adjustRightInd w:val="0"/>
              <w:spacing w:line="230" w:lineRule="auto"/>
              <w:rPr>
                <w:rFonts w:ascii="Arial" w:hAnsi="Arial" w:cs="Arial"/>
                <w:color w:val="000000"/>
              </w:rPr>
            </w:pPr>
            <w:r w:rsidRPr="00D00722">
              <w:rPr>
                <w:rFonts w:ascii="Arial" w:hAnsi="Arial" w:cs="Arial"/>
                <w:color w:val="000000"/>
              </w:rPr>
              <w:t>Danışmanlık ve denetim ücretleri</w:t>
            </w:r>
          </w:p>
        </w:tc>
        <w:tc>
          <w:tcPr>
            <w:tcW w:w="1843" w:type="dxa"/>
            <w:tcBorders>
              <w:top w:val="nil"/>
              <w:left w:val="nil"/>
              <w:bottom w:val="nil"/>
              <w:right w:val="nil"/>
            </w:tcBorders>
          </w:tcPr>
          <w:p w:rsidR="00DC4881" w:rsidRPr="00D00722" w:rsidRDefault="008F3393" w:rsidP="006F0E3C">
            <w:pPr>
              <w:autoSpaceDE w:val="0"/>
              <w:autoSpaceDN w:val="0"/>
              <w:adjustRightInd w:val="0"/>
              <w:spacing w:line="230" w:lineRule="auto"/>
              <w:jc w:val="right"/>
              <w:rPr>
                <w:rFonts w:ascii="Arial" w:hAnsi="Arial" w:cs="Arial"/>
                <w:b/>
                <w:bCs/>
                <w:color w:val="000000"/>
              </w:rPr>
            </w:pPr>
            <w:r w:rsidRPr="00D00722">
              <w:rPr>
                <w:rFonts w:ascii="Arial" w:hAnsi="Arial" w:cs="Arial"/>
                <w:b/>
                <w:bCs/>
                <w:color w:val="000000"/>
              </w:rPr>
              <w:t>(29.</w:t>
            </w:r>
            <w:r w:rsidR="006F0E3C" w:rsidRPr="00D00722">
              <w:rPr>
                <w:rFonts w:ascii="Arial" w:hAnsi="Arial" w:cs="Arial"/>
                <w:b/>
                <w:bCs/>
                <w:color w:val="000000"/>
              </w:rPr>
              <w:t>3</w:t>
            </w:r>
            <w:r w:rsidRPr="00D00722">
              <w:rPr>
                <w:rFonts w:ascii="Arial" w:hAnsi="Arial" w:cs="Arial"/>
                <w:b/>
                <w:bCs/>
                <w:color w:val="000000"/>
              </w:rPr>
              <w:t>23)</w:t>
            </w:r>
          </w:p>
        </w:tc>
        <w:tc>
          <w:tcPr>
            <w:tcW w:w="1559" w:type="dxa"/>
            <w:tcBorders>
              <w:top w:val="nil"/>
              <w:left w:val="nil"/>
              <w:bottom w:val="nil"/>
              <w:right w:val="nil"/>
            </w:tcBorders>
          </w:tcPr>
          <w:p w:rsidR="00DC4881" w:rsidRPr="00D00722" w:rsidRDefault="00DC4881" w:rsidP="00DC4881">
            <w:pPr>
              <w:autoSpaceDE w:val="0"/>
              <w:autoSpaceDN w:val="0"/>
              <w:adjustRightInd w:val="0"/>
              <w:spacing w:line="230" w:lineRule="auto"/>
              <w:jc w:val="right"/>
              <w:rPr>
                <w:rFonts w:ascii="Arial" w:hAnsi="Arial" w:cs="Arial"/>
                <w:bCs/>
                <w:color w:val="000000"/>
              </w:rPr>
            </w:pPr>
            <w:r w:rsidRPr="00D00722">
              <w:rPr>
                <w:rFonts w:ascii="Arial" w:hAnsi="Arial" w:cs="Arial"/>
                <w:bCs/>
                <w:color w:val="000000"/>
              </w:rPr>
              <w:t>(41.940)</w:t>
            </w:r>
          </w:p>
        </w:tc>
      </w:tr>
      <w:tr w:rsidR="00DC4881" w:rsidRPr="00D00722" w:rsidTr="003F2B3E">
        <w:trPr>
          <w:trHeight w:val="113"/>
        </w:trPr>
        <w:tc>
          <w:tcPr>
            <w:tcW w:w="5670" w:type="dxa"/>
            <w:tcBorders>
              <w:top w:val="nil"/>
              <w:left w:val="nil"/>
              <w:bottom w:val="nil"/>
              <w:right w:val="nil"/>
            </w:tcBorders>
          </w:tcPr>
          <w:p w:rsidR="00DC4881" w:rsidRPr="00D00722" w:rsidRDefault="00DC4881" w:rsidP="00B37F4A">
            <w:pPr>
              <w:autoSpaceDE w:val="0"/>
              <w:autoSpaceDN w:val="0"/>
              <w:adjustRightInd w:val="0"/>
              <w:spacing w:line="230" w:lineRule="auto"/>
              <w:rPr>
                <w:rFonts w:ascii="Arial" w:hAnsi="Arial" w:cs="Arial"/>
                <w:color w:val="000000"/>
              </w:rPr>
            </w:pPr>
            <w:r w:rsidRPr="00D00722">
              <w:rPr>
                <w:rFonts w:ascii="Arial" w:hAnsi="Arial" w:cs="Arial"/>
                <w:color w:val="000000"/>
              </w:rPr>
              <w:t>Kira giderleri</w:t>
            </w:r>
          </w:p>
        </w:tc>
        <w:tc>
          <w:tcPr>
            <w:tcW w:w="1843" w:type="dxa"/>
            <w:tcBorders>
              <w:top w:val="nil"/>
              <w:left w:val="nil"/>
              <w:bottom w:val="nil"/>
              <w:right w:val="nil"/>
            </w:tcBorders>
          </w:tcPr>
          <w:p w:rsidR="00DC4881" w:rsidRPr="00D00722" w:rsidRDefault="008F3393" w:rsidP="00B37F4A">
            <w:pPr>
              <w:autoSpaceDE w:val="0"/>
              <w:autoSpaceDN w:val="0"/>
              <w:adjustRightInd w:val="0"/>
              <w:spacing w:line="230" w:lineRule="auto"/>
              <w:jc w:val="right"/>
              <w:rPr>
                <w:rFonts w:ascii="Arial" w:hAnsi="Arial" w:cs="Arial"/>
                <w:b/>
                <w:bCs/>
                <w:color w:val="000000"/>
              </w:rPr>
            </w:pPr>
            <w:r w:rsidRPr="00D00722">
              <w:rPr>
                <w:rFonts w:ascii="Arial" w:hAnsi="Arial" w:cs="Arial"/>
                <w:b/>
                <w:bCs/>
                <w:color w:val="000000"/>
              </w:rPr>
              <w:t>(22.419)</w:t>
            </w:r>
          </w:p>
        </w:tc>
        <w:tc>
          <w:tcPr>
            <w:tcW w:w="1559" w:type="dxa"/>
            <w:tcBorders>
              <w:top w:val="nil"/>
              <w:left w:val="nil"/>
              <w:bottom w:val="nil"/>
              <w:right w:val="nil"/>
            </w:tcBorders>
          </w:tcPr>
          <w:p w:rsidR="00DC4881" w:rsidRPr="00D00722" w:rsidRDefault="00DC4881" w:rsidP="00DC4881">
            <w:pPr>
              <w:autoSpaceDE w:val="0"/>
              <w:autoSpaceDN w:val="0"/>
              <w:adjustRightInd w:val="0"/>
              <w:spacing w:line="230" w:lineRule="auto"/>
              <w:jc w:val="right"/>
              <w:rPr>
                <w:rFonts w:ascii="Arial" w:hAnsi="Arial" w:cs="Arial"/>
                <w:bCs/>
                <w:color w:val="000000"/>
              </w:rPr>
            </w:pPr>
            <w:r w:rsidRPr="00D00722">
              <w:rPr>
                <w:rFonts w:ascii="Arial" w:hAnsi="Arial" w:cs="Arial"/>
                <w:bCs/>
                <w:color w:val="000000"/>
              </w:rPr>
              <w:t>(9.213)</w:t>
            </w:r>
          </w:p>
        </w:tc>
      </w:tr>
      <w:tr w:rsidR="00DC4881" w:rsidRPr="00D00722" w:rsidTr="003F2B3E">
        <w:trPr>
          <w:trHeight w:val="113"/>
        </w:trPr>
        <w:tc>
          <w:tcPr>
            <w:tcW w:w="5670" w:type="dxa"/>
            <w:tcBorders>
              <w:top w:val="nil"/>
              <w:left w:val="nil"/>
              <w:bottom w:val="nil"/>
              <w:right w:val="nil"/>
            </w:tcBorders>
          </w:tcPr>
          <w:p w:rsidR="00DC4881" w:rsidRPr="00D00722" w:rsidRDefault="00DC4881" w:rsidP="00B37F4A">
            <w:pPr>
              <w:autoSpaceDE w:val="0"/>
              <w:autoSpaceDN w:val="0"/>
              <w:adjustRightInd w:val="0"/>
              <w:spacing w:line="230" w:lineRule="auto"/>
              <w:rPr>
                <w:rFonts w:ascii="Arial" w:hAnsi="Arial" w:cs="Arial"/>
                <w:color w:val="000000"/>
              </w:rPr>
            </w:pPr>
            <w:r w:rsidRPr="00D00722">
              <w:rPr>
                <w:rFonts w:ascii="Arial" w:hAnsi="Arial" w:cs="Arial"/>
                <w:color w:val="000000"/>
              </w:rPr>
              <w:t>Kıdem tazminatı karşılığı</w:t>
            </w:r>
          </w:p>
        </w:tc>
        <w:tc>
          <w:tcPr>
            <w:tcW w:w="1843" w:type="dxa"/>
            <w:tcBorders>
              <w:top w:val="nil"/>
              <w:left w:val="nil"/>
              <w:bottom w:val="nil"/>
              <w:right w:val="nil"/>
            </w:tcBorders>
          </w:tcPr>
          <w:p w:rsidR="00DC4881" w:rsidRPr="00D00722" w:rsidRDefault="008F3393" w:rsidP="00B37F4A">
            <w:pPr>
              <w:autoSpaceDE w:val="0"/>
              <w:autoSpaceDN w:val="0"/>
              <w:adjustRightInd w:val="0"/>
              <w:spacing w:line="230" w:lineRule="auto"/>
              <w:jc w:val="right"/>
              <w:rPr>
                <w:rFonts w:ascii="Arial" w:hAnsi="Arial" w:cs="Arial"/>
                <w:b/>
                <w:bCs/>
                <w:color w:val="000000"/>
              </w:rPr>
            </w:pPr>
            <w:r w:rsidRPr="00D00722">
              <w:rPr>
                <w:rFonts w:ascii="Arial" w:hAnsi="Arial" w:cs="Arial"/>
                <w:b/>
                <w:bCs/>
                <w:color w:val="000000"/>
              </w:rPr>
              <w:t>(16.085)</w:t>
            </w:r>
          </w:p>
        </w:tc>
        <w:tc>
          <w:tcPr>
            <w:tcW w:w="1559" w:type="dxa"/>
            <w:tcBorders>
              <w:top w:val="nil"/>
              <w:left w:val="nil"/>
              <w:bottom w:val="nil"/>
              <w:right w:val="nil"/>
            </w:tcBorders>
          </w:tcPr>
          <w:p w:rsidR="00DC4881" w:rsidRPr="00D00722" w:rsidRDefault="00550531" w:rsidP="00DC4881">
            <w:pPr>
              <w:autoSpaceDE w:val="0"/>
              <w:autoSpaceDN w:val="0"/>
              <w:adjustRightInd w:val="0"/>
              <w:spacing w:line="230" w:lineRule="auto"/>
              <w:jc w:val="right"/>
              <w:rPr>
                <w:rFonts w:ascii="Arial" w:hAnsi="Arial" w:cs="Arial"/>
                <w:bCs/>
                <w:color w:val="000000"/>
              </w:rPr>
            </w:pPr>
            <w:r w:rsidRPr="00D00722">
              <w:rPr>
                <w:rFonts w:ascii="Arial" w:hAnsi="Arial" w:cs="Arial"/>
                <w:bCs/>
                <w:color w:val="000000"/>
              </w:rPr>
              <w:t>-</w:t>
            </w:r>
          </w:p>
        </w:tc>
      </w:tr>
      <w:tr w:rsidR="00DC4881" w:rsidRPr="00D00722" w:rsidTr="003F2B3E">
        <w:trPr>
          <w:trHeight w:val="113"/>
        </w:trPr>
        <w:tc>
          <w:tcPr>
            <w:tcW w:w="5670" w:type="dxa"/>
            <w:tcBorders>
              <w:top w:val="nil"/>
              <w:left w:val="nil"/>
              <w:bottom w:val="nil"/>
              <w:right w:val="nil"/>
            </w:tcBorders>
          </w:tcPr>
          <w:p w:rsidR="00DC4881" w:rsidRPr="00D00722" w:rsidRDefault="00DC4881" w:rsidP="00C75099">
            <w:pPr>
              <w:autoSpaceDE w:val="0"/>
              <w:autoSpaceDN w:val="0"/>
              <w:adjustRightInd w:val="0"/>
              <w:spacing w:line="230" w:lineRule="auto"/>
              <w:rPr>
                <w:rFonts w:ascii="Arial" w:hAnsi="Arial" w:cs="Arial"/>
                <w:color w:val="000000"/>
              </w:rPr>
            </w:pPr>
            <w:r w:rsidRPr="00D00722">
              <w:rPr>
                <w:rFonts w:ascii="Arial" w:hAnsi="Arial" w:cs="Arial"/>
                <w:color w:val="000000"/>
              </w:rPr>
              <w:t>Amortisman giderleri</w:t>
            </w:r>
          </w:p>
        </w:tc>
        <w:tc>
          <w:tcPr>
            <w:tcW w:w="1843" w:type="dxa"/>
            <w:tcBorders>
              <w:top w:val="nil"/>
              <w:left w:val="nil"/>
              <w:bottom w:val="nil"/>
              <w:right w:val="nil"/>
            </w:tcBorders>
          </w:tcPr>
          <w:p w:rsidR="00DC4881" w:rsidRPr="00D00722" w:rsidRDefault="00550531" w:rsidP="00C75099">
            <w:pPr>
              <w:autoSpaceDE w:val="0"/>
              <w:autoSpaceDN w:val="0"/>
              <w:adjustRightInd w:val="0"/>
              <w:spacing w:line="230" w:lineRule="auto"/>
              <w:jc w:val="right"/>
              <w:rPr>
                <w:rFonts w:ascii="Arial" w:hAnsi="Arial" w:cs="Arial"/>
                <w:b/>
                <w:bCs/>
                <w:color w:val="000000"/>
              </w:rPr>
            </w:pPr>
            <w:r w:rsidRPr="00D00722">
              <w:rPr>
                <w:rFonts w:ascii="Arial" w:hAnsi="Arial" w:cs="Arial"/>
                <w:b/>
                <w:bCs/>
                <w:color w:val="000000"/>
              </w:rPr>
              <w:t>(6.180)</w:t>
            </w:r>
          </w:p>
        </w:tc>
        <w:tc>
          <w:tcPr>
            <w:tcW w:w="1559" w:type="dxa"/>
            <w:tcBorders>
              <w:top w:val="nil"/>
              <w:left w:val="nil"/>
              <w:bottom w:val="nil"/>
              <w:right w:val="nil"/>
            </w:tcBorders>
          </w:tcPr>
          <w:p w:rsidR="00DC4881" w:rsidRPr="00D00722" w:rsidRDefault="00550531" w:rsidP="00DC4881">
            <w:pPr>
              <w:autoSpaceDE w:val="0"/>
              <w:autoSpaceDN w:val="0"/>
              <w:adjustRightInd w:val="0"/>
              <w:spacing w:line="230" w:lineRule="auto"/>
              <w:jc w:val="right"/>
              <w:rPr>
                <w:rFonts w:ascii="Arial" w:hAnsi="Arial" w:cs="Arial"/>
                <w:bCs/>
                <w:color w:val="000000"/>
              </w:rPr>
            </w:pPr>
            <w:r w:rsidRPr="00D00722">
              <w:rPr>
                <w:rFonts w:ascii="Arial" w:hAnsi="Arial" w:cs="Arial"/>
                <w:bCs/>
                <w:color w:val="000000"/>
              </w:rPr>
              <w:t>(5.106)</w:t>
            </w:r>
          </w:p>
        </w:tc>
      </w:tr>
      <w:tr w:rsidR="00DC4881" w:rsidRPr="00D00722" w:rsidTr="003F2B3E">
        <w:trPr>
          <w:trHeight w:val="113"/>
        </w:trPr>
        <w:tc>
          <w:tcPr>
            <w:tcW w:w="5670" w:type="dxa"/>
            <w:tcBorders>
              <w:top w:val="nil"/>
              <w:left w:val="nil"/>
              <w:bottom w:val="nil"/>
              <w:right w:val="nil"/>
            </w:tcBorders>
          </w:tcPr>
          <w:p w:rsidR="00DC4881" w:rsidRPr="00D00722" w:rsidRDefault="00DC4881" w:rsidP="00C75099">
            <w:pPr>
              <w:autoSpaceDE w:val="0"/>
              <w:autoSpaceDN w:val="0"/>
              <w:adjustRightInd w:val="0"/>
              <w:spacing w:line="230" w:lineRule="auto"/>
              <w:rPr>
                <w:rFonts w:ascii="Arial" w:hAnsi="Arial" w:cs="Arial"/>
                <w:color w:val="000000"/>
              </w:rPr>
            </w:pPr>
            <w:r w:rsidRPr="00D00722">
              <w:rPr>
                <w:rFonts w:ascii="Arial" w:hAnsi="Arial" w:cs="Arial"/>
                <w:color w:val="000000"/>
              </w:rPr>
              <w:t>Kullanılmamış izin karşılıkları</w:t>
            </w:r>
          </w:p>
        </w:tc>
        <w:tc>
          <w:tcPr>
            <w:tcW w:w="1843" w:type="dxa"/>
            <w:tcBorders>
              <w:top w:val="nil"/>
              <w:left w:val="nil"/>
              <w:bottom w:val="nil"/>
              <w:right w:val="nil"/>
            </w:tcBorders>
          </w:tcPr>
          <w:p w:rsidR="00DC4881" w:rsidRPr="00D00722" w:rsidRDefault="00550531" w:rsidP="00C75099">
            <w:pPr>
              <w:autoSpaceDE w:val="0"/>
              <w:autoSpaceDN w:val="0"/>
              <w:adjustRightInd w:val="0"/>
              <w:spacing w:line="230" w:lineRule="auto"/>
              <w:jc w:val="right"/>
              <w:rPr>
                <w:rFonts w:ascii="Arial" w:hAnsi="Arial" w:cs="Arial"/>
                <w:b/>
                <w:bCs/>
                <w:color w:val="000000"/>
              </w:rPr>
            </w:pPr>
            <w:r w:rsidRPr="00D00722">
              <w:rPr>
                <w:rFonts w:ascii="Arial" w:hAnsi="Arial" w:cs="Arial"/>
                <w:b/>
                <w:bCs/>
                <w:color w:val="000000"/>
              </w:rPr>
              <w:t>(56.855)</w:t>
            </w:r>
          </w:p>
        </w:tc>
        <w:tc>
          <w:tcPr>
            <w:tcW w:w="1559" w:type="dxa"/>
            <w:tcBorders>
              <w:top w:val="nil"/>
              <w:left w:val="nil"/>
              <w:bottom w:val="nil"/>
              <w:right w:val="nil"/>
            </w:tcBorders>
          </w:tcPr>
          <w:p w:rsidR="00DC4881" w:rsidRPr="00D00722" w:rsidRDefault="00550531" w:rsidP="00DC4881">
            <w:pPr>
              <w:autoSpaceDE w:val="0"/>
              <w:autoSpaceDN w:val="0"/>
              <w:adjustRightInd w:val="0"/>
              <w:spacing w:line="230" w:lineRule="auto"/>
              <w:jc w:val="right"/>
              <w:rPr>
                <w:rFonts w:ascii="Arial" w:hAnsi="Arial" w:cs="Arial"/>
                <w:bCs/>
                <w:color w:val="000000"/>
              </w:rPr>
            </w:pPr>
            <w:r w:rsidRPr="00D00722">
              <w:rPr>
                <w:rFonts w:ascii="Arial" w:hAnsi="Arial" w:cs="Arial"/>
                <w:bCs/>
                <w:color w:val="000000"/>
              </w:rPr>
              <w:t>-</w:t>
            </w:r>
          </w:p>
        </w:tc>
      </w:tr>
      <w:tr w:rsidR="00DC4881" w:rsidRPr="00D00722" w:rsidTr="003F2B3E">
        <w:trPr>
          <w:trHeight w:val="113"/>
        </w:trPr>
        <w:tc>
          <w:tcPr>
            <w:tcW w:w="5670" w:type="dxa"/>
            <w:tcBorders>
              <w:top w:val="nil"/>
              <w:left w:val="nil"/>
              <w:bottom w:val="nil"/>
              <w:right w:val="nil"/>
            </w:tcBorders>
          </w:tcPr>
          <w:p w:rsidR="00DC4881" w:rsidRPr="00D00722" w:rsidRDefault="00DC4881" w:rsidP="00C75099">
            <w:pPr>
              <w:autoSpaceDE w:val="0"/>
              <w:autoSpaceDN w:val="0"/>
              <w:adjustRightInd w:val="0"/>
              <w:spacing w:line="230" w:lineRule="auto"/>
              <w:rPr>
                <w:rFonts w:ascii="Arial" w:hAnsi="Arial" w:cs="Arial"/>
                <w:color w:val="000000"/>
              </w:rPr>
            </w:pPr>
            <w:r w:rsidRPr="00D00722">
              <w:rPr>
                <w:rFonts w:ascii="Arial" w:hAnsi="Arial" w:cs="Arial"/>
                <w:color w:val="000000"/>
              </w:rPr>
              <w:t>Diğer (*)</w:t>
            </w:r>
          </w:p>
        </w:tc>
        <w:tc>
          <w:tcPr>
            <w:tcW w:w="1843" w:type="dxa"/>
            <w:tcBorders>
              <w:top w:val="nil"/>
              <w:left w:val="nil"/>
              <w:bottom w:val="nil"/>
              <w:right w:val="nil"/>
            </w:tcBorders>
          </w:tcPr>
          <w:p w:rsidR="00DC4881" w:rsidRPr="00D00722" w:rsidRDefault="008F3393" w:rsidP="00550531">
            <w:pPr>
              <w:autoSpaceDE w:val="0"/>
              <w:autoSpaceDN w:val="0"/>
              <w:adjustRightInd w:val="0"/>
              <w:spacing w:line="230" w:lineRule="auto"/>
              <w:jc w:val="right"/>
              <w:rPr>
                <w:rFonts w:ascii="Arial" w:hAnsi="Arial" w:cs="Arial"/>
                <w:b/>
                <w:bCs/>
                <w:color w:val="000000"/>
              </w:rPr>
            </w:pPr>
            <w:r w:rsidRPr="00D00722">
              <w:rPr>
                <w:rFonts w:ascii="Arial" w:hAnsi="Arial" w:cs="Arial"/>
                <w:b/>
                <w:bCs/>
                <w:color w:val="000000"/>
              </w:rPr>
              <w:t>(2</w:t>
            </w:r>
            <w:r w:rsidR="00550531" w:rsidRPr="00D00722">
              <w:rPr>
                <w:rFonts w:ascii="Arial" w:hAnsi="Arial" w:cs="Arial"/>
                <w:b/>
                <w:bCs/>
                <w:color w:val="000000"/>
              </w:rPr>
              <w:t>4</w:t>
            </w:r>
            <w:r w:rsidRPr="00D00722">
              <w:rPr>
                <w:rFonts w:ascii="Arial" w:hAnsi="Arial" w:cs="Arial"/>
                <w:b/>
                <w:bCs/>
                <w:color w:val="000000"/>
              </w:rPr>
              <w:t>.</w:t>
            </w:r>
            <w:r w:rsidR="00550531" w:rsidRPr="00D00722">
              <w:rPr>
                <w:rFonts w:ascii="Arial" w:hAnsi="Arial" w:cs="Arial"/>
                <w:b/>
                <w:bCs/>
                <w:color w:val="000000"/>
              </w:rPr>
              <w:t>452</w:t>
            </w:r>
            <w:r w:rsidRPr="00D00722">
              <w:rPr>
                <w:rFonts w:ascii="Arial" w:hAnsi="Arial" w:cs="Arial"/>
                <w:b/>
                <w:bCs/>
                <w:color w:val="000000"/>
              </w:rPr>
              <w:t>)</w:t>
            </w:r>
          </w:p>
        </w:tc>
        <w:tc>
          <w:tcPr>
            <w:tcW w:w="1559" w:type="dxa"/>
            <w:tcBorders>
              <w:top w:val="nil"/>
              <w:left w:val="nil"/>
              <w:bottom w:val="nil"/>
              <w:right w:val="nil"/>
            </w:tcBorders>
          </w:tcPr>
          <w:p w:rsidR="00DC4881" w:rsidRPr="00D00722" w:rsidRDefault="00DC4881" w:rsidP="00550531">
            <w:pPr>
              <w:autoSpaceDE w:val="0"/>
              <w:autoSpaceDN w:val="0"/>
              <w:adjustRightInd w:val="0"/>
              <w:spacing w:line="230" w:lineRule="auto"/>
              <w:jc w:val="right"/>
              <w:rPr>
                <w:rFonts w:ascii="Arial" w:hAnsi="Arial" w:cs="Arial"/>
                <w:bCs/>
                <w:color w:val="000000"/>
              </w:rPr>
            </w:pPr>
            <w:r w:rsidRPr="00D00722">
              <w:rPr>
                <w:rFonts w:ascii="Arial" w:hAnsi="Arial" w:cs="Arial"/>
                <w:bCs/>
                <w:color w:val="000000"/>
              </w:rPr>
              <w:t>(</w:t>
            </w:r>
            <w:r w:rsidR="00550531" w:rsidRPr="00D00722">
              <w:rPr>
                <w:rFonts w:ascii="Arial" w:hAnsi="Arial" w:cs="Arial"/>
                <w:bCs/>
                <w:color w:val="000000"/>
              </w:rPr>
              <w:t>110.134</w:t>
            </w:r>
            <w:r w:rsidRPr="00D00722">
              <w:rPr>
                <w:rFonts w:ascii="Arial" w:hAnsi="Arial" w:cs="Arial"/>
                <w:bCs/>
                <w:color w:val="000000"/>
              </w:rPr>
              <w:t>)</w:t>
            </w:r>
          </w:p>
        </w:tc>
      </w:tr>
      <w:tr w:rsidR="00DC4881" w:rsidRPr="00D00722" w:rsidTr="003F2B3E">
        <w:trPr>
          <w:trHeight w:val="113"/>
        </w:trPr>
        <w:tc>
          <w:tcPr>
            <w:tcW w:w="5670" w:type="dxa"/>
            <w:tcBorders>
              <w:top w:val="nil"/>
              <w:left w:val="nil"/>
              <w:bottom w:val="nil"/>
              <w:right w:val="nil"/>
            </w:tcBorders>
          </w:tcPr>
          <w:p w:rsidR="00DC4881" w:rsidRPr="00D00722" w:rsidRDefault="00DC4881" w:rsidP="00B37F4A">
            <w:pPr>
              <w:autoSpaceDE w:val="0"/>
              <w:autoSpaceDN w:val="0"/>
              <w:adjustRightInd w:val="0"/>
              <w:spacing w:line="230" w:lineRule="auto"/>
              <w:jc w:val="right"/>
              <w:rPr>
                <w:rFonts w:ascii="Arial" w:hAnsi="Arial" w:cs="Arial"/>
                <w:color w:val="000000"/>
              </w:rPr>
            </w:pPr>
          </w:p>
        </w:tc>
        <w:tc>
          <w:tcPr>
            <w:tcW w:w="1843" w:type="dxa"/>
            <w:tcBorders>
              <w:top w:val="nil"/>
              <w:left w:val="nil"/>
              <w:bottom w:val="nil"/>
              <w:right w:val="nil"/>
            </w:tcBorders>
          </w:tcPr>
          <w:p w:rsidR="00DC4881" w:rsidRPr="00D00722" w:rsidRDefault="00DC4881" w:rsidP="00B37F4A">
            <w:pPr>
              <w:autoSpaceDE w:val="0"/>
              <w:autoSpaceDN w:val="0"/>
              <w:adjustRightInd w:val="0"/>
              <w:spacing w:line="230" w:lineRule="auto"/>
              <w:jc w:val="right"/>
              <w:rPr>
                <w:rFonts w:ascii="Arial" w:hAnsi="Arial" w:cs="Arial"/>
                <w:b/>
                <w:bCs/>
                <w:color w:val="000000"/>
              </w:rPr>
            </w:pPr>
          </w:p>
        </w:tc>
        <w:tc>
          <w:tcPr>
            <w:tcW w:w="1559" w:type="dxa"/>
            <w:tcBorders>
              <w:top w:val="nil"/>
              <w:left w:val="nil"/>
              <w:bottom w:val="nil"/>
              <w:right w:val="nil"/>
            </w:tcBorders>
          </w:tcPr>
          <w:p w:rsidR="00DC4881" w:rsidRPr="00D00722" w:rsidRDefault="00DC4881" w:rsidP="002E27C3">
            <w:pPr>
              <w:autoSpaceDE w:val="0"/>
              <w:autoSpaceDN w:val="0"/>
              <w:adjustRightInd w:val="0"/>
              <w:spacing w:line="230" w:lineRule="auto"/>
              <w:jc w:val="right"/>
              <w:rPr>
                <w:rFonts w:ascii="Arial" w:hAnsi="Arial" w:cs="Arial"/>
                <w:bCs/>
                <w:color w:val="000000"/>
              </w:rPr>
            </w:pPr>
          </w:p>
        </w:tc>
      </w:tr>
      <w:tr w:rsidR="00DC4881" w:rsidRPr="00D00722" w:rsidTr="003F2B3E">
        <w:trPr>
          <w:trHeight w:val="113"/>
        </w:trPr>
        <w:tc>
          <w:tcPr>
            <w:tcW w:w="5670" w:type="dxa"/>
            <w:tcBorders>
              <w:top w:val="single" w:sz="6" w:space="0" w:color="auto"/>
              <w:left w:val="nil"/>
              <w:bottom w:val="double" w:sz="6" w:space="0" w:color="auto"/>
              <w:right w:val="nil"/>
            </w:tcBorders>
          </w:tcPr>
          <w:p w:rsidR="00DC4881" w:rsidRPr="00D00722" w:rsidRDefault="00DC4881" w:rsidP="00B37F4A">
            <w:pPr>
              <w:autoSpaceDE w:val="0"/>
              <w:autoSpaceDN w:val="0"/>
              <w:adjustRightInd w:val="0"/>
              <w:spacing w:line="230" w:lineRule="auto"/>
              <w:jc w:val="right"/>
              <w:rPr>
                <w:rFonts w:ascii="Arial" w:hAnsi="Arial" w:cs="Arial"/>
                <w:color w:val="000000"/>
              </w:rPr>
            </w:pPr>
          </w:p>
        </w:tc>
        <w:tc>
          <w:tcPr>
            <w:tcW w:w="1843" w:type="dxa"/>
            <w:tcBorders>
              <w:top w:val="single" w:sz="6" w:space="0" w:color="auto"/>
              <w:left w:val="nil"/>
              <w:bottom w:val="double" w:sz="6" w:space="0" w:color="auto"/>
              <w:right w:val="nil"/>
            </w:tcBorders>
          </w:tcPr>
          <w:p w:rsidR="00DC4881" w:rsidRPr="00D00722" w:rsidRDefault="00550531" w:rsidP="00AF1716">
            <w:pPr>
              <w:autoSpaceDE w:val="0"/>
              <w:autoSpaceDN w:val="0"/>
              <w:adjustRightInd w:val="0"/>
              <w:spacing w:line="230" w:lineRule="auto"/>
              <w:jc w:val="right"/>
              <w:rPr>
                <w:rFonts w:ascii="Arial" w:hAnsi="Arial" w:cs="Arial"/>
                <w:b/>
                <w:bCs/>
                <w:color w:val="000000"/>
              </w:rPr>
            </w:pPr>
            <w:r w:rsidRPr="00D00722">
              <w:rPr>
                <w:rFonts w:ascii="Arial" w:hAnsi="Arial" w:cs="Arial"/>
                <w:b/>
                <w:bCs/>
                <w:color w:val="000000"/>
              </w:rPr>
              <w:t>(697.6</w:t>
            </w:r>
            <w:r w:rsidR="00AF1716" w:rsidRPr="00D00722">
              <w:rPr>
                <w:rFonts w:ascii="Arial" w:hAnsi="Arial" w:cs="Arial"/>
                <w:b/>
                <w:bCs/>
                <w:color w:val="000000"/>
              </w:rPr>
              <w:t>59</w:t>
            </w:r>
            <w:r w:rsidRPr="00D00722">
              <w:rPr>
                <w:rFonts w:ascii="Arial" w:hAnsi="Arial" w:cs="Arial"/>
                <w:b/>
                <w:bCs/>
                <w:color w:val="000000"/>
              </w:rPr>
              <w:t>)</w:t>
            </w:r>
          </w:p>
        </w:tc>
        <w:tc>
          <w:tcPr>
            <w:tcW w:w="1559" w:type="dxa"/>
            <w:tcBorders>
              <w:top w:val="single" w:sz="6" w:space="0" w:color="auto"/>
              <w:left w:val="nil"/>
              <w:bottom w:val="double" w:sz="6" w:space="0" w:color="auto"/>
              <w:right w:val="nil"/>
            </w:tcBorders>
          </w:tcPr>
          <w:p w:rsidR="00DC4881" w:rsidRPr="00D00722" w:rsidRDefault="008F3393" w:rsidP="002E27C3">
            <w:pPr>
              <w:autoSpaceDE w:val="0"/>
              <w:autoSpaceDN w:val="0"/>
              <w:adjustRightInd w:val="0"/>
              <w:spacing w:line="230" w:lineRule="auto"/>
              <w:jc w:val="right"/>
              <w:rPr>
                <w:rFonts w:ascii="Arial" w:hAnsi="Arial" w:cs="Arial"/>
                <w:bCs/>
                <w:color w:val="000000"/>
              </w:rPr>
            </w:pPr>
            <w:r w:rsidRPr="00D00722">
              <w:rPr>
                <w:rFonts w:ascii="Arial" w:hAnsi="Arial" w:cs="Arial"/>
                <w:bCs/>
                <w:color w:val="000000"/>
              </w:rPr>
              <w:t>(656.192)</w:t>
            </w:r>
          </w:p>
        </w:tc>
      </w:tr>
    </w:tbl>
    <w:p w:rsidR="00660E74" w:rsidRPr="00D00722" w:rsidRDefault="00660E74" w:rsidP="00B37F4A">
      <w:pPr>
        <w:tabs>
          <w:tab w:val="right" w:pos="6660"/>
          <w:tab w:val="right" w:pos="8640"/>
        </w:tabs>
        <w:spacing w:line="230" w:lineRule="auto"/>
        <w:ind w:left="567" w:hanging="567"/>
        <w:rPr>
          <w:rFonts w:ascii="Arial" w:hAnsi="Arial" w:cs="Arial"/>
          <w:lang w:val="tr-TR"/>
        </w:rPr>
      </w:pPr>
    </w:p>
    <w:p w:rsidR="0006763B" w:rsidRPr="00D00722" w:rsidRDefault="00F94133" w:rsidP="00452132">
      <w:pPr>
        <w:tabs>
          <w:tab w:val="right" w:pos="6660"/>
          <w:tab w:val="right" w:pos="8640"/>
        </w:tabs>
        <w:spacing w:line="230" w:lineRule="auto"/>
        <w:ind w:left="567" w:hanging="567"/>
        <w:rPr>
          <w:rFonts w:ascii="Arial" w:hAnsi="Arial" w:cs="Arial"/>
          <w:lang w:val="tr-TR"/>
        </w:rPr>
      </w:pPr>
      <w:r w:rsidRPr="00D00722">
        <w:rPr>
          <w:rFonts w:ascii="Arial" w:hAnsi="Arial" w:cs="Arial"/>
          <w:lang w:val="tr-TR"/>
        </w:rPr>
        <w:t>(</w:t>
      </w:r>
      <w:r w:rsidR="000D2669" w:rsidRPr="00D00722">
        <w:rPr>
          <w:rFonts w:ascii="Arial" w:hAnsi="Arial" w:cs="Arial"/>
          <w:lang w:val="tr-TR"/>
        </w:rPr>
        <w:t>*</w:t>
      </w:r>
      <w:r w:rsidRPr="00D00722">
        <w:rPr>
          <w:rFonts w:ascii="Arial" w:hAnsi="Arial" w:cs="Arial"/>
          <w:lang w:val="tr-TR"/>
        </w:rPr>
        <w:t>)</w:t>
      </w:r>
      <w:r w:rsidR="003F2B3E" w:rsidRPr="00D00722">
        <w:rPr>
          <w:rFonts w:ascii="Arial" w:hAnsi="Arial" w:cs="Arial"/>
          <w:b/>
          <w:lang w:val="tr-TR"/>
        </w:rPr>
        <w:tab/>
      </w:r>
      <w:r w:rsidR="006B2665" w:rsidRPr="00D00722">
        <w:rPr>
          <w:rFonts w:ascii="Arial" w:hAnsi="Arial" w:cs="Arial"/>
          <w:lang w:val="tr-TR"/>
        </w:rPr>
        <w:t xml:space="preserve">31 </w:t>
      </w:r>
      <w:r w:rsidR="006F0E3C" w:rsidRPr="00D00722">
        <w:rPr>
          <w:rFonts w:ascii="Arial" w:hAnsi="Arial" w:cs="Arial"/>
          <w:lang w:val="tr-TR"/>
        </w:rPr>
        <w:t>Mart</w:t>
      </w:r>
      <w:r w:rsidR="006B2665" w:rsidRPr="00D00722">
        <w:rPr>
          <w:rFonts w:ascii="Arial" w:hAnsi="Arial" w:cs="Arial"/>
          <w:lang w:val="tr-TR"/>
        </w:rPr>
        <w:t xml:space="preserve"> </w:t>
      </w:r>
      <w:r w:rsidR="0010352F" w:rsidRPr="00D00722">
        <w:rPr>
          <w:rFonts w:ascii="Arial" w:hAnsi="Arial" w:cs="Arial"/>
          <w:lang w:val="tr-TR"/>
        </w:rPr>
        <w:t>201</w:t>
      </w:r>
      <w:r w:rsidR="006F0E3C" w:rsidRPr="00D00722">
        <w:rPr>
          <w:rFonts w:ascii="Arial" w:hAnsi="Arial" w:cs="Arial"/>
          <w:lang w:val="tr-TR"/>
        </w:rPr>
        <w:t>4</w:t>
      </w:r>
      <w:r w:rsidRPr="00D00722">
        <w:rPr>
          <w:rFonts w:ascii="Arial" w:hAnsi="Arial" w:cs="Arial"/>
          <w:lang w:val="tr-TR"/>
        </w:rPr>
        <w:t xml:space="preserve"> tarihi </w:t>
      </w:r>
      <w:r w:rsidR="00200AA8" w:rsidRPr="00D00722">
        <w:rPr>
          <w:rFonts w:ascii="Arial" w:hAnsi="Arial" w:cs="Arial"/>
          <w:lang w:val="tr-TR"/>
        </w:rPr>
        <w:t>itibariyle</w:t>
      </w:r>
      <w:r w:rsidRPr="00D00722">
        <w:rPr>
          <w:rFonts w:ascii="Arial" w:hAnsi="Arial" w:cs="Arial"/>
          <w:b/>
          <w:lang w:val="tr-TR"/>
        </w:rPr>
        <w:t xml:space="preserve"> </w:t>
      </w:r>
      <w:r w:rsidRPr="00D00722">
        <w:rPr>
          <w:rFonts w:ascii="Arial" w:hAnsi="Arial" w:cs="Arial"/>
          <w:lang w:val="tr-TR"/>
        </w:rPr>
        <w:t xml:space="preserve">diğer hesabının bakiyesi gazete, dergi </w:t>
      </w:r>
      <w:r w:rsidR="00082AC8" w:rsidRPr="00D00722">
        <w:rPr>
          <w:rFonts w:ascii="Arial" w:hAnsi="Arial" w:cs="Arial"/>
          <w:lang w:val="tr-TR"/>
        </w:rPr>
        <w:t>vb yayınların abonelik ücretleri</w:t>
      </w:r>
      <w:r w:rsidRPr="00D00722">
        <w:rPr>
          <w:rFonts w:ascii="Arial" w:hAnsi="Arial" w:cs="Arial"/>
          <w:lang w:val="tr-TR"/>
        </w:rPr>
        <w:t>, kan</w:t>
      </w:r>
      <w:r w:rsidR="00082AC8" w:rsidRPr="00D00722">
        <w:rPr>
          <w:rFonts w:ascii="Arial" w:hAnsi="Arial" w:cs="Arial"/>
          <w:lang w:val="tr-TR"/>
        </w:rPr>
        <w:t>unen kabul edilmeyen giderler</w:t>
      </w:r>
      <w:r w:rsidRPr="00D00722">
        <w:rPr>
          <w:rFonts w:ascii="Arial" w:hAnsi="Arial" w:cs="Arial"/>
          <w:lang w:val="tr-TR"/>
        </w:rPr>
        <w:t xml:space="preserve">, telefon, kargo ucretleri </w:t>
      </w:r>
      <w:r w:rsidR="00082AC8" w:rsidRPr="00D00722">
        <w:rPr>
          <w:rFonts w:ascii="Arial" w:hAnsi="Arial" w:cs="Arial"/>
          <w:lang w:val="tr-TR"/>
        </w:rPr>
        <w:t xml:space="preserve">ve bina </w:t>
      </w:r>
      <w:r w:rsidR="00721B9C" w:rsidRPr="00D00722">
        <w:rPr>
          <w:rFonts w:ascii="Arial" w:hAnsi="Arial" w:cs="Arial"/>
          <w:lang w:val="tr-TR"/>
        </w:rPr>
        <w:t xml:space="preserve">idari giderleri </w:t>
      </w:r>
      <w:r w:rsidRPr="00D00722">
        <w:rPr>
          <w:rFonts w:ascii="Arial" w:hAnsi="Arial" w:cs="Arial"/>
          <w:lang w:val="tr-TR"/>
        </w:rPr>
        <w:t>vb. giderl</w:t>
      </w:r>
      <w:r w:rsidR="00082AC8" w:rsidRPr="00D00722">
        <w:rPr>
          <w:rFonts w:ascii="Arial" w:hAnsi="Arial" w:cs="Arial"/>
          <w:lang w:val="tr-TR"/>
        </w:rPr>
        <w:t>er</w:t>
      </w:r>
      <w:r w:rsidR="00721B9C" w:rsidRPr="00D00722">
        <w:rPr>
          <w:rFonts w:ascii="Arial" w:hAnsi="Arial" w:cs="Arial"/>
          <w:lang w:val="tr-TR"/>
        </w:rPr>
        <w:t xml:space="preserve">den </w:t>
      </w:r>
      <w:r w:rsidRPr="00D00722">
        <w:rPr>
          <w:rFonts w:ascii="Arial" w:hAnsi="Arial" w:cs="Arial"/>
          <w:lang w:val="tr-TR"/>
        </w:rPr>
        <w:t>oluşmaktadır.</w:t>
      </w:r>
    </w:p>
    <w:p w:rsidR="0006763B" w:rsidRPr="00D00722" w:rsidRDefault="0006763B" w:rsidP="00B37F4A">
      <w:pPr>
        <w:tabs>
          <w:tab w:val="right" w:pos="6660"/>
          <w:tab w:val="right" w:pos="8640"/>
        </w:tabs>
        <w:spacing w:line="230" w:lineRule="auto"/>
        <w:ind w:left="567" w:hanging="567"/>
        <w:rPr>
          <w:rFonts w:ascii="Arial" w:hAnsi="Arial" w:cs="Arial"/>
          <w:lang w:val="tr-TR"/>
        </w:rPr>
      </w:pPr>
    </w:p>
    <w:p w:rsidR="003B42C2" w:rsidRPr="00D00722" w:rsidRDefault="003B42C2">
      <w:pPr>
        <w:rPr>
          <w:rFonts w:ascii="Arial" w:hAnsi="Arial" w:cs="Arial"/>
          <w:b/>
          <w:lang w:val="tr-TR"/>
        </w:rPr>
      </w:pPr>
      <w:r w:rsidRPr="00D00722">
        <w:rPr>
          <w:rFonts w:ascii="Arial" w:hAnsi="Arial" w:cs="Arial"/>
          <w:b/>
          <w:lang w:val="tr-TR"/>
        </w:rPr>
        <w:br w:type="page"/>
      </w:r>
    </w:p>
    <w:p w:rsidR="0099593D" w:rsidRPr="00D00722" w:rsidRDefault="00BE1B0F" w:rsidP="00B37F4A">
      <w:pPr>
        <w:tabs>
          <w:tab w:val="right" w:pos="567"/>
          <w:tab w:val="right" w:pos="1276"/>
        </w:tabs>
        <w:spacing w:line="230" w:lineRule="auto"/>
        <w:ind w:right="-1"/>
        <w:rPr>
          <w:rFonts w:ascii="Arial" w:hAnsi="Arial" w:cs="Arial"/>
          <w:b/>
          <w:lang w:val="tr-TR"/>
        </w:rPr>
      </w:pPr>
      <w:r w:rsidRPr="00D00722">
        <w:rPr>
          <w:rFonts w:ascii="Arial" w:hAnsi="Arial" w:cs="Arial"/>
          <w:b/>
          <w:lang w:val="tr-TR"/>
        </w:rPr>
        <w:t>19</w:t>
      </w:r>
      <w:r w:rsidR="0099593D" w:rsidRPr="00D00722">
        <w:rPr>
          <w:rFonts w:ascii="Arial" w:hAnsi="Arial" w:cs="Arial"/>
          <w:b/>
          <w:lang w:val="tr-TR"/>
        </w:rPr>
        <w:t>.</w:t>
      </w:r>
      <w:r w:rsidR="0099593D" w:rsidRPr="00D00722">
        <w:rPr>
          <w:rFonts w:ascii="Arial" w:hAnsi="Arial" w:cs="Arial"/>
          <w:b/>
          <w:lang w:val="tr-TR"/>
        </w:rPr>
        <w:tab/>
      </w:r>
      <w:r w:rsidR="002A6720" w:rsidRPr="00D00722">
        <w:rPr>
          <w:rFonts w:ascii="Arial" w:hAnsi="Arial" w:cs="Arial"/>
          <w:b/>
          <w:lang w:val="tr-TR"/>
        </w:rPr>
        <w:tab/>
      </w:r>
      <w:r w:rsidRPr="00D00722">
        <w:rPr>
          <w:rFonts w:ascii="Arial" w:hAnsi="Arial" w:cs="Arial"/>
          <w:b/>
          <w:lang w:val="tr-TR"/>
        </w:rPr>
        <w:t>Esas faaliyetlerden diğer gelirler</w:t>
      </w:r>
    </w:p>
    <w:p w:rsidR="000017CF" w:rsidRPr="00D00722" w:rsidRDefault="000017CF" w:rsidP="00B37F4A">
      <w:pPr>
        <w:tabs>
          <w:tab w:val="right" w:pos="567"/>
          <w:tab w:val="right" w:pos="1276"/>
        </w:tabs>
        <w:spacing w:line="230" w:lineRule="auto"/>
        <w:ind w:right="-1"/>
        <w:rPr>
          <w:rFonts w:ascii="Arial" w:hAnsi="Arial" w:cs="Arial"/>
          <w:b/>
          <w:sz w:val="18"/>
          <w:lang w:val="tr-TR"/>
        </w:rPr>
      </w:pPr>
    </w:p>
    <w:tbl>
      <w:tblPr>
        <w:tblW w:w="9072" w:type="dxa"/>
        <w:tblInd w:w="108" w:type="dxa"/>
        <w:tblLayout w:type="fixed"/>
        <w:tblLook w:val="0000"/>
      </w:tblPr>
      <w:tblGrid>
        <w:gridCol w:w="5670"/>
        <w:gridCol w:w="1843"/>
        <w:gridCol w:w="1559"/>
      </w:tblGrid>
      <w:tr w:rsidR="00DF00C5" w:rsidRPr="00D00722" w:rsidTr="00F94040">
        <w:trPr>
          <w:trHeight w:val="113"/>
        </w:trPr>
        <w:tc>
          <w:tcPr>
            <w:tcW w:w="5670" w:type="dxa"/>
            <w:tcBorders>
              <w:top w:val="single" w:sz="6" w:space="0" w:color="auto"/>
              <w:left w:val="nil"/>
              <w:bottom w:val="single" w:sz="6" w:space="0" w:color="auto"/>
              <w:right w:val="nil"/>
            </w:tcBorders>
          </w:tcPr>
          <w:p w:rsidR="00DF00C5" w:rsidRPr="00D00722" w:rsidRDefault="00DF00C5" w:rsidP="00B37F4A">
            <w:pPr>
              <w:autoSpaceDE w:val="0"/>
              <w:autoSpaceDN w:val="0"/>
              <w:adjustRightInd w:val="0"/>
              <w:spacing w:line="230" w:lineRule="auto"/>
              <w:ind w:hanging="108"/>
              <w:rPr>
                <w:rFonts w:ascii="Arial" w:hAnsi="Arial" w:cs="Arial"/>
                <w:b/>
                <w:bCs/>
                <w:color w:val="000000"/>
              </w:rPr>
            </w:pPr>
          </w:p>
        </w:tc>
        <w:tc>
          <w:tcPr>
            <w:tcW w:w="1843" w:type="dxa"/>
            <w:tcBorders>
              <w:top w:val="single" w:sz="6" w:space="0" w:color="auto"/>
              <w:left w:val="nil"/>
              <w:bottom w:val="single" w:sz="6" w:space="0" w:color="auto"/>
              <w:right w:val="nil"/>
            </w:tcBorders>
            <w:vAlign w:val="bottom"/>
          </w:tcPr>
          <w:p w:rsidR="00DF00C5" w:rsidRPr="00D00722" w:rsidRDefault="00DF00C5" w:rsidP="00DF00C5">
            <w:pPr>
              <w:autoSpaceDE w:val="0"/>
              <w:autoSpaceDN w:val="0"/>
              <w:adjustRightInd w:val="0"/>
              <w:jc w:val="right"/>
              <w:rPr>
                <w:rFonts w:ascii="Arial" w:hAnsi="Arial" w:cs="Arial"/>
                <w:b/>
                <w:bCs/>
                <w:color w:val="000000"/>
              </w:rPr>
            </w:pPr>
            <w:r w:rsidRPr="00D00722">
              <w:rPr>
                <w:rFonts w:ascii="Arial" w:hAnsi="Arial" w:cs="Arial"/>
                <w:b/>
                <w:bCs/>
                <w:color w:val="000000"/>
              </w:rPr>
              <w:t>1 Ocak -</w:t>
            </w:r>
          </w:p>
          <w:p w:rsidR="00DF00C5" w:rsidRPr="00D00722" w:rsidRDefault="00DF00C5" w:rsidP="00DF00C5">
            <w:pPr>
              <w:autoSpaceDE w:val="0"/>
              <w:autoSpaceDN w:val="0"/>
              <w:adjustRightInd w:val="0"/>
              <w:jc w:val="right"/>
              <w:rPr>
                <w:rFonts w:ascii="Arial" w:hAnsi="Arial" w:cs="Arial"/>
                <w:b/>
                <w:bCs/>
                <w:color w:val="000000"/>
              </w:rPr>
            </w:pPr>
            <w:r w:rsidRPr="00D00722">
              <w:rPr>
                <w:rFonts w:ascii="Arial" w:hAnsi="Arial" w:cs="Arial"/>
                <w:b/>
                <w:bCs/>
                <w:color w:val="000000"/>
              </w:rPr>
              <w:t>31 Mart 2014</w:t>
            </w:r>
          </w:p>
        </w:tc>
        <w:tc>
          <w:tcPr>
            <w:tcW w:w="1559" w:type="dxa"/>
            <w:tcBorders>
              <w:top w:val="single" w:sz="6" w:space="0" w:color="auto"/>
              <w:left w:val="nil"/>
              <w:bottom w:val="single" w:sz="6" w:space="0" w:color="auto"/>
              <w:right w:val="nil"/>
            </w:tcBorders>
            <w:vAlign w:val="bottom"/>
          </w:tcPr>
          <w:p w:rsidR="00DF00C5" w:rsidRPr="00D00722" w:rsidRDefault="00DF00C5" w:rsidP="00DF00C5">
            <w:pPr>
              <w:autoSpaceDE w:val="0"/>
              <w:autoSpaceDN w:val="0"/>
              <w:adjustRightInd w:val="0"/>
              <w:jc w:val="right"/>
              <w:rPr>
                <w:rFonts w:ascii="Arial" w:hAnsi="Arial" w:cs="Arial"/>
                <w:bCs/>
                <w:color w:val="000000"/>
              </w:rPr>
            </w:pPr>
            <w:r w:rsidRPr="00D00722">
              <w:rPr>
                <w:rFonts w:ascii="Arial" w:hAnsi="Arial" w:cs="Arial"/>
                <w:bCs/>
                <w:color w:val="000000"/>
              </w:rPr>
              <w:t>1 Ocak -</w:t>
            </w:r>
          </w:p>
          <w:p w:rsidR="00DF00C5" w:rsidRPr="00D00722" w:rsidRDefault="00DF00C5" w:rsidP="00DF00C5">
            <w:pPr>
              <w:autoSpaceDE w:val="0"/>
              <w:autoSpaceDN w:val="0"/>
              <w:adjustRightInd w:val="0"/>
              <w:jc w:val="right"/>
              <w:rPr>
                <w:rFonts w:ascii="Arial" w:hAnsi="Arial" w:cs="Arial"/>
                <w:b/>
                <w:bCs/>
                <w:color w:val="000000"/>
              </w:rPr>
            </w:pPr>
            <w:r w:rsidRPr="00D00722">
              <w:rPr>
                <w:rFonts w:ascii="Arial" w:hAnsi="Arial" w:cs="Arial"/>
                <w:bCs/>
                <w:color w:val="000000"/>
              </w:rPr>
              <w:t>31 Mart 2013</w:t>
            </w:r>
          </w:p>
        </w:tc>
      </w:tr>
      <w:tr w:rsidR="008310F3" w:rsidRPr="00D00722" w:rsidTr="00855DDA">
        <w:trPr>
          <w:trHeight w:val="113"/>
        </w:trPr>
        <w:tc>
          <w:tcPr>
            <w:tcW w:w="5670" w:type="dxa"/>
            <w:tcBorders>
              <w:top w:val="nil"/>
              <w:left w:val="nil"/>
              <w:bottom w:val="nil"/>
              <w:right w:val="nil"/>
            </w:tcBorders>
          </w:tcPr>
          <w:p w:rsidR="008310F3" w:rsidRPr="00D00722" w:rsidRDefault="008310F3" w:rsidP="00B37F4A">
            <w:pPr>
              <w:autoSpaceDE w:val="0"/>
              <w:autoSpaceDN w:val="0"/>
              <w:adjustRightInd w:val="0"/>
              <w:spacing w:line="230" w:lineRule="auto"/>
              <w:ind w:hanging="108"/>
              <w:jc w:val="right"/>
              <w:rPr>
                <w:rFonts w:ascii="Arial" w:hAnsi="Arial" w:cs="Arial"/>
                <w:color w:val="000000"/>
              </w:rPr>
            </w:pPr>
          </w:p>
        </w:tc>
        <w:tc>
          <w:tcPr>
            <w:tcW w:w="1843" w:type="dxa"/>
            <w:tcBorders>
              <w:top w:val="nil"/>
              <w:left w:val="nil"/>
              <w:bottom w:val="nil"/>
              <w:right w:val="nil"/>
            </w:tcBorders>
          </w:tcPr>
          <w:p w:rsidR="008310F3" w:rsidRPr="00D00722" w:rsidRDefault="008310F3" w:rsidP="00B37F4A">
            <w:pPr>
              <w:autoSpaceDE w:val="0"/>
              <w:autoSpaceDN w:val="0"/>
              <w:adjustRightInd w:val="0"/>
              <w:spacing w:line="230" w:lineRule="auto"/>
              <w:jc w:val="right"/>
              <w:rPr>
                <w:rFonts w:ascii="Arial" w:hAnsi="Arial" w:cs="Arial"/>
                <w:color w:val="000000"/>
              </w:rPr>
            </w:pPr>
          </w:p>
        </w:tc>
        <w:tc>
          <w:tcPr>
            <w:tcW w:w="1559" w:type="dxa"/>
            <w:tcBorders>
              <w:top w:val="nil"/>
              <w:left w:val="nil"/>
              <w:bottom w:val="nil"/>
              <w:right w:val="nil"/>
            </w:tcBorders>
          </w:tcPr>
          <w:p w:rsidR="008310F3" w:rsidRPr="00D00722" w:rsidRDefault="008310F3" w:rsidP="00B37F4A">
            <w:pPr>
              <w:autoSpaceDE w:val="0"/>
              <w:autoSpaceDN w:val="0"/>
              <w:adjustRightInd w:val="0"/>
              <w:spacing w:line="230" w:lineRule="auto"/>
              <w:jc w:val="right"/>
              <w:rPr>
                <w:rFonts w:ascii="Arial" w:hAnsi="Arial" w:cs="Arial"/>
                <w:color w:val="000000"/>
              </w:rPr>
            </w:pPr>
          </w:p>
        </w:tc>
      </w:tr>
      <w:tr w:rsidR="006B7B62" w:rsidRPr="00D00722" w:rsidTr="00855DDA">
        <w:trPr>
          <w:trHeight w:val="113"/>
        </w:trPr>
        <w:tc>
          <w:tcPr>
            <w:tcW w:w="5670" w:type="dxa"/>
            <w:tcBorders>
              <w:top w:val="nil"/>
              <w:left w:val="nil"/>
              <w:bottom w:val="nil"/>
              <w:right w:val="nil"/>
            </w:tcBorders>
          </w:tcPr>
          <w:p w:rsidR="006B7B62" w:rsidRPr="00D00722" w:rsidRDefault="006B7B62" w:rsidP="00B37F4A">
            <w:pPr>
              <w:autoSpaceDE w:val="0"/>
              <w:autoSpaceDN w:val="0"/>
              <w:adjustRightInd w:val="0"/>
              <w:spacing w:line="230" w:lineRule="auto"/>
              <w:ind w:hanging="108"/>
              <w:rPr>
                <w:rFonts w:ascii="Arial" w:hAnsi="Arial" w:cs="Arial"/>
                <w:color w:val="000000"/>
              </w:rPr>
            </w:pPr>
            <w:r w:rsidRPr="00D00722">
              <w:rPr>
                <w:rFonts w:ascii="Arial" w:hAnsi="Arial" w:cs="Arial"/>
                <w:color w:val="000000"/>
              </w:rPr>
              <w:t>Faiz gelirleri;</w:t>
            </w:r>
          </w:p>
        </w:tc>
        <w:tc>
          <w:tcPr>
            <w:tcW w:w="1843" w:type="dxa"/>
            <w:tcBorders>
              <w:top w:val="nil"/>
              <w:left w:val="nil"/>
              <w:bottom w:val="nil"/>
              <w:right w:val="nil"/>
            </w:tcBorders>
          </w:tcPr>
          <w:p w:rsidR="006B7B62" w:rsidRPr="00D00722" w:rsidRDefault="006B7B62" w:rsidP="00B37F4A">
            <w:pPr>
              <w:autoSpaceDE w:val="0"/>
              <w:autoSpaceDN w:val="0"/>
              <w:adjustRightInd w:val="0"/>
              <w:spacing w:line="230" w:lineRule="auto"/>
              <w:jc w:val="right"/>
              <w:rPr>
                <w:rFonts w:ascii="Arial" w:hAnsi="Arial" w:cs="Arial"/>
                <w:b/>
                <w:bCs/>
                <w:color w:val="000000"/>
              </w:rPr>
            </w:pPr>
          </w:p>
        </w:tc>
        <w:tc>
          <w:tcPr>
            <w:tcW w:w="1559" w:type="dxa"/>
            <w:tcBorders>
              <w:top w:val="nil"/>
              <w:left w:val="nil"/>
              <w:bottom w:val="nil"/>
              <w:right w:val="nil"/>
            </w:tcBorders>
          </w:tcPr>
          <w:p w:rsidR="006B7B62" w:rsidRPr="00D00722" w:rsidRDefault="006B7B62" w:rsidP="002E27C3">
            <w:pPr>
              <w:autoSpaceDE w:val="0"/>
              <w:autoSpaceDN w:val="0"/>
              <w:adjustRightInd w:val="0"/>
              <w:spacing w:line="230" w:lineRule="auto"/>
              <w:jc w:val="right"/>
              <w:rPr>
                <w:rFonts w:ascii="Arial" w:hAnsi="Arial" w:cs="Arial"/>
                <w:bCs/>
                <w:color w:val="000000"/>
              </w:rPr>
            </w:pPr>
          </w:p>
        </w:tc>
      </w:tr>
      <w:tr w:rsidR="00311CD6" w:rsidRPr="00D00722" w:rsidTr="00855DDA">
        <w:trPr>
          <w:trHeight w:val="113"/>
        </w:trPr>
        <w:tc>
          <w:tcPr>
            <w:tcW w:w="5670" w:type="dxa"/>
            <w:tcBorders>
              <w:top w:val="nil"/>
              <w:left w:val="nil"/>
              <w:bottom w:val="nil"/>
              <w:right w:val="nil"/>
            </w:tcBorders>
          </w:tcPr>
          <w:p w:rsidR="00311CD6" w:rsidRPr="00D00722" w:rsidRDefault="00311CD6" w:rsidP="00FF1A91">
            <w:pPr>
              <w:autoSpaceDE w:val="0"/>
              <w:autoSpaceDN w:val="0"/>
              <w:adjustRightInd w:val="0"/>
              <w:spacing w:line="230" w:lineRule="auto"/>
              <w:ind w:hanging="108"/>
              <w:rPr>
                <w:rFonts w:ascii="Arial" w:hAnsi="Arial" w:cs="Arial"/>
                <w:color w:val="000000"/>
              </w:rPr>
            </w:pPr>
            <w:r w:rsidRPr="00D00722">
              <w:rPr>
                <w:rFonts w:ascii="Arial" w:hAnsi="Arial" w:cs="Arial"/>
                <w:color w:val="000000"/>
              </w:rPr>
              <w:t>- Mevduat faiz gelirleri</w:t>
            </w:r>
          </w:p>
        </w:tc>
        <w:tc>
          <w:tcPr>
            <w:tcW w:w="1843" w:type="dxa"/>
            <w:tcBorders>
              <w:top w:val="nil"/>
              <w:left w:val="nil"/>
              <w:bottom w:val="nil"/>
              <w:right w:val="nil"/>
            </w:tcBorders>
          </w:tcPr>
          <w:p w:rsidR="00311CD6" w:rsidRPr="00D00722" w:rsidRDefault="006F0E3C" w:rsidP="00FF1A91">
            <w:pPr>
              <w:autoSpaceDE w:val="0"/>
              <w:autoSpaceDN w:val="0"/>
              <w:adjustRightInd w:val="0"/>
              <w:spacing w:line="230" w:lineRule="auto"/>
              <w:jc w:val="right"/>
              <w:rPr>
                <w:rFonts w:ascii="Arial" w:hAnsi="Arial" w:cs="Arial"/>
                <w:b/>
                <w:bCs/>
                <w:color w:val="000000"/>
              </w:rPr>
            </w:pPr>
            <w:r w:rsidRPr="00D00722">
              <w:rPr>
                <w:rFonts w:ascii="Arial" w:hAnsi="Arial" w:cs="Arial"/>
                <w:b/>
                <w:bCs/>
                <w:color w:val="000000"/>
              </w:rPr>
              <w:t>9.761</w:t>
            </w:r>
          </w:p>
        </w:tc>
        <w:tc>
          <w:tcPr>
            <w:tcW w:w="1559" w:type="dxa"/>
            <w:tcBorders>
              <w:top w:val="nil"/>
              <w:left w:val="nil"/>
              <w:bottom w:val="nil"/>
              <w:right w:val="nil"/>
            </w:tcBorders>
          </w:tcPr>
          <w:p w:rsidR="00311CD6" w:rsidRPr="00D00722" w:rsidRDefault="00DC4881" w:rsidP="00FF1A91">
            <w:pPr>
              <w:autoSpaceDE w:val="0"/>
              <w:autoSpaceDN w:val="0"/>
              <w:adjustRightInd w:val="0"/>
              <w:spacing w:line="230" w:lineRule="auto"/>
              <w:jc w:val="right"/>
              <w:rPr>
                <w:rFonts w:ascii="Arial" w:hAnsi="Arial" w:cs="Arial"/>
                <w:bCs/>
                <w:color w:val="000000"/>
              </w:rPr>
            </w:pPr>
            <w:r w:rsidRPr="00D00722">
              <w:rPr>
                <w:rFonts w:ascii="Arial" w:hAnsi="Arial" w:cs="Arial"/>
                <w:bCs/>
                <w:color w:val="000000"/>
              </w:rPr>
              <w:t>15.724</w:t>
            </w:r>
          </w:p>
        </w:tc>
      </w:tr>
      <w:tr w:rsidR="006B7B62" w:rsidRPr="00D00722" w:rsidTr="00855DDA">
        <w:trPr>
          <w:trHeight w:val="113"/>
        </w:trPr>
        <w:tc>
          <w:tcPr>
            <w:tcW w:w="5670" w:type="dxa"/>
            <w:tcBorders>
              <w:top w:val="nil"/>
              <w:left w:val="nil"/>
              <w:bottom w:val="nil"/>
              <w:right w:val="nil"/>
            </w:tcBorders>
          </w:tcPr>
          <w:p w:rsidR="006B7B62" w:rsidRPr="00D00722" w:rsidRDefault="00311CD6" w:rsidP="00B37F4A">
            <w:pPr>
              <w:autoSpaceDE w:val="0"/>
              <w:autoSpaceDN w:val="0"/>
              <w:adjustRightInd w:val="0"/>
              <w:spacing w:line="230" w:lineRule="auto"/>
              <w:ind w:hanging="108"/>
              <w:rPr>
                <w:rFonts w:ascii="Arial" w:hAnsi="Arial" w:cs="Arial"/>
                <w:color w:val="000000"/>
              </w:rPr>
            </w:pPr>
            <w:r w:rsidRPr="00D00722">
              <w:rPr>
                <w:rFonts w:ascii="Arial" w:hAnsi="Arial" w:cs="Arial"/>
                <w:color w:val="000000"/>
              </w:rPr>
              <w:t>- BPP faiz gelirleri</w:t>
            </w:r>
          </w:p>
        </w:tc>
        <w:tc>
          <w:tcPr>
            <w:tcW w:w="1843" w:type="dxa"/>
            <w:tcBorders>
              <w:top w:val="nil"/>
              <w:left w:val="nil"/>
              <w:bottom w:val="nil"/>
              <w:right w:val="nil"/>
            </w:tcBorders>
          </w:tcPr>
          <w:p w:rsidR="006B7B62" w:rsidRPr="00D00722" w:rsidRDefault="006F0E3C" w:rsidP="00D34484">
            <w:pPr>
              <w:autoSpaceDE w:val="0"/>
              <w:autoSpaceDN w:val="0"/>
              <w:adjustRightInd w:val="0"/>
              <w:spacing w:line="230" w:lineRule="auto"/>
              <w:jc w:val="right"/>
              <w:rPr>
                <w:rFonts w:ascii="Arial" w:hAnsi="Arial" w:cs="Arial"/>
                <w:b/>
                <w:bCs/>
                <w:color w:val="000000"/>
              </w:rPr>
            </w:pPr>
            <w:r w:rsidRPr="00D00722">
              <w:rPr>
                <w:rFonts w:ascii="Arial" w:hAnsi="Arial" w:cs="Arial"/>
                <w:b/>
                <w:bCs/>
                <w:color w:val="000000"/>
              </w:rPr>
              <w:t>8.56</w:t>
            </w:r>
            <w:r w:rsidR="00D34484" w:rsidRPr="00D00722">
              <w:rPr>
                <w:rFonts w:ascii="Arial" w:hAnsi="Arial" w:cs="Arial"/>
                <w:b/>
                <w:bCs/>
                <w:color w:val="000000"/>
              </w:rPr>
              <w:t>1</w:t>
            </w:r>
          </w:p>
        </w:tc>
        <w:tc>
          <w:tcPr>
            <w:tcW w:w="1559" w:type="dxa"/>
            <w:tcBorders>
              <w:top w:val="nil"/>
              <w:left w:val="nil"/>
              <w:bottom w:val="nil"/>
              <w:right w:val="nil"/>
            </w:tcBorders>
          </w:tcPr>
          <w:p w:rsidR="006B7B62" w:rsidRPr="00D00722" w:rsidRDefault="00DC4881" w:rsidP="002E27C3">
            <w:pPr>
              <w:autoSpaceDE w:val="0"/>
              <w:autoSpaceDN w:val="0"/>
              <w:adjustRightInd w:val="0"/>
              <w:spacing w:line="230" w:lineRule="auto"/>
              <w:jc w:val="right"/>
              <w:rPr>
                <w:rFonts w:ascii="Arial" w:hAnsi="Arial" w:cs="Arial"/>
                <w:bCs/>
                <w:color w:val="000000"/>
              </w:rPr>
            </w:pPr>
            <w:r w:rsidRPr="00D00722">
              <w:rPr>
                <w:rFonts w:ascii="Arial" w:hAnsi="Arial" w:cs="Arial"/>
                <w:bCs/>
                <w:color w:val="000000"/>
              </w:rPr>
              <w:t>1.809</w:t>
            </w:r>
          </w:p>
        </w:tc>
      </w:tr>
      <w:tr w:rsidR="006B7B62" w:rsidRPr="00D00722" w:rsidTr="00855DDA">
        <w:trPr>
          <w:trHeight w:val="113"/>
        </w:trPr>
        <w:tc>
          <w:tcPr>
            <w:tcW w:w="5670" w:type="dxa"/>
            <w:tcBorders>
              <w:top w:val="nil"/>
              <w:left w:val="nil"/>
              <w:bottom w:val="nil"/>
              <w:right w:val="nil"/>
            </w:tcBorders>
          </w:tcPr>
          <w:p w:rsidR="006B7B62" w:rsidRPr="00D00722" w:rsidRDefault="00311CD6" w:rsidP="00311CD6">
            <w:pPr>
              <w:autoSpaceDE w:val="0"/>
              <w:autoSpaceDN w:val="0"/>
              <w:adjustRightInd w:val="0"/>
              <w:spacing w:line="230" w:lineRule="auto"/>
              <w:ind w:hanging="108"/>
              <w:rPr>
                <w:rFonts w:ascii="Arial" w:hAnsi="Arial" w:cs="Arial"/>
                <w:color w:val="000000"/>
              </w:rPr>
            </w:pPr>
            <w:r w:rsidRPr="00D00722">
              <w:rPr>
                <w:rFonts w:ascii="Arial" w:hAnsi="Arial" w:cs="Arial"/>
                <w:color w:val="000000"/>
              </w:rPr>
              <w:t>- DİBS faiz gelirleri</w:t>
            </w:r>
          </w:p>
        </w:tc>
        <w:tc>
          <w:tcPr>
            <w:tcW w:w="1843" w:type="dxa"/>
            <w:tcBorders>
              <w:top w:val="nil"/>
              <w:left w:val="nil"/>
              <w:bottom w:val="nil"/>
              <w:right w:val="nil"/>
            </w:tcBorders>
          </w:tcPr>
          <w:p w:rsidR="006B7B62" w:rsidRPr="00D00722" w:rsidRDefault="006F0E3C" w:rsidP="00B37F4A">
            <w:pPr>
              <w:autoSpaceDE w:val="0"/>
              <w:autoSpaceDN w:val="0"/>
              <w:adjustRightInd w:val="0"/>
              <w:spacing w:line="230" w:lineRule="auto"/>
              <w:jc w:val="right"/>
              <w:rPr>
                <w:rFonts w:ascii="Arial" w:hAnsi="Arial" w:cs="Arial"/>
                <w:b/>
                <w:bCs/>
                <w:color w:val="000000"/>
              </w:rPr>
            </w:pPr>
            <w:r w:rsidRPr="00D00722">
              <w:rPr>
                <w:rFonts w:ascii="Arial" w:hAnsi="Arial" w:cs="Arial"/>
                <w:b/>
                <w:bCs/>
                <w:color w:val="000000"/>
              </w:rPr>
              <w:t>2.447</w:t>
            </w:r>
          </w:p>
        </w:tc>
        <w:tc>
          <w:tcPr>
            <w:tcW w:w="1559" w:type="dxa"/>
            <w:tcBorders>
              <w:top w:val="nil"/>
              <w:left w:val="nil"/>
              <w:bottom w:val="nil"/>
              <w:right w:val="nil"/>
            </w:tcBorders>
          </w:tcPr>
          <w:p w:rsidR="006B7B62" w:rsidRPr="00D00722" w:rsidRDefault="00DC4881" w:rsidP="002E27C3">
            <w:pPr>
              <w:autoSpaceDE w:val="0"/>
              <w:autoSpaceDN w:val="0"/>
              <w:adjustRightInd w:val="0"/>
              <w:spacing w:line="230" w:lineRule="auto"/>
              <w:jc w:val="right"/>
              <w:rPr>
                <w:rFonts w:ascii="Arial" w:hAnsi="Arial" w:cs="Arial"/>
                <w:bCs/>
                <w:color w:val="000000"/>
              </w:rPr>
            </w:pPr>
            <w:r w:rsidRPr="00D00722">
              <w:rPr>
                <w:rFonts w:ascii="Arial" w:hAnsi="Arial" w:cs="Arial"/>
                <w:bCs/>
                <w:color w:val="000000"/>
              </w:rPr>
              <w:t>2.127</w:t>
            </w:r>
          </w:p>
        </w:tc>
      </w:tr>
      <w:tr w:rsidR="006B7B62" w:rsidRPr="00D00722" w:rsidTr="00855DDA">
        <w:trPr>
          <w:trHeight w:val="113"/>
        </w:trPr>
        <w:tc>
          <w:tcPr>
            <w:tcW w:w="5670" w:type="dxa"/>
            <w:tcBorders>
              <w:top w:val="nil"/>
              <w:left w:val="nil"/>
              <w:bottom w:val="nil"/>
              <w:right w:val="nil"/>
            </w:tcBorders>
          </w:tcPr>
          <w:p w:rsidR="006B7B62" w:rsidRPr="00D00722" w:rsidRDefault="006B7B62" w:rsidP="00B37F4A">
            <w:pPr>
              <w:autoSpaceDE w:val="0"/>
              <w:autoSpaceDN w:val="0"/>
              <w:adjustRightInd w:val="0"/>
              <w:spacing w:line="230" w:lineRule="auto"/>
              <w:ind w:hanging="108"/>
              <w:rPr>
                <w:rFonts w:ascii="Arial" w:hAnsi="Arial" w:cs="Arial"/>
                <w:color w:val="000000"/>
              </w:rPr>
            </w:pPr>
            <w:r w:rsidRPr="00D00722">
              <w:rPr>
                <w:rFonts w:ascii="Arial" w:hAnsi="Arial" w:cs="Arial"/>
                <w:color w:val="000000"/>
              </w:rPr>
              <w:t xml:space="preserve">- </w:t>
            </w:r>
            <w:r w:rsidR="00ED0609" w:rsidRPr="00D00722">
              <w:rPr>
                <w:rFonts w:ascii="Arial" w:hAnsi="Arial" w:cs="Arial"/>
                <w:color w:val="000000"/>
              </w:rPr>
              <w:t>Özel kesim tahvil senet ve bonolar</w:t>
            </w:r>
          </w:p>
        </w:tc>
        <w:tc>
          <w:tcPr>
            <w:tcW w:w="1843" w:type="dxa"/>
            <w:tcBorders>
              <w:top w:val="nil"/>
              <w:left w:val="nil"/>
              <w:bottom w:val="nil"/>
              <w:right w:val="nil"/>
            </w:tcBorders>
          </w:tcPr>
          <w:p w:rsidR="006B7B62" w:rsidRPr="00D00722" w:rsidRDefault="006B7B62" w:rsidP="00B37F4A">
            <w:pPr>
              <w:autoSpaceDE w:val="0"/>
              <w:autoSpaceDN w:val="0"/>
              <w:adjustRightInd w:val="0"/>
              <w:spacing w:line="230" w:lineRule="auto"/>
              <w:jc w:val="right"/>
              <w:rPr>
                <w:rFonts w:ascii="Arial" w:hAnsi="Arial" w:cs="Arial"/>
                <w:b/>
                <w:bCs/>
                <w:color w:val="000000"/>
              </w:rPr>
            </w:pPr>
          </w:p>
        </w:tc>
        <w:tc>
          <w:tcPr>
            <w:tcW w:w="1559" w:type="dxa"/>
            <w:tcBorders>
              <w:top w:val="nil"/>
              <w:left w:val="nil"/>
              <w:bottom w:val="nil"/>
              <w:right w:val="nil"/>
            </w:tcBorders>
          </w:tcPr>
          <w:p w:rsidR="006B7B62" w:rsidRPr="00D00722" w:rsidRDefault="006B7B62" w:rsidP="002E27C3">
            <w:pPr>
              <w:autoSpaceDE w:val="0"/>
              <w:autoSpaceDN w:val="0"/>
              <w:adjustRightInd w:val="0"/>
              <w:spacing w:line="230" w:lineRule="auto"/>
              <w:jc w:val="right"/>
              <w:rPr>
                <w:rFonts w:ascii="Arial" w:hAnsi="Arial" w:cs="Arial"/>
                <w:bCs/>
                <w:color w:val="000000"/>
              </w:rPr>
            </w:pPr>
          </w:p>
        </w:tc>
      </w:tr>
      <w:tr w:rsidR="006B7B62" w:rsidRPr="00D00722" w:rsidTr="00855DDA">
        <w:trPr>
          <w:trHeight w:val="113"/>
        </w:trPr>
        <w:tc>
          <w:tcPr>
            <w:tcW w:w="5670" w:type="dxa"/>
            <w:tcBorders>
              <w:top w:val="nil"/>
              <w:left w:val="nil"/>
              <w:bottom w:val="nil"/>
              <w:right w:val="nil"/>
            </w:tcBorders>
          </w:tcPr>
          <w:p w:rsidR="006B7B62" w:rsidRPr="00D00722" w:rsidRDefault="006B7B62" w:rsidP="00B37F4A">
            <w:pPr>
              <w:autoSpaceDE w:val="0"/>
              <w:autoSpaceDN w:val="0"/>
              <w:adjustRightInd w:val="0"/>
              <w:spacing w:line="230" w:lineRule="auto"/>
              <w:ind w:hanging="108"/>
              <w:rPr>
                <w:rFonts w:ascii="Arial" w:hAnsi="Arial" w:cs="Arial"/>
                <w:color w:val="000000"/>
              </w:rPr>
            </w:pPr>
            <w:r w:rsidRPr="00D00722">
              <w:rPr>
                <w:rFonts w:ascii="Arial" w:hAnsi="Arial" w:cs="Arial"/>
                <w:color w:val="000000"/>
              </w:rPr>
              <w:t>Finansal varlıklar reeskont geliri</w:t>
            </w:r>
          </w:p>
        </w:tc>
        <w:tc>
          <w:tcPr>
            <w:tcW w:w="1843" w:type="dxa"/>
            <w:tcBorders>
              <w:top w:val="nil"/>
              <w:left w:val="nil"/>
              <w:bottom w:val="nil"/>
              <w:right w:val="nil"/>
            </w:tcBorders>
          </w:tcPr>
          <w:p w:rsidR="006B7B62" w:rsidRPr="00D00722" w:rsidRDefault="006F0E3C" w:rsidP="00B37F4A">
            <w:pPr>
              <w:autoSpaceDE w:val="0"/>
              <w:autoSpaceDN w:val="0"/>
              <w:adjustRightInd w:val="0"/>
              <w:spacing w:line="230" w:lineRule="auto"/>
              <w:jc w:val="right"/>
              <w:rPr>
                <w:rFonts w:ascii="Arial" w:hAnsi="Arial" w:cs="Arial"/>
                <w:b/>
                <w:bCs/>
                <w:color w:val="000000"/>
              </w:rPr>
            </w:pPr>
            <w:r w:rsidRPr="00D00722">
              <w:rPr>
                <w:rFonts w:ascii="Arial" w:hAnsi="Arial" w:cs="Arial"/>
                <w:b/>
                <w:bCs/>
                <w:color w:val="000000"/>
              </w:rPr>
              <w:t>14</w:t>
            </w:r>
          </w:p>
        </w:tc>
        <w:tc>
          <w:tcPr>
            <w:tcW w:w="1559" w:type="dxa"/>
            <w:tcBorders>
              <w:top w:val="nil"/>
              <w:left w:val="nil"/>
              <w:bottom w:val="nil"/>
              <w:right w:val="nil"/>
            </w:tcBorders>
          </w:tcPr>
          <w:p w:rsidR="006B7B62" w:rsidRPr="00D00722" w:rsidRDefault="006B7B62" w:rsidP="002E27C3">
            <w:pPr>
              <w:autoSpaceDE w:val="0"/>
              <w:autoSpaceDN w:val="0"/>
              <w:adjustRightInd w:val="0"/>
              <w:spacing w:line="230" w:lineRule="auto"/>
              <w:jc w:val="right"/>
              <w:rPr>
                <w:rFonts w:ascii="Arial" w:hAnsi="Arial" w:cs="Arial"/>
                <w:bCs/>
                <w:color w:val="000000"/>
              </w:rPr>
            </w:pPr>
          </w:p>
        </w:tc>
      </w:tr>
      <w:tr w:rsidR="006B7B62" w:rsidRPr="00D00722" w:rsidTr="00855DDA">
        <w:trPr>
          <w:trHeight w:val="113"/>
        </w:trPr>
        <w:tc>
          <w:tcPr>
            <w:tcW w:w="5670" w:type="dxa"/>
            <w:tcBorders>
              <w:top w:val="nil"/>
              <w:left w:val="nil"/>
              <w:bottom w:val="nil"/>
              <w:right w:val="nil"/>
            </w:tcBorders>
          </w:tcPr>
          <w:p w:rsidR="006B7B62" w:rsidRPr="00D00722" w:rsidRDefault="006B7B62" w:rsidP="00B37F4A">
            <w:pPr>
              <w:autoSpaceDE w:val="0"/>
              <w:autoSpaceDN w:val="0"/>
              <w:adjustRightInd w:val="0"/>
              <w:spacing w:line="230" w:lineRule="auto"/>
              <w:ind w:hanging="108"/>
              <w:rPr>
                <w:rFonts w:ascii="Arial" w:hAnsi="Arial" w:cs="Arial"/>
                <w:color w:val="000000"/>
              </w:rPr>
            </w:pPr>
            <w:r w:rsidRPr="00D00722">
              <w:rPr>
                <w:rFonts w:ascii="Arial" w:hAnsi="Arial" w:cs="Arial"/>
                <w:color w:val="000000"/>
              </w:rPr>
              <w:t>Menkul kıymet alım satım karı</w:t>
            </w:r>
          </w:p>
        </w:tc>
        <w:tc>
          <w:tcPr>
            <w:tcW w:w="1843" w:type="dxa"/>
            <w:tcBorders>
              <w:top w:val="nil"/>
              <w:left w:val="nil"/>
              <w:bottom w:val="nil"/>
              <w:right w:val="nil"/>
            </w:tcBorders>
          </w:tcPr>
          <w:p w:rsidR="006B7B62" w:rsidRPr="00D00722" w:rsidRDefault="00D34484" w:rsidP="00B37F4A">
            <w:pPr>
              <w:autoSpaceDE w:val="0"/>
              <w:autoSpaceDN w:val="0"/>
              <w:adjustRightInd w:val="0"/>
              <w:spacing w:line="230" w:lineRule="auto"/>
              <w:jc w:val="right"/>
              <w:rPr>
                <w:rFonts w:ascii="Arial" w:hAnsi="Arial" w:cs="Arial"/>
                <w:b/>
                <w:bCs/>
                <w:color w:val="000000"/>
              </w:rPr>
            </w:pPr>
            <w:r w:rsidRPr="00D00722">
              <w:rPr>
                <w:rFonts w:ascii="Arial" w:hAnsi="Arial" w:cs="Arial"/>
                <w:b/>
                <w:bCs/>
                <w:color w:val="000000"/>
              </w:rPr>
              <w:t>1.254</w:t>
            </w:r>
          </w:p>
        </w:tc>
        <w:tc>
          <w:tcPr>
            <w:tcW w:w="1559" w:type="dxa"/>
            <w:tcBorders>
              <w:top w:val="nil"/>
              <w:left w:val="nil"/>
              <w:bottom w:val="nil"/>
              <w:right w:val="nil"/>
            </w:tcBorders>
          </w:tcPr>
          <w:p w:rsidR="006B7B62" w:rsidRPr="00D00722" w:rsidRDefault="006B7B62" w:rsidP="002E27C3">
            <w:pPr>
              <w:autoSpaceDE w:val="0"/>
              <w:autoSpaceDN w:val="0"/>
              <w:adjustRightInd w:val="0"/>
              <w:spacing w:line="230" w:lineRule="auto"/>
              <w:jc w:val="right"/>
              <w:rPr>
                <w:rFonts w:ascii="Arial" w:hAnsi="Arial" w:cs="Arial"/>
                <w:bCs/>
                <w:color w:val="000000"/>
              </w:rPr>
            </w:pPr>
          </w:p>
        </w:tc>
      </w:tr>
      <w:tr w:rsidR="006B7B62" w:rsidRPr="00D00722" w:rsidTr="002E27C3">
        <w:trPr>
          <w:trHeight w:val="113"/>
        </w:trPr>
        <w:tc>
          <w:tcPr>
            <w:tcW w:w="5670" w:type="dxa"/>
            <w:tcBorders>
              <w:top w:val="nil"/>
              <w:left w:val="nil"/>
              <w:bottom w:val="nil"/>
              <w:right w:val="nil"/>
            </w:tcBorders>
          </w:tcPr>
          <w:p w:rsidR="006B7B62" w:rsidRPr="00D00722" w:rsidRDefault="00ED0609" w:rsidP="00B37F4A">
            <w:pPr>
              <w:autoSpaceDE w:val="0"/>
              <w:autoSpaceDN w:val="0"/>
              <w:adjustRightInd w:val="0"/>
              <w:spacing w:line="230" w:lineRule="auto"/>
              <w:ind w:hanging="108"/>
              <w:rPr>
                <w:rFonts w:ascii="Arial" w:hAnsi="Arial" w:cs="Arial"/>
                <w:color w:val="000000"/>
              </w:rPr>
            </w:pPr>
            <w:r w:rsidRPr="00D00722">
              <w:rPr>
                <w:rFonts w:ascii="Arial" w:hAnsi="Arial" w:cs="Arial"/>
                <w:color w:val="000000"/>
              </w:rPr>
              <w:t>Diğer</w:t>
            </w:r>
          </w:p>
        </w:tc>
        <w:tc>
          <w:tcPr>
            <w:tcW w:w="1843" w:type="dxa"/>
            <w:tcBorders>
              <w:top w:val="nil"/>
              <w:left w:val="nil"/>
              <w:bottom w:val="nil"/>
              <w:right w:val="nil"/>
            </w:tcBorders>
            <w:vAlign w:val="bottom"/>
          </w:tcPr>
          <w:p w:rsidR="006B7B62" w:rsidRPr="00D00722" w:rsidRDefault="006B7B62" w:rsidP="00B37F4A">
            <w:pPr>
              <w:autoSpaceDE w:val="0"/>
              <w:autoSpaceDN w:val="0"/>
              <w:adjustRightInd w:val="0"/>
              <w:spacing w:line="230" w:lineRule="auto"/>
              <w:jc w:val="right"/>
              <w:rPr>
                <w:rFonts w:ascii="Arial" w:hAnsi="Arial" w:cs="Arial"/>
                <w:b/>
                <w:bCs/>
                <w:color w:val="000000"/>
              </w:rPr>
            </w:pPr>
          </w:p>
        </w:tc>
        <w:tc>
          <w:tcPr>
            <w:tcW w:w="1559" w:type="dxa"/>
            <w:tcBorders>
              <w:top w:val="nil"/>
              <w:left w:val="nil"/>
              <w:bottom w:val="nil"/>
              <w:right w:val="nil"/>
            </w:tcBorders>
            <w:vAlign w:val="bottom"/>
          </w:tcPr>
          <w:p w:rsidR="006B7B62" w:rsidRPr="00D00722" w:rsidRDefault="00DC4881" w:rsidP="002E27C3">
            <w:pPr>
              <w:autoSpaceDE w:val="0"/>
              <w:autoSpaceDN w:val="0"/>
              <w:adjustRightInd w:val="0"/>
              <w:spacing w:line="230" w:lineRule="auto"/>
              <w:jc w:val="right"/>
              <w:rPr>
                <w:rFonts w:ascii="Arial" w:hAnsi="Arial" w:cs="Arial"/>
                <w:bCs/>
                <w:color w:val="000000"/>
              </w:rPr>
            </w:pPr>
            <w:r w:rsidRPr="00D00722">
              <w:rPr>
                <w:rFonts w:ascii="Arial" w:hAnsi="Arial" w:cs="Arial"/>
                <w:bCs/>
                <w:color w:val="000000"/>
              </w:rPr>
              <w:t>193</w:t>
            </w:r>
          </w:p>
        </w:tc>
      </w:tr>
      <w:tr w:rsidR="006B7B62" w:rsidRPr="00D00722" w:rsidTr="00855DDA">
        <w:trPr>
          <w:trHeight w:val="113"/>
        </w:trPr>
        <w:tc>
          <w:tcPr>
            <w:tcW w:w="5670" w:type="dxa"/>
            <w:tcBorders>
              <w:top w:val="nil"/>
              <w:left w:val="nil"/>
              <w:bottom w:val="nil"/>
              <w:right w:val="nil"/>
            </w:tcBorders>
          </w:tcPr>
          <w:p w:rsidR="006B7B62" w:rsidRPr="00D00722" w:rsidRDefault="006B7B62" w:rsidP="00B37F4A">
            <w:pPr>
              <w:autoSpaceDE w:val="0"/>
              <w:autoSpaceDN w:val="0"/>
              <w:adjustRightInd w:val="0"/>
              <w:spacing w:line="230" w:lineRule="auto"/>
              <w:ind w:hanging="108"/>
              <w:jc w:val="right"/>
              <w:rPr>
                <w:rFonts w:ascii="Arial" w:hAnsi="Arial" w:cs="Arial"/>
                <w:color w:val="000000"/>
              </w:rPr>
            </w:pPr>
          </w:p>
        </w:tc>
        <w:tc>
          <w:tcPr>
            <w:tcW w:w="1843" w:type="dxa"/>
            <w:tcBorders>
              <w:top w:val="nil"/>
              <w:left w:val="nil"/>
              <w:bottom w:val="nil"/>
              <w:right w:val="nil"/>
            </w:tcBorders>
          </w:tcPr>
          <w:p w:rsidR="006B7B62" w:rsidRPr="00D00722" w:rsidRDefault="006B7B62" w:rsidP="00B37F4A">
            <w:pPr>
              <w:autoSpaceDE w:val="0"/>
              <w:autoSpaceDN w:val="0"/>
              <w:adjustRightInd w:val="0"/>
              <w:spacing w:line="230" w:lineRule="auto"/>
              <w:jc w:val="right"/>
              <w:rPr>
                <w:rFonts w:ascii="Arial" w:hAnsi="Arial" w:cs="Arial"/>
                <w:color w:val="000000"/>
              </w:rPr>
            </w:pPr>
          </w:p>
        </w:tc>
        <w:tc>
          <w:tcPr>
            <w:tcW w:w="1559" w:type="dxa"/>
            <w:tcBorders>
              <w:top w:val="nil"/>
              <w:left w:val="nil"/>
              <w:bottom w:val="nil"/>
              <w:right w:val="nil"/>
            </w:tcBorders>
          </w:tcPr>
          <w:p w:rsidR="006B7B62" w:rsidRPr="00D00722" w:rsidRDefault="00DC4881" w:rsidP="00DC4881">
            <w:pPr>
              <w:autoSpaceDE w:val="0"/>
              <w:autoSpaceDN w:val="0"/>
              <w:adjustRightInd w:val="0"/>
              <w:spacing w:line="230" w:lineRule="auto"/>
              <w:jc w:val="right"/>
              <w:rPr>
                <w:rFonts w:ascii="Arial" w:hAnsi="Arial" w:cs="Arial"/>
                <w:color w:val="000000"/>
              </w:rPr>
            </w:pPr>
            <w:r w:rsidRPr="00D00722">
              <w:rPr>
                <w:rFonts w:ascii="Arial" w:hAnsi="Arial" w:cs="Arial"/>
                <w:color w:val="000000"/>
              </w:rPr>
              <w:t>10.999</w:t>
            </w:r>
          </w:p>
        </w:tc>
      </w:tr>
      <w:tr w:rsidR="006B7B62" w:rsidRPr="00D00722" w:rsidTr="00855DDA">
        <w:trPr>
          <w:trHeight w:val="113"/>
        </w:trPr>
        <w:tc>
          <w:tcPr>
            <w:tcW w:w="5670" w:type="dxa"/>
            <w:tcBorders>
              <w:top w:val="single" w:sz="6" w:space="0" w:color="auto"/>
              <w:left w:val="nil"/>
              <w:bottom w:val="double" w:sz="6" w:space="0" w:color="auto"/>
              <w:right w:val="nil"/>
            </w:tcBorders>
          </w:tcPr>
          <w:p w:rsidR="006B7B62" w:rsidRPr="00D00722" w:rsidRDefault="006B7B62" w:rsidP="00B37F4A">
            <w:pPr>
              <w:autoSpaceDE w:val="0"/>
              <w:autoSpaceDN w:val="0"/>
              <w:adjustRightInd w:val="0"/>
              <w:spacing w:line="230" w:lineRule="auto"/>
              <w:ind w:hanging="108"/>
              <w:jc w:val="right"/>
              <w:rPr>
                <w:rFonts w:ascii="Arial" w:hAnsi="Arial" w:cs="Arial"/>
                <w:color w:val="000000"/>
              </w:rPr>
            </w:pPr>
          </w:p>
        </w:tc>
        <w:tc>
          <w:tcPr>
            <w:tcW w:w="1843" w:type="dxa"/>
            <w:tcBorders>
              <w:top w:val="single" w:sz="6" w:space="0" w:color="auto"/>
              <w:left w:val="nil"/>
              <w:bottom w:val="double" w:sz="6" w:space="0" w:color="auto"/>
              <w:right w:val="nil"/>
            </w:tcBorders>
          </w:tcPr>
          <w:p w:rsidR="006B7B62" w:rsidRPr="00D00722" w:rsidRDefault="006F0E3C" w:rsidP="00D34484">
            <w:pPr>
              <w:autoSpaceDE w:val="0"/>
              <w:autoSpaceDN w:val="0"/>
              <w:adjustRightInd w:val="0"/>
              <w:spacing w:line="230" w:lineRule="auto"/>
              <w:jc w:val="right"/>
              <w:rPr>
                <w:rFonts w:ascii="Arial" w:hAnsi="Arial" w:cs="Arial"/>
                <w:b/>
                <w:bCs/>
                <w:color w:val="000000"/>
              </w:rPr>
            </w:pPr>
            <w:r w:rsidRPr="00D00722">
              <w:rPr>
                <w:rFonts w:ascii="Arial" w:hAnsi="Arial" w:cs="Arial"/>
                <w:b/>
                <w:bCs/>
                <w:color w:val="000000"/>
              </w:rPr>
              <w:t>2</w:t>
            </w:r>
            <w:r w:rsidR="00D34484" w:rsidRPr="00D00722">
              <w:rPr>
                <w:rFonts w:ascii="Arial" w:hAnsi="Arial" w:cs="Arial"/>
                <w:b/>
                <w:bCs/>
                <w:color w:val="000000"/>
              </w:rPr>
              <w:t>2</w:t>
            </w:r>
            <w:r w:rsidRPr="00D00722">
              <w:rPr>
                <w:rFonts w:ascii="Arial" w:hAnsi="Arial" w:cs="Arial"/>
                <w:b/>
                <w:bCs/>
                <w:color w:val="000000"/>
              </w:rPr>
              <w:t>.</w:t>
            </w:r>
            <w:r w:rsidR="00D34484" w:rsidRPr="00D00722">
              <w:rPr>
                <w:rFonts w:ascii="Arial" w:hAnsi="Arial" w:cs="Arial"/>
                <w:b/>
                <w:bCs/>
                <w:color w:val="000000"/>
              </w:rPr>
              <w:t>037</w:t>
            </w:r>
          </w:p>
        </w:tc>
        <w:tc>
          <w:tcPr>
            <w:tcW w:w="1559" w:type="dxa"/>
            <w:tcBorders>
              <w:top w:val="single" w:sz="6" w:space="0" w:color="auto"/>
              <w:left w:val="nil"/>
              <w:bottom w:val="double" w:sz="6" w:space="0" w:color="auto"/>
              <w:right w:val="nil"/>
            </w:tcBorders>
          </w:tcPr>
          <w:p w:rsidR="006B7B62" w:rsidRPr="00D00722" w:rsidRDefault="00DC4881" w:rsidP="002E27C3">
            <w:pPr>
              <w:autoSpaceDE w:val="0"/>
              <w:autoSpaceDN w:val="0"/>
              <w:adjustRightInd w:val="0"/>
              <w:spacing w:line="230" w:lineRule="auto"/>
              <w:jc w:val="right"/>
              <w:rPr>
                <w:rFonts w:ascii="Arial" w:hAnsi="Arial" w:cs="Arial"/>
                <w:bCs/>
                <w:color w:val="000000"/>
              </w:rPr>
            </w:pPr>
            <w:r w:rsidRPr="00D00722">
              <w:rPr>
                <w:rFonts w:ascii="Arial" w:hAnsi="Arial" w:cs="Arial"/>
                <w:bCs/>
                <w:color w:val="000000"/>
              </w:rPr>
              <w:t>30.852</w:t>
            </w:r>
          </w:p>
        </w:tc>
      </w:tr>
    </w:tbl>
    <w:p w:rsidR="00CE6E77" w:rsidRPr="00D00722" w:rsidRDefault="00CE6E77">
      <w:pPr>
        <w:rPr>
          <w:rFonts w:ascii="Arial" w:hAnsi="Arial" w:cs="Arial"/>
          <w:b/>
          <w:lang w:val="tr-TR"/>
        </w:rPr>
      </w:pPr>
    </w:p>
    <w:p w:rsidR="003B42C2" w:rsidRPr="00D00722" w:rsidRDefault="003B42C2">
      <w:pPr>
        <w:rPr>
          <w:rFonts w:ascii="Arial" w:hAnsi="Arial" w:cs="Arial"/>
          <w:b/>
          <w:lang w:val="tr-TR"/>
        </w:rPr>
      </w:pPr>
    </w:p>
    <w:p w:rsidR="0099593D" w:rsidRPr="00D00722" w:rsidRDefault="00AA5071" w:rsidP="00792AEE">
      <w:pPr>
        <w:tabs>
          <w:tab w:val="right" w:pos="6660"/>
          <w:tab w:val="right" w:pos="8640"/>
        </w:tabs>
        <w:ind w:left="567" w:hanging="567"/>
        <w:rPr>
          <w:rFonts w:ascii="Arial" w:hAnsi="Arial" w:cs="Arial"/>
          <w:b/>
          <w:lang w:val="tr-TR"/>
        </w:rPr>
      </w:pPr>
      <w:r w:rsidRPr="00D00722">
        <w:rPr>
          <w:rFonts w:ascii="Arial" w:hAnsi="Arial" w:cs="Arial"/>
          <w:b/>
          <w:lang w:val="tr-TR"/>
        </w:rPr>
        <w:t>20</w:t>
      </w:r>
      <w:r w:rsidR="0099593D" w:rsidRPr="00D00722">
        <w:rPr>
          <w:rFonts w:ascii="Arial" w:hAnsi="Arial" w:cs="Arial"/>
          <w:b/>
          <w:lang w:val="tr-TR"/>
        </w:rPr>
        <w:t>.</w:t>
      </w:r>
      <w:r w:rsidR="00792AEE" w:rsidRPr="00D00722">
        <w:rPr>
          <w:rFonts w:ascii="Arial" w:hAnsi="Arial" w:cs="Arial"/>
          <w:b/>
          <w:lang w:val="tr-TR"/>
        </w:rPr>
        <w:tab/>
      </w:r>
      <w:r w:rsidRPr="00D00722">
        <w:rPr>
          <w:rFonts w:ascii="Arial" w:hAnsi="Arial" w:cs="Arial"/>
          <w:b/>
          <w:lang w:val="tr-TR"/>
        </w:rPr>
        <w:t>Esas faaliyetlerden diğer</w:t>
      </w:r>
      <w:r w:rsidR="00726396" w:rsidRPr="00D00722">
        <w:rPr>
          <w:rFonts w:ascii="Arial" w:hAnsi="Arial" w:cs="Arial"/>
          <w:b/>
          <w:lang w:val="tr-TR"/>
        </w:rPr>
        <w:t xml:space="preserve"> giderler</w:t>
      </w:r>
    </w:p>
    <w:p w:rsidR="00726396" w:rsidRPr="00D00722" w:rsidRDefault="00726396" w:rsidP="0099593D">
      <w:pPr>
        <w:tabs>
          <w:tab w:val="right" w:pos="6660"/>
          <w:tab w:val="right" w:pos="8640"/>
        </w:tabs>
        <w:ind w:left="567" w:hanging="567"/>
        <w:rPr>
          <w:rFonts w:ascii="Arial" w:hAnsi="Arial" w:cs="Arial"/>
          <w:b/>
          <w:sz w:val="18"/>
          <w:lang w:val="tr-TR"/>
        </w:rPr>
      </w:pPr>
    </w:p>
    <w:tbl>
      <w:tblPr>
        <w:tblW w:w="9072" w:type="dxa"/>
        <w:tblInd w:w="108" w:type="dxa"/>
        <w:tblLayout w:type="fixed"/>
        <w:tblLook w:val="0000"/>
      </w:tblPr>
      <w:tblGrid>
        <w:gridCol w:w="5670"/>
        <w:gridCol w:w="1843"/>
        <w:gridCol w:w="1559"/>
      </w:tblGrid>
      <w:tr w:rsidR="00DF00C5" w:rsidRPr="00D00722" w:rsidTr="006B2665">
        <w:trPr>
          <w:trHeight w:val="113"/>
        </w:trPr>
        <w:tc>
          <w:tcPr>
            <w:tcW w:w="5670" w:type="dxa"/>
            <w:tcBorders>
              <w:top w:val="single" w:sz="6" w:space="0" w:color="auto"/>
              <w:left w:val="nil"/>
              <w:bottom w:val="single" w:sz="6" w:space="0" w:color="auto"/>
              <w:right w:val="nil"/>
            </w:tcBorders>
          </w:tcPr>
          <w:p w:rsidR="00DF00C5" w:rsidRPr="00D00722" w:rsidRDefault="00DF00C5" w:rsidP="006B2665">
            <w:pPr>
              <w:autoSpaceDE w:val="0"/>
              <w:autoSpaceDN w:val="0"/>
              <w:adjustRightInd w:val="0"/>
              <w:ind w:left="-108"/>
              <w:rPr>
                <w:rFonts w:ascii="Arial" w:hAnsi="Arial" w:cs="Arial"/>
                <w:b/>
                <w:bCs/>
                <w:color w:val="000000"/>
              </w:rPr>
            </w:pPr>
          </w:p>
        </w:tc>
        <w:tc>
          <w:tcPr>
            <w:tcW w:w="1843" w:type="dxa"/>
            <w:tcBorders>
              <w:top w:val="single" w:sz="6" w:space="0" w:color="auto"/>
              <w:left w:val="nil"/>
              <w:bottom w:val="single" w:sz="6" w:space="0" w:color="auto"/>
              <w:right w:val="nil"/>
            </w:tcBorders>
            <w:vAlign w:val="bottom"/>
          </w:tcPr>
          <w:p w:rsidR="00DF00C5" w:rsidRPr="00D00722" w:rsidRDefault="00DF00C5" w:rsidP="00DF00C5">
            <w:pPr>
              <w:autoSpaceDE w:val="0"/>
              <w:autoSpaceDN w:val="0"/>
              <w:adjustRightInd w:val="0"/>
              <w:jc w:val="right"/>
              <w:rPr>
                <w:rFonts w:ascii="Arial" w:hAnsi="Arial" w:cs="Arial"/>
                <w:b/>
                <w:bCs/>
                <w:color w:val="000000"/>
              </w:rPr>
            </w:pPr>
            <w:r w:rsidRPr="00D00722">
              <w:rPr>
                <w:rFonts w:ascii="Arial" w:hAnsi="Arial" w:cs="Arial"/>
                <w:b/>
                <w:bCs/>
                <w:color w:val="000000"/>
              </w:rPr>
              <w:t>1 Ocak -</w:t>
            </w:r>
          </w:p>
          <w:p w:rsidR="00DF00C5" w:rsidRPr="00D00722" w:rsidRDefault="00DF00C5" w:rsidP="00DF00C5">
            <w:pPr>
              <w:autoSpaceDE w:val="0"/>
              <w:autoSpaceDN w:val="0"/>
              <w:adjustRightInd w:val="0"/>
              <w:jc w:val="right"/>
              <w:rPr>
                <w:rFonts w:ascii="Arial" w:hAnsi="Arial" w:cs="Arial"/>
                <w:b/>
                <w:bCs/>
                <w:color w:val="000000"/>
              </w:rPr>
            </w:pPr>
            <w:r w:rsidRPr="00D00722">
              <w:rPr>
                <w:rFonts w:ascii="Arial" w:hAnsi="Arial" w:cs="Arial"/>
                <w:b/>
                <w:bCs/>
                <w:color w:val="000000"/>
              </w:rPr>
              <w:t>31 Mart 2014</w:t>
            </w:r>
          </w:p>
        </w:tc>
        <w:tc>
          <w:tcPr>
            <w:tcW w:w="1559" w:type="dxa"/>
            <w:tcBorders>
              <w:top w:val="single" w:sz="6" w:space="0" w:color="auto"/>
              <w:left w:val="nil"/>
              <w:bottom w:val="single" w:sz="6" w:space="0" w:color="auto"/>
              <w:right w:val="nil"/>
            </w:tcBorders>
            <w:vAlign w:val="bottom"/>
          </w:tcPr>
          <w:p w:rsidR="00DF00C5" w:rsidRPr="00D00722" w:rsidRDefault="00DF00C5" w:rsidP="00DF00C5">
            <w:pPr>
              <w:autoSpaceDE w:val="0"/>
              <w:autoSpaceDN w:val="0"/>
              <w:adjustRightInd w:val="0"/>
              <w:jc w:val="right"/>
              <w:rPr>
                <w:rFonts w:ascii="Arial" w:hAnsi="Arial" w:cs="Arial"/>
                <w:bCs/>
                <w:color w:val="000000"/>
              </w:rPr>
            </w:pPr>
            <w:r w:rsidRPr="00D00722">
              <w:rPr>
                <w:rFonts w:ascii="Arial" w:hAnsi="Arial" w:cs="Arial"/>
                <w:bCs/>
                <w:color w:val="000000"/>
              </w:rPr>
              <w:t>1 Ocak -</w:t>
            </w:r>
          </w:p>
          <w:p w:rsidR="00DF00C5" w:rsidRPr="00D00722" w:rsidRDefault="00DF00C5" w:rsidP="00DF00C5">
            <w:pPr>
              <w:autoSpaceDE w:val="0"/>
              <w:autoSpaceDN w:val="0"/>
              <w:adjustRightInd w:val="0"/>
              <w:jc w:val="right"/>
              <w:rPr>
                <w:rFonts w:ascii="Arial" w:hAnsi="Arial" w:cs="Arial"/>
                <w:b/>
                <w:bCs/>
                <w:color w:val="000000"/>
              </w:rPr>
            </w:pPr>
            <w:r w:rsidRPr="00D00722">
              <w:rPr>
                <w:rFonts w:ascii="Arial" w:hAnsi="Arial" w:cs="Arial"/>
                <w:bCs/>
                <w:color w:val="000000"/>
              </w:rPr>
              <w:t>31 Mart 2013</w:t>
            </w:r>
          </w:p>
        </w:tc>
      </w:tr>
      <w:tr w:rsidR="008310F3" w:rsidRPr="00D00722" w:rsidTr="006B2665">
        <w:trPr>
          <w:trHeight w:val="113"/>
        </w:trPr>
        <w:tc>
          <w:tcPr>
            <w:tcW w:w="5670" w:type="dxa"/>
            <w:tcBorders>
              <w:top w:val="nil"/>
              <w:left w:val="nil"/>
              <w:bottom w:val="nil"/>
              <w:right w:val="nil"/>
            </w:tcBorders>
          </w:tcPr>
          <w:p w:rsidR="008310F3" w:rsidRPr="00D00722" w:rsidRDefault="008310F3" w:rsidP="006B2665">
            <w:pPr>
              <w:autoSpaceDE w:val="0"/>
              <w:autoSpaceDN w:val="0"/>
              <w:adjustRightInd w:val="0"/>
              <w:ind w:left="-108"/>
              <w:jc w:val="right"/>
              <w:rPr>
                <w:rFonts w:ascii="Arial" w:hAnsi="Arial" w:cs="Arial"/>
                <w:color w:val="000000"/>
              </w:rPr>
            </w:pPr>
          </w:p>
        </w:tc>
        <w:tc>
          <w:tcPr>
            <w:tcW w:w="1843" w:type="dxa"/>
            <w:tcBorders>
              <w:top w:val="nil"/>
              <w:left w:val="nil"/>
              <w:bottom w:val="nil"/>
              <w:right w:val="nil"/>
            </w:tcBorders>
          </w:tcPr>
          <w:p w:rsidR="008310F3" w:rsidRPr="00D00722" w:rsidRDefault="008310F3" w:rsidP="00E83219">
            <w:pPr>
              <w:autoSpaceDE w:val="0"/>
              <w:autoSpaceDN w:val="0"/>
              <w:adjustRightInd w:val="0"/>
              <w:jc w:val="right"/>
              <w:rPr>
                <w:rFonts w:ascii="Arial" w:hAnsi="Arial" w:cs="Arial"/>
                <w:color w:val="000000"/>
              </w:rPr>
            </w:pPr>
          </w:p>
        </w:tc>
        <w:tc>
          <w:tcPr>
            <w:tcW w:w="1559" w:type="dxa"/>
            <w:tcBorders>
              <w:top w:val="nil"/>
              <w:left w:val="nil"/>
              <w:bottom w:val="nil"/>
              <w:right w:val="nil"/>
            </w:tcBorders>
          </w:tcPr>
          <w:p w:rsidR="008310F3" w:rsidRPr="00D00722" w:rsidRDefault="008310F3" w:rsidP="00E83219">
            <w:pPr>
              <w:autoSpaceDE w:val="0"/>
              <w:autoSpaceDN w:val="0"/>
              <w:adjustRightInd w:val="0"/>
              <w:jc w:val="right"/>
              <w:rPr>
                <w:rFonts w:ascii="Arial" w:hAnsi="Arial" w:cs="Arial"/>
                <w:color w:val="000000"/>
              </w:rPr>
            </w:pPr>
          </w:p>
        </w:tc>
      </w:tr>
      <w:tr w:rsidR="006B7B62" w:rsidRPr="00D00722" w:rsidTr="006B2665">
        <w:trPr>
          <w:trHeight w:val="113"/>
        </w:trPr>
        <w:tc>
          <w:tcPr>
            <w:tcW w:w="5670" w:type="dxa"/>
            <w:tcBorders>
              <w:top w:val="nil"/>
              <w:left w:val="nil"/>
              <w:bottom w:val="nil"/>
              <w:right w:val="nil"/>
            </w:tcBorders>
          </w:tcPr>
          <w:p w:rsidR="006B7B62" w:rsidRPr="00D00722" w:rsidRDefault="00AA5071" w:rsidP="006B2665">
            <w:pPr>
              <w:autoSpaceDE w:val="0"/>
              <w:autoSpaceDN w:val="0"/>
              <w:adjustRightInd w:val="0"/>
              <w:ind w:left="-108"/>
              <w:rPr>
                <w:rFonts w:ascii="Arial" w:hAnsi="Arial" w:cs="Arial"/>
                <w:color w:val="000000"/>
              </w:rPr>
            </w:pPr>
            <w:r w:rsidRPr="00D00722">
              <w:rPr>
                <w:rFonts w:ascii="Arial" w:hAnsi="Arial" w:cs="Arial"/>
                <w:color w:val="000000"/>
              </w:rPr>
              <w:t>Menkul kıymet alım-satım zararı</w:t>
            </w:r>
          </w:p>
        </w:tc>
        <w:tc>
          <w:tcPr>
            <w:tcW w:w="1843" w:type="dxa"/>
            <w:tcBorders>
              <w:top w:val="nil"/>
              <w:left w:val="nil"/>
              <w:bottom w:val="nil"/>
              <w:right w:val="nil"/>
            </w:tcBorders>
          </w:tcPr>
          <w:p w:rsidR="006B7B62" w:rsidRPr="00D00722" w:rsidRDefault="00D34484" w:rsidP="00E83219">
            <w:pPr>
              <w:autoSpaceDE w:val="0"/>
              <w:autoSpaceDN w:val="0"/>
              <w:adjustRightInd w:val="0"/>
              <w:jc w:val="right"/>
              <w:rPr>
                <w:rFonts w:ascii="Arial" w:hAnsi="Arial" w:cs="Arial"/>
                <w:b/>
                <w:bCs/>
                <w:color w:val="000000"/>
              </w:rPr>
            </w:pPr>
            <w:r w:rsidRPr="00D00722">
              <w:rPr>
                <w:rFonts w:ascii="Arial" w:hAnsi="Arial" w:cs="Arial"/>
                <w:b/>
                <w:bCs/>
                <w:color w:val="000000"/>
              </w:rPr>
              <w:t>-</w:t>
            </w:r>
          </w:p>
        </w:tc>
        <w:tc>
          <w:tcPr>
            <w:tcW w:w="1559" w:type="dxa"/>
            <w:tcBorders>
              <w:top w:val="nil"/>
              <w:left w:val="nil"/>
              <w:bottom w:val="nil"/>
              <w:right w:val="nil"/>
            </w:tcBorders>
          </w:tcPr>
          <w:p w:rsidR="006B7B62" w:rsidRPr="00D00722" w:rsidRDefault="00DC4881" w:rsidP="002E27C3">
            <w:pPr>
              <w:autoSpaceDE w:val="0"/>
              <w:autoSpaceDN w:val="0"/>
              <w:adjustRightInd w:val="0"/>
              <w:jc w:val="right"/>
              <w:rPr>
                <w:rFonts w:ascii="Arial" w:hAnsi="Arial" w:cs="Arial"/>
                <w:bCs/>
                <w:color w:val="000000"/>
              </w:rPr>
            </w:pPr>
            <w:r w:rsidRPr="00D00722">
              <w:rPr>
                <w:rFonts w:ascii="Arial" w:hAnsi="Arial" w:cs="Arial"/>
                <w:bCs/>
                <w:color w:val="000000"/>
              </w:rPr>
              <w:t>(2)</w:t>
            </w:r>
          </w:p>
        </w:tc>
      </w:tr>
      <w:tr w:rsidR="006B7B62" w:rsidRPr="00D00722" w:rsidTr="006B2665">
        <w:trPr>
          <w:trHeight w:val="113"/>
        </w:trPr>
        <w:tc>
          <w:tcPr>
            <w:tcW w:w="5670" w:type="dxa"/>
            <w:tcBorders>
              <w:top w:val="nil"/>
              <w:left w:val="nil"/>
              <w:bottom w:val="nil"/>
              <w:right w:val="nil"/>
            </w:tcBorders>
          </w:tcPr>
          <w:p w:rsidR="006B7B62" w:rsidRPr="00D00722" w:rsidRDefault="00AA5071" w:rsidP="006B2665">
            <w:pPr>
              <w:autoSpaceDE w:val="0"/>
              <w:autoSpaceDN w:val="0"/>
              <w:adjustRightInd w:val="0"/>
              <w:ind w:left="-108"/>
              <w:rPr>
                <w:rFonts w:ascii="Arial" w:hAnsi="Arial" w:cs="Arial"/>
                <w:color w:val="000000"/>
              </w:rPr>
            </w:pPr>
            <w:r w:rsidRPr="00D00722">
              <w:rPr>
                <w:rFonts w:ascii="Arial" w:hAnsi="Arial" w:cs="Arial"/>
                <w:color w:val="000000"/>
              </w:rPr>
              <w:t>Finansal varlıklar reeskont gideri</w:t>
            </w:r>
          </w:p>
        </w:tc>
        <w:tc>
          <w:tcPr>
            <w:tcW w:w="1843" w:type="dxa"/>
            <w:tcBorders>
              <w:top w:val="nil"/>
              <w:left w:val="nil"/>
              <w:bottom w:val="nil"/>
              <w:right w:val="nil"/>
            </w:tcBorders>
          </w:tcPr>
          <w:p w:rsidR="006B7B62" w:rsidRPr="00D00722" w:rsidRDefault="006F0E3C" w:rsidP="00D34484">
            <w:pPr>
              <w:autoSpaceDE w:val="0"/>
              <w:autoSpaceDN w:val="0"/>
              <w:adjustRightInd w:val="0"/>
              <w:jc w:val="right"/>
              <w:rPr>
                <w:rFonts w:ascii="Arial" w:hAnsi="Arial" w:cs="Arial"/>
                <w:b/>
                <w:bCs/>
                <w:color w:val="000000"/>
              </w:rPr>
            </w:pPr>
            <w:r w:rsidRPr="00D00722">
              <w:rPr>
                <w:rFonts w:ascii="Arial" w:hAnsi="Arial" w:cs="Arial"/>
                <w:b/>
                <w:bCs/>
                <w:color w:val="000000"/>
              </w:rPr>
              <w:t>(</w:t>
            </w:r>
            <w:r w:rsidR="001F1581" w:rsidRPr="00D00722">
              <w:rPr>
                <w:rFonts w:ascii="Arial" w:hAnsi="Arial" w:cs="Arial"/>
                <w:b/>
                <w:bCs/>
                <w:color w:val="000000"/>
              </w:rPr>
              <w:t>1.54</w:t>
            </w:r>
            <w:r w:rsidR="00D34484" w:rsidRPr="00D00722">
              <w:rPr>
                <w:rFonts w:ascii="Arial" w:hAnsi="Arial" w:cs="Arial"/>
                <w:b/>
                <w:bCs/>
                <w:color w:val="000000"/>
              </w:rPr>
              <w:t>3</w:t>
            </w:r>
            <w:r w:rsidR="001F1581" w:rsidRPr="00D00722">
              <w:rPr>
                <w:rFonts w:ascii="Arial" w:hAnsi="Arial" w:cs="Arial"/>
                <w:b/>
                <w:bCs/>
                <w:color w:val="000000"/>
              </w:rPr>
              <w:t>)</w:t>
            </w:r>
          </w:p>
        </w:tc>
        <w:tc>
          <w:tcPr>
            <w:tcW w:w="1559" w:type="dxa"/>
            <w:tcBorders>
              <w:top w:val="nil"/>
              <w:left w:val="nil"/>
              <w:bottom w:val="nil"/>
              <w:right w:val="nil"/>
            </w:tcBorders>
          </w:tcPr>
          <w:p w:rsidR="006B7B62" w:rsidRPr="00D00722" w:rsidRDefault="006B7B62" w:rsidP="002E27C3">
            <w:pPr>
              <w:autoSpaceDE w:val="0"/>
              <w:autoSpaceDN w:val="0"/>
              <w:adjustRightInd w:val="0"/>
              <w:jc w:val="right"/>
              <w:rPr>
                <w:rFonts w:ascii="Arial" w:hAnsi="Arial" w:cs="Arial"/>
                <w:bCs/>
                <w:color w:val="000000"/>
              </w:rPr>
            </w:pPr>
          </w:p>
        </w:tc>
      </w:tr>
      <w:tr w:rsidR="006B7B62" w:rsidRPr="00D00722" w:rsidTr="006B2665">
        <w:trPr>
          <w:trHeight w:val="113"/>
        </w:trPr>
        <w:tc>
          <w:tcPr>
            <w:tcW w:w="5670" w:type="dxa"/>
            <w:tcBorders>
              <w:top w:val="nil"/>
              <w:left w:val="nil"/>
              <w:bottom w:val="nil"/>
              <w:right w:val="nil"/>
            </w:tcBorders>
          </w:tcPr>
          <w:p w:rsidR="006B7B62" w:rsidRPr="00D00722" w:rsidRDefault="006B7B62" w:rsidP="006B2665">
            <w:pPr>
              <w:autoSpaceDE w:val="0"/>
              <w:autoSpaceDN w:val="0"/>
              <w:adjustRightInd w:val="0"/>
              <w:ind w:left="-108"/>
              <w:rPr>
                <w:rFonts w:ascii="Arial" w:hAnsi="Arial" w:cs="Arial"/>
                <w:color w:val="000000"/>
              </w:rPr>
            </w:pPr>
            <w:r w:rsidRPr="00D00722">
              <w:rPr>
                <w:rFonts w:ascii="Arial" w:hAnsi="Arial" w:cs="Arial"/>
                <w:color w:val="000000"/>
              </w:rPr>
              <w:t>Diğer</w:t>
            </w:r>
          </w:p>
        </w:tc>
        <w:tc>
          <w:tcPr>
            <w:tcW w:w="1843" w:type="dxa"/>
            <w:tcBorders>
              <w:top w:val="nil"/>
              <w:left w:val="nil"/>
              <w:bottom w:val="nil"/>
              <w:right w:val="nil"/>
            </w:tcBorders>
          </w:tcPr>
          <w:p w:rsidR="006B7B62" w:rsidRPr="00D00722" w:rsidRDefault="001F1581" w:rsidP="00E83219">
            <w:pPr>
              <w:autoSpaceDE w:val="0"/>
              <w:autoSpaceDN w:val="0"/>
              <w:adjustRightInd w:val="0"/>
              <w:jc w:val="right"/>
              <w:rPr>
                <w:rFonts w:ascii="Arial" w:hAnsi="Arial" w:cs="Arial"/>
                <w:b/>
                <w:bCs/>
                <w:color w:val="000000"/>
              </w:rPr>
            </w:pPr>
            <w:r w:rsidRPr="00D00722">
              <w:rPr>
                <w:rFonts w:ascii="Arial" w:hAnsi="Arial" w:cs="Arial"/>
                <w:b/>
                <w:bCs/>
                <w:color w:val="000000"/>
              </w:rPr>
              <w:t>(165)</w:t>
            </w:r>
          </w:p>
        </w:tc>
        <w:tc>
          <w:tcPr>
            <w:tcW w:w="1559" w:type="dxa"/>
            <w:tcBorders>
              <w:top w:val="nil"/>
              <w:left w:val="nil"/>
              <w:bottom w:val="nil"/>
              <w:right w:val="nil"/>
            </w:tcBorders>
          </w:tcPr>
          <w:p w:rsidR="006B7B62" w:rsidRPr="00D00722" w:rsidRDefault="00DC4881" w:rsidP="002E27C3">
            <w:pPr>
              <w:autoSpaceDE w:val="0"/>
              <w:autoSpaceDN w:val="0"/>
              <w:adjustRightInd w:val="0"/>
              <w:jc w:val="right"/>
              <w:rPr>
                <w:rFonts w:ascii="Arial" w:hAnsi="Arial" w:cs="Arial"/>
                <w:bCs/>
                <w:color w:val="000000"/>
              </w:rPr>
            </w:pPr>
            <w:r w:rsidRPr="00D00722">
              <w:rPr>
                <w:rFonts w:ascii="Arial" w:hAnsi="Arial" w:cs="Arial"/>
                <w:bCs/>
                <w:color w:val="000000"/>
              </w:rPr>
              <w:t>(757)</w:t>
            </w:r>
          </w:p>
        </w:tc>
      </w:tr>
      <w:tr w:rsidR="006B7B62" w:rsidRPr="00D00722" w:rsidTr="006B2665">
        <w:trPr>
          <w:trHeight w:val="113"/>
        </w:trPr>
        <w:tc>
          <w:tcPr>
            <w:tcW w:w="5670" w:type="dxa"/>
            <w:tcBorders>
              <w:top w:val="nil"/>
              <w:left w:val="nil"/>
              <w:bottom w:val="nil"/>
              <w:right w:val="nil"/>
            </w:tcBorders>
          </w:tcPr>
          <w:p w:rsidR="006B7B62" w:rsidRPr="00D00722" w:rsidRDefault="006B7B62" w:rsidP="006B2665">
            <w:pPr>
              <w:autoSpaceDE w:val="0"/>
              <w:autoSpaceDN w:val="0"/>
              <w:adjustRightInd w:val="0"/>
              <w:ind w:left="-108"/>
              <w:jc w:val="right"/>
              <w:rPr>
                <w:rFonts w:ascii="Arial" w:hAnsi="Arial" w:cs="Arial"/>
                <w:color w:val="000000"/>
              </w:rPr>
            </w:pPr>
          </w:p>
        </w:tc>
        <w:tc>
          <w:tcPr>
            <w:tcW w:w="1843" w:type="dxa"/>
            <w:tcBorders>
              <w:top w:val="nil"/>
              <w:left w:val="nil"/>
              <w:bottom w:val="nil"/>
              <w:right w:val="nil"/>
            </w:tcBorders>
          </w:tcPr>
          <w:p w:rsidR="006B7B62" w:rsidRPr="00D00722" w:rsidRDefault="006B7B62" w:rsidP="00E83219">
            <w:pPr>
              <w:autoSpaceDE w:val="0"/>
              <w:autoSpaceDN w:val="0"/>
              <w:adjustRightInd w:val="0"/>
              <w:jc w:val="right"/>
              <w:rPr>
                <w:rFonts w:ascii="Arial" w:hAnsi="Arial" w:cs="Arial"/>
                <w:color w:val="000000"/>
              </w:rPr>
            </w:pPr>
          </w:p>
        </w:tc>
        <w:tc>
          <w:tcPr>
            <w:tcW w:w="1559" w:type="dxa"/>
            <w:tcBorders>
              <w:top w:val="nil"/>
              <w:left w:val="nil"/>
              <w:bottom w:val="nil"/>
              <w:right w:val="nil"/>
            </w:tcBorders>
          </w:tcPr>
          <w:p w:rsidR="006B7B62" w:rsidRPr="00D00722" w:rsidRDefault="006B7B62" w:rsidP="002E27C3">
            <w:pPr>
              <w:autoSpaceDE w:val="0"/>
              <w:autoSpaceDN w:val="0"/>
              <w:adjustRightInd w:val="0"/>
              <w:jc w:val="right"/>
              <w:rPr>
                <w:rFonts w:ascii="Arial" w:hAnsi="Arial" w:cs="Arial"/>
                <w:color w:val="000000"/>
              </w:rPr>
            </w:pPr>
          </w:p>
        </w:tc>
      </w:tr>
      <w:tr w:rsidR="006B7B62" w:rsidRPr="00D00722" w:rsidTr="006B2665">
        <w:trPr>
          <w:trHeight w:val="113"/>
        </w:trPr>
        <w:tc>
          <w:tcPr>
            <w:tcW w:w="5670" w:type="dxa"/>
            <w:tcBorders>
              <w:top w:val="single" w:sz="6" w:space="0" w:color="auto"/>
              <w:left w:val="nil"/>
              <w:bottom w:val="double" w:sz="6" w:space="0" w:color="auto"/>
              <w:right w:val="nil"/>
            </w:tcBorders>
          </w:tcPr>
          <w:p w:rsidR="006B7B62" w:rsidRPr="00D00722" w:rsidRDefault="006B7B62" w:rsidP="006B2665">
            <w:pPr>
              <w:autoSpaceDE w:val="0"/>
              <w:autoSpaceDN w:val="0"/>
              <w:adjustRightInd w:val="0"/>
              <w:ind w:left="-108"/>
              <w:jc w:val="right"/>
              <w:rPr>
                <w:rFonts w:ascii="Arial" w:hAnsi="Arial" w:cs="Arial"/>
                <w:color w:val="000000"/>
              </w:rPr>
            </w:pPr>
            <w:r w:rsidRPr="00D00722">
              <w:rPr>
                <w:rFonts w:ascii="Arial" w:hAnsi="Arial" w:cs="Arial"/>
                <w:color w:val="000000"/>
              </w:rPr>
              <w:t xml:space="preserve"> </w:t>
            </w:r>
          </w:p>
        </w:tc>
        <w:tc>
          <w:tcPr>
            <w:tcW w:w="1843" w:type="dxa"/>
            <w:tcBorders>
              <w:top w:val="single" w:sz="6" w:space="0" w:color="auto"/>
              <w:left w:val="nil"/>
              <w:bottom w:val="double" w:sz="6" w:space="0" w:color="auto"/>
              <w:right w:val="nil"/>
            </w:tcBorders>
          </w:tcPr>
          <w:p w:rsidR="006B7B62" w:rsidRPr="00D00722" w:rsidRDefault="001F1581" w:rsidP="00D34484">
            <w:pPr>
              <w:autoSpaceDE w:val="0"/>
              <w:autoSpaceDN w:val="0"/>
              <w:adjustRightInd w:val="0"/>
              <w:jc w:val="right"/>
              <w:rPr>
                <w:rFonts w:ascii="Arial" w:hAnsi="Arial" w:cs="Arial"/>
                <w:b/>
                <w:bCs/>
                <w:color w:val="000000"/>
              </w:rPr>
            </w:pPr>
            <w:r w:rsidRPr="00D00722">
              <w:rPr>
                <w:rFonts w:ascii="Arial" w:hAnsi="Arial" w:cs="Arial"/>
                <w:b/>
                <w:bCs/>
                <w:color w:val="000000"/>
              </w:rPr>
              <w:t>(</w:t>
            </w:r>
            <w:r w:rsidR="00D34484" w:rsidRPr="00D00722">
              <w:rPr>
                <w:rFonts w:ascii="Arial" w:hAnsi="Arial" w:cs="Arial"/>
                <w:b/>
                <w:bCs/>
                <w:color w:val="000000"/>
              </w:rPr>
              <w:t>1.708</w:t>
            </w:r>
            <w:r w:rsidRPr="00D00722">
              <w:rPr>
                <w:rFonts w:ascii="Arial" w:hAnsi="Arial" w:cs="Arial"/>
                <w:b/>
                <w:bCs/>
                <w:color w:val="000000"/>
              </w:rPr>
              <w:t>)</w:t>
            </w:r>
          </w:p>
        </w:tc>
        <w:tc>
          <w:tcPr>
            <w:tcW w:w="1559" w:type="dxa"/>
            <w:tcBorders>
              <w:top w:val="single" w:sz="6" w:space="0" w:color="auto"/>
              <w:left w:val="nil"/>
              <w:bottom w:val="double" w:sz="6" w:space="0" w:color="auto"/>
              <w:right w:val="nil"/>
            </w:tcBorders>
          </w:tcPr>
          <w:p w:rsidR="006B7B62" w:rsidRPr="00D00722" w:rsidRDefault="00DC4881" w:rsidP="002E27C3">
            <w:pPr>
              <w:autoSpaceDE w:val="0"/>
              <w:autoSpaceDN w:val="0"/>
              <w:adjustRightInd w:val="0"/>
              <w:jc w:val="right"/>
              <w:rPr>
                <w:rFonts w:ascii="Arial" w:hAnsi="Arial" w:cs="Arial"/>
                <w:bCs/>
                <w:color w:val="000000"/>
              </w:rPr>
            </w:pPr>
            <w:r w:rsidRPr="00D00722">
              <w:rPr>
                <w:rFonts w:ascii="Arial" w:hAnsi="Arial" w:cs="Arial"/>
                <w:bCs/>
                <w:color w:val="000000"/>
              </w:rPr>
              <w:t>(759)</w:t>
            </w:r>
          </w:p>
        </w:tc>
      </w:tr>
    </w:tbl>
    <w:p w:rsidR="008310F3" w:rsidRPr="00D00722" w:rsidRDefault="008310F3" w:rsidP="0099593D">
      <w:pPr>
        <w:tabs>
          <w:tab w:val="right" w:pos="6660"/>
          <w:tab w:val="right" w:pos="8640"/>
        </w:tabs>
        <w:ind w:left="567" w:hanging="567"/>
        <w:rPr>
          <w:rFonts w:ascii="Arial" w:hAnsi="Arial" w:cs="Arial"/>
          <w:b/>
          <w:lang w:val="tr-TR"/>
        </w:rPr>
      </w:pPr>
    </w:p>
    <w:p w:rsidR="00245BD3" w:rsidRPr="00D00722" w:rsidRDefault="00AA5071" w:rsidP="0090567F">
      <w:pPr>
        <w:ind w:left="567" w:hanging="567"/>
        <w:rPr>
          <w:rFonts w:ascii="Arial" w:hAnsi="Arial" w:cs="Arial"/>
          <w:b/>
          <w:lang w:val="tr-TR"/>
        </w:rPr>
      </w:pPr>
      <w:r w:rsidRPr="00D00722">
        <w:rPr>
          <w:rFonts w:ascii="Arial" w:hAnsi="Arial" w:cs="Arial"/>
          <w:b/>
          <w:lang w:val="tr-TR"/>
        </w:rPr>
        <w:t>21</w:t>
      </w:r>
      <w:r w:rsidR="00245BD3" w:rsidRPr="00D00722">
        <w:rPr>
          <w:rFonts w:ascii="Arial" w:hAnsi="Arial" w:cs="Arial"/>
          <w:b/>
          <w:lang w:val="tr-TR"/>
        </w:rPr>
        <w:t>.</w:t>
      </w:r>
      <w:r w:rsidR="00245BD3" w:rsidRPr="00D00722">
        <w:rPr>
          <w:rFonts w:ascii="Arial" w:hAnsi="Arial" w:cs="Arial"/>
          <w:b/>
          <w:lang w:val="tr-TR"/>
        </w:rPr>
        <w:tab/>
      </w:r>
      <w:r w:rsidR="007C3C7C" w:rsidRPr="00D00722">
        <w:rPr>
          <w:rFonts w:ascii="Arial" w:hAnsi="Arial" w:cs="Arial"/>
          <w:b/>
          <w:lang w:val="tr-TR"/>
        </w:rPr>
        <w:t>Vergi varlık ve yükümlülükleri (ertelenmiş varlık ve yükümlülükler dahil)</w:t>
      </w:r>
    </w:p>
    <w:p w:rsidR="00245BD3" w:rsidRPr="00D00722" w:rsidRDefault="00245BD3" w:rsidP="0090567F">
      <w:pPr>
        <w:ind w:left="567" w:hanging="567"/>
        <w:rPr>
          <w:rFonts w:ascii="Arial" w:hAnsi="Arial" w:cs="Arial"/>
          <w:lang w:val="tr-TR"/>
        </w:rPr>
      </w:pPr>
    </w:p>
    <w:p w:rsidR="00493DCD" w:rsidRPr="00D00722" w:rsidRDefault="00493DCD" w:rsidP="0090567F">
      <w:pPr>
        <w:ind w:left="567" w:hanging="567"/>
        <w:rPr>
          <w:rFonts w:ascii="Arial" w:hAnsi="Arial" w:cs="Arial"/>
          <w:b/>
          <w:lang w:val="tr-TR"/>
        </w:rPr>
      </w:pPr>
      <w:r w:rsidRPr="00D00722">
        <w:rPr>
          <w:rFonts w:ascii="Arial" w:hAnsi="Arial" w:cs="Arial"/>
          <w:b/>
          <w:lang w:val="tr-TR"/>
        </w:rPr>
        <w:t>Dönem karı vergi yükümlülüğü</w:t>
      </w:r>
    </w:p>
    <w:p w:rsidR="00395D6D" w:rsidRPr="00D00722" w:rsidRDefault="00395D6D" w:rsidP="0090567F">
      <w:pPr>
        <w:ind w:left="567" w:hanging="567"/>
        <w:rPr>
          <w:rFonts w:ascii="Arial" w:hAnsi="Arial" w:cs="Arial"/>
          <w:b/>
          <w:lang w:val="tr-TR"/>
        </w:rPr>
      </w:pPr>
    </w:p>
    <w:tbl>
      <w:tblPr>
        <w:tblW w:w="9095" w:type="dxa"/>
        <w:tblInd w:w="108" w:type="dxa"/>
        <w:tblLayout w:type="fixed"/>
        <w:tblLook w:val="0000"/>
      </w:tblPr>
      <w:tblGrid>
        <w:gridCol w:w="5529"/>
        <w:gridCol w:w="1842"/>
        <w:gridCol w:w="1724"/>
      </w:tblGrid>
      <w:tr w:rsidR="00DF00C5" w:rsidRPr="00D00722" w:rsidTr="00B22984">
        <w:trPr>
          <w:trHeight w:val="113"/>
        </w:trPr>
        <w:tc>
          <w:tcPr>
            <w:tcW w:w="5529" w:type="dxa"/>
            <w:tcBorders>
              <w:top w:val="single" w:sz="6" w:space="0" w:color="auto"/>
              <w:left w:val="nil"/>
              <w:bottom w:val="single" w:sz="6" w:space="0" w:color="auto"/>
              <w:right w:val="nil"/>
            </w:tcBorders>
            <w:vAlign w:val="bottom"/>
          </w:tcPr>
          <w:p w:rsidR="00DF00C5" w:rsidRPr="00D00722" w:rsidRDefault="00DF00C5" w:rsidP="00B22984">
            <w:pPr>
              <w:autoSpaceDE w:val="0"/>
              <w:autoSpaceDN w:val="0"/>
              <w:adjustRightInd w:val="0"/>
              <w:ind w:left="-108"/>
              <w:rPr>
                <w:rFonts w:ascii="Arial" w:hAnsi="Arial" w:cs="Arial"/>
                <w:b/>
                <w:bCs/>
                <w:color w:val="000000"/>
              </w:rPr>
            </w:pPr>
          </w:p>
        </w:tc>
        <w:tc>
          <w:tcPr>
            <w:tcW w:w="1842" w:type="dxa"/>
            <w:tcBorders>
              <w:top w:val="single" w:sz="6" w:space="0" w:color="auto"/>
              <w:left w:val="nil"/>
              <w:bottom w:val="single" w:sz="6" w:space="0" w:color="auto"/>
              <w:right w:val="nil"/>
            </w:tcBorders>
            <w:vAlign w:val="bottom"/>
          </w:tcPr>
          <w:p w:rsidR="00DF00C5" w:rsidRPr="00D00722" w:rsidRDefault="00DF00C5" w:rsidP="00DF00C5">
            <w:pPr>
              <w:autoSpaceDE w:val="0"/>
              <w:autoSpaceDN w:val="0"/>
              <w:adjustRightInd w:val="0"/>
              <w:jc w:val="right"/>
              <w:rPr>
                <w:rFonts w:ascii="Arial" w:hAnsi="Arial" w:cs="Arial"/>
                <w:b/>
                <w:bCs/>
                <w:color w:val="000000"/>
              </w:rPr>
            </w:pPr>
            <w:r w:rsidRPr="00D00722">
              <w:rPr>
                <w:rFonts w:ascii="Arial" w:hAnsi="Arial" w:cs="Arial"/>
                <w:b/>
                <w:bCs/>
                <w:color w:val="000000"/>
              </w:rPr>
              <w:t>1 Ocak -</w:t>
            </w:r>
          </w:p>
          <w:p w:rsidR="00DF00C5" w:rsidRPr="00D00722" w:rsidRDefault="00DF00C5" w:rsidP="00DF00C5">
            <w:pPr>
              <w:autoSpaceDE w:val="0"/>
              <w:autoSpaceDN w:val="0"/>
              <w:adjustRightInd w:val="0"/>
              <w:jc w:val="right"/>
              <w:rPr>
                <w:rFonts w:ascii="Arial" w:hAnsi="Arial" w:cs="Arial"/>
                <w:b/>
                <w:bCs/>
                <w:color w:val="000000"/>
              </w:rPr>
            </w:pPr>
            <w:r w:rsidRPr="00D00722">
              <w:rPr>
                <w:rFonts w:ascii="Arial" w:hAnsi="Arial" w:cs="Arial"/>
                <w:b/>
                <w:bCs/>
                <w:color w:val="000000"/>
              </w:rPr>
              <w:t>31 Mart 2014</w:t>
            </w:r>
          </w:p>
        </w:tc>
        <w:tc>
          <w:tcPr>
            <w:tcW w:w="1724" w:type="dxa"/>
            <w:tcBorders>
              <w:top w:val="single" w:sz="6" w:space="0" w:color="auto"/>
              <w:left w:val="nil"/>
              <w:bottom w:val="single" w:sz="6" w:space="0" w:color="auto"/>
              <w:right w:val="nil"/>
            </w:tcBorders>
            <w:vAlign w:val="bottom"/>
          </w:tcPr>
          <w:p w:rsidR="00DF00C5" w:rsidRPr="00D00722" w:rsidRDefault="00DF00C5" w:rsidP="00DF00C5">
            <w:pPr>
              <w:autoSpaceDE w:val="0"/>
              <w:autoSpaceDN w:val="0"/>
              <w:adjustRightInd w:val="0"/>
              <w:jc w:val="right"/>
              <w:rPr>
                <w:rFonts w:ascii="Arial" w:hAnsi="Arial" w:cs="Arial"/>
                <w:bCs/>
                <w:color w:val="000000"/>
              </w:rPr>
            </w:pPr>
            <w:r w:rsidRPr="00D00722">
              <w:rPr>
                <w:rFonts w:ascii="Arial" w:hAnsi="Arial" w:cs="Arial"/>
                <w:bCs/>
                <w:color w:val="000000"/>
              </w:rPr>
              <w:t>1 Ocak -</w:t>
            </w:r>
          </w:p>
          <w:p w:rsidR="00DF00C5" w:rsidRPr="00D00722" w:rsidRDefault="00DF00C5" w:rsidP="00DC4881">
            <w:pPr>
              <w:autoSpaceDE w:val="0"/>
              <w:autoSpaceDN w:val="0"/>
              <w:adjustRightInd w:val="0"/>
              <w:jc w:val="right"/>
              <w:rPr>
                <w:rFonts w:ascii="Arial" w:hAnsi="Arial" w:cs="Arial"/>
                <w:b/>
                <w:bCs/>
                <w:color w:val="000000"/>
              </w:rPr>
            </w:pPr>
            <w:r w:rsidRPr="00D00722">
              <w:rPr>
                <w:rFonts w:ascii="Arial" w:hAnsi="Arial" w:cs="Arial"/>
                <w:bCs/>
                <w:color w:val="000000"/>
              </w:rPr>
              <w:t xml:space="preserve">31 </w:t>
            </w:r>
            <w:r w:rsidR="00DC4881" w:rsidRPr="00D00722">
              <w:rPr>
                <w:rFonts w:ascii="Arial" w:hAnsi="Arial" w:cs="Arial"/>
                <w:bCs/>
                <w:color w:val="000000"/>
              </w:rPr>
              <w:t>Aralık</w:t>
            </w:r>
            <w:r w:rsidRPr="00D00722">
              <w:rPr>
                <w:rFonts w:ascii="Arial" w:hAnsi="Arial" w:cs="Arial"/>
                <w:bCs/>
                <w:color w:val="000000"/>
              </w:rPr>
              <w:t xml:space="preserve"> 2013</w:t>
            </w:r>
          </w:p>
        </w:tc>
      </w:tr>
      <w:tr w:rsidR="00395D6D" w:rsidRPr="00D00722" w:rsidTr="00B22984">
        <w:trPr>
          <w:trHeight w:val="113"/>
        </w:trPr>
        <w:tc>
          <w:tcPr>
            <w:tcW w:w="5529" w:type="dxa"/>
            <w:tcBorders>
              <w:top w:val="nil"/>
              <w:left w:val="nil"/>
              <w:bottom w:val="nil"/>
              <w:right w:val="nil"/>
            </w:tcBorders>
            <w:vAlign w:val="bottom"/>
          </w:tcPr>
          <w:p w:rsidR="00395D6D" w:rsidRPr="00D00722" w:rsidRDefault="00395D6D" w:rsidP="00B22984">
            <w:pPr>
              <w:autoSpaceDE w:val="0"/>
              <w:autoSpaceDN w:val="0"/>
              <w:adjustRightInd w:val="0"/>
              <w:ind w:left="-108"/>
              <w:rPr>
                <w:rFonts w:ascii="Arial" w:hAnsi="Arial" w:cs="Arial"/>
                <w:color w:val="000000"/>
              </w:rPr>
            </w:pPr>
          </w:p>
        </w:tc>
        <w:tc>
          <w:tcPr>
            <w:tcW w:w="1842" w:type="dxa"/>
            <w:tcBorders>
              <w:top w:val="nil"/>
              <w:left w:val="nil"/>
              <w:bottom w:val="nil"/>
              <w:right w:val="nil"/>
            </w:tcBorders>
          </w:tcPr>
          <w:p w:rsidR="00395D6D" w:rsidRPr="00D00722" w:rsidRDefault="00395D6D" w:rsidP="00B22984">
            <w:pPr>
              <w:autoSpaceDE w:val="0"/>
              <w:autoSpaceDN w:val="0"/>
              <w:adjustRightInd w:val="0"/>
              <w:jc w:val="right"/>
              <w:rPr>
                <w:rFonts w:ascii="Arial" w:hAnsi="Arial" w:cs="Arial"/>
                <w:color w:val="000000"/>
              </w:rPr>
            </w:pPr>
          </w:p>
        </w:tc>
        <w:tc>
          <w:tcPr>
            <w:tcW w:w="1724" w:type="dxa"/>
            <w:tcBorders>
              <w:top w:val="nil"/>
              <w:left w:val="nil"/>
              <w:bottom w:val="nil"/>
              <w:right w:val="nil"/>
            </w:tcBorders>
          </w:tcPr>
          <w:p w:rsidR="00395D6D" w:rsidRPr="00D00722" w:rsidRDefault="00395D6D" w:rsidP="00B22984">
            <w:pPr>
              <w:autoSpaceDE w:val="0"/>
              <w:autoSpaceDN w:val="0"/>
              <w:adjustRightInd w:val="0"/>
              <w:jc w:val="right"/>
              <w:rPr>
                <w:rFonts w:ascii="Arial" w:hAnsi="Arial" w:cs="Arial"/>
                <w:color w:val="000000"/>
              </w:rPr>
            </w:pPr>
          </w:p>
        </w:tc>
      </w:tr>
      <w:tr w:rsidR="00395D6D" w:rsidRPr="00D00722" w:rsidTr="00B22984">
        <w:trPr>
          <w:trHeight w:val="113"/>
        </w:trPr>
        <w:tc>
          <w:tcPr>
            <w:tcW w:w="5529" w:type="dxa"/>
            <w:tcBorders>
              <w:top w:val="nil"/>
              <w:left w:val="nil"/>
              <w:bottom w:val="nil"/>
              <w:right w:val="nil"/>
            </w:tcBorders>
            <w:vAlign w:val="bottom"/>
          </w:tcPr>
          <w:p w:rsidR="00395D6D" w:rsidRPr="00D00722" w:rsidRDefault="00395D6D" w:rsidP="00B22984">
            <w:pPr>
              <w:autoSpaceDE w:val="0"/>
              <w:autoSpaceDN w:val="0"/>
              <w:adjustRightInd w:val="0"/>
              <w:ind w:left="-108"/>
              <w:rPr>
                <w:rFonts w:ascii="Arial" w:hAnsi="Arial" w:cs="Arial"/>
                <w:color w:val="000000"/>
              </w:rPr>
            </w:pPr>
            <w:r w:rsidRPr="00D00722">
              <w:rPr>
                <w:rFonts w:ascii="Arial" w:hAnsi="Arial" w:cs="Arial"/>
                <w:color w:val="000000"/>
              </w:rPr>
              <w:t>Cari kurumlar vergisi karşılığı</w:t>
            </w:r>
          </w:p>
        </w:tc>
        <w:tc>
          <w:tcPr>
            <w:tcW w:w="1842" w:type="dxa"/>
            <w:tcBorders>
              <w:top w:val="nil"/>
              <w:left w:val="nil"/>
              <w:bottom w:val="nil"/>
              <w:right w:val="nil"/>
            </w:tcBorders>
          </w:tcPr>
          <w:p w:rsidR="00395D6D" w:rsidRPr="00D00722" w:rsidRDefault="00395D6D" w:rsidP="00B22984">
            <w:pPr>
              <w:autoSpaceDE w:val="0"/>
              <w:autoSpaceDN w:val="0"/>
              <w:adjustRightInd w:val="0"/>
              <w:jc w:val="right"/>
              <w:rPr>
                <w:rFonts w:ascii="Arial" w:hAnsi="Arial" w:cs="Arial"/>
                <w:b/>
                <w:bCs/>
                <w:color w:val="000000"/>
              </w:rPr>
            </w:pPr>
          </w:p>
        </w:tc>
        <w:tc>
          <w:tcPr>
            <w:tcW w:w="1724" w:type="dxa"/>
            <w:tcBorders>
              <w:top w:val="nil"/>
              <w:left w:val="nil"/>
              <w:bottom w:val="nil"/>
              <w:right w:val="nil"/>
            </w:tcBorders>
          </w:tcPr>
          <w:p w:rsidR="00395D6D" w:rsidRPr="00D00722" w:rsidRDefault="00395D6D" w:rsidP="00B22984">
            <w:pPr>
              <w:autoSpaceDE w:val="0"/>
              <w:autoSpaceDN w:val="0"/>
              <w:adjustRightInd w:val="0"/>
              <w:jc w:val="right"/>
              <w:rPr>
                <w:rFonts w:ascii="Arial" w:hAnsi="Arial" w:cs="Arial"/>
                <w:bCs/>
                <w:color w:val="000000"/>
              </w:rPr>
            </w:pPr>
          </w:p>
        </w:tc>
      </w:tr>
      <w:tr w:rsidR="00395D6D" w:rsidRPr="00D00722" w:rsidTr="00B22984">
        <w:trPr>
          <w:trHeight w:val="113"/>
        </w:trPr>
        <w:tc>
          <w:tcPr>
            <w:tcW w:w="5529" w:type="dxa"/>
            <w:tcBorders>
              <w:top w:val="nil"/>
              <w:left w:val="nil"/>
              <w:bottom w:val="nil"/>
              <w:right w:val="nil"/>
            </w:tcBorders>
            <w:vAlign w:val="bottom"/>
          </w:tcPr>
          <w:p w:rsidR="00395D6D" w:rsidRPr="00D00722" w:rsidRDefault="00395D6D" w:rsidP="00B22984">
            <w:pPr>
              <w:autoSpaceDE w:val="0"/>
              <w:autoSpaceDN w:val="0"/>
              <w:adjustRightInd w:val="0"/>
              <w:ind w:left="-108"/>
              <w:rPr>
                <w:rFonts w:ascii="Arial" w:hAnsi="Arial" w:cs="Arial"/>
                <w:color w:val="000000"/>
              </w:rPr>
            </w:pPr>
            <w:r w:rsidRPr="00D00722">
              <w:rPr>
                <w:rFonts w:ascii="Arial" w:hAnsi="Arial" w:cs="Arial"/>
                <w:color w:val="000000"/>
              </w:rPr>
              <w:t>Eksi: Peşin ödenen vergi ve fonlar</w:t>
            </w:r>
          </w:p>
        </w:tc>
        <w:tc>
          <w:tcPr>
            <w:tcW w:w="1842" w:type="dxa"/>
            <w:tcBorders>
              <w:top w:val="nil"/>
              <w:left w:val="nil"/>
              <w:bottom w:val="nil"/>
              <w:right w:val="nil"/>
            </w:tcBorders>
          </w:tcPr>
          <w:p w:rsidR="00395D6D" w:rsidRPr="00D00722" w:rsidRDefault="00033B7C" w:rsidP="00B22984">
            <w:pPr>
              <w:autoSpaceDE w:val="0"/>
              <w:autoSpaceDN w:val="0"/>
              <w:adjustRightInd w:val="0"/>
              <w:jc w:val="right"/>
              <w:rPr>
                <w:rFonts w:ascii="Arial" w:hAnsi="Arial" w:cs="Arial"/>
                <w:b/>
                <w:bCs/>
                <w:color w:val="000000"/>
              </w:rPr>
            </w:pPr>
            <w:r w:rsidRPr="00D00722">
              <w:rPr>
                <w:rFonts w:ascii="Arial" w:hAnsi="Arial" w:cs="Arial"/>
                <w:b/>
                <w:bCs/>
                <w:color w:val="000000"/>
              </w:rPr>
              <w:t>(12.220)</w:t>
            </w:r>
          </w:p>
        </w:tc>
        <w:tc>
          <w:tcPr>
            <w:tcW w:w="1724" w:type="dxa"/>
            <w:tcBorders>
              <w:top w:val="nil"/>
              <w:left w:val="nil"/>
              <w:bottom w:val="nil"/>
              <w:right w:val="nil"/>
            </w:tcBorders>
          </w:tcPr>
          <w:p w:rsidR="00395D6D" w:rsidRPr="00D00722" w:rsidRDefault="00DC4881" w:rsidP="00B22984">
            <w:pPr>
              <w:autoSpaceDE w:val="0"/>
              <w:autoSpaceDN w:val="0"/>
              <w:adjustRightInd w:val="0"/>
              <w:jc w:val="right"/>
              <w:rPr>
                <w:rFonts w:ascii="Arial" w:hAnsi="Arial" w:cs="Arial"/>
                <w:bCs/>
                <w:color w:val="000000"/>
              </w:rPr>
            </w:pPr>
            <w:r w:rsidRPr="00D00722">
              <w:rPr>
                <w:rFonts w:ascii="Arial" w:hAnsi="Arial" w:cs="Arial"/>
                <w:bCs/>
                <w:color w:val="000000"/>
              </w:rPr>
              <w:t>(9.113)</w:t>
            </w:r>
          </w:p>
        </w:tc>
      </w:tr>
      <w:tr w:rsidR="00395D6D" w:rsidRPr="00D00722" w:rsidTr="00B22984">
        <w:trPr>
          <w:trHeight w:val="113"/>
        </w:trPr>
        <w:tc>
          <w:tcPr>
            <w:tcW w:w="5529" w:type="dxa"/>
            <w:tcBorders>
              <w:top w:val="nil"/>
              <w:left w:val="nil"/>
              <w:bottom w:val="nil"/>
              <w:right w:val="nil"/>
            </w:tcBorders>
            <w:vAlign w:val="bottom"/>
          </w:tcPr>
          <w:p w:rsidR="00395D6D" w:rsidRPr="00D00722" w:rsidRDefault="00395D6D" w:rsidP="00B22984">
            <w:pPr>
              <w:autoSpaceDE w:val="0"/>
              <w:autoSpaceDN w:val="0"/>
              <w:adjustRightInd w:val="0"/>
              <w:ind w:left="-108"/>
              <w:rPr>
                <w:rFonts w:ascii="Arial" w:hAnsi="Arial" w:cs="Arial"/>
                <w:color w:val="000000"/>
              </w:rPr>
            </w:pPr>
          </w:p>
        </w:tc>
        <w:tc>
          <w:tcPr>
            <w:tcW w:w="1842" w:type="dxa"/>
            <w:tcBorders>
              <w:top w:val="nil"/>
              <w:left w:val="nil"/>
              <w:bottom w:val="nil"/>
              <w:right w:val="nil"/>
            </w:tcBorders>
          </w:tcPr>
          <w:p w:rsidR="00395D6D" w:rsidRPr="00D00722" w:rsidRDefault="00395D6D" w:rsidP="00B22984">
            <w:pPr>
              <w:autoSpaceDE w:val="0"/>
              <w:autoSpaceDN w:val="0"/>
              <w:adjustRightInd w:val="0"/>
              <w:jc w:val="right"/>
              <w:rPr>
                <w:rFonts w:ascii="Arial" w:hAnsi="Arial" w:cs="Arial"/>
                <w:b/>
                <w:bCs/>
                <w:color w:val="000000"/>
              </w:rPr>
            </w:pPr>
          </w:p>
        </w:tc>
        <w:tc>
          <w:tcPr>
            <w:tcW w:w="1724" w:type="dxa"/>
            <w:tcBorders>
              <w:top w:val="nil"/>
              <w:left w:val="nil"/>
              <w:bottom w:val="nil"/>
              <w:right w:val="nil"/>
            </w:tcBorders>
          </w:tcPr>
          <w:p w:rsidR="00395D6D" w:rsidRPr="00D00722" w:rsidRDefault="00395D6D" w:rsidP="00B22984">
            <w:pPr>
              <w:autoSpaceDE w:val="0"/>
              <w:autoSpaceDN w:val="0"/>
              <w:adjustRightInd w:val="0"/>
              <w:jc w:val="right"/>
              <w:rPr>
                <w:rFonts w:ascii="Arial" w:hAnsi="Arial" w:cs="Arial"/>
                <w:bCs/>
                <w:color w:val="000000"/>
              </w:rPr>
            </w:pPr>
          </w:p>
        </w:tc>
      </w:tr>
      <w:tr w:rsidR="00395D6D" w:rsidRPr="00D00722" w:rsidTr="00B22984">
        <w:trPr>
          <w:trHeight w:val="113"/>
        </w:trPr>
        <w:tc>
          <w:tcPr>
            <w:tcW w:w="5529" w:type="dxa"/>
            <w:tcBorders>
              <w:top w:val="single" w:sz="6" w:space="0" w:color="auto"/>
              <w:left w:val="nil"/>
              <w:bottom w:val="double" w:sz="6" w:space="0" w:color="auto"/>
              <w:right w:val="nil"/>
            </w:tcBorders>
            <w:vAlign w:val="bottom"/>
          </w:tcPr>
          <w:p w:rsidR="00395D6D" w:rsidRPr="00D00722" w:rsidRDefault="00395D6D" w:rsidP="00B22984">
            <w:pPr>
              <w:autoSpaceDE w:val="0"/>
              <w:autoSpaceDN w:val="0"/>
              <w:adjustRightInd w:val="0"/>
              <w:ind w:left="-108"/>
              <w:rPr>
                <w:rFonts w:ascii="Arial" w:hAnsi="Arial" w:cs="Arial"/>
                <w:b/>
                <w:bCs/>
                <w:color w:val="000000"/>
              </w:rPr>
            </w:pPr>
          </w:p>
        </w:tc>
        <w:tc>
          <w:tcPr>
            <w:tcW w:w="1842" w:type="dxa"/>
            <w:tcBorders>
              <w:top w:val="single" w:sz="6" w:space="0" w:color="auto"/>
              <w:left w:val="nil"/>
              <w:bottom w:val="double" w:sz="6" w:space="0" w:color="auto"/>
              <w:right w:val="nil"/>
            </w:tcBorders>
          </w:tcPr>
          <w:p w:rsidR="00395D6D" w:rsidRPr="00D00722" w:rsidRDefault="00033B7C" w:rsidP="00B22984">
            <w:pPr>
              <w:autoSpaceDE w:val="0"/>
              <w:autoSpaceDN w:val="0"/>
              <w:adjustRightInd w:val="0"/>
              <w:jc w:val="right"/>
              <w:rPr>
                <w:rFonts w:ascii="Arial" w:hAnsi="Arial" w:cs="Arial"/>
                <w:b/>
                <w:bCs/>
                <w:color w:val="000000"/>
              </w:rPr>
            </w:pPr>
            <w:r w:rsidRPr="00D00722">
              <w:rPr>
                <w:rFonts w:ascii="Arial" w:hAnsi="Arial" w:cs="Arial"/>
                <w:b/>
                <w:bCs/>
                <w:color w:val="000000"/>
              </w:rPr>
              <w:t>(12.220)</w:t>
            </w:r>
          </w:p>
        </w:tc>
        <w:tc>
          <w:tcPr>
            <w:tcW w:w="1724" w:type="dxa"/>
            <w:tcBorders>
              <w:top w:val="single" w:sz="6" w:space="0" w:color="auto"/>
              <w:left w:val="nil"/>
              <w:bottom w:val="double" w:sz="6" w:space="0" w:color="auto"/>
              <w:right w:val="nil"/>
            </w:tcBorders>
          </w:tcPr>
          <w:p w:rsidR="00395D6D" w:rsidRPr="00D00722" w:rsidRDefault="00DC4881" w:rsidP="00B22984">
            <w:pPr>
              <w:autoSpaceDE w:val="0"/>
              <w:autoSpaceDN w:val="0"/>
              <w:adjustRightInd w:val="0"/>
              <w:jc w:val="right"/>
              <w:rPr>
                <w:rFonts w:ascii="Arial" w:hAnsi="Arial" w:cs="Arial"/>
                <w:bCs/>
                <w:color w:val="000000"/>
              </w:rPr>
            </w:pPr>
            <w:r w:rsidRPr="00D00722">
              <w:rPr>
                <w:rFonts w:ascii="Arial" w:hAnsi="Arial" w:cs="Arial"/>
                <w:bCs/>
                <w:color w:val="000000"/>
              </w:rPr>
              <w:t>(9.113)</w:t>
            </w:r>
          </w:p>
        </w:tc>
      </w:tr>
    </w:tbl>
    <w:p w:rsidR="00493DCD" w:rsidRPr="00D00722" w:rsidRDefault="00493DCD" w:rsidP="0090567F">
      <w:pPr>
        <w:ind w:left="567" w:hanging="567"/>
        <w:rPr>
          <w:rFonts w:ascii="Arial" w:hAnsi="Arial" w:cs="Arial"/>
          <w:lang w:val="tr-TR"/>
        </w:rPr>
      </w:pPr>
    </w:p>
    <w:p w:rsidR="00212F25" w:rsidRPr="00D00722" w:rsidRDefault="00212F25" w:rsidP="00FB701F">
      <w:pPr>
        <w:rPr>
          <w:rFonts w:ascii="Arial" w:hAnsi="Arial" w:cs="Arial"/>
          <w:sz w:val="8"/>
          <w:lang w:val="tr-TR"/>
        </w:rPr>
      </w:pPr>
    </w:p>
    <w:p w:rsidR="00EC7963" w:rsidRPr="00D00722" w:rsidRDefault="00B37F4A" w:rsidP="006E13E5">
      <w:pPr>
        <w:ind w:left="567" w:hanging="567"/>
        <w:rPr>
          <w:rFonts w:ascii="Arial" w:hAnsi="Arial" w:cs="Arial"/>
          <w:lang w:val="tr-TR"/>
        </w:rPr>
      </w:pPr>
      <w:r w:rsidRPr="00D00722">
        <w:rPr>
          <w:rFonts w:ascii="Arial" w:hAnsi="Arial" w:cs="Arial"/>
          <w:lang w:val="tr-TR"/>
        </w:rPr>
        <w:t>(*)</w:t>
      </w:r>
      <w:r w:rsidR="00FB701F" w:rsidRPr="00D00722">
        <w:rPr>
          <w:rFonts w:ascii="Arial" w:hAnsi="Arial" w:cs="Arial"/>
          <w:lang w:val="tr-TR"/>
        </w:rPr>
        <w:tab/>
      </w:r>
      <w:r w:rsidR="00A108E3" w:rsidRPr="00D00722">
        <w:rPr>
          <w:rFonts w:ascii="Arial" w:hAnsi="Arial" w:cs="Arial"/>
          <w:lang w:val="tr-TR"/>
        </w:rPr>
        <w:t>Finansal tablolarda diğer dönen varlıklar içerisinde yer almaktadır.</w:t>
      </w:r>
    </w:p>
    <w:p w:rsidR="00D20F17" w:rsidRPr="00D00722" w:rsidRDefault="00D20F17" w:rsidP="006E13E5">
      <w:pPr>
        <w:ind w:left="567" w:hanging="567"/>
        <w:rPr>
          <w:rFonts w:ascii="Arial" w:hAnsi="Arial" w:cs="Arial"/>
          <w:lang w:val="tr-TR"/>
        </w:rPr>
      </w:pPr>
    </w:p>
    <w:p w:rsidR="00D20F17" w:rsidRPr="00D00722" w:rsidRDefault="00493DCD" w:rsidP="00EC7963">
      <w:pPr>
        <w:rPr>
          <w:rFonts w:ascii="Arial" w:hAnsi="Arial" w:cs="Arial"/>
          <w:b/>
          <w:lang w:val="tr-TR"/>
        </w:rPr>
      </w:pPr>
      <w:r w:rsidRPr="00D00722">
        <w:rPr>
          <w:rFonts w:ascii="Arial" w:hAnsi="Arial" w:cs="Arial"/>
          <w:b/>
          <w:bCs/>
          <w:color w:val="000000"/>
        </w:rPr>
        <w:t>Gelir tablosundaki vergi karşılığı</w:t>
      </w:r>
    </w:p>
    <w:p w:rsidR="00493DCD" w:rsidRPr="00D00722" w:rsidRDefault="00493DCD" w:rsidP="00EC7963">
      <w:pPr>
        <w:rPr>
          <w:rFonts w:ascii="Arial" w:hAnsi="Arial" w:cs="Arial"/>
          <w:b/>
          <w:lang w:val="tr-TR"/>
        </w:rPr>
      </w:pPr>
    </w:p>
    <w:tbl>
      <w:tblPr>
        <w:tblW w:w="9095" w:type="dxa"/>
        <w:tblInd w:w="108" w:type="dxa"/>
        <w:tblLayout w:type="fixed"/>
        <w:tblLook w:val="0000"/>
      </w:tblPr>
      <w:tblGrid>
        <w:gridCol w:w="5529"/>
        <w:gridCol w:w="1842"/>
        <w:gridCol w:w="1724"/>
      </w:tblGrid>
      <w:tr w:rsidR="006B2665" w:rsidRPr="00D00722" w:rsidTr="006B2665">
        <w:trPr>
          <w:trHeight w:val="113"/>
        </w:trPr>
        <w:tc>
          <w:tcPr>
            <w:tcW w:w="5529" w:type="dxa"/>
            <w:tcBorders>
              <w:top w:val="single" w:sz="6" w:space="0" w:color="auto"/>
              <w:left w:val="nil"/>
              <w:bottom w:val="single" w:sz="6" w:space="0" w:color="auto"/>
              <w:right w:val="nil"/>
            </w:tcBorders>
            <w:vAlign w:val="bottom"/>
          </w:tcPr>
          <w:p w:rsidR="006B2665" w:rsidRPr="00D00722" w:rsidRDefault="006B2665" w:rsidP="006B2665">
            <w:pPr>
              <w:autoSpaceDE w:val="0"/>
              <w:autoSpaceDN w:val="0"/>
              <w:adjustRightInd w:val="0"/>
              <w:ind w:left="-108"/>
              <w:rPr>
                <w:rFonts w:ascii="Arial" w:hAnsi="Arial" w:cs="Arial"/>
                <w:b/>
                <w:bCs/>
                <w:color w:val="000000"/>
              </w:rPr>
            </w:pPr>
          </w:p>
        </w:tc>
        <w:tc>
          <w:tcPr>
            <w:tcW w:w="1842" w:type="dxa"/>
            <w:tcBorders>
              <w:top w:val="single" w:sz="6" w:space="0" w:color="auto"/>
              <w:left w:val="nil"/>
              <w:bottom w:val="single" w:sz="6" w:space="0" w:color="auto"/>
              <w:right w:val="nil"/>
            </w:tcBorders>
            <w:vAlign w:val="bottom"/>
          </w:tcPr>
          <w:p w:rsidR="006B2665" w:rsidRPr="00D00722" w:rsidRDefault="006B2665" w:rsidP="00F94040">
            <w:pPr>
              <w:autoSpaceDE w:val="0"/>
              <w:autoSpaceDN w:val="0"/>
              <w:adjustRightInd w:val="0"/>
              <w:jc w:val="right"/>
              <w:rPr>
                <w:rFonts w:ascii="Arial" w:hAnsi="Arial" w:cs="Arial"/>
                <w:b/>
                <w:bCs/>
                <w:color w:val="000000"/>
              </w:rPr>
            </w:pPr>
            <w:r w:rsidRPr="00D00722">
              <w:rPr>
                <w:rFonts w:ascii="Arial" w:hAnsi="Arial" w:cs="Arial"/>
                <w:b/>
                <w:bCs/>
                <w:color w:val="000000"/>
              </w:rPr>
              <w:t>1 Ocak -</w:t>
            </w:r>
          </w:p>
          <w:p w:rsidR="006B2665" w:rsidRPr="00D00722" w:rsidRDefault="006B2665" w:rsidP="00DC4881">
            <w:pPr>
              <w:autoSpaceDE w:val="0"/>
              <w:autoSpaceDN w:val="0"/>
              <w:adjustRightInd w:val="0"/>
              <w:jc w:val="right"/>
              <w:rPr>
                <w:rFonts w:ascii="Arial" w:hAnsi="Arial" w:cs="Arial"/>
                <w:b/>
                <w:bCs/>
                <w:color w:val="000000"/>
              </w:rPr>
            </w:pPr>
            <w:r w:rsidRPr="00D00722">
              <w:rPr>
                <w:rFonts w:ascii="Arial" w:hAnsi="Arial" w:cs="Arial"/>
                <w:b/>
                <w:bCs/>
                <w:color w:val="000000"/>
              </w:rPr>
              <w:t xml:space="preserve">31 </w:t>
            </w:r>
            <w:r w:rsidR="00DC4881" w:rsidRPr="00D00722">
              <w:rPr>
                <w:rFonts w:ascii="Arial" w:hAnsi="Arial" w:cs="Arial"/>
                <w:b/>
                <w:bCs/>
                <w:color w:val="000000"/>
              </w:rPr>
              <w:t>Mart</w:t>
            </w:r>
            <w:r w:rsidRPr="00D00722">
              <w:rPr>
                <w:rFonts w:ascii="Arial" w:hAnsi="Arial" w:cs="Arial"/>
                <w:b/>
                <w:bCs/>
                <w:color w:val="000000"/>
              </w:rPr>
              <w:t xml:space="preserve"> </w:t>
            </w:r>
            <w:r w:rsidR="00350F68" w:rsidRPr="00D00722">
              <w:rPr>
                <w:rFonts w:ascii="Arial" w:hAnsi="Arial" w:cs="Arial"/>
                <w:b/>
                <w:bCs/>
                <w:color w:val="000000"/>
              </w:rPr>
              <w:t>201</w:t>
            </w:r>
            <w:r w:rsidR="00DC4881" w:rsidRPr="00D00722">
              <w:rPr>
                <w:rFonts w:ascii="Arial" w:hAnsi="Arial" w:cs="Arial"/>
                <w:b/>
                <w:bCs/>
                <w:color w:val="000000"/>
              </w:rPr>
              <w:t>4</w:t>
            </w:r>
          </w:p>
        </w:tc>
        <w:tc>
          <w:tcPr>
            <w:tcW w:w="1724" w:type="dxa"/>
            <w:tcBorders>
              <w:top w:val="single" w:sz="6" w:space="0" w:color="auto"/>
              <w:left w:val="nil"/>
              <w:bottom w:val="single" w:sz="6" w:space="0" w:color="auto"/>
              <w:right w:val="nil"/>
            </w:tcBorders>
            <w:vAlign w:val="bottom"/>
          </w:tcPr>
          <w:p w:rsidR="006B2665" w:rsidRPr="00D00722" w:rsidRDefault="006B2665" w:rsidP="00F94040">
            <w:pPr>
              <w:autoSpaceDE w:val="0"/>
              <w:autoSpaceDN w:val="0"/>
              <w:adjustRightInd w:val="0"/>
              <w:jc w:val="right"/>
              <w:rPr>
                <w:rFonts w:ascii="Arial" w:hAnsi="Arial" w:cs="Arial"/>
                <w:bCs/>
                <w:color w:val="000000"/>
              </w:rPr>
            </w:pPr>
            <w:r w:rsidRPr="00D00722">
              <w:rPr>
                <w:rFonts w:ascii="Arial" w:hAnsi="Arial" w:cs="Arial"/>
                <w:bCs/>
                <w:color w:val="000000"/>
              </w:rPr>
              <w:t>1 Ocak -</w:t>
            </w:r>
          </w:p>
          <w:p w:rsidR="006B2665" w:rsidRPr="00D00722" w:rsidRDefault="006B2665" w:rsidP="00DC4881">
            <w:pPr>
              <w:autoSpaceDE w:val="0"/>
              <w:autoSpaceDN w:val="0"/>
              <w:adjustRightInd w:val="0"/>
              <w:jc w:val="right"/>
              <w:rPr>
                <w:rFonts w:ascii="Arial" w:hAnsi="Arial" w:cs="Arial"/>
                <w:b/>
                <w:bCs/>
                <w:color w:val="000000"/>
              </w:rPr>
            </w:pPr>
            <w:r w:rsidRPr="00D00722">
              <w:rPr>
                <w:rFonts w:ascii="Arial" w:hAnsi="Arial" w:cs="Arial"/>
                <w:bCs/>
                <w:color w:val="000000"/>
              </w:rPr>
              <w:t xml:space="preserve">31 </w:t>
            </w:r>
            <w:r w:rsidR="00DC4881" w:rsidRPr="00D00722">
              <w:rPr>
                <w:rFonts w:ascii="Arial" w:hAnsi="Arial" w:cs="Arial"/>
                <w:bCs/>
                <w:color w:val="000000"/>
              </w:rPr>
              <w:t>Mart</w:t>
            </w:r>
            <w:r w:rsidRPr="00D00722">
              <w:rPr>
                <w:rFonts w:ascii="Arial" w:hAnsi="Arial" w:cs="Arial"/>
                <w:bCs/>
                <w:color w:val="000000"/>
              </w:rPr>
              <w:t xml:space="preserve"> </w:t>
            </w:r>
            <w:r w:rsidR="00350F68" w:rsidRPr="00D00722">
              <w:rPr>
                <w:rFonts w:ascii="Arial" w:hAnsi="Arial" w:cs="Arial"/>
                <w:bCs/>
                <w:color w:val="000000"/>
              </w:rPr>
              <w:t>201</w:t>
            </w:r>
            <w:r w:rsidR="00DC4881" w:rsidRPr="00D00722">
              <w:rPr>
                <w:rFonts w:ascii="Arial" w:hAnsi="Arial" w:cs="Arial"/>
                <w:bCs/>
                <w:color w:val="000000"/>
              </w:rPr>
              <w:t>3</w:t>
            </w:r>
          </w:p>
        </w:tc>
      </w:tr>
      <w:tr w:rsidR="008310F3" w:rsidRPr="00D00722" w:rsidTr="006B2665">
        <w:trPr>
          <w:trHeight w:val="113"/>
        </w:trPr>
        <w:tc>
          <w:tcPr>
            <w:tcW w:w="5529" w:type="dxa"/>
            <w:tcBorders>
              <w:top w:val="nil"/>
              <w:left w:val="nil"/>
              <w:bottom w:val="nil"/>
              <w:right w:val="nil"/>
            </w:tcBorders>
            <w:vAlign w:val="bottom"/>
          </w:tcPr>
          <w:p w:rsidR="008310F3" w:rsidRPr="00D00722" w:rsidRDefault="008310F3" w:rsidP="006B2665">
            <w:pPr>
              <w:autoSpaceDE w:val="0"/>
              <w:autoSpaceDN w:val="0"/>
              <w:adjustRightInd w:val="0"/>
              <w:ind w:left="-108"/>
              <w:rPr>
                <w:rFonts w:ascii="Arial" w:hAnsi="Arial" w:cs="Arial"/>
                <w:color w:val="000000"/>
              </w:rPr>
            </w:pPr>
          </w:p>
        </w:tc>
        <w:tc>
          <w:tcPr>
            <w:tcW w:w="1842" w:type="dxa"/>
            <w:tcBorders>
              <w:top w:val="nil"/>
              <w:left w:val="nil"/>
              <w:bottom w:val="nil"/>
              <w:right w:val="nil"/>
            </w:tcBorders>
          </w:tcPr>
          <w:p w:rsidR="008310F3" w:rsidRPr="00D00722" w:rsidRDefault="008310F3" w:rsidP="00E83219">
            <w:pPr>
              <w:autoSpaceDE w:val="0"/>
              <w:autoSpaceDN w:val="0"/>
              <w:adjustRightInd w:val="0"/>
              <w:jc w:val="right"/>
              <w:rPr>
                <w:rFonts w:ascii="Arial" w:hAnsi="Arial" w:cs="Arial"/>
                <w:color w:val="000000"/>
              </w:rPr>
            </w:pPr>
          </w:p>
        </w:tc>
        <w:tc>
          <w:tcPr>
            <w:tcW w:w="1724" w:type="dxa"/>
            <w:tcBorders>
              <w:top w:val="nil"/>
              <w:left w:val="nil"/>
              <w:bottom w:val="nil"/>
              <w:right w:val="nil"/>
            </w:tcBorders>
          </w:tcPr>
          <w:p w:rsidR="008310F3" w:rsidRPr="00D00722" w:rsidRDefault="008310F3" w:rsidP="00E83219">
            <w:pPr>
              <w:autoSpaceDE w:val="0"/>
              <w:autoSpaceDN w:val="0"/>
              <w:adjustRightInd w:val="0"/>
              <w:jc w:val="right"/>
              <w:rPr>
                <w:rFonts w:ascii="Arial" w:hAnsi="Arial" w:cs="Arial"/>
                <w:color w:val="000000"/>
              </w:rPr>
            </w:pPr>
          </w:p>
        </w:tc>
      </w:tr>
      <w:tr w:rsidR="00D0765E" w:rsidRPr="00D00722" w:rsidTr="006B2665">
        <w:trPr>
          <w:trHeight w:val="113"/>
        </w:trPr>
        <w:tc>
          <w:tcPr>
            <w:tcW w:w="5529" w:type="dxa"/>
            <w:tcBorders>
              <w:top w:val="nil"/>
              <w:left w:val="nil"/>
              <w:bottom w:val="nil"/>
              <w:right w:val="nil"/>
            </w:tcBorders>
            <w:vAlign w:val="bottom"/>
          </w:tcPr>
          <w:p w:rsidR="00D0765E" w:rsidRPr="00D00722" w:rsidRDefault="00D0765E" w:rsidP="006B2665">
            <w:pPr>
              <w:autoSpaceDE w:val="0"/>
              <w:autoSpaceDN w:val="0"/>
              <w:adjustRightInd w:val="0"/>
              <w:ind w:left="-108"/>
              <w:rPr>
                <w:rFonts w:ascii="Arial" w:hAnsi="Arial" w:cs="Arial"/>
                <w:color w:val="000000"/>
              </w:rPr>
            </w:pPr>
            <w:r w:rsidRPr="00D00722">
              <w:rPr>
                <w:rFonts w:ascii="Arial" w:hAnsi="Arial" w:cs="Arial"/>
                <w:color w:val="000000"/>
              </w:rPr>
              <w:t>Cari kurumlar vergisi karşılığı</w:t>
            </w:r>
          </w:p>
        </w:tc>
        <w:tc>
          <w:tcPr>
            <w:tcW w:w="1842" w:type="dxa"/>
            <w:tcBorders>
              <w:top w:val="nil"/>
              <w:left w:val="nil"/>
              <w:bottom w:val="nil"/>
              <w:right w:val="nil"/>
            </w:tcBorders>
          </w:tcPr>
          <w:p w:rsidR="00D0765E" w:rsidRPr="00D00722" w:rsidRDefault="00D0765E" w:rsidP="00E83219">
            <w:pPr>
              <w:autoSpaceDE w:val="0"/>
              <w:autoSpaceDN w:val="0"/>
              <w:adjustRightInd w:val="0"/>
              <w:jc w:val="right"/>
              <w:rPr>
                <w:rFonts w:ascii="Arial" w:hAnsi="Arial" w:cs="Arial"/>
                <w:b/>
                <w:bCs/>
                <w:color w:val="000000"/>
              </w:rPr>
            </w:pPr>
          </w:p>
        </w:tc>
        <w:tc>
          <w:tcPr>
            <w:tcW w:w="1724" w:type="dxa"/>
            <w:tcBorders>
              <w:top w:val="nil"/>
              <w:left w:val="nil"/>
              <w:bottom w:val="nil"/>
              <w:right w:val="nil"/>
            </w:tcBorders>
          </w:tcPr>
          <w:p w:rsidR="00D0765E" w:rsidRPr="00D00722" w:rsidRDefault="00D0765E" w:rsidP="007D6FC3">
            <w:pPr>
              <w:autoSpaceDE w:val="0"/>
              <w:autoSpaceDN w:val="0"/>
              <w:adjustRightInd w:val="0"/>
              <w:jc w:val="right"/>
              <w:rPr>
                <w:rFonts w:ascii="Arial" w:hAnsi="Arial" w:cs="Arial"/>
                <w:bCs/>
                <w:color w:val="000000"/>
              </w:rPr>
            </w:pPr>
          </w:p>
        </w:tc>
      </w:tr>
      <w:tr w:rsidR="006B7B62" w:rsidRPr="00D00722" w:rsidTr="006B2665">
        <w:trPr>
          <w:trHeight w:val="113"/>
        </w:trPr>
        <w:tc>
          <w:tcPr>
            <w:tcW w:w="5529" w:type="dxa"/>
            <w:tcBorders>
              <w:top w:val="nil"/>
              <w:left w:val="nil"/>
              <w:bottom w:val="nil"/>
              <w:right w:val="nil"/>
            </w:tcBorders>
            <w:vAlign w:val="bottom"/>
          </w:tcPr>
          <w:p w:rsidR="006B7B62" w:rsidRPr="00D00722" w:rsidRDefault="006B7B62" w:rsidP="00C75F29">
            <w:pPr>
              <w:autoSpaceDE w:val="0"/>
              <w:autoSpaceDN w:val="0"/>
              <w:adjustRightInd w:val="0"/>
              <w:ind w:left="-108"/>
              <w:rPr>
                <w:rFonts w:ascii="Arial" w:hAnsi="Arial" w:cs="Arial"/>
                <w:color w:val="000000"/>
              </w:rPr>
            </w:pPr>
            <w:r w:rsidRPr="00D00722">
              <w:rPr>
                <w:rFonts w:ascii="Arial" w:hAnsi="Arial" w:cs="Arial"/>
                <w:color w:val="000000"/>
              </w:rPr>
              <w:t>Ertelenmiş vergi (gideri)/ geliri</w:t>
            </w:r>
          </w:p>
        </w:tc>
        <w:tc>
          <w:tcPr>
            <w:tcW w:w="1842" w:type="dxa"/>
            <w:tcBorders>
              <w:top w:val="nil"/>
              <w:left w:val="nil"/>
              <w:bottom w:val="nil"/>
              <w:right w:val="nil"/>
            </w:tcBorders>
          </w:tcPr>
          <w:p w:rsidR="006B7B62" w:rsidRPr="00D00722" w:rsidRDefault="00D34484" w:rsidP="00E83219">
            <w:pPr>
              <w:autoSpaceDE w:val="0"/>
              <w:autoSpaceDN w:val="0"/>
              <w:adjustRightInd w:val="0"/>
              <w:jc w:val="right"/>
              <w:rPr>
                <w:rFonts w:ascii="Arial" w:hAnsi="Arial" w:cs="Arial"/>
                <w:b/>
                <w:bCs/>
                <w:color w:val="000000"/>
              </w:rPr>
            </w:pPr>
            <w:r w:rsidRPr="00D00722">
              <w:rPr>
                <w:rFonts w:ascii="Arial" w:hAnsi="Arial" w:cs="Arial"/>
                <w:b/>
                <w:bCs/>
                <w:color w:val="000000"/>
              </w:rPr>
              <w:t>57.801</w:t>
            </w:r>
          </w:p>
        </w:tc>
        <w:tc>
          <w:tcPr>
            <w:tcW w:w="1724" w:type="dxa"/>
            <w:tcBorders>
              <w:top w:val="nil"/>
              <w:left w:val="nil"/>
              <w:bottom w:val="nil"/>
              <w:right w:val="nil"/>
            </w:tcBorders>
          </w:tcPr>
          <w:p w:rsidR="006B7B62" w:rsidRPr="00D00722" w:rsidRDefault="00DC4881" w:rsidP="002E27C3">
            <w:pPr>
              <w:autoSpaceDE w:val="0"/>
              <w:autoSpaceDN w:val="0"/>
              <w:adjustRightInd w:val="0"/>
              <w:jc w:val="right"/>
              <w:rPr>
                <w:rFonts w:ascii="Arial" w:hAnsi="Arial" w:cs="Arial"/>
                <w:bCs/>
                <w:color w:val="000000"/>
              </w:rPr>
            </w:pPr>
            <w:r w:rsidRPr="00D00722">
              <w:rPr>
                <w:rFonts w:ascii="Arial" w:hAnsi="Arial" w:cs="Arial"/>
                <w:bCs/>
                <w:color w:val="000000"/>
              </w:rPr>
              <w:t>4.842</w:t>
            </w:r>
          </w:p>
        </w:tc>
      </w:tr>
      <w:tr w:rsidR="006B7B62" w:rsidRPr="00D00722" w:rsidTr="006B2665">
        <w:trPr>
          <w:trHeight w:val="113"/>
        </w:trPr>
        <w:tc>
          <w:tcPr>
            <w:tcW w:w="5529" w:type="dxa"/>
            <w:tcBorders>
              <w:top w:val="nil"/>
              <w:left w:val="nil"/>
              <w:bottom w:val="nil"/>
              <w:right w:val="nil"/>
            </w:tcBorders>
            <w:vAlign w:val="bottom"/>
          </w:tcPr>
          <w:p w:rsidR="006B7B62" w:rsidRPr="00D00722" w:rsidRDefault="006B7B62" w:rsidP="006B2665">
            <w:pPr>
              <w:autoSpaceDE w:val="0"/>
              <w:autoSpaceDN w:val="0"/>
              <w:adjustRightInd w:val="0"/>
              <w:ind w:left="-108"/>
              <w:rPr>
                <w:rFonts w:ascii="Arial" w:hAnsi="Arial" w:cs="Arial"/>
                <w:color w:val="000000"/>
              </w:rPr>
            </w:pPr>
          </w:p>
        </w:tc>
        <w:tc>
          <w:tcPr>
            <w:tcW w:w="1842" w:type="dxa"/>
            <w:tcBorders>
              <w:top w:val="nil"/>
              <w:left w:val="nil"/>
              <w:bottom w:val="nil"/>
              <w:right w:val="nil"/>
            </w:tcBorders>
          </w:tcPr>
          <w:p w:rsidR="006B7B62" w:rsidRPr="00D00722" w:rsidRDefault="006B7B62" w:rsidP="00E83219">
            <w:pPr>
              <w:autoSpaceDE w:val="0"/>
              <w:autoSpaceDN w:val="0"/>
              <w:adjustRightInd w:val="0"/>
              <w:jc w:val="right"/>
              <w:rPr>
                <w:rFonts w:ascii="Arial" w:hAnsi="Arial" w:cs="Arial"/>
                <w:b/>
                <w:bCs/>
                <w:color w:val="000000"/>
              </w:rPr>
            </w:pPr>
          </w:p>
        </w:tc>
        <w:tc>
          <w:tcPr>
            <w:tcW w:w="1724" w:type="dxa"/>
            <w:tcBorders>
              <w:top w:val="nil"/>
              <w:left w:val="nil"/>
              <w:bottom w:val="nil"/>
              <w:right w:val="nil"/>
            </w:tcBorders>
          </w:tcPr>
          <w:p w:rsidR="006B7B62" w:rsidRPr="00D00722" w:rsidRDefault="006B7B62" w:rsidP="002E27C3">
            <w:pPr>
              <w:autoSpaceDE w:val="0"/>
              <w:autoSpaceDN w:val="0"/>
              <w:adjustRightInd w:val="0"/>
              <w:jc w:val="right"/>
              <w:rPr>
                <w:rFonts w:ascii="Arial" w:hAnsi="Arial" w:cs="Arial"/>
                <w:bCs/>
                <w:color w:val="000000"/>
              </w:rPr>
            </w:pPr>
          </w:p>
        </w:tc>
      </w:tr>
      <w:tr w:rsidR="006B7B62" w:rsidRPr="00D00722" w:rsidTr="006B2665">
        <w:trPr>
          <w:trHeight w:val="113"/>
        </w:trPr>
        <w:tc>
          <w:tcPr>
            <w:tcW w:w="5529" w:type="dxa"/>
            <w:tcBorders>
              <w:top w:val="single" w:sz="6" w:space="0" w:color="auto"/>
              <w:left w:val="nil"/>
              <w:bottom w:val="double" w:sz="6" w:space="0" w:color="auto"/>
              <w:right w:val="nil"/>
            </w:tcBorders>
            <w:vAlign w:val="bottom"/>
          </w:tcPr>
          <w:p w:rsidR="006B7B62" w:rsidRPr="00D00722" w:rsidRDefault="006B7B62" w:rsidP="006B2665">
            <w:pPr>
              <w:autoSpaceDE w:val="0"/>
              <w:autoSpaceDN w:val="0"/>
              <w:adjustRightInd w:val="0"/>
              <w:ind w:left="-108"/>
              <w:rPr>
                <w:rFonts w:ascii="Arial" w:hAnsi="Arial" w:cs="Arial"/>
                <w:b/>
                <w:bCs/>
                <w:color w:val="000000"/>
              </w:rPr>
            </w:pPr>
          </w:p>
        </w:tc>
        <w:tc>
          <w:tcPr>
            <w:tcW w:w="1842" w:type="dxa"/>
            <w:tcBorders>
              <w:top w:val="single" w:sz="6" w:space="0" w:color="auto"/>
              <w:left w:val="nil"/>
              <w:bottom w:val="double" w:sz="6" w:space="0" w:color="auto"/>
              <w:right w:val="nil"/>
            </w:tcBorders>
          </w:tcPr>
          <w:p w:rsidR="006B7B62" w:rsidRPr="00D00722" w:rsidRDefault="00D34484" w:rsidP="00E83219">
            <w:pPr>
              <w:autoSpaceDE w:val="0"/>
              <w:autoSpaceDN w:val="0"/>
              <w:adjustRightInd w:val="0"/>
              <w:jc w:val="right"/>
              <w:rPr>
                <w:rFonts w:ascii="Arial" w:hAnsi="Arial" w:cs="Arial"/>
                <w:b/>
                <w:bCs/>
                <w:color w:val="000000"/>
              </w:rPr>
            </w:pPr>
            <w:r w:rsidRPr="00D00722">
              <w:rPr>
                <w:rFonts w:ascii="Arial" w:hAnsi="Arial" w:cs="Arial"/>
                <w:b/>
                <w:bCs/>
                <w:color w:val="000000"/>
              </w:rPr>
              <w:t>57.801</w:t>
            </w:r>
          </w:p>
        </w:tc>
        <w:tc>
          <w:tcPr>
            <w:tcW w:w="1724" w:type="dxa"/>
            <w:tcBorders>
              <w:top w:val="single" w:sz="6" w:space="0" w:color="auto"/>
              <w:left w:val="nil"/>
              <w:bottom w:val="double" w:sz="6" w:space="0" w:color="auto"/>
              <w:right w:val="nil"/>
            </w:tcBorders>
          </w:tcPr>
          <w:p w:rsidR="006B7B62" w:rsidRPr="00D00722" w:rsidRDefault="00DC4881" w:rsidP="002E27C3">
            <w:pPr>
              <w:autoSpaceDE w:val="0"/>
              <w:autoSpaceDN w:val="0"/>
              <w:adjustRightInd w:val="0"/>
              <w:jc w:val="right"/>
              <w:rPr>
                <w:rFonts w:ascii="Arial" w:hAnsi="Arial" w:cs="Arial"/>
                <w:bCs/>
                <w:color w:val="000000"/>
              </w:rPr>
            </w:pPr>
            <w:r w:rsidRPr="00D00722">
              <w:rPr>
                <w:rFonts w:ascii="Arial" w:hAnsi="Arial" w:cs="Arial"/>
                <w:bCs/>
                <w:color w:val="000000"/>
              </w:rPr>
              <w:t>4.842</w:t>
            </w:r>
          </w:p>
        </w:tc>
      </w:tr>
    </w:tbl>
    <w:p w:rsidR="003B42C2" w:rsidRPr="00D00722" w:rsidRDefault="003B42C2">
      <w:pPr>
        <w:rPr>
          <w:rFonts w:ascii="Arial" w:hAnsi="Arial" w:cs="Arial"/>
          <w:b/>
          <w:lang w:val="tr-TR"/>
        </w:rPr>
      </w:pPr>
      <w:r w:rsidRPr="00D00722">
        <w:rPr>
          <w:rFonts w:ascii="Arial" w:hAnsi="Arial" w:cs="Arial"/>
          <w:b/>
          <w:lang w:val="tr-TR"/>
        </w:rPr>
        <w:br w:type="page"/>
      </w:r>
    </w:p>
    <w:p w:rsidR="005713F9" w:rsidRPr="00D00722" w:rsidRDefault="005713F9" w:rsidP="005713F9">
      <w:pPr>
        <w:ind w:right="-23"/>
        <w:rPr>
          <w:rFonts w:ascii="Arial" w:hAnsi="Arial" w:cs="Arial"/>
          <w:lang w:val="tr-TR"/>
        </w:rPr>
      </w:pPr>
      <w:r w:rsidRPr="00D00722">
        <w:rPr>
          <w:rFonts w:ascii="Arial" w:hAnsi="Arial" w:cs="Arial"/>
          <w:b/>
          <w:lang w:val="tr-TR"/>
        </w:rPr>
        <w:t>21.</w:t>
      </w:r>
      <w:r w:rsidRPr="00D00722">
        <w:rPr>
          <w:rFonts w:ascii="Arial" w:hAnsi="Arial" w:cs="Arial"/>
          <w:b/>
          <w:lang w:val="tr-TR"/>
        </w:rPr>
        <w:tab/>
        <w:t>Vergi varlık ve yükümlülükleri (ertelenmiş varlık ve yükümlülükler dahil) (devamı)</w:t>
      </w:r>
    </w:p>
    <w:p w:rsidR="005713F9" w:rsidRPr="00D00722" w:rsidRDefault="005713F9" w:rsidP="0090567F">
      <w:pPr>
        <w:ind w:right="-23"/>
        <w:rPr>
          <w:rFonts w:ascii="Arial" w:hAnsi="Arial" w:cs="Arial"/>
          <w:b/>
          <w:lang w:val="tr-TR"/>
        </w:rPr>
      </w:pPr>
    </w:p>
    <w:p w:rsidR="00245BD3" w:rsidRPr="00D00722" w:rsidRDefault="00245BD3" w:rsidP="0090567F">
      <w:pPr>
        <w:ind w:right="-23"/>
        <w:rPr>
          <w:rFonts w:ascii="Arial" w:hAnsi="Arial" w:cs="Arial"/>
          <w:b/>
          <w:lang w:val="tr-TR"/>
        </w:rPr>
      </w:pPr>
      <w:r w:rsidRPr="00D00722">
        <w:rPr>
          <w:rFonts w:ascii="Arial" w:hAnsi="Arial" w:cs="Arial"/>
          <w:b/>
          <w:lang w:val="tr-TR"/>
        </w:rPr>
        <w:t xml:space="preserve">Kurumlar </w:t>
      </w:r>
      <w:r w:rsidR="007C3C7C" w:rsidRPr="00D00722">
        <w:rPr>
          <w:rFonts w:ascii="Arial" w:hAnsi="Arial" w:cs="Arial"/>
          <w:b/>
          <w:lang w:val="tr-TR"/>
        </w:rPr>
        <w:t>vergisi</w:t>
      </w:r>
    </w:p>
    <w:p w:rsidR="00245BD3" w:rsidRPr="00D00722" w:rsidRDefault="00245BD3" w:rsidP="0090567F">
      <w:pPr>
        <w:ind w:right="-23"/>
        <w:rPr>
          <w:rFonts w:ascii="Arial" w:hAnsi="Arial" w:cs="Arial"/>
          <w:lang w:val="tr-TR"/>
        </w:rPr>
      </w:pPr>
    </w:p>
    <w:p w:rsidR="00245BD3" w:rsidRPr="00D00722" w:rsidRDefault="00245BD3" w:rsidP="0090567F">
      <w:pPr>
        <w:ind w:right="-23"/>
        <w:rPr>
          <w:rFonts w:ascii="Arial" w:hAnsi="Arial" w:cs="Arial"/>
          <w:lang w:val="tr-TR"/>
        </w:rPr>
      </w:pPr>
      <w:r w:rsidRPr="00D00722">
        <w:rPr>
          <w:rFonts w:ascii="Arial" w:hAnsi="Arial" w:cs="Arial"/>
          <w:lang w:val="tr-TR"/>
        </w:rPr>
        <w:t>Şirket, Türkiye’de geçerli olan kurumlar vergisine tabidir. Şirket’in cari dönem faaliyet sonuçlarına ilişkin tahmini ver</w:t>
      </w:r>
      <w:r w:rsidR="00C75301" w:rsidRPr="00D00722">
        <w:rPr>
          <w:rFonts w:ascii="Arial" w:hAnsi="Arial" w:cs="Arial"/>
          <w:lang w:val="tr-TR"/>
        </w:rPr>
        <w:t>gi yükümlülükleri için ekli finansal</w:t>
      </w:r>
      <w:r w:rsidRPr="00D00722">
        <w:rPr>
          <w:rFonts w:ascii="Arial" w:hAnsi="Arial" w:cs="Arial"/>
          <w:lang w:val="tr-TR"/>
        </w:rPr>
        <w:t xml:space="preserve"> tablolarda gerekli karşılıklar ayrılmıştır. </w:t>
      </w:r>
    </w:p>
    <w:p w:rsidR="00245BD3" w:rsidRPr="00D00722" w:rsidRDefault="00245BD3" w:rsidP="0090567F">
      <w:pPr>
        <w:ind w:right="-732"/>
        <w:rPr>
          <w:rFonts w:ascii="Arial" w:hAnsi="Arial" w:cs="Arial"/>
          <w:lang w:val="tr-TR"/>
        </w:rPr>
      </w:pPr>
    </w:p>
    <w:p w:rsidR="00245BD3" w:rsidRPr="00D00722" w:rsidRDefault="00245BD3" w:rsidP="0090567F">
      <w:pPr>
        <w:ind w:right="-23"/>
        <w:rPr>
          <w:rFonts w:ascii="Arial" w:hAnsi="Arial" w:cs="Arial"/>
          <w:lang w:val="tr-TR"/>
        </w:rPr>
      </w:pPr>
      <w:r w:rsidRPr="00D00722">
        <w:rPr>
          <w:rFonts w:ascii="Arial" w:hAnsi="Arial" w:cs="Arial"/>
          <w:lang w:val="tr-TR"/>
        </w:rPr>
        <w:t>Vergiye tabi kurum kazancı üzerinden tahakkuk ett</w:t>
      </w:r>
      <w:r w:rsidR="00C07DEA" w:rsidRPr="00D00722">
        <w:rPr>
          <w:rFonts w:ascii="Arial" w:hAnsi="Arial" w:cs="Arial"/>
          <w:lang w:val="tr-TR"/>
        </w:rPr>
        <w:t>irilecek kurumlar vergisi oranı</w:t>
      </w:r>
      <w:r w:rsidRPr="00D00722">
        <w:rPr>
          <w:rFonts w:ascii="Arial" w:hAnsi="Arial" w:cs="Arial"/>
          <w:lang w:val="tr-TR"/>
        </w:rPr>
        <w:t xml:space="preserve"> ticari kazancın tespitinde gider yazılan vergi matrahından indirilemeyen giderlerin eklenmesi ve vergiden istisna kazançlar, vergiye tabi olmayan gelirler ve diğer indirimler (varsa geçmiş yıl zararları ve tercih edildiği takdirde kullanılan yatırım indirimleri) düşüldükten sonra kalan matrah üzerinden hesaplanmaktadır.</w:t>
      </w:r>
    </w:p>
    <w:p w:rsidR="001154D6" w:rsidRPr="00D00722" w:rsidRDefault="001154D6" w:rsidP="0090567F">
      <w:pPr>
        <w:ind w:right="-23"/>
        <w:rPr>
          <w:rFonts w:ascii="Arial" w:hAnsi="Arial" w:cs="Arial"/>
          <w:lang w:val="tr-TR"/>
        </w:rPr>
      </w:pPr>
    </w:p>
    <w:p w:rsidR="00245BD3" w:rsidRPr="00D00722" w:rsidRDefault="005713F9" w:rsidP="0090567F">
      <w:pPr>
        <w:ind w:right="-23"/>
        <w:rPr>
          <w:rFonts w:ascii="Arial" w:hAnsi="Arial" w:cs="Arial"/>
          <w:lang w:val="tr-TR"/>
        </w:rPr>
      </w:pPr>
      <w:r w:rsidRPr="00D00722">
        <w:rPr>
          <w:rFonts w:ascii="Arial" w:hAnsi="Arial" w:cs="Arial"/>
          <w:lang w:val="tr-TR"/>
        </w:rPr>
        <w:t>201</w:t>
      </w:r>
      <w:r w:rsidR="00CE3D52" w:rsidRPr="00D00722">
        <w:rPr>
          <w:rFonts w:ascii="Arial" w:hAnsi="Arial" w:cs="Arial"/>
          <w:lang w:val="tr-TR"/>
        </w:rPr>
        <w:t>4</w:t>
      </w:r>
      <w:r w:rsidR="008670B2" w:rsidRPr="00D00722">
        <w:rPr>
          <w:rFonts w:ascii="Arial" w:hAnsi="Arial" w:cs="Arial"/>
          <w:lang w:val="tr-TR"/>
        </w:rPr>
        <w:t xml:space="preserve"> </w:t>
      </w:r>
      <w:r w:rsidR="00245BD3" w:rsidRPr="00D00722">
        <w:rPr>
          <w:rFonts w:ascii="Arial" w:hAnsi="Arial" w:cs="Arial"/>
          <w:lang w:val="tr-TR"/>
        </w:rPr>
        <w:t>yılında uygulanan e</w:t>
      </w:r>
      <w:r w:rsidR="008670B2" w:rsidRPr="00D00722">
        <w:rPr>
          <w:rFonts w:ascii="Arial" w:hAnsi="Arial" w:cs="Arial"/>
          <w:lang w:val="tr-TR"/>
        </w:rPr>
        <w:t>fektif vergi oranı %20’dir (</w:t>
      </w:r>
      <w:r w:rsidRPr="00D00722">
        <w:rPr>
          <w:rFonts w:ascii="Arial" w:hAnsi="Arial" w:cs="Arial"/>
          <w:lang w:val="tr-TR"/>
        </w:rPr>
        <w:t>2012</w:t>
      </w:r>
      <w:r w:rsidR="00933CD9" w:rsidRPr="00D00722">
        <w:rPr>
          <w:rFonts w:ascii="Arial" w:hAnsi="Arial" w:cs="Arial"/>
          <w:lang w:val="tr-TR"/>
        </w:rPr>
        <w:t xml:space="preserve"> – </w:t>
      </w:r>
      <w:r w:rsidR="00245BD3" w:rsidRPr="00D00722">
        <w:rPr>
          <w:rFonts w:ascii="Arial" w:hAnsi="Arial" w:cs="Arial"/>
          <w:lang w:val="tr-TR"/>
        </w:rPr>
        <w:t>%20).</w:t>
      </w:r>
    </w:p>
    <w:p w:rsidR="00D0765E" w:rsidRPr="00D00722" w:rsidRDefault="00D0765E" w:rsidP="00D0765E">
      <w:pPr>
        <w:rPr>
          <w:rFonts w:ascii="Arial" w:hAnsi="Arial" w:cs="Arial"/>
          <w:lang w:val="tr-TR"/>
        </w:rPr>
      </w:pPr>
    </w:p>
    <w:p w:rsidR="00B37F4A" w:rsidRPr="00D00722" w:rsidRDefault="00245BD3" w:rsidP="00B37F4A">
      <w:pPr>
        <w:ind w:right="-23"/>
        <w:rPr>
          <w:rFonts w:ascii="Arial" w:hAnsi="Arial" w:cs="Arial"/>
          <w:lang w:val="tr-TR"/>
        </w:rPr>
      </w:pPr>
      <w:r w:rsidRPr="00D00722">
        <w:rPr>
          <w:rFonts w:ascii="Arial" w:hAnsi="Arial" w:cs="Arial"/>
          <w:lang w:val="tr-TR"/>
        </w:rPr>
        <w:t xml:space="preserve">Türkiye’de geçici vergi üçer aylık dönemler </w:t>
      </w:r>
      <w:r w:rsidR="00200AA8" w:rsidRPr="00D00722">
        <w:rPr>
          <w:rFonts w:ascii="Arial" w:hAnsi="Arial" w:cs="Arial"/>
          <w:lang w:val="tr-TR"/>
        </w:rPr>
        <w:t>itibariyle</w:t>
      </w:r>
      <w:r w:rsidRPr="00D00722">
        <w:rPr>
          <w:rFonts w:ascii="Arial" w:hAnsi="Arial" w:cs="Arial"/>
          <w:lang w:val="tr-TR"/>
        </w:rPr>
        <w:t xml:space="preserve"> hesaplanmakta v</w:t>
      </w:r>
      <w:r w:rsidR="008670B2" w:rsidRPr="00D00722">
        <w:rPr>
          <w:rFonts w:ascii="Arial" w:hAnsi="Arial" w:cs="Arial"/>
          <w:lang w:val="tr-TR"/>
        </w:rPr>
        <w:t xml:space="preserve">e tahakkuk ettirilmektedir. </w:t>
      </w:r>
      <w:r w:rsidR="00350F68" w:rsidRPr="00D00722">
        <w:rPr>
          <w:rFonts w:ascii="Arial" w:hAnsi="Arial" w:cs="Arial"/>
          <w:lang w:val="tr-TR"/>
        </w:rPr>
        <w:t>2012</w:t>
      </w:r>
      <w:r w:rsidRPr="00D00722">
        <w:rPr>
          <w:rFonts w:ascii="Arial" w:hAnsi="Arial" w:cs="Arial"/>
          <w:lang w:val="tr-TR"/>
        </w:rPr>
        <w:t xml:space="preserve"> yılı kurum kazançlarının geçici vergi dönemleri </w:t>
      </w:r>
      <w:r w:rsidR="00200AA8" w:rsidRPr="00D00722">
        <w:rPr>
          <w:rFonts w:ascii="Arial" w:hAnsi="Arial" w:cs="Arial"/>
          <w:lang w:val="tr-TR"/>
        </w:rPr>
        <w:t>itibariyle</w:t>
      </w:r>
      <w:r w:rsidRPr="00D00722">
        <w:rPr>
          <w:rFonts w:ascii="Arial" w:hAnsi="Arial" w:cs="Arial"/>
          <w:lang w:val="tr-TR"/>
        </w:rPr>
        <w:t xml:space="preserve"> vergilendirilmesi aşamasında kurum kazançları üzerinden hesaplanması gereken </w:t>
      </w:r>
      <w:r w:rsidR="000017CF" w:rsidRPr="00D00722">
        <w:rPr>
          <w:rFonts w:ascii="Arial" w:hAnsi="Arial" w:cs="Arial"/>
          <w:lang w:val="tr-TR"/>
        </w:rPr>
        <w:t>geçici vergi oranı %20’dir (</w:t>
      </w:r>
      <w:r w:rsidR="005713F9" w:rsidRPr="00D00722">
        <w:rPr>
          <w:rFonts w:ascii="Arial" w:hAnsi="Arial" w:cs="Arial"/>
          <w:lang w:val="tr-TR"/>
        </w:rPr>
        <w:t>201</w:t>
      </w:r>
      <w:r w:rsidR="00CE3D52" w:rsidRPr="00D00722">
        <w:rPr>
          <w:rFonts w:ascii="Arial" w:hAnsi="Arial" w:cs="Arial"/>
          <w:lang w:val="tr-TR"/>
        </w:rPr>
        <w:t>3</w:t>
      </w:r>
      <w:r w:rsidR="00385B9A" w:rsidRPr="00D00722">
        <w:rPr>
          <w:rFonts w:ascii="Arial" w:hAnsi="Arial" w:cs="Arial"/>
          <w:lang w:val="tr-TR"/>
        </w:rPr>
        <w:t xml:space="preserve"> –</w:t>
      </w:r>
      <w:r w:rsidRPr="00D00722">
        <w:rPr>
          <w:rFonts w:ascii="Arial" w:hAnsi="Arial" w:cs="Arial"/>
          <w:lang w:val="tr-TR"/>
        </w:rPr>
        <w:t xml:space="preserve"> %20). Zararlar, gelecek yıllarda oluşacak vergilendirilebilir kardan düşülmek üzere, maksimum 5 yıl taşınabilir. Ancak oluşan zararlar geriye dönük olarak, önceki yıllarda oluşan karlardan düşülemez.</w:t>
      </w:r>
    </w:p>
    <w:p w:rsidR="005713F9" w:rsidRPr="00D00722" w:rsidRDefault="005713F9" w:rsidP="00B37F4A">
      <w:pPr>
        <w:ind w:right="-23"/>
        <w:rPr>
          <w:rFonts w:ascii="Arial" w:hAnsi="Arial" w:cs="Arial"/>
          <w:b/>
          <w:lang w:val="tr-TR"/>
        </w:rPr>
      </w:pPr>
    </w:p>
    <w:p w:rsidR="00245BD3" w:rsidRPr="00D00722" w:rsidRDefault="00245BD3" w:rsidP="0090567F">
      <w:pPr>
        <w:ind w:right="-23"/>
        <w:rPr>
          <w:rFonts w:ascii="Arial" w:hAnsi="Arial" w:cs="Arial"/>
          <w:lang w:val="tr-TR"/>
        </w:rPr>
      </w:pPr>
      <w:r w:rsidRPr="00D00722">
        <w:rPr>
          <w:rFonts w:ascii="Arial" w:hAnsi="Arial" w:cs="Arial"/>
          <w:lang w:val="tr-TR"/>
        </w:rPr>
        <w:t>Türkiye’de vergi değerlendirmesiyle ilgili kesin ve kati bir mutabakatlaşma prosedürü bulunmamaktadır. Şirketler ilgili yılın hesap kapama dönemini takip eden yılın 1-25 Nisan tarihleri arasında vergi beyannamelerini hazırlamaktadır. Vergi Dairesi tarafından bu beyannameler ve buna baz olan muhasebe kayıtları 5 yıl içerisinde incelenerek değiştirilebilir.</w:t>
      </w:r>
    </w:p>
    <w:p w:rsidR="00245BD3" w:rsidRPr="00D00722" w:rsidRDefault="00245BD3" w:rsidP="0090567F">
      <w:pPr>
        <w:ind w:right="-23"/>
        <w:rPr>
          <w:rFonts w:ascii="Arial" w:hAnsi="Arial" w:cs="Arial"/>
          <w:lang w:val="tr-TR"/>
        </w:rPr>
      </w:pPr>
    </w:p>
    <w:p w:rsidR="008F51DB" w:rsidRPr="00D00722" w:rsidRDefault="008F51DB" w:rsidP="0090567F">
      <w:pPr>
        <w:ind w:right="-23"/>
        <w:rPr>
          <w:rFonts w:ascii="Arial" w:hAnsi="Arial" w:cs="Arial"/>
          <w:b/>
          <w:lang w:val="tr-TR"/>
        </w:rPr>
      </w:pPr>
      <w:r w:rsidRPr="00D00722">
        <w:rPr>
          <w:rFonts w:ascii="Arial" w:hAnsi="Arial" w:cs="Arial"/>
          <w:b/>
          <w:lang w:val="tr-TR"/>
        </w:rPr>
        <w:t xml:space="preserve">Gelir </w:t>
      </w:r>
      <w:r w:rsidR="007C3C7C" w:rsidRPr="00D00722">
        <w:rPr>
          <w:rFonts w:ascii="Arial" w:hAnsi="Arial" w:cs="Arial"/>
          <w:b/>
          <w:lang w:val="tr-TR"/>
        </w:rPr>
        <w:t xml:space="preserve">vergisi stopajı </w:t>
      </w:r>
    </w:p>
    <w:p w:rsidR="008F51DB" w:rsidRPr="00D00722" w:rsidRDefault="008F51DB" w:rsidP="0090567F">
      <w:pPr>
        <w:ind w:right="-23"/>
        <w:rPr>
          <w:rFonts w:ascii="Arial" w:hAnsi="Arial" w:cs="Arial"/>
          <w:lang w:val="tr-TR"/>
        </w:rPr>
      </w:pPr>
    </w:p>
    <w:p w:rsidR="008F51DB" w:rsidRPr="00D00722" w:rsidRDefault="008F51DB" w:rsidP="0090567F">
      <w:pPr>
        <w:ind w:right="-23"/>
        <w:rPr>
          <w:rFonts w:ascii="Arial" w:hAnsi="Arial" w:cs="Arial"/>
          <w:lang w:val="tr-TR"/>
        </w:rPr>
      </w:pPr>
      <w:r w:rsidRPr="00D00722">
        <w:rPr>
          <w:rFonts w:ascii="Arial" w:hAnsi="Arial" w:cs="Arial"/>
          <w:lang w:val="tr-TR"/>
        </w:rPr>
        <w:t>Kurumlar vergisine ek olarak, dağıtılması durumunda kar payı elde eden ve bu kar paylarını kurum kazancına dahil ederek beyan eden tam mükellef kurumlara ve yabancı şirketlerin Türkiye’deki şubelerine dağıtılanlar hariç olmak üzere kar payları üzerinden ayrıca gelir vergisi stopajı hesaplanması gerekmektedir. Gelir vergisi stopajı 24 Nisan 2003 – 22 Temmuz 2006 tarihleri arasında tüm şirketlerde %10 olarak uygulanmıştır. Bu oran, 22 Temmuz 2006 tarihinden itibaren, 2006/10731 sayılı Bakanlar Kurulu Kararı ile %15 olarak uygulanmaktadır. Ancak yeni Bakanlar Kurulu Kararı ile değiştirilinceye kadar %10 oranı uygulanacaktır. Dağıtılmayıp sermayeye ilave edilen kar payları gelir vergisi stopajına tabi değildir.</w:t>
      </w:r>
    </w:p>
    <w:p w:rsidR="001B6380" w:rsidRPr="00D00722" w:rsidRDefault="001B6380" w:rsidP="001B6380">
      <w:pPr>
        <w:ind w:right="-23"/>
        <w:rPr>
          <w:rFonts w:ascii="Arial" w:hAnsi="Arial" w:cs="Arial"/>
          <w:lang w:val="tr-TR"/>
        </w:rPr>
      </w:pPr>
    </w:p>
    <w:p w:rsidR="00245BD3" w:rsidRPr="00D00722" w:rsidRDefault="00245BD3" w:rsidP="0090567F">
      <w:pPr>
        <w:rPr>
          <w:rFonts w:ascii="Arial" w:hAnsi="Arial" w:cs="Arial"/>
          <w:b/>
          <w:lang w:val="tr-TR"/>
        </w:rPr>
      </w:pPr>
      <w:r w:rsidRPr="00D00722">
        <w:rPr>
          <w:rFonts w:ascii="Arial" w:hAnsi="Arial" w:cs="Arial"/>
          <w:b/>
          <w:lang w:val="tr-TR"/>
        </w:rPr>
        <w:t xml:space="preserve">Ertelenmiş </w:t>
      </w:r>
      <w:r w:rsidR="007C3C7C" w:rsidRPr="00D00722">
        <w:rPr>
          <w:rFonts w:ascii="Arial" w:hAnsi="Arial" w:cs="Arial"/>
          <w:b/>
          <w:lang w:val="tr-TR"/>
        </w:rPr>
        <w:t>vergi</w:t>
      </w:r>
    </w:p>
    <w:p w:rsidR="00245BD3" w:rsidRPr="00D00722" w:rsidRDefault="00245BD3" w:rsidP="0090567F">
      <w:pPr>
        <w:rPr>
          <w:rFonts w:ascii="Arial" w:hAnsi="Arial" w:cs="Arial"/>
          <w:lang w:val="tr-TR"/>
        </w:rPr>
      </w:pPr>
    </w:p>
    <w:p w:rsidR="00BB4CBF" w:rsidRPr="00D00722" w:rsidRDefault="00BB4CBF" w:rsidP="0090567F">
      <w:pPr>
        <w:ind w:right="-23"/>
        <w:rPr>
          <w:rFonts w:ascii="Arial" w:hAnsi="Arial" w:cs="Arial"/>
          <w:lang w:val="tr-TR"/>
        </w:rPr>
      </w:pPr>
      <w:r w:rsidRPr="00D00722">
        <w:rPr>
          <w:rFonts w:ascii="Arial" w:hAnsi="Arial" w:cs="Arial"/>
          <w:lang w:val="tr-TR"/>
        </w:rPr>
        <w:t>Şirket vergiye esa</w:t>
      </w:r>
      <w:r w:rsidR="00B160BD" w:rsidRPr="00D00722">
        <w:rPr>
          <w:rFonts w:ascii="Arial" w:hAnsi="Arial" w:cs="Arial"/>
          <w:lang w:val="tr-TR"/>
        </w:rPr>
        <w:t>s yasal finansal tabloları ile T</w:t>
      </w:r>
      <w:r w:rsidRPr="00D00722">
        <w:rPr>
          <w:rFonts w:ascii="Arial" w:hAnsi="Arial" w:cs="Arial"/>
          <w:lang w:val="tr-TR"/>
        </w:rPr>
        <w:t>FRS’ye göre hazırlanmış finansal tabloları arasındaki farklılıklardan kaynaklanan geçici zamanlama farkları için ertelenmiş vergi varlığını ve yükümlülüğünü muhasebeleştirmektedir. Söz konusu farklılıklar genellikle bazı gelir ve gider kalemleri</w:t>
      </w:r>
      <w:r w:rsidR="00B160BD" w:rsidRPr="00D00722">
        <w:rPr>
          <w:rFonts w:ascii="Arial" w:hAnsi="Arial" w:cs="Arial"/>
          <w:lang w:val="tr-TR"/>
        </w:rPr>
        <w:t>nin vergiye esas tutarları ile T</w:t>
      </w:r>
      <w:r w:rsidRPr="00D00722">
        <w:rPr>
          <w:rFonts w:ascii="Arial" w:hAnsi="Arial" w:cs="Arial"/>
          <w:lang w:val="tr-TR"/>
        </w:rPr>
        <w:t>FRS’ye göre hazırlanan finansal tablolarda farklı dönemlerde yer almasından kaynaklanmakta olup aşağıda açıklanmaktadır. Ertelenmiş vergi varlığı ve yükümlülüğünün hesaplanmasında kull</w:t>
      </w:r>
      <w:r w:rsidR="00E253EC" w:rsidRPr="00D00722">
        <w:rPr>
          <w:rFonts w:ascii="Arial" w:hAnsi="Arial" w:cs="Arial"/>
          <w:lang w:val="tr-TR"/>
        </w:rPr>
        <w:t>anılan vergi oranı %20’dir (</w:t>
      </w:r>
      <w:r w:rsidR="005713F9" w:rsidRPr="00D00722">
        <w:rPr>
          <w:rFonts w:ascii="Arial" w:hAnsi="Arial" w:cs="Arial"/>
          <w:lang w:val="tr-TR"/>
        </w:rPr>
        <w:t>201</w:t>
      </w:r>
      <w:r w:rsidR="00CE3D52" w:rsidRPr="00D00722">
        <w:rPr>
          <w:rFonts w:ascii="Arial" w:hAnsi="Arial" w:cs="Arial"/>
          <w:lang w:val="tr-TR"/>
        </w:rPr>
        <w:t>3</w:t>
      </w:r>
      <w:r w:rsidR="00DC1745" w:rsidRPr="00D00722">
        <w:rPr>
          <w:rFonts w:ascii="Arial" w:hAnsi="Arial" w:cs="Arial"/>
          <w:lang w:val="tr-TR"/>
        </w:rPr>
        <w:t xml:space="preserve"> –</w:t>
      </w:r>
      <w:r w:rsidRPr="00D00722">
        <w:rPr>
          <w:rFonts w:ascii="Arial" w:hAnsi="Arial" w:cs="Arial"/>
          <w:lang w:val="tr-TR"/>
        </w:rPr>
        <w:t xml:space="preserve"> %20)</w:t>
      </w:r>
      <w:r w:rsidR="00D11675" w:rsidRPr="00D00722">
        <w:rPr>
          <w:rFonts w:ascii="Arial" w:hAnsi="Arial" w:cs="Arial"/>
          <w:lang w:val="tr-TR"/>
        </w:rPr>
        <w:t>.</w:t>
      </w:r>
    </w:p>
    <w:p w:rsidR="00E83219" w:rsidRPr="00D00722" w:rsidRDefault="00E83219">
      <w:pPr>
        <w:rPr>
          <w:rFonts w:ascii="Arial" w:hAnsi="Arial" w:cs="Arial"/>
          <w:lang w:val="tr-TR"/>
        </w:rPr>
      </w:pPr>
    </w:p>
    <w:p w:rsidR="005713F9" w:rsidRPr="00D00722" w:rsidRDefault="005713F9" w:rsidP="0090567F">
      <w:pPr>
        <w:rPr>
          <w:rFonts w:ascii="Arial" w:hAnsi="Arial" w:cs="Arial"/>
          <w:lang w:val="tr-TR"/>
        </w:rPr>
      </w:pPr>
    </w:p>
    <w:p w:rsidR="005713F9" w:rsidRPr="00D00722" w:rsidRDefault="005713F9" w:rsidP="0090567F">
      <w:pPr>
        <w:rPr>
          <w:rFonts w:ascii="Arial" w:hAnsi="Arial" w:cs="Arial"/>
          <w:lang w:val="tr-TR"/>
        </w:rPr>
      </w:pPr>
    </w:p>
    <w:p w:rsidR="005713F9" w:rsidRPr="00D00722" w:rsidRDefault="005713F9" w:rsidP="0090567F">
      <w:pPr>
        <w:rPr>
          <w:rFonts w:ascii="Arial" w:hAnsi="Arial" w:cs="Arial"/>
          <w:lang w:val="tr-TR"/>
        </w:rPr>
      </w:pPr>
    </w:p>
    <w:p w:rsidR="003B42C2" w:rsidRPr="00D00722" w:rsidRDefault="003B42C2">
      <w:pPr>
        <w:rPr>
          <w:rFonts w:ascii="Arial" w:hAnsi="Arial" w:cs="Arial"/>
          <w:lang w:val="tr-TR"/>
        </w:rPr>
      </w:pPr>
      <w:r w:rsidRPr="00D00722">
        <w:rPr>
          <w:rFonts w:ascii="Arial" w:hAnsi="Arial" w:cs="Arial"/>
          <w:lang w:val="tr-TR"/>
        </w:rPr>
        <w:br w:type="page"/>
      </w:r>
    </w:p>
    <w:p w:rsidR="005713F9" w:rsidRPr="00D00722" w:rsidRDefault="005713F9" w:rsidP="005713F9">
      <w:pPr>
        <w:ind w:left="567" w:hanging="567"/>
        <w:rPr>
          <w:rFonts w:ascii="Arial" w:hAnsi="Arial" w:cs="Arial"/>
          <w:b/>
          <w:lang w:val="tr-TR"/>
        </w:rPr>
      </w:pPr>
      <w:r w:rsidRPr="00D00722">
        <w:rPr>
          <w:rFonts w:ascii="Arial" w:hAnsi="Arial" w:cs="Arial"/>
          <w:b/>
          <w:lang w:val="tr-TR"/>
        </w:rPr>
        <w:t>21.</w:t>
      </w:r>
      <w:r w:rsidRPr="00D00722">
        <w:rPr>
          <w:rFonts w:ascii="Arial" w:hAnsi="Arial" w:cs="Arial"/>
          <w:b/>
          <w:lang w:val="tr-TR"/>
        </w:rPr>
        <w:tab/>
        <w:t>Vergi varlık ve yükümlülükleri (ertelenmiş varlık ve yükümlülükler dahil) (devamı)</w:t>
      </w:r>
    </w:p>
    <w:p w:rsidR="005713F9" w:rsidRPr="00D00722" w:rsidRDefault="005713F9" w:rsidP="0090567F">
      <w:pPr>
        <w:rPr>
          <w:rFonts w:ascii="Arial" w:hAnsi="Arial" w:cs="Arial"/>
          <w:lang w:val="tr-TR"/>
        </w:rPr>
      </w:pPr>
    </w:p>
    <w:p w:rsidR="00245BD3" w:rsidRPr="00D00722" w:rsidRDefault="00245BD3" w:rsidP="0090567F">
      <w:pPr>
        <w:rPr>
          <w:rFonts w:ascii="Arial" w:hAnsi="Arial" w:cs="Arial"/>
          <w:lang w:val="tr-TR"/>
        </w:rPr>
      </w:pPr>
      <w:r w:rsidRPr="00D00722">
        <w:rPr>
          <w:rFonts w:ascii="Arial" w:hAnsi="Arial" w:cs="Arial"/>
          <w:lang w:val="tr-TR"/>
        </w:rPr>
        <w:t>Ertelenmiş vergi</w:t>
      </w:r>
      <w:r w:rsidR="004713B2" w:rsidRPr="00D00722">
        <w:rPr>
          <w:rFonts w:ascii="Arial" w:hAnsi="Arial" w:cs="Arial"/>
          <w:lang w:val="tr-TR"/>
        </w:rPr>
        <w:t xml:space="preserve"> </w:t>
      </w:r>
      <w:r w:rsidR="00F516C1" w:rsidRPr="00D00722">
        <w:rPr>
          <w:rFonts w:ascii="Arial" w:hAnsi="Arial" w:cs="Arial"/>
          <w:lang w:val="tr-TR"/>
        </w:rPr>
        <w:t>varlıkları ve yükümlülükleri aşağıda belirtilmiştir:</w:t>
      </w:r>
    </w:p>
    <w:p w:rsidR="00D01AC1" w:rsidRPr="00D00722" w:rsidRDefault="00D01AC1" w:rsidP="0090567F">
      <w:pPr>
        <w:ind w:right="238"/>
        <w:rPr>
          <w:rFonts w:ascii="Arial" w:hAnsi="Arial" w:cs="Arial"/>
          <w:b/>
          <w:lang w:val="tr-TR"/>
        </w:rPr>
      </w:pPr>
    </w:p>
    <w:p w:rsidR="00245BD3" w:rsidRPr="00D00722" w:rsidRDefault="00D01AC1" w:rsidP="0090567F">
      <w:pPr>
        <w:ind w:right="238"/>
        <w:rPr>
          <w:rFonts w:ascii="Arial" w:hAnsi="Arial" w:cs="Arial"/>
          <w:b/>
          <w:lang w:val="tr-TR"/>
        </w:rPr>
      </w:pPr>
      <w:r w:rsidRPr="00D00722">
        <w:rPr>
          <w:rFonts w:ascii="Arial" w:hAnsi="Arial" w:cs="Arial"/>
          <w:b/>
          <w:lang w:val="tr-TR"/>
        </w:rPr>
        <w:t>Ertelenmiş vergi varlığı</w:t>
      </w:r>
    </w:p>
    <w:p w:rsidR="00D01AC1" w:rsidRPr="00D00722" w:rsidRDefault="00D01AC1" w:rsidP="0090567F">
      <w:pPr>
        <w:ind w:right="238"/>
        <w:rPr>
          <w:rFonts w:ascii="Arial" w:hAnsi="Arial" w:cs="Arial"/>
          <w:lang w:val="tr-TR"/>
        </w:rPr>
      </w:pPr>
    </w:p>
    <w:tbl>
      <w:tblPr>
        <w:tblW w:w="9057" w:type="dxa"/>
        <w:tblInd w:w="108" w:type="dxa"/>
        <w:tblLayout w:type="fixed"/>
        <w:tblLook w:val="01E0"/>
      </w:tblPr>
      <w:tblGrid>
        <w:gridCol w:w="5670"/>
        <w:gridCol w:w="1701"/>
        <w:gridCol w:w="1686"/>
      </w:tblGrid>
      <w:tr w:rsidR="000B2259" w:rsidRPr="00D00722" w:rsidTr="000B2259">
        <w:tc>
          <w:tcPr>
            <w:tcW w:w="5670" w:type="dxa"/>
            <w:tcBorders>
              <w:top w:val="single" w:sz="4" w:space="0" w:color="auto"/>
              <w:bottom w:val="single" w:sz="4" w:space="0" w:color="auto"/>
            </w:tcBorders>
          </w:tcPr>
          <w:p w:rsidR="000B2259" w:rsidRPr="00D00722" w:rsidRDefault="000B2259" w:rsidP="00AE0484">
            <w:pPr>
              <w:autoSpaceDE w:val="0"/>
              <w:autoSpaceDN w:val="0"/>
              <w:adjustRightInd w:val="0"/>
              <w:jc w:val="both"/>
              <w:rPr>
                <w:rFonts w:ascii="Arial" w:hAnsi="Arial" w:cs="Arial"/>
                <w:lang w:val="tr-TR"/>
              </w:rPr>
            </w:pPr>
          </w:p>
        </w:tc>
        <w:tc>
          <w:tcPr>
            <w:tcW w:w="1701" w:type="dxa"/>
            <w:tcBorders>
              <w:top w:val="single" w:sz="4" w:space="0" w:color="auto"/>
              <w:bottom w:val="single" w:sz="4" w:space="0" w:color="auto"/>
            </w:tcBorders>
            <w:vAlign w:val="bottom"/>
          </w:tcPr>
          <w:p w:rsidR="000B2259" w:rsidRPr="00D00722" w:rsidRDefault="000B2259" w:rsidP="000B2259">
            <w:pPr>
              <w:autoSpaceDE w:val="0"/>
              <w:autoSpaceDN w:val="0"/>
              <w:adjustRightInd w:val="0"/>
              <w:jc w:val="right"/>
              <w:rPr>
                <w:rFonts w:ascii="Arial" w:hAnsi="Arial" w:cs="Arial"/>
                <w:b/>
                <w:lang w:val="tr-TR"/>
              </w:rPr>
            </w:pPr>
            <w:r w:rsidRPr="00D00722">
              <w:rPr>
                <w:rFonts w:ascii="Arial" w:hAnsi="Arial" w:cs="Arial"/>
                <w:b/>
                <w:lang w:val="tr-TR"/>
              </w:rPr>
              <w:t>31 Mart 2014</w:t>
            </w:r>
          </w:p>
        </w:tc>
        <w:tc>
          <w:tcPr>
            <w:tcW w:w="1686" w:type="dxa"/>
            <w:tcBorders>
              <w:top w:val="single" w:sz="4" w:space="0" w:color="auto"/>
              <w:bottom w:val="single" w:sz="4" w:space="0" w:color="auto"/>
            </w:tcBorders>
            <w:vAlign w:val="bottom"/>
          </w:tcPr>
          <w:p w:rsidR="000B2259" w:rsidRPr="00D00722" w:rsidRDefault="000B2259" w:rsidP="000B2259">
            <w:pPr>
              <w:autoSpaceDE w:val="0"/>
              <w:autoSpaceDN w:val="0"/>
              <w:adjustRightInd w:val="0"/>
              <w:jc w:val="right"/>
              <w:rPr>
                <w:rFonts w:ascii="Arial" w:hAnsi="Arial" w:cs="Arial"/>
                <w:lang w:val="tr-TR"/>
              </w:rPr>
            </w:pPr>
            <w:r w:rsidRPr="00D00722">
              <w:rPr>
                <w:rFonts w:ascii="Arial" w:hAnsi="Arial" w:cs="Arial"/>
                <w:lang w:val="tr-TR"/>
              </w:rPr>
              <w:t>31 Aralık 2013</w:t>
            </w:r>
          </w:p>
        </w:tc>
      </w:tr>
      <w:tr w:rsidR="000B2259" w:rsidRPr="00D00722" w:rsidTr="000B2259">
        <w:tc>
          <w:tcPr>
            <w:tcW w:w="5670" w:type="dxa"/>
            <w:tcBorders>
              <w:top w:val="single" w:sz="4" w:space="0" w:color="auto"/>
            </w:tcBorders>
          </w:tcPr>
          <w:p w:rsidR="000B2259" w:rsidRPr="00D00722" w:rsidRDefault="000B2259" w:rsidP="00AE0484">
            <w:pPr>
              <w:autoSpaceDE w:val="0"/>
              <w:autoSpaceDN w:val="0"/>
              <w:adjustRightInd w:val="0"/>
              <w:jc w:val="both"/>
              <w:rPr>
                <w:rFonts w:ascii="Arial" w:hAnsi="Arial" w:cs="Arial"/>
                <w:lang w:val="tr-TR"/>
              </w:rPr>
            </w:pPr>
          </w:p>
        </w:tc>
        <w:tc>
          <w:tcPr>
            <w:tcW w:w="1701" w:type="dxa"/>
            <w:tcBorders>
              <w:top w:val="single" w:sz="4" w:space="0" w:color="auto"/>
            </w:tcBorders>
            <w:vAlign w:val="bottom"/>
          </w:tcPr>
          <w:p w:rsidR="000B2259" w:rsidRPr="00D00722" w:rsidRDefault="000B2259" w:rsidP="00D26B4C">
            <w:pPr>
              <w:autoSpaceDE w:val="0"/>
              <w:autoSpaceDN w:val="0"/>
              <w:adjustRightInd w:val="0"/>
              <w:jc w:val="right"/>
              <w:rPr>
                <w:rFonts w:ascii="Arial" w:hAnsi="Arial" w:cs="Arial"/>
                <w:b/>
                <w:lang w:val="tr-TR"/>
              </w:rPr>
            </w:pPr>
          </w:p>
        </w:tc>
        <w:tc>
          <w:tcPr>
            <w:tcW w:w="1686" w:type="dxa"/>
            <w:tcBorders>
              <w:top w:val="single" w:sz="4" w:space="0" w:color="auto"/>
            </w:tcBorders>
            <w:vAlign w:val="bottom"/>
          </w:tcPr>
          <w:p w:rsidR="000B2259" w:rsidRPr="00D00722" w:rsidRDefault="000B2259" w:rsidP="000B2259">
            <w:pPr>
              <w:autoSpaceDE w:val="0"/>
              <w:autoSpaceDN w:val="0"/>
              <w:adjustRightInd w:val="0"/>
              <w:jc w:val="right"/>
              <w:rPr>
                <w:rFonts w:ascii="Arial" w:hAnsi="Arial" w:cs="Arial"/>
                <w:lang w:val="tr-TR"/>
              </w:rPr>
            </w:pPr>
          </w:p>
        </w:tc>
      </w:tr>
      <w:tr w:rsidR="000B2259" w:rsidRPr="00D00722" w:rsidTr="000B2259">
        <w:tc>
          <w:tcPr>
            <w:tcW w:w="5670" w:type="dxa"/>
          </w:tcPr>
          <w:p w:rsidR="000B2259" w:rsidRPr="00D00722" w:rsidRDefault="000B2259" w:rsidP="00AE0484">
            <w:pPr>
              <w:autoSpaceDE w:val="0"/>
              <w:autoSpaceDN w:val="0"/>
              <w:adjustRightInd w:val="0"/>
              <w:jc w:val="both"/>
              <w:rPr>
                <w:rFonts w:ascii="Arial" w:hAnsi="Arial" w:cs="Arial"/>
                <w:lang w:val="tr-TR"/>
              </w:rPr>
            </w:pPr>
            <w:r w:rsidRPr="00D00722">
              <w:rPr>
                <w:rFonts w:ascii="Arial" w:hAnsi="Arial" w:cs="Arial"/>
                <w:lang w:val="tr-TR"/>
              </w:rPr>
              <w:t>Devreden mali zarar</w:t>
            </w:r>
          </w:p>
        </w:tc>
        <w:tc>
          <w:tcPr>
            <w:tcW w:w="1701" w:type="dxa"/>
            <w:vAlign w:val="bottom"/>
          </w:tcPr>
          <w:p w:rsidR="000B2259" w:rsidRPr="00D00722" w:rsidRDefault="00033B7C" w:rsidP="00D26B4C">
            <w:pPr>
              <w:autoSpaceDE w:val="0"/>
              <w:autoSpaceDN w:val="0"/>
              <w:adjustRightInd w:val="0"/>
              <w:jc w:val="right"/>
              <w:rPr>
                <w:rFonts w:ascii="Arial" w:hAnsi="Arial" w:cs="Arial"/>
                <w:b/>
                <w:lang w:val="tr-TR"/>
              </w:rPr>
            </w:pPr>
            <w:r w:rsidRPr="00D00722">
              <w:rPr>
                <w:rFonts w:ascii="Arial" w:hAnsi="Arial" w:cs="Arial"/>
                <w:b/>
                <w:lang w:val="tr-TR"/>
              </w:rPr>
              <w:t>332.431</w:t>
            </w:r>
          </w:p>
        </w:tc>
        <w:tc>
          <w:tcPr>
            <w:tcW w:w="1686" w:type="dxa"/>
            <w:vAlign w:val="bottom"/>
          </w:tcPr>
          <w:p w:rsidR="000B2259" w:rsidRPr="00D00722" w:rsidRDefault="000B2259" w:rsidP="000B2259">
            <w:pPr>
              <w:autoSpaceDE w:val="0"/>
              <w:autoSpaceDN w:val="0"/>
              <w:adjustRightInd w:val="0"/>
              <w:jc w:val="right"/>
              <w:rPr>
                <w:rFonts w:ascii="Arial" w:hAnsi="Arial" w:cs="Arial"/>
                <w:lang w:val="tr-TR"/>
              </w:rPr>
            </w:pPr>
            <w:r w:rsidRPr="00D00722">
              <w:rPr>
                <w:rFonts w:ascii="Arial" w:hAnsi="Arial" w:cs="Arial"/>
                <w:lang w:val="tr-TR"/>
              </w:rPr>
              <w:t>278.212</w:t>
            </w:r>
          </w:p>
        </w:tc>
      </w:tr>
      <w:tr w:rsidR="000B2259" w:rsidRPr="00D00722" w:rsidTr="000B2259">
        <w:tc>
          <w:tcPr>
            <w:tcW w:w="5670" w:type="dxa"/>
          </w:tcPr>
          <w:p w:rsidR="000B2259" w:rsidRPr="00D00722" w:rsidRDefault="000B2259" w:rsidP="00AE0484">
            <w:pPr>
              <w:autoSpaceDE w:val="0"/>
              <w:autoSpaceDN w:val="0"/>
              <w:adjustRightInd w:val="0"/>
              <w:jc w:val="both"/>
              <w:rPr>
                <w:rFonts w:ascii="Arial" w:hAnsi="Arial" w:cs="Arial"/>
                <w:lang w:val="tr-TR"/>
              </w:rPr>
            </w:pPr>
            <w:r w:rsidRPr="00D00722">
              <w:rPr>
                <w:rFonts w:ascii="Arial" w:hAnsi="Arial" w:cs="Arial"/>
                <w:lang w:val="tr-TR"/>
              </w:rPr>
              <w:t>Kıdem tazminatı karşılığı</w:t>
            </w:r>
          </w:p>
        </w:tc>
        <w:tc>
          <w:tcPr>
            <w:tcW w:w="1701" w:type="dxa"/>
            <w:vAlign w:val="bottom"/>
          </w:tcPr>
          <w:p w:rsidR="000B2259" w:rsidRPr="00D00722" w:rsidRDefault="00033B7C" w:rsidP="00D26B4C">
            <w:pPr>
              <w:autoSpaceDE w:val="0"/>
              <w:autoSpaceDN w:val="0"/>
              <w:adjustRightInd w:val="0"/>
              <w:jc w:val="right"/>
              <w:rPr>
                <w:rFonts w:ascii="Arial" w:hAnsi="Arial" w:cs="Arial"/>
                <w:b/>
                <w:lang w:val="tr-TR"/>
              </w:rPr>
            </w:pPr>
            <w:r w:rsidRPr="00D00722">
              <w:rPr>
                <w:rFonts w:ascii="Arial" w:hAnsi="Arial" w:cs="Arial"/>
                <w:b/>
                <w:lang w:val="tr-TR"/>
              </w:rPr>
              <w:t>18.124</w:t>
            </w:r>
          </w:p>
        </w:tc>
        <w:tc>
          <w:tcPr>
            <w:tcW w:w="1686" w:type="dxa"/>
            <w:vAlign w:val="bottom"/>
          </w:tcPr>
          <w:p w:rsidR="000B2259" w:rsidRPr="00D00722" w:rsidRDefault="000B2259" w:rsidP="000B2259">
            <w:pPr>
              <w:autoSpaceDE w:val="0"/>
              <w:autoSpaceDN w:val="0"/>
              <w:adjustRightInd w:val="0"/>
              <w:jc w:val="right"/>
              <w:rPr>
                <w:rFonts w:ascii="Arial" w:hAnsi="Arial" w:cs="Arial"/>
                <w:lang w:val="tr-TR"/>
              </w:rPr>
            </w:pPr>
            <w:r w:rsidRPr="00D00722">
              <w:rPr>
                <w:rFonts w:ascii="Arial" w:hAnsi="Arial" w:cs="Arial"/>
                <w:lang w:val="tr-TR"/>
              </w:rPr>
              <w:t>15.399</w:t>
            </w:r>
          </w:p>
        </w:tc>
      </w:tr>
      <w:tr w:rsidR="000B2259" w:rsidRPr="00D00722" w:rsidTr="000B2259">
        <w:tc>
          <w:tcPr>
            <w:tcW w:w="5670" w:type="dxa"/>
          </w:tcPr>
          <w:p w:rsidR="000B2259" w:rsidRPr="00D00722" w:rsidRDefault="000B2259" w:rsidP="00AE0484">
            <w:pPr>
              <w:autoSpaceDE w:val="0"/>
              <w:autoSpaceDN w:val="0"/>
              <w:adjustRightInd w:val="0"/>
              <w:jc w:val="both"/>
              <w:rPr>
                <w:rFonts w:ascii="Arial" w:hAnsi="Arial" w:cs="Arial"/>
                <w:lang w:val="tr-TR"/>
              </w:rPr>
            </w:pPr>
            <w:r w:rsidRPr="00D00722">
              <w:rPr>
                <w:rFonts w:ascii="Arial" w:hAnsi="Arial" w:cs="Arial"/>
                <w:lang w:val="tr-TR"/>
              </w:rPr>
              <w:t>Kullanılmamış izin karşılığı</w:t>
            </w:r>
          </w:p>
        </w:tc>
        <w:tc>
          <w:tcPr>
            <w:tcW w:w="1701" w:type="dxa"/>
            <w:vAlign w:val="bottom"/>
          </w:tcPr>
          <w:p w:rsidR="000B2259" w:rsidRPr="00D00722" w:rsidRDefault="00033B7C" w:rsidP="00D26B4C">
            <w:pPr>
              <w:autoSpaceDE w:val="0"/>
              <w:autoSpaceDN w:val="0"/>
              <w:adjustRightInd w:val="0"/>
              <w:jc w:val="right"/>
              <w:rPr>
                <w:rFonts w:ascii="Arial" w:hAnsi="Arial" w:cs="Arial"/>
                <w:b/>
                <w:lang w:val="tr-TR"/>
              </w:rPr>
            </w:pPr>
            <w:r w:rsidRPr="00D00722">
              <w:rPr>
                <w:rFonts w:ascii="Arial" w:hAnsi="Arial" w:cs="Arial"/>
                <w:b/>
                <w:lang w:val="tr-TR"/>
              </w:rPr>
              <w:t>11.371</w:t>
            </w:r>
          </w:p>
        </w:tc>
        <w:tc>
          <w:tcPr>
            <w:tcW w:w="1686" w:type="dxa"/>
            <w:vAlign w:val="bottom"/>
          </w:tcPr>
          <w:p w:rsidR="000B2259" w:rsidRPr="00D00722" w:rsidRDefault="000B2259" w:rsidP="000B2259">
            <w:pPr>
              <w:autoSpaceDE w:val="0"/>
              <w:autoSpaceDN w:val="0"/>
              <w:adjustRightInd w:val="0"/>
              <w:jc w:val="right"/>
              <w:rPr>
                <w:rFonts w:ascii="Arial" w:hAnsi="Arial" w:cs="Arial"/>
                <w:lang w:val="tr-TR"/>
              </w:rPr>
            </w:pPr>
            <w:r w:rsidRPr="00D00722">
              <w:rPr>
                <w:rFonts w:ascii="Arial" w:hAnsi="Arial" w:cs="Arial"/>
                <w:lang w:val="tr-TR"/>
              </w:rPr>
              <w:t>10.814</w:t>
            </w:r>
          </w:p>
        </w:tc>
      </w:tr>
      <w:tr w:rsidR="000B2259" w:rsidRPr="00D00722" w:rsidTr="000B2259">
        <w:tc>
          <w:tcPr>
            <w:tcW w:w="5670" w:type="dxa"/>
          </w:tcPr>
          <w:p w:rsidR="000B2259" w:rsidRPr="00D00722" w:rsidRDefault="000B2259" w:rsidP="00AE0484">
            <w:pPr>
              <w:autoSpaceDE w:val="0"/>
              <w:autoSpaceDN w:val="0"/>
              <w:adjustRightInd w:val="0"/>
              <w:jc w:val="both"/>
              <w:rPr>
                <w:rFonts w:ascii="Arial" w:hAnsi="Arial" w:cs="Arial"/>
                <w:lang w:val="tr-TR"/>
              </w:rPr>
            </w:pPr>
            <w:r w:rsidRPr="00D00722">
              <w:rPr>
                <w:rFonts w:ascii="Arial" w:hAnsi="Arial" w:cs="Arial"/>
                <w:lang w:val="tr-TR"/>
              </w:rPr>
              <w:t>Finansal varlık değerleme farkı</w:t>
            </w:r>
          </w:p>
        </w:tc>
        <w:tc>
          <w:tcPr>
            <w:tcW w:w="1701" w:type="dxa"/>
            <w:vAlign w:val="bottom"/>
          </w:tcPr>
          <w:p w:rsidR="000B2259" w:rsidRPr="00D00722" w:rsidRDefault="00B12161" w:rsidP="00B12161">
            <w:pPr>
              <w:autoSpaceDE w:val="0"/>
              <w:autoSpaceDN w:val="0"/>
              <w:adjustRightInd w:val="0"/>
              <w:jc w:val="right"/>
              <w:rPr>
                <w:rFonts w:ascii="Arial" w:hAnsi="Arial" w:cs="Arial"/>
                <w:b/>
                <w:lang w:val="tr-TR"/>
              </w:rPr>
            </w:pPr>
            <w:r w:rsidRPr="00D00722">
              <w:rPr>
                <w:rFonts w:ascii="Arial" w:hAnsi="Arial" w:cs="Arial"/>
                <w:b/>
                <w:lang w:val="tr-TR"/>
              </w:rPr>
              <w:t>2</w:t>
            </w:r>
          </w:p>
        </w:tc>
        <w:tc>
          <w:tcPr>
            <w:tcW w:w="1686" w:type="dxa"/>
            <w:vAlign w:val="bottom"/>
          </w:tcPr>
          <w:p w:rsidR="000B2259" w:rsidRPr="00D00722" w:rsidRDefault="000B2259" w:rsidP="000B2259">
            <w:pPr>
              <w:autoSpaceDE w:val="0"/>
              <w:autoSpaceDN w:val="0"/>
              <w:adjustRightInd w:val="0"/>
              <w:jc w:val="right"/>
              <w:rPr>
                <w:rFonts w:ascii="Arial" w:hAnsi="Arial" w:cs="Arial"/>
                <w:lang w:val="tr-TR"/>
              </w:rPr>
            </w:pPr>
            <w:r w:rsidRPr="00D00722">
              <w:rPr>
                <w:rFonts w:ascii="Arial" w:hAnsi="Arial" w:cs="Arial"/>
                <w:lang w:val="tr-TR"/>
              </w:rPr>
              <w:t>(4)</w:t>
            </w:r>
          </w:p>
        </w:tc>
      </w:tr>
      <w:tr w:rsidR="000B2259" w:rsidRPr="00D00722" w:rsidTr="000B2259">
        <w:tc>
          <w:tcPr>
            <w:tcW w:w="5670" w:type="dxa"/>
          </w:tcPr>
          <w:p w:rsidR="000B2259" w:rsidRPr="00D00722" w:rsidRDefault="000B2259" w:rsidP="00AE0484">
            <w:pPr>
              <w:autoSpaceDE w:val="0"/>
              <w:autoSpaceDN w:val="0"/>
              <w:adjustRightInd w:val="0"/>
              <w:jc w:val="both"/>
              <w:rPr>
                <w:rFonts w:ascii="Arial" w:hAnsi="Arial" w:cs="Arial"/>
                <w:lang w:val="tr-TR"/>
              </w:rPr>
            </w:pPr>
            <w:r w:rsidRPr="00D00722">
              <w:rPr>
                <w:rFonts w:ascii="Arial" w:hAnsi="Arial" w:cs="Arial"/>
                <w:lang w:val="tr-TR"/>
              </w:rPr>
              <w:t>Maddi duran varlıklar ekonomik ömür farkları</w:t>
            </w:r>
          </w:p>
        </w:tc>
        <w:tc>
          <w:tcPr>
            <w:tcW w:w="1701" w:type="dxa"/>
            <w:vAlign w:val="bottom"/>
          </w:tcPr>
          <w:p w:rsidR="000B2259" w:rsidRPr="00D00722" w:rsidRDefault="00033B7C" w:rsidP="00D26B4C">
            <w:pPr>
              <w:autoSpaceDE w:val="0"/>
              <w:autoSpaceDN w:val="0"/>
              <w:adjustRightInd w:val="0"/>
              <w:jc w:val="right"/>
              <w:rPr>
                <w:rFonts w:ascii="Arial" w:hAnsi="Arial" w:cs="Arial"/>
                <w:b/>
                <w:lang w:val="tr-TR"/>
              </w:rPr>
            </w:pPr>
            <w:r w:rsidRPr="00D00722">
              <w:rPr>
                <w:rFonts w:ascii="Arial" w:hAnsi="Arial" w:cs="Arial"/>
                <w:b/>
                <w:lang w:val="tr-TR"/>
              </w:rPr>
              <w:t>(3.674)</w:t>
            </w:r>
          </w:p>
        </w:tc>
        <w:tc>
          <w:tcPr>
            <w:tcW w:w="1686" w:type="dxa"/>
            <w:vAlign w:val="bottom"/>
          </w:tcPr>
          <w:p w:rsidR="000B2259" w:rsidRPr="00D00722" w:rsidRDefault="000B2259" w:rsidP="000B2259">
            <w:pPr>
              <w:autoSpaceDE w:val="0"/>
              <w:autoSpaceDN w:val="0"/>
              <w:adjustRightInd w:val="0"/>
              <w:jc w:val="right"/>
              <w:rPr>
                <w:rFonts w:ascii="Arial" w:hAnsi="Arial" w:cs="Arial"/>
                <w:lang w:val="tr-TR"/>
              </w:rPr>
            </w:pPr>
            <w:r w:rsidRPr="00D00722">
              <w:rPr>
                <w:rFonts w:ascii="Arial" w:hAnsi="Arial" w:cs="Arial"/>
                <w:lang w:val="tr-TR"/>
              </w:rPr>
              <w:t>(3.969)</w:t>
            </w:r>
          </w:p>
        </w:tc>
      </w:tr>
      <w:tr w:rsidR="000B2259" w:rsidRPr="00D00722" w:rsidTr="000B2259">
        <w:tc>
          <w:tcPr>
            <w:tcW w:w="5670" w:type="dxa"/>
            <w:tcBorders>
              <w:bottom w:val="single" w:sz="4" w:space="0" w:color="auto"/>
            </w:tcBorders>
          </w:tcPr>
          <w:p w:rsidR="000B2259" w:rsidRPr="00D00722" w:rsidRDefault="000B2259" w:rsidP="00AE0484">
            <w:pPr>
              <w:autoSpaceDE w:val="0"/>
              <w:autoSpaceDN w:val="0"/>
              <w:adjustRightInd w:val="0"/>
              <w:jc w:val="both"/>
              <w:rPr>
                <w:rFonts w:ascii="Arial" w:hAnsi="Arial" w:cs="Arial"/>
                <w:lang w:val="tr-TR"/>
              </w:rPr>
            </w:pPr>
          </w:p>
        </w:tc>
        <w:tc>
          <w:tcPr>
            <w:tcW w:w="1701" w:type="dxa"/>
            <w:tcBorders>
              <w:bottom w:val="single" w:sz="4" w:space="0" w:color="auto"/>
            </w:tcBorders>
            <w:vAlign w:val="bottom"/>
          </w:tcPr>
          <w:p w:rsidR="000B2259" w:rsidRPr="00D00722" w:rsidRDefault="000B2259" w:rsidP="00D26B4C">
            <w:pPr>
              <w:autoSpaceDE w:val="0"/>
              <w:autoSpaceDN w:val="0"/>
              <w:adjustRightInd w:val="0"/>
              <w:jc w:val="right"/>
              <w:rPr>
                <w:rFonts w:ascii="Arial" w:hAnsi="Arial" w:cs="Arial"/>
                <w:lang w:val="tr-TR"/>
              </w:rPr>
            </w:pPr>
          </w:p>
        </w:tc>
        <w:tc>
          <w:tcPr>
            <w:tcW w:w="1686" w:type="dxa"/>
            <w:tcBorders>
              <w:bottom w:val="single" w:sz="4" w:space="0" w:color="auto"/>
            </w:tcBorders>
            <w:vAlign w:val="bottom"/>
          </w:tcPr>
          <w:p w:rsidR="000B2259" w:rsidRPr="00D00722" w:rsidRDefault="000B2259" w:rsidP="000B2259">
            <w:pPr>
              <w:autoSpaceDE w:val="0"/>
              <w:autoSpaceDN w:val="0"/>
              <w:adjustRightInd w:val="0"/>
              <w:jc w:val="right"/>
              <w:rPr>
                <w:rFonts w:ascii="Arial" w:hAnsi="Arial" w:cs="Arial"/>
                <w:lang w:val="tr-TR"/>
              </w:rPr>
            </w:pPr>
          </w:p>
        </w:tc>
      </w:tr>
      <w:tr w:rsidR="000B2259" w:rsidRPr="00D00722" w:rsidTr="000B2259">
        <w:tc>
          <w:tcPr>
            <w:tcW w:w="5670" w:type="dxa"/>
            <w:tcBorders>
              <w:top w:val="single" w:sz="4" w:space="0" w:color="auto"/>
              <w:bottom w:val="double" w:sz="4" w:space="0" w:color="auto"/>
            </w:tcBorders>
          </w:tcPr>
          <w:p w:rsidR="000B2259" w:rsidRPr="00D00722" w:rsidRDefault="000B2259" w:rsidP="00AE0484">
            <w:pPr>
              <w:autoSpaceDE w:val="0"/>
              <w:autoSpaceDN w:val="0"/>
              <w:adjustRightInd w:val="0"/>
              <w:jc w:val="both"/>
              <w:rPr>
                <w:rFonts w:ascii="Arial" w:hAnsi="Arial" w:cs="Arial"/>
                <w:spacing w:val="-3"/>
                <w:lang w:val="tr-TR"/>
              </w:rPr>
            </w:pPr>
          </w:p>
        </w:tc>
        <w:tc>
          <w:tcPr>
            <w:tcW w:w="1701" w:type="dxa"/>
            <w:tcBorders>
              <w:top w:val="single" w:sz="4" w:space="0" w:color="auto"/>
              <w:bottom w:val="double" w:sz="4" w:space="0" w:color="auto"/>
            </w:tcBorders>
            <w:vAlign w:val="bottom"/>
          </w:tcPr>
          <w:p w:rsidR="000B2259" w:rsidRPr="00D00722" w:rsidRDefault="00033B7C" w:rsidP="00D26B4C">
            <w:pPr>
              <w:autoSpaceDE w:val="0"/>
              <w:autoSpaceDN w:val="0"/>
              <w:adjustRightInd w:val="0"/>
              <w:jc w:val="right"/>
              <w:rPr>
                <w:rFonts w:ascii="Arial" w:hAnsi="Arial" w:cs="Arial"/>
                <w:b/>
                <w:lang w:val="tr-TR"/>
              </w:rPr>
            </w:pPr>
            <w:r w:rsidRPr="00D00722">
              <w:rPr>
                <w:rFonts w:ascii="Arial" w:hAnsi="Arial" w:cs="Arial"/>
                <w:b/>
                <w:lang w:val="tr-TR"/>
              </w:rPr>
              <w:t>358.254</w:t>
            </w:r>
          </w:p>
        </w:tc>
        <w:tc>
          <w:tcPr>
            <w:tcW w:w="1686" w:type="dxa"/>
            <w:tcBorders>
              <w:top w:val="single" w:sz="4" w:space="0" w:color="auto"/>
              <w:bottom w:val="double" w:sz="4" w:space="0" w:color="auto"/>
            </w:tcBorders>
            <w:vAlign w:val="bottom"/>
          </w:tcPr>
          <w:p w:rsidR="000B2259" w:rsidRPr="00D00722" w:rsidRDefault="000B2259" w:rsidP="000B2259">
            <w:pPr>
              <w:autoSpaceDE w:val="0"/>
              <w:autoSpaceDN w:val="0"/>
              <w:adjustRightInd w:val="0"/>
              <w:jc w:val="right"/>
              <w:rPr>
                <w:rFonts w:ascii="Arial" w:hAnsi="Arial" w:cs="Arial"/>
                <w:lang w:val="tr-TR"/>
              </w:rPr>
            </w:pPr>
            <w:r w:rsidRPr="00D00722">
              <w:rPr>
                <w:rFonts w:ascii="Arial" w:hAnsi="Arial" w:cs="Arial"/>
                <w:lang w:val="tr-TR"/>
              </w:rPr>
              <w:t>300.452</w:t>
            </w:r>
          </w:p>
        </w:tc>
      </w:tr>
    </w:tbl>
    <w:p w:rsidR="007C3C7C" w:rsidRPr="00D00722" w:rsidRDefault="007C3C7C" w:rsidP="00EE69AC">
      <w:pPr>
        <w:ind w:right="238"/>
        <w:jc w:val="both"/>
        <w:rPr>
          <w:rFonts w:ascii="Arial" w:hAnsi="Arial" w:cs="Arial"/>
          <w:lang w:val="tr-TR"/>
        </w:rPr>
      </w:pPr>
    </w:p>
    <w:p w:rsidR="005A000A" w:rsidRPr="00D00722" w:rsidRDefault="005A000A" w:rsidP="005A000A">
      <w:pPr>
        <w:ind w:right="238"/>
        <w:jc w:val="both"/>
        <w:rPr>
          <w:rFonts w:ascii="Arial" w:hAnsi="Arial" w:cs="Arial"/>
          <w:lang w:val="tr-TR"/>
        </w:rPr>
      </w:pPr>
      <w:r w:rsidRPr="00D00722">
        <w:rPr>
          <w:rFonts w:ascii="Arial" w:hAnsi="Arial" w:cs="Arial"/>
          <w:lang w:val="tr-TR"/>
        </w:rPr>
        <w:t>Ertelenmiş vergi varlığının dönem içindeki hareketi aşağıdaki gibidir:</w:t>
      </w:r>
    </w:p>
    <w:p w:rsidR="005A000A" w:rsidRPr="00D00722" w:rsidRDefault="005A000A" w:rsidP="005A000A">
      <w:pPr>
        <w:ind w:right="238"/>
        <w:jc w:val="both"/>
        <w:rPr>
          <w:rFonts w:ascii="Arial" w:hAnsi="Arial" w:cs="Arial"/>
          <w:lang w:val="tr-TR"/>
        </w:rPr>
      </w:pPr>
    </w:p>
    <w:tbl>
      <w:tblPr>
        <w:tblW w:w="9057" w:type="dxa"/>
        <w:tblInd w:w="108" w:type="dxa"/>
        <w:tblLayout w:type="fixed"/>
        <w:tblLook w:val="01E0"/>
      </w:tblPr>
      <w:tblGrid>
        <w:gridCol w:w="5670"/>
        <w:gridCol w:w="1701"/>
        <w:gridCol w:w="1686"/>
      </w:tblGrid>
      <w:tr w:rsidR="005A000A" w:rsidRPr="00D00722" w:rsidTr="005A000A">
        <w:tc>
          <w:tcPr>
            <w:tcW w:w="5670" w:type="dxa"/>
            <w:tcBorders>
              <w:top w:val="single" w:sz="4" w:space="0" w:color="auto"/>
              <w:bottom w:val="single" w:sz="4" w:space="0" w:color="auto"/>
            </w:tcBorders>
          </w:tcPr>
          <w:p w:rsidR="005A000A" w:rsidRPr="00D00722" w:rsidRDefault="005A000A" w:rsidP="005A000A">
            <w:pPr>
              <w:autoSpaceDE w:val="0"/>
              <w:autoSpaceDN w:val="0"/>
              <w:adjustRightInd w:val="0"/>
              <w:jc w:val="both"/>
              <w:rPr>
                <w:rFonts w:ascii="Arial" w:hAnsi="Arial" w:cs="Arial"/>
                <w:u w:val="single"/>
                <w:lang w:val="tr-TR"/>
              </w:rPr>
            </w:pPr>
          </w:p>
        </w:tc>
        <w:tc>
          <w:tcPr>
            <w:tcW w:w="1701" w:type="dxa"/>
            <w:tcBorders>
              <w:top w:val="single" w:sz="4" w:space="0" w:color="auto"/>
              <w:bottom w:val="single" w:sz="4" w:space="0" w:color="auto"/>
            </w:tcBorders>
            <w:vAlign w:val="bottom"/>
          </w:tcPr>
          <w:p w:rsidR="005A000A" w:rsidRPr="00D00722" w:rsidRDefault="005A000A" w:rsidP="00D26B4C">
            <w:pPr>
              <w:autoSpaceDE w:val="0"/>
              <w:autoSpaceDN w:val="0"/>
              <w:adjustRightInd w:val="0"/>
              <w:jc w:val="right"/>
              <w:rPr>
                <w:rFonts w:ascii="Arial" w:hAnsi="Arial" w:cs="Arial"/>
                <w:b/>
                <w:lang w:val="tr-TR"/>
              </w:rPr>
            </w:pPr>
            <w:r w:rsidRPr="00D00722">
              <w:rPr>
                <w:rFonts w:ascii="Arial" w:hAnsi="Arial" w:cs="Arial"/>
                <w:b/>
                <w:lang w:val="tr-TR"/>
              </w:rPr>
              <w:t xml:space="preserve">1 Ocak </w:t>
            </w:r>
            <w:r w:rsidR="002E27C3" w:rsidRPr="00D00722">
              <w:rPr>
                <w:rFonts w:ascii="Arial" w:hAnsi="Arial" w:cs="Arial"/>
                <w:b/>
                <w:lang w:val="tr-TR"/>
              </w:rPr>
              <w:t>201</w:t>
            </w:r>
            <w:r w:rsidR="00D30FD3" w:rsidRPr="00D00722">
              <w:rPr>
                <w:rFonts w:ascii="Arial" w:hAnsi="Arial" w:cs="Arial"/>
                <w:b/>
                <w:lang w:val="tr-TR"/>
              </w:rPr>
              <w:t>4</w:t>
            </w:r>
            <w:r w:rsidR="00521365" w:rsidRPr="00D00722">
              <w:rPr>
                <w:rFonts w:ascii="Arial" w:hAnsi="Arial" w:cs="Arial"/>
                <w:b/>
                <w:lang w:val="tr-TR"/>
              </w:rPr>
              <w:t xml:space="preserve"> </w:t>
            </w:r>
            <w:r w:rsidRPr="00D00722">
              <w:rPr>
                <w:rFonts w:ascii="Arial" w:hAnsi="Arial" w:cs="Arial"/>
                <w:b/>
                <w:lang w:val="tr-TR"/>
              </w:rPr>
              <w:t>–</w:t>
            </w:r>
          </w:p>
          <w:p w:rsidR="005A000A" w:rsidRPr="00D00722" w:rsidRDefault="003972A7" w:rsidP="000B2259">
            <w:pPr>
              <w:autoSpaceDE w:val="0"/>
              <w:autoSpaceDN w:val="0"/>
              <w:adjustRightInd w:val="0"/>
              <w:jc w:val="right"/>
              <w:rPr>
                <w:rFonts w:ascii="Arial" w:hAnsi="Arial" w:cs="Arial"/>
                <w:b/>
                <w:lang w:val="tr-TR"/>
              </w:rPr>
            </w:pPr>
            <w:r w:rsidRPr="00D00722">
              <w:rPr>
                <w:rFonts w:ascii="Arial" w:hAnsi="Arial" w:cs="Arial"/>
                <w:b/>
                <w:lang w:val="tr-TR"/>
              </w:rPr>
              <w:t xml:space="preserve">31 </w:t>
            </w:r>
            <w:r w:rsidR="000B2259" w:rsidRPr="00D00722">
              <w:rPr>
                <w:rFonts w:ascii="Arial" w:hAnsi="Arial" w:cs="Arial"/>
                <w:b/>
                <w:lang w:val="tr-TR"/>
              </w:rPr>
              <w:t xml:space="preserve">Mart </w:t>
            </w:r>
            <w:r w:rsidR="00350F68" w:rsidRPr="00D00722">
              <w:rPr>
                <w:rFonts w:ascii="Arial" w:hAnsi="Arial" w:cs="Arial"/>
                <w:b/>
                <w:lang w:val="tr-TR"/>
              </w:rPr>
              <w:t>201</w:t>
            </w:r>
            <w:r w:rsidR="000B2259" w:rsidRPr="00D00722">
              <w:rPr>
                <w:rFonts w:ascii="Arial" w:hAnsi="Arial" w:cs="Arial"/>
                <w:b/>
                <w:lang w:val="tr-TR"/>
              </w:rPr>
              <w:t>4</w:t>
            </w:r>
          </w:p>
        </w:tc>
        <w:tc>
          <w:tcPr>
            <w:tcW w:w="1686" w:type="dxa"/>
            <w:tcBorders>
              <w:top w:val="single" w:sz="4" w:space="0" w:color="auto"/>
              <w:bottom w:val="single" w:sz="4" w:space="0" w:color="auto"/>
            </w:tcBorders>
            <w:vAlign w:val="bottom"/>
          </w:tcPr>
          <w:p w:rsidR="005A000A" w:rsidRPr="00D00722" w:rsidRDefault="005A000A" w:rsidP="00D26B4C">
            <w:pPr>
              <w:autoSpaceDE w:val="0"/>
              <w:autoSpaceDN w:val="0"/>
              <w:adjustRightInd w:val="0"/>
              <w:jc w:val="right"/>
              <w:rPr>
                <w:rFonts w:ascii="Arial" w:hAnsi="Arial" w:cs="Arial"/>
                <w:lang w:val="tr-TR"/>
              </w:rPr>
            </w:pPr>
            <w:r w:rsidRPr="00D00722">
              <w:rPr>
                <w:rFonts w:ascii="Arial" w:hAnsi="Arial" w:cs="Arial"/>
                <w:lang w:val="tr-TR"/>
              </w:rPr>
              <w:t>1 Ocak</w:t>
            </w:r>
            <w:r w:rsidR="00521365" w:rsidRPr="00D00722">
              <w:rPr>
                <w:rFonts w:ascii="Arial" w:hAnsi="Arial" w:cs="Arial"/>
                <w:lang w:val="tr-TR"/>
              </w:rPr>
              <w:t xml:space="preserve"> </w:t>
            </w:r>
            <w:r w:rsidR="002E27C3" w:rsidRPr="00D00722">
              <w:rPr>
                <w:rFonts w:ascii="Arial" w:hAnsi="Arial" w:cs="Arial"/>
                <w:lang w:val="tr-TR"/>
              </w:rPr>
              <w:t>2013</w:t>
            </w:r>
            <w:r w:rsidRPr="00D00722">
              <w:rPr>
                <w:rFonts w:ascii="Arial" w:hAnsi="Arial" w:cs="Arial"/>
                <w:lang w:val="tr-TR"/>
              </w:rPr>
              <w:t xml:space="preserve"> –</w:t>
            </w:r>
          </w:p>
          <w:p w:rsidR="005A000A" w:rsidRPr="00D00722" w:rsidRDefault="003972A7" w:rsidP="000B2259">
            <w:pPr>
              <w:autoSpaceDE w:val="0"/>
              <w:autoSpaceDN w:val="0"/>
              <w:adjustRightInd w:val="0"/>
              <w:jc w:val="right"/>
              <w:rPr>
                <w:rFonts w:ascii="Arial" w:hAnsi="Arial" w:cs="Arial"/>
                <w:lang w:val="tr-TR"/>
              </w:rPr>
            </w:pPr>
            <w:r w:rsidRPr="00D00722">
              <w:rPr>
                <w:rFonts w:ascii="Arial" w:hAnsi="Arial" w:cs="Arial"/>
                <w:lang w:val="tr-TR"/>
              </w:rPr>
              <w:t xml:space="preserve">31 </w:t>
            </w:r>
            <w:r w:rsidR="000B2259" w:rsidRPr="00D00722">
              <w:rPr>
                <w:rFonts w:ascii="Arial" w:hAnsi="Arial" w:cs="Arial"/>
                <w:lang w:val="tr-TR"/>
              </w:rPr>
              <w:t>Mart</w:t>
            </w:r>
            <w:r w:rsidR="00DD5697" w:rsidRPr="00D00722">
              <w:rPr>
                <w:rFonts w:ascii="Arial" w:hAnsi="Arial" w:cs="Arial"/>
                <w:lang w:val="tr-TR"/>
              </w:rPr>
              <w:t xml:space="preserve"> </w:t>
            </w:r>
            <w:r w:rsidR="00350F68" w:rsidRPr="00D00722">
              <w:rPr>
                <w:rFonts w:ascii="Arial" w:hAnsi="Arial" w:cs="Arial"/>
                <w:lang w:val="tr-TR"/>
              </w:rPr>
              <w:t>201</w:t>
            </w:r>
            <w:r w:rsidR="000B2259" w:rsidRPr="00D00722">
              <w:rPr>
                <w:rFonts w:ascii="Arial" w:hAnsi="Arial" w:cs="Arial"/>
                <w:lang w:val="tr-TR"/>
              </w:rPr>
              <w:t>3</w:t>
            </w:r>
          </w:p>
        </w:tc>
      </w:tr>
      <w:tr w:rsidR="005A000A" w:rsidRPr="00D00722" w:rsidTr="005A000A">
        <w:tc>
          <w:tcPr>
            <w:tcW w:w="5670" w:type="dxa"/>
            <w:tcBorders>
              <w:top w:val="single" w:sz="4" w:space="0" w:color="auto"/>
            </w:tcBorders>
          </w:tcPr>
          <w:p w:rsidR="005A000A" w:rsidRPr="00D00722" w:rsidRDefault="005A000A" w:rsidP="005A000A">
            <w:pPr>
              <w:autoSpaceDE w:val="0"/>
              <w:autoSpaceDN w:val="0"/>
              <w:adjustRightInd w:val="0"/>
              <w:jc w:val="both"/>
              <w:rPr>
                <w:rFonts w:ascii="Arial" w:hAnsi="Arial" w:cs="Arial"/>
                <w:lang w:val="tr-TR"/>
              </w:rPr>
            </w:pPr>
          </w:p>
        </w:tc>
        <w:tc>
          <w:tcPr>
            <w:tcW w:w="1701" w:type="dxa"/>
            <w:tcBorders>
              <w:top w:val="single" w:sz="4" w:space="0" w:color="auto"/>
            </w:tcBorders>
            <w:vAlign w:val="center"/>
          </w:tcPr>
          <w:p w:rsidR="005A000A" w:rsidRPr="00D00722" w:rsidRDefault="005A000A" w:rsidP="00D26B4C">
            <w:pPr>
              <w:autoSpaceDE w:val="0"/>
              <w:autoSpaceDN w:val="0"/>
              <w:adjustRightInd w:val="0"/>
              <w:jc w:val="right"/>
              <w:rPr>
                <w:rFonts w:ascii="Arial" w:hAnsi="Arial" w:cs="Arial"/>
                <w:lang w:val="tr-TR"/>
              </w:rPr>
            </w:pPr>
          </w:p>
        </w:tc>
        <w:tc>
          <w:tcPr>
            <w:tcW w:w="1686" w:type="dxa"/>
            <w:tcBorders>
              <w:top w:val="single" w:sz="4" w:space="0" w:color="auto"/>
            </w:tcBorders>
            <w:vAlign w:val="center"/>
          </w:tcPr>
          <w:p w:rsidR="005A000A" w:rsidRPr="00D00722" w:rsidRDefault="005A000A" w:rsidP="00D26B4C">
            <w:pPr>
              <w:autoSpaceDE w:val="0"/>
              <w:autoSpaceDN w:val="0"/>
              <w:adjustRightInd w:val="0"/>
              <w:jc w:val="right"/>
              <w:rPr>
                <w:rFonts w:ascii="Arial" w:hAnsi="Arial" w:cs="Arial"/>
                <w:lang w:val="tr-TR"/>
              </w:rPr>
            </w:pPr>
          </w:p>
        </w:tc>
      </w:tr>
      <w:tr w:rsidR="002E27C3" w:rsidRPr="00D00722" w:rsidTr="005A000A">
        <w:tc>
          <w:tcPr>
            <w:tcW w:w="5670" w:type="dxa"/>
          </w:tcPr>
          <w:p w:rsidR="002E27C3" w:rsidRPr="00D00722" w:rsidRDefault="002E27C3" w:rsidP="005A000A">
            <w:pPr>
              <w:autoSpaceDE w:val="0"/>
              <w:autoSpaceDN w:val="0"/>
              <w:adjustRightInd w:val="0"/>
              <w:jc w:val="both"/>
              <w:rPr>
                <w:rFonts w:ascii="Arial" w:hAnsi="Arial" w:cs="Arial"/>
                <w:lang w:val="tr-TR"/>
              </w:rPr>
            </w:pPr>
            <w:r w:rsidRPr="00D00722">
              <w:rPr>
                <w:rFonts w:ascii="Arial" w:hAnsi="Arial" w:cs="Arial"/>
                <w:lang w:val="tr-TR"/>
              </w:rPr>
              <w:t>1 Ocak, açılış bakiyesi</w:t>
            </w:r>
          </w:p>
        </w:tc>
        <w:tc>
          <w:tcPr>
            <w:tcW w:w="1701" w:type="dxa"/>
            <w:vAlign w:val="bottom"/>
          </w:tcPr>
          <w:p w:rsidR="002E27C3" w:rsidRPr="00D00722" w:rsidRDefault="00B12161" w:rsidP="00B12161">
            <w:pPr>
              <w:autoSpaceDE w:val="0"/>
              <w:autoSpaceDN w:val="0"/>
              <w:adjustRightInd w:val="0"/>
              <w:jc w:val="right"/>
              <w:rPr>
                <w:rFonts w:ascii="Arial" w:hAnsi="Arial" w:cs="Arial"/>
                <w:b/>
                <w:lang w:val="tr-TR"/>
              </w:rPr>
            </w:pPr>
            <w:r w:rsidRPr="00D00722">
              <w:rPr>
                <w:rFonts w:ascii="Arial" w:hAnsi="Arial" w:cs="Arial"/>
                <w:b/>
                <w:lang w:val="tr-TR"/>
              </w:rPr>
              <w:t>300</w:t>
            </w:r>
            <w:r w:rsidR="00033B7C" w:rsidRPr="00D00722">
              <w:rPr>
                <w:rFonts w:ascii="Arial" w:hAnsi="Arial" w:cs="Arial"/>
                <w:b/>
                <w:lang w:val="tr-TR"/>
              </w:rPr>
              <w:t>.</w:t>
            </w:r>
            <w:r w:rsidRPr="00D00722">
              <w:rPr>
                <w:rFonts w:ascii="Arial" w:hAnsi="Arial" w:cs="Arial"/>
                <w:b/>
                <w:lang w:val="tr-TR"/>
              </w:rPr>
              <w:t>452</w:t>
            </w:r>
          </w:p>
        </w:tc>
        <w:tc>
          <w:tcPr>
            <w:tcW w:w="1686" w:type="dxa"/>
            <w:vAlign w:val="bottom"/>
          </w:tcPr>
          <w:p w:rsidR="002E27C3" w:rsidRPr="00D00722" w:rsidRDefault="000B2259" w:rsidP="000B2259">
            <w:pPr>
              <w:autoSpaceDE w:val="0"/>
              <w:autoSpaceDN w:val="0"/>
              <w:adjustRightInd w:val="0"/>
              <w:jc w:val="right"/>
              <w:rPr>
                <w:rFonts w:ascii="Arial" w:hAnsi="Arial" w:cs="Arial"/>
                <w:lang w:val="tr-TR"/>
              </w:rPr>
            </w:pPr>
            <w:r w:rsidRPr="00D00722">
              <w:rPr>
                <w:rFonts w:ascii="Arial" w:hAnsi="Arial" w:cs="Arial"/>
                <w:bCs/>
                <w:color w:val="000000"/>
              </w:rPr>
              <w:t>213</w:t>
            </w:r>
            <w:r w:rsidR="002E27C3" w:rsidRPr="00D00722">
              <w:rPr>
                <w:rFonts w:ascii="Arial" w:hAnsi="Arial" w:cs="Arial"/>
                <w:bCs/>
                <w:color w:val="000000"/>
              </w:rPr>
              <w:t>.</w:t>
            </w:r>
            <w:r w:rsidRPr="00D00722">
              <w:rPr>
                <w:rFonts w:ascii="Arial" w:hAnsi="Arial" w:cs="Arial"/>
                <w:bCs/>
                <w:color w:val="000000"/>
              </w:rPr>
              <w:t>664</w:t>
            </w:r>
          </w:p>
        </w:tc>
      </w:tr>
      <w:tr w:rsidR="002E27C3" w:rsidRPr="00D00722" w:rsidTr="00A27292">
        <w:tc>
          <w:tcPr>
            <w:tcW w:w="5670" w:type="dxa"/>
            <w:vAlign w:val="bottom"/>
          </w:tcPr>
          <w:p w:rsidR="002E27C3" w:rsidRPr="00D00722" w:rsidRDefault="002E27C3" w:rsidP="005A000A">
            <w:pPr>
              <w:autoSpaceDE w:val="0"/>
              <w:autoSpaceDN w:val="0"/>
              <w:adjustRightInd w:val="0"/>
              <w:jc w:val="both"/>
              <w:rPr>
                <w:rFonts w:ascii="Arial" w:hAnsi="Arial" w:cs="Arial"/>
                <w:lang w:val="tr-TR"/>
              </w:rPr>
            </w:pPr>
            <w:r w:rsidRPr="00D00722">
              <w:rPr>
                <w:rFonts w:ascii="Arial" w:hAnsi="Arial" w:cs="Arial"/>
                <w:color w:val="000000"/>
              </w:rPr>
              <w:t>Ertelenmiş vergi (gideri)/ geliri</w:t>
            </w:r>
          </w:p>
        </w:tc>
        <w:tc>
          <w:tcPr>
            <w:tcW w:w="1701" w:type="dxa"/>
            <w:vAlign w:val="bottom"/>
          </w:tcPr>
          <w:p w:rsidR="002E27C3" w:rsidRPr="00D00722" w:rsidRDefault="00033B7C" w:rsidP="00D26B4C">
            <w:pPr>
              <w:autoSpaceDE w:val="0"/>
              <w:autoSpaceDN w:val="0"/>
              <w:adjustRightInd w:val="0"/>
              <w:jc w:val="right"/>
              <w:rPr>
                <w:rFonts w:ascii="Arial" w:hAnsi="Arial" w:cs="Arial"/>
                <w:b/>
                <w:lang w:val="tr-TR"/>
              </w:rPr>
            </w:pPr>
            <w:r w:rsidRPr="00D00722">
              <w:rPr>
                <w:rFonts w:ascii="Arial" w:hAnsi="Arial" w:cs="Arial"/>
                <w:b/>
                <w:lang w:val="tr-TR"/>
              </w:rPr>
              <w:t>57.801</w:t>
            </w:r>
          </w:p>
        </w:tc>
        <w:tc>
          <w:tcPr>
            <w:tcW w:w="1686" w:type="dxa"/>
            <w:vAlign w:val="bottom"/>
          </w:tcPr>
          <w:p w:rsidR="002E27C3" w:rsidRPr="00D00722" w:rsidRDefault="000B2259" w:rsidP="000B2259">
            <w:pPr>
              <w:autoSpaceDE w:val="0"/>
              <w:autoSpaceDN w:val="0"/>
              <w:adjustRightInd w:val="0"/>
              <w:jc w:val="right"/>
              <w:rPr>
                <w:rFonts w:ascii="Arial" w:hAnsi="Arial" w:cs="Arial"/>
                <w:lang w:val="tr-TR"/>
              </w:rPr>
            </w:pPr>
            <w:r w:rsidRPr="00D00722">
              <w:rPr>
                <w:rFonts w:ascii="Arial" w:hAnsi="Arial" w:cs="Arial"/>
                <w:bCs/>
                <w:color w:val="000000"/>
              </w:rPr>
              <w:t>4.882</w:t>
            </w:r>
          </w:p>
        </w:tc>
      </w:tr>
      <w:tr w:rsidR="002E27C3" w:rsidRPr="00D00722" w:rsidTr="005A000A">
        <w:tc>
          <w:tcPr>
            <w:tcW w:w="5670" w:type="dxa"/>
            <w:tcBorders>
              <w:bottom w:val="single" w:sz="4" w:space="0" w:color="auto"/>
            </w:tcBorders>
          </w:tcPr>
          <w:p w:rsidR="002E27C3" w:rsidRPr="00D00722" w:rsidRDefault="002E27C3" w:rsidP="005A000A">
            <w:pPr>
              <w:autoSpaceDE w:val="0"/>
              <w:autoSpaceDN w:val="0"/>
              <w:adjustRightInd w:val="0"/>
              <w:jc w:val="both"/>
              <w:rPr>
                <w:rFonts w:ascii="Arial" w:hAnsi="Arial" w:cs="Arial"/>
                <w:lang w:val="tr-TR"/>
              </w:rPr>
            </w:pPr>
          </w:p>
        </w:tc>
        <w:tc>
          <w:tcPr>
            <w:tcW w:w="1701" w:type="dxa"/>
            <w:tcBorders>
              <w:bottom w:val="single" w:sz="4" w:space="0" w:color="auto"/>
            </w:tcBorders>
            <w:vAlign w:val="bottom"/>
          </w:tcPr>
          <w:p w:rsidR="002E27C3" w:rsidRPr="00D00722" w:rsidRDefault="002E27C3" w:rsidP="00D26B4C">
            <w:pPr>
              <w:autoSpaceDE w:val="0"/>
              <w:autoSpaceDN w:val="0"/>
              <w:adjustRightInd w:val="0"/>
              <w:jc w:val="right"/>
              <w:rPr>
                <w:rFonts w:ascii="Arial" w:hAnsi="Arial" w:cs="Arial"/>
                <w:b/>
                <w:lang w:val="tr-TR"/>
              </w:rPr>
            </w:pPr>
          </w:p>
        </w:tc>
        <w:tc>
          <w:tcPr>
            <w:tcW w:w="1686" w:type="dxa"/>
            <w:tcBorders>
              <w:bottom w:val="single" w:sz="4" w:space="0" w:color="auto"/>
            </w:tcBorders>
            <w:vAlign w:val="bottom"/>
          </w:tcPr>
          <w:p w:rsidR="002E27C3" w:rsidRPr="00D00722" w:rsidRDefault="002E27C3" w:rsidP="002E27C3">
            <w:pPr>
              <w:autoSpaceDE w:val="0"/>
              <w:autoSpaceDN w:val="0"/>
              <w:adjustRightInd w:val="0"/>
              <w:jc w:val="right"/>
              <w:rPr>
                <w:rFonts w:ascii="Arial" w:hAnsi="Arial" w:cs="Arial"/>
                <w:lang w:val="tr-TR"/>
              </w:rPr>
            </w:pPr>
          </w:p>
        </w:tc>
      </w:tr>
      <w:tr w:rsidR="002E27C3" w:rsidRPr="00D00722" w:rsidTr="005A000A">
        <w:tc>
          <w:tcPr>
            <w:tcW w:w="5670" w:type="dxa"/>
            <w:tcBorders>
              <w:top w:val="single" w:sz="4" w:space="0" w:color="auto"/>
              <w:bottom w:val="double" w:sz="4" w:space="0" w:color="auto"/>
            </w:tcBorders>
          </w:tcPr>
          <w:p w:rsidR="002E27C3" w:rsidRPr="00D00722" w:rsidRDefault="002E27C3" w:rsidP="005A000A">
            <w:pPr>
              <w:autoSpaceDE w:val="0"/>
              <w:autoSpaceDN w:val="0"/>
              <w:adjustRightInd w:val="0"/>
              <w:jc w:val="both"/>
              <w:rPr>
                <w:rFonts w:ascii="Arial" w:hAnsi="Arial" w:cs="Arial"/>
                <w:b/>
                <w:spacing w:val="-3"/>
                <w:lang w:val="tr-TR"/>
              </w:rPr>
            </w:pPr>
          </w:p>
        </w:tc>
        <w:tc>
          <w:tcPr>
            <w:tcW w:w="1701" w:type="dxa"/>
            <w:tcBorders>
              <w:top w:val="single" w:sz="4" w:space="0" w:color="auto"/>
              <w:bottom w:val="double" w:sz="4" w:space="0" w:color="auto"/>
            </w:tcBorders>
            <w:vAlign w:val="center"/>
          </w:tcPr>
          <w:p w:rsidR="002E27C3" w:rsidRPr="00D00722" w:rsidRDefault="00033B7C" w:rsidP="00D26B4C">
            <w:pPr>
              <w:autoSpaceDE w:val="0"/>
              <w:autoSpaceDN w:val="0"/>
              <w:adjustRightInd w:val="0"/>
              <w:jc w:val="right"/>
              <w:rPr>
                <w:rFonts w:ascii="Arial" w:hAnsi="Arial" w:cs="Arial"/>
                <w:b/>
                <w:lang w:val="tr-TR"/>
              </w:rPr>
            </w:pPr>
            <w:r w:rsidRPr="00D00722">
              <w:rPr>
                <w:rFonts w:ascii="Arial" w:hAnsi="Arial" w:cs="Arial"/>
                <w:b/>
                <w:lang w:val="tr-TR"/>
              </w:rPr>
              <w:t>358.254</w:t>
            </w:r>
          </w:p>
        </w:tc>
        <w:tc>
          <w:tcPr>
            <w:tcW w:w="1686" w:type="dxa"/>
            <w:tcBorders>
              <w:top w:val="single" w:sz="4" w:space="0" w:color="auto"/>
              <w:bottom w:val="double" w:sz="4" w:space="0" w:color="auto"/>
            </w:tcBorders>
            <w:vAlign w:val="center"/>
          </w:tcPr>
          <w:p w:rsidR="002E27C3" w:rsidRPr="00D00722" w:rsidRDefault="002E27C3" w:rsidP="000B2259">
            <w:pPr>
              <w:autoSpaceDE w:val="0"/>
              <w:autoSpaceDN w:val="0"/>
              <w:adjustRightInd w:val="0"/>
              <w:jc w:val="right"/>
              <w:rPr>
                <w:rFonts w:ascii="Arial" w:hAnsi="Arial" w:cs="Arial"/>
                <w:lang w:val="tr-TR"/>
              </w:rPr>
            </w:pPr>
            <w:r w:rsidRPr="00D00722">
              <w:rPr>
                <w:rFonts w:ascii="Arial" w:hAnsi="Arial" w:cs="Arial"/>
                <w:lang w:val="tr-TR"/>
              </w:rPr>
              <w:t>21</w:t>
            </w:r>
            <w:r w:rsidR="000B2259" w:rsidRPr="00D00722">
              <w:rPr>
                <w:rFonts w:ascii="Arial" w:hAnsi="Arial" w:cs="Arial"/>
                <w:lang w:val="tr-TR"/>
              </w:rPr>
              <w:t>8</w:t>
            </w:r>
            <w:r w:rsidRPr="00D00722">
              <w:rPr>
                <w:rFonts w:ascii="Arial" w:hAnsi="Arial" w:cs="Arial"/>
                <w:lang w:val="tr-TR"/>
              </w:rPr>
              <w:t>.</w:t>
            </w:r>
            <w:r w:rsidR="000B2259" w:rsidRPr="00D00722">
              <w:rPr>
                <w:rFonts w:ascii="Arial" w:hAnsi="Arial" w:cs="Arial"/>
                <w:lang w:val="tr-TR"/>
              </w:rPr>
              <w:t>506</w:t>
            </w:r>
          </w:p>
        </w:tc>
      </w:tr>
    </w:tbl>
    <w:p w:rsidR="00EC7963" w:rsidRPr="00D00722" w:rsidRDefault="00EC7963" w:rsidP="005A000A">
      <w:pPr>
        <w:ind w:right="-23"/>
        <w:jc w:val="both"/>
        <w:rPr>
          <w:rFonts w:ascii="Arial" w:hAnsi="Arial" w:cs="Arial"/>
          <w:lang w:val="tr-TR"/>
        </w:rPr>
      </w:pPr>
    </w:p>
    <w:p w:rsidR="005A000A" w:rsidRPr="00D00722" w:rsidRDefault="005A000A" w:rsidP="005A000A">
      <w:pPr>
        <w:ind w:right="-511"/>
        <w:rPr>
          <w:rFonts w:ascii="Arial" w:hAnsi="Arial" w:cs="Arial"/>
          <w:lang w:val="tr-TR"/>
        </w:rPr>
      </w:pPr>
      <w:r w:rsidRPr="00D00722">
        <w:rPr>
          <w:rFonts w:ascii="Arial" w:hAnsi="Arial" w:cs="Arial"/>
          <w:lang w:val="tr-TR"/>
        </w:rPr>
        <w:t>Dönem vergi (ge</w:t>
      </w:r>
      <w:r w:rsidR="00792AEE" w:rsidRPr="00D00722">
        <w:rPr>
          <w:rFonts w:ascii="Arial" w:hAnsi="Arial" w:cs="Arial"/>
          <w:lang w:val="tr-TR"/>
        </w:rPr>
        <w:t>lirinin) /giderinin dönem karı/</w:t>
      </w:r>
      <w:r w:rsidRPr="00D00722">
        <w:rPr>
          <w:rFonts w:ascii="Arial" w:hAnsi="Arial" w:cs="Arial"/>
          <w:lang w:val="tr-TR"/>
        </w:rPr>
        <w:t xml:space="preserve">(zararı) ile mutabakatı aşağıdaki gibidir: </w:t>
      </w:r>
    </w:p>
    <w:p w:rsidR="005A000A" w:rsidRPr="00D00722" w:rsidRDefault="005A000A" w:rsidP="005A000A">
      <w:pPr>
        <w:spacing w:line="200" w:lineRule="exact"/>
        <w:rPr>
          <w:rFonts w:ascii="Arial" w:hAnsi="Arial" w:cs="Arial"/>
          <w:lang w:val="tr-TR"/>
        </w:rPr>
      </w:pPr>
    </w:p>
    <w:tbl>
      <w:tblPr>
        <w:tblW w:w="9072" w:type="dxa"/>
        <w:tblInd w:w="108" w:type="dxa"/>
        <w:tblLayout w:type="fixed"/>
        <w:tblLook w:val="0000"/>
      </w:tblPr>
      <w:tblGrid>
        <w:gridCol w:w="5670"/>
        <w:gridCol w:w="1701"/>
        <w:gridCol w:w="1701"/>
      </w:tblGrid>
      <w:tr w:rsidR="000B2259" w:rsidRPr="00D00722" w:rsidTr="000B2259">
        <w:trPr>
          <w:trHeight w:val="113"/>
        </w:trPr>
        <w:tc>
          <w:tcPr>
            <w:tcW w:w="5670" w:type="dxa"/>
            <w:tcBorders>
              <w:top w:val="single" w:sz="6" w:space="0" w:color="auto"/>
              <w:left w:val="nil"/>
              <w:bottom w:val="single" w:sz="6" w:space="0" w:color="auto"/>
              <w:right w:val="nil"/>
            </w:tcBorders>
          </w:tcPr>
          <w:p w:rsidR="000B2259" w:rsidRPr="00D00722" w:rsidRDefault="000B2259" w:rsidP="00521365">
            <w:pPr>
              <w:autoSpaceDE w:val="0"/>
              <w:autoSpaceDN w:val="0"/>
              <w:adjustRightInd w:val="0"/>
              <w:jc w:val="right"/>
              <w:rPr>
                <w:rFonts w:ascii="Arial" w:hAnsi="Arial" w:cs="Arial"/>
                <w:b/>
                <w:bCs/>
                <w:color w:val="000000"/>
              </w:rPr>
            </w:pPr>
          </w:p>
        </w:tc>
        <w:tc>
          <w:tcPr>
            <w:tcW w:w="1701" w:type="dxa"/>
            <w:tcBorders>
              <w:top w:val="single" w:sz="6" w:space="0" w:color="auto"/>
              <w:left w:val="nil"/>
              <w:bottom w:val="single" w:sz="6" w:space="0" w:color="auto"/>
              <w:right w:val="nil"/>
            </w:tcBorders>
            <w:vAlign w:val="bottom"/>
          </w:tcPr>
          <w:p w:rsidR="000B2259" w:rsidRPr="00D00722" w:rsidRDefault="000B2259" w:rsidP="00F94040">
            <w:pPr>
              <w:autoSpaceDE w:val="0"/>
              <w:autoSpaceDN w:val="0"/>
              <w:adjustRightInd w:val="0"/>
              <w:jc w:val="right"/>
              <w:rPr>
                <w:rFonts w:ascii="Arial" w:hAnsi="Arial" w:cs="Arial"/>
                <w:b/>
                <w:bCs/>
                <w:color w:val="000000"/>
              </w:rPr>
            </w:pPr>
            <w:r w:rsidRPr="00D00722">
              <w:rPr>
                <w:rFonts w:ascii="Arial" w:hAnsi="Arial" w:cs="Arial"/>
                <w:b/>
                <w:bCs/>
                <w:color w:val="000000"/>
              </w:rPr>
              <w:t>1 Ocak -</w:t>
            </w:r>
          </w:p>
          <w:p w:rsidR="000B2259" w:rsidRPr="00D00722" w:rsidRDefault="000B2259" w:rsidP="000B2259">
            <w:pPr>
              <w:autoSpaceDE w:val="0"/>
              <w:autoSpaceDN w:val="0"/>
              <w:adjustRightInd w:val="0"/>
              <w:jc w:val="right"/>
              <w:rPr>
                <w:rFonts w:ascii="Arial" w:hAnsi="Arial" w:cs="Arial"/>
                <w:b/>
                <w:bCs/>
                <w:color w:val="000000"/>
              </w:rPr>
            </w:pPr>
            <w:r w:rsidRPr="00D00722">
              <w:rPr>
                <w:rFonts w:ascii="Arial" w:hAnsi="Arial" w:cs="Arial"/>
                <w:b/>
                <w:bCs/>
                <w:color w:val="000000"/>
              </w:rPr>
              <w:t>31 Mart 2014</w:t>
            </w:r>
          </w:p>
        </w:tc>
        <w:tc>
          <w:tcPr>
            <w:tcW w:w="1701" w:type="dxa"/>
            <w:tcBorders>
              <w:top w:val="single" w:sz="6" w:space="0" w:color="auto"/>
              <w:left w:val="nil"/>
              <w:bottom w:val="single" w:sz="6" w:space="0" w:color="auto"/>
              <w:right w:val="nil"/>
            </w:tcBorders>
            <w:vAlign w:val="bottom"/>
          </w:tcPr>
          <w:p w:rsidR="000B2259" w:rsidRPr="00D00722" w:rsidRDefault="000B2259" w:rsidP="000B2259">
            <w:pPr>
              <w:autoSpaceDE w:val="0"/>
              <w:autoSpaceDN w:val="0"/>
              <w:adjustRightInd w:val="0"/>
              <w:jc w:val="right"/>
              <w:rPr>
                <w:rFonts w:ascii="Arial" w:hAnsi="Arial" w:cs="Arial"/>
                <w:bCs/>
                <w:color w:val="000000"/>
              </w:rPr>
            </w:pPr>
            <w:r w:rsidRPr="00D00722">
              <w:rPr>
                <w:rFonts w:ascii="Arial" w:hAnsi="Arial" w:cs="Arial"/>
                <w:bCs/>
                <w:color w:val="000000"/>
              </w:rPr>
              <w:t>1 Ocak -</w:t>
            </w:r>
          </w:p>
          <w:p w:rsidR="000B2259" w:rsidRPr="00D00722" w:rsidRDefault="000B2259" w:rsidP="000B2259">
            <w:pPr>
              <w:autoSpaceDE w:val="0"/>
              <w:autoSpaceDN w:val="0"/>
              <w:adjustRightInd w:val="0"/>
              <w:jc w:val="right"/>
              <w:rPr>
                <w:rFonts w:ascii="Arial" w:hAnsi="Arial" w:cs="Arial"/>
                <w:bCs/>
                <w:color w:val="000000"/>
              </w:rPr>
            </w:pPr>
            <w:r w:rsidRPr="00D00722">
              <w:rPr>
                <w:rFonts w:ascii="Arial" w:hAnsi="Arial" w:cs="Arial"/>
                <w:bCs/>
                <w:color w:val="000000"/>
              </w:rPr>
              <w:t>31 Aralık 2013</w:t>
            </w:r>
          </w:p>
        </w:tc>
      </w:tr>
      <w:tr w:rsidR="000B2259" w:rsidRPr="00D00722" w:rsidTr="000B2259">
        <w:trPr>
          <w:trHeight w:val="113"/>
        </w:trPr>
        <w:tc>
          <w:tcPr>
            <w:tcW w:w="5670" w:type="dxa"/>
            <w:tcBorders>
              <w:top w:val="nil"/>
              <w:left w:val="nil"/>
              <w:bottom w:val="nil"/>
              <w:right w:val="nil"/>
            </w:tcBorders>
          </w:tcPr>
          <w:p w:rsidR="000B2259" w:rsidRPr="00D00722" w:rsidRDefault="000B2259" w:rsidP="00521365">
            <w:pPr>
              <w:autoSpaceDE w:val="0"/>
              <w:autoSpaceDN w:val="0"/>
              <w:adjustRightInd w:val="0"/>
              <w:rPr>
                <w:rFonts w:ascii="Arial" w:hAnsi="Arial" w:cs="Arial"/>
                <w:color w:val="000000"/>
              </w:rPr>
            </w:pPr>
          </w:p>
        </w:tc>
        <w:tc>
          <w:tcPr>
            <w:tcW w:w="1701" w:type="dxa"/>
            <w:tcBorders>
              <w:top w:val="nil"/>
              <w:left w:val="nil"/>
              <w:bottom w:val="nil"/>
              <w:right w:val="nil"/>
            </w:tcBorders>
          </w:tcPr>
          <w:p w:rsidR="000B2259" w:rsidRPr="00D00722" w:rsidRDefault="000B2259" w:rsidP="00E83219">
            <w:pPr>
              <w:autoSpaceDE w:val="0"/>
              <w:autoSpaceDN w:val="0"/>
              <w:adjustRightInd w:val="0"/>
              <w:jc w:val="right"/>
              <w:rPr>
                <w:rFonts w:ascii="Arial" w:hAnsi="Arial" w:cs="Arial"/>
                <w:b/>
                <w:bCs/>
                <w:color w:val="000000"/>
              </w:rPr>
            </w:pPr>
          </w:p>
        </w:tc>
        <w:tc>
          <w:tcPr>
            <w:tcW w:w="1701" w:type="dxa"/>
            <w:tcBorders>
              <w:top w:val="nil"/>
              <w:left w:val="nil"/>
              <w:bottom w:val="nil"/>
              <w:right w:val="nil"/>
            </w:tcBorders>
          </w:tcPr>
          <w:p w:rsidR="000B2259" w:rsidRPr="00D00722" w:rsidRDefault="000B2259" w:rsidP="000B2259">
            <w:pPr>
              <w:autoSpaceDE w:val="0"/>
              <w:autoSpaceDN w:val="0"/>
              <w:adjustRightInd w:val="0"/>
              <w:jc w:val="right"/>
              <w:rPr>
                <w:rFonts w:ascii="Arial" w:hAnsi="Arial" w:cs="Arial"/>
                <w:bCs/>
                <w:color w:val="000000"/>
              </w:rPr>
            </w:pPr>
          </w:p>
        </w:tc>
      </w:tr>
      <w:tr w:rsidR="000B2259" w:rsidRPr="00D00722" w:rsidTr="000B2259">
        <w:trPr>
          <w:trHeight w:val="113"/>
        </w:trPr>
        <w:tc>
          <w:tcPr>
            <w:tcW w:w="5670" w:type="dxa"/>
            <w:tcBorders>
              <w:top w:val="nil"/>
              <w:left w:val="nil"/>
              <w:right w:val="nil"/>
            </w:tcBorders>
          </w:tcPr>
          <w:p w:rsidR="000B2259" w:rsidRPr="00D00722" w:rsidRDefault="000B2259" w:rsidP="00B37F4A">
            <w:pPr>
              <w:autoSpaceDE w:val="0"/>
              <w:autoSpaceDN w:val="0"/>
              <w:adjustRightInd w:val="0"/>
              <w:ind w:left="-108"/>
              <w:rPr>
                <w:rFonts w:ascii="Arial" w:hAnsi="Arial" w:cs="Arial"/>
                <w:color w:val="000000"/>
              </w:rPr>
            </w:pPr>
            <w:r w:rsidRPr="00D00722">
              <w:rPr>
                <w:rFonts w:ascii="Arial" w:hAnsi="Arial" w:cs="Arial"/>
                <w:color w:val="000000"/>
              </w:rPr>
              <w:t>Vergi öncesi zarar</w:t>
            </w:r>
          </w:p>
        </w:tc>
        <w:tc>
          <w:tcPr>
            <w:tcW w:w="1701" w:type="dxa"/>
            <w:tcBorders>
              <w:top w:val="nil"/>
              <w:left w:val="nil"/>
              <w:right w:val="nil"/>
            </w:tcBorders>
          </w:tcPr>
          <w:p w:rsidR="000B2259" w:rsidRPr="00D00722" w:rsidRDefault="00033B7C" w:rsidP="00E83219">
            <w:pPr>
              <w:autoSpaceDE w:val="0"/>
              <w:autoSpaceDN w:val="0"/>
              <w:adjustRightInd w:val="0"/>
              <w:jc w:val="right"/>
              <w:rPr>
                <w:rFonts w:ascii="Arial" w:hAnsi="Arial" w:cs="Arial"/>
                <w:b/>
                <w:bCs/>
                <w:color w:val="000000"/>
              </w:rPr>
            </w:pPr>
            <w:r w:rsidRPr="00D00722">
              <w:rPr>
                <w:rFonts w:ascii="Arial" w:hAnsi="Arial" w:cs="Arial"/>
                <w:b/>
                <w:bCs/>
                <w:color w:val="000000"/>
              </w:rPr>
              <w:t>(289.827)</w:t>
            </w:r>
          </w:p>
        </w:tc>
        <w:tc>
          <w:tcPr>
            <w:tcW w:w="1701" w:type="dxa"/>
            <w:tcBorders>
              <w:top w:val="nil"/>
              <w:left w:val="nil"/>
              <w:right w:val="nil"/>
            </w:tcBorders>
          </w:tcPr>
          <w:p w:rsidR="000B2259" w:rsidRPr="00D00722" w:rsidRDefault="000B2259" w:rsidP="000B2259">
            <w:pPr>
              <w:autoSpaceDE w:val="0"/>
              <w:autoSpaceDN w:val="0"/>
              <w:adjustRightInd w:val="0"/>
              <w:jc w:val="right"/>
              <w:rPr>
                <w:rFonts w:ascii="Arial" w:hAnsi="Arial" w:cs="Arial"/>
                <w:bCs/>
                <w:color w:val="000000"/>
              </w:rPr>
            </w:pPr>
            <w:r w:rsidRPr="00D00722">
              <w:rPr>
                <w:rFonts w:ascii="Arial" w:hAnsi="Arial" w:cs="Arial"/>
                <w:bCs/>
                <w:color w:val="000000"/>
              </w:rPr>
              <w:t>(440.728)</w:t>
            </w:r>
          </w:p>
        </w:tc>
      </w:tr>
      <w:tr w:rsidR="000B2259" w:rsidRPr="00D00722" w:rsidTr="000B2259">
        <w:trPr>
          <w:trHeight w:val="113"/>
        </w:trPr>
        <w:tc>
          <w:tcPr>
            <w:tcW w:w="5670" w:type="dxa"/>
            <w:tcBorders>
              <w:top w:val="nil"/>
              <w:left w:val="nil"/>
              <w:bottom w:val="single" w:sz="4" w:space="0" w:color="auto"/>
              <w:right w:val="nil"/>
            </w:tcBorders>
          </w:tcPr>
          <w:p w:rsidR="000B2259" w:rsidRPr="00D00722" w:rsidRDefault="000B2259" w:rsidP="00B37F4A">
            <w:pPr>
              <w:autoSpaceDE w:val="0"/>
              <w:autoSpaceDN w:val="0"/>
              <w:adjustRightInd w:val="0"/>
              <w:ind w:left="-108"/>
              <w:rPr>
                <w:rFonts w:ascii="Arial" w:hAnsi="Arial" w:cs="Arial"/>
                <w:color w:val="000000"/>
              </w:rPr>
            </w:pPr>
            <w:r w:rsidRPr="00D00722">
              <w:rPr>
                <w:rFonts w:ascii="Arial" w:hAnsi="Arial" w:cs="Arial"/>
                <w:color w:val="000000"/>
              </w:rPr>
              <w:t>Beklenen vergi (%20)</w:t>
            </w:r>
          </w:p>
        </w:tc>
        <w:tc>
          <w:tcPr>
            <w:tcW w:w="1701" w:type="dxa"/>
            <w:tcBorders>
              <w:top w:val="nil"/>
              <w:left w:val="nil"/>
              <w:bottom w:val="single" w:sz="4" w:space="0" w:color="auto"/>
              <w:right w:val="nil"/>
            </w:tcBorders>
          </w:tcPr>
          <w:p w:rsidR="000B2259" w:rsidRPr="00D00722" w:rsidRDefault="00033B7C" w:rsidP="00E83219">
            <w:pPr>
              <w:autoSpaceDE w:val="0"/>
              <w:autoSpaceDN w:val="0"/>
              <w:adjustRightInd w:val="0"/>
              <w:jc w:val="right"/>
              <w:rPr>
                <w:rFonts w:ascii="Arial" w:hAnsi="Arial" w:cs="Arial"/>
                <w:b/>
                <w:bCs/>
                <w:color w:val="000000"/>
              </w:rPr>
            </w:pPr>
            <w:r w:rsidRPr="00D00722">
              <w:rPr>
                <w:rFonts w:ascii="Arial" w:hAnsi="Arial" w:cs="Arial"/>
                <w:b/>
                <w:bCs/>
                <w:color w:val="000000"/>
              </w:rPr>
              <w:t>57.965</w:t>
            </w:r>
          </w:p>
        </w:tc>
        <w:tc>
          <w:tcPr>
            <w:tcW w:w="1701" w:type="dxa"/>
            <w:tcBorders>
              <w:top w:val="nil"/>
              <w:left w:val="nil"/>
              <w:bottom w:val="single" w:sz="4" w:space="0" w:color="auto"/>
              <w:right w:val="nil"/>
            </w:tcBorders>
          </w:tcPr>
          <w:p w:rsidR="000B2259" w:rsidRPr="00D00722" w:rsidRDefault="000B2259" w:rsidP="000B2259">
            <w:pPr>
              <w:autoSpaceDE w:val="0"/>
              <w:autoSpaceDN w:val="0"/>
              <w:adjustRightInd w:val="0"/>
              <w:jc w:val="right"/>
              <w:rPr>
                <w:rFonts w:ascii="Arial" w:hAnsi="Arial" w:cs="Arial"/>
                <w:bCs/>
                <w:color w:val="000000"/>
              </w:rPr>
            </w:pPr>
            <w:r w:rsidRPr="00D00722">
              <w:rPr>
                <w:rFonts w:ascii="Arial" w:hAnsi="Arial" w:cs="Arial"/>
                <w:bCs/>
                <w:color w:val="000000"/>
              </w:rPr>
              <w:t>88.146</w:t>
            </w:r>
          </w:p>
        </w:tc>
      </w:tr>
      <w:tr w:rsidR="000B2259" w:rsidRPr="00D00722" w:rsidTr="000B2259">
        <w:trPr>
          <w:trHeight w:val="113"/>
        </w:trPr>
        <w:tc>
          <w:tcPr>
            <w:tcW w:w="5670" w:type="dxa"/>
            <w:tcBorders>
              <w:top w:val="single" w:sz="4" w:space="0" w:color="auto"/>
              <w:left w:val="nil"/>
              <w:right w:val="nil"/>
            </w:tcBorders>
          </w:tcPr>
          <w:p w:rsidR="000B2259" w:rsidRPr="00D00722" w:rsidRDefault="000B2259" w:rsidP="00B37F4A">
            <w:pPr>
              <w:autoSpaceDE w:val="0"/>
              <w:autoSpaceDN w:val="0"/>
              <w:adjustRightInd w:val="0"/>
              <w:ind w:left="-108"/>
              <w:rPr>
                <w:rFonts w:ascii="Arial" w:hAnsi="Arial" w:cs="Arial"/>
                <w:color w:val="000000"/>
              </w:rPr>
            </w:pPr>
            <w:r w:rsidRPr="00D00722">
              <w:rPr>
                <w:rFonts w:ascii="Arial" w:hAnsi="Arial" w:cs="Arial"/>
                <w:color w:val="000000"/>
              </w:rPr>
              <w:t>Kanunen kabul edilmeyen giderlerin etkisi</w:t>
            </w:r>
          </w:p>
        </w:tc>
        <w:tc>
          <w:tcPr>
            <w:tcW w:w="1701" w:type="dxa"/>
            <w:tcBorders>
              <w:top w:val="single" w:sz="4" w:space="0" w:color="auto"/>
              <w:left w:val="nil"/>
              <w:right w:val="nil"/>
            </w:tcBorders>
          </w:tcPr>
          <w:p w:rsidR="000B2259" w:rsidRPr="00D00722" w:rsidRDefault="00033B7C" w:rsidP="00E83219">
            <w:pPr>
              <w:autoSpaceDE w:val="0"/>
              <w:autoSpaceDN w:val="0"/>
              <w:adjustRightInd w:val="0"/>
              <w:jc w:val="right"/>
              <w:rPr>
                <w:rFonts w:ascii="Arial" w:hAnsi="Arial" w:cs="Arial"/>
                <w:b/>
                <w:bCs/>
                <w:color w:val="000000"/>
              </w:rPr>
            </w:pPr>
            <w:r w:rsidRPr="00D00722">
              <w:rPr>
                <w:rFonts w:ascii="Arial" w:hAnsi="Arial" w:cs="Arial"/>
                <w:b/>
                <w:bCs/>
                <w:color w:val="000000"/>
              </w:rPr>
              <w:t>(4.357)</w:t>
            </w:r>
          </w:p>
        </w:tc>
        <w:tc>
          <w:tcPr>
            <w:tcW w:w="1701" w:type="dxa"/>
            <w:tcBorders>
              <w:top w:val="single" w:sz="4" w:space="0" w:color="auto"/>
              <w:left w:val="nil"/>
              <w:right w:val="nil"/>
            </w:tcBorders>
          </w:tcPr>
          <w:p w:rsidR="000B2259" w:rsidRPr="00D00722" w:rsidRDefault="000B2259" w:rsidP="000B2259">
            <w:pPr>
              <w:autoSpaceDE w:val="0"/>
              <w:autoSpaceDN w:val="0"/>
              <w:adjustRightInd w:val="0"/>
              <w:jc w:val="right"/>
              <w:rPr>
                <w:rFonts w:ascii="Arial" w:hAnsi="Arial" w:cs="Arial"/>
                <w:bCs/>
                <w:color w:val="000000"/>
              </w:rPr>
            </w:pPr>
            <w:r w:rsidRPr="00D00722">
              <w:rPr>
                <w:rFonts w:ascii="Arial" w:hAnsi="Arial" w:cs="Arial"/>
                <w:bCs/>
                <w:color w:val="000000"/>
              </w:rPr>
              <w:t>(11.430)</w:t>
            </w:r>
          </w:p>
        </w:tc>
      </w:tr>
      <w:tr w:rsidR="000B2259" w:rsidRPr="00D00722" w:rsidTr="000B2259">
        <w:trPr>
          <w:trHeight w:val="113"/>
        </w:trPr>
        <w:tc>
          <w:tcPr>
            <w:tcW w:w="5670" w:type="dxa"/>
            <w:tcBorders>
              <w:left w:val="nil"/>
              <w:bottom w:val="nil"/>
              <w:right w:val="nil"/>
            </w:tcBorders>
          </w:tcPr>
          <w:p w:rsidR="000B2259" w:rsidRPr="00D00722" w:rsidRDefault="000B2259" w:rsidP="00B37F4A">
            <w:pPr>
              <w:autoSpaceDE w:val="0"/>
              <w:autoSpaceDN w:val="0"/>
              <w:adjustRightInd w:val="0"/>
              <w:ind w:left="-108"/>
              <w:rPr>
                <w:rFonts w:ascii="Arial" w:hAnsi="Arial" w:cs="Arial"/>
                <w:color w:val="000000"/>
              </w:rPr>
            </w:pPr>
            <w:r w:rsidRPr="00D00722">
              <w:rPr>
                <w:rFonts w:ascii="Arial" w:hAnsi="Arial" w:cs="Arial"/>
                <w:color w:val="000000"/>
              </w:rPr>
              <w:t>Geçmiş yıl zararlarına nakit ilavelerin etkisi</w:t>
            </w:r>
          </w:p>
        </w:tc>
        <w:tc>
          <w:tcPr>
            <w:tcW w:w="1701" w:type="dxa"/>
            <w:tcBorders>
              <w:left w:val="nil"/>
              <w:bottom w:val="nil"/>
              <w:right w:val="nil"/>
            </w:tcBorders>
          </w:tcPr>
          <w:p w:rsidR="000B2259" w:rsidRPr="00D00722" w:rsidRDefault="000B2259" w:rsidP="00E83219">
            <w:pPr>
              <w:autoSpaceDE w:val="0"/>
              <w:autoSpaceDN w:val="0"/>
              <w:adjustRightInd w:val="0"/>
              <w:jc w:val="right"/>
              <w:rPr>
                <w:rFonts w:ascii="Arial" w:hAnsi="Arial" w:cs="Arial"/>
                <w:b/>
                <w:bCs/>
                <w:color w:val="000000"/>
              </w:rPr>
            </w:pPr>
          </w:p>
        </w:tc>
        <w:tc>
          <w:tcPr>
            <w:tcW w:w="1701" w:type="dxa"/>
            <w:tcBorders>
              <w:left w:val="nil"/>
              <w:bottom w:val="nil"/>
              <w:right w:val="nil"/>
            </w:tcBorders>
          </w:tcPr>
          <w:p w:rsidR="000B2259" w:rsidRPr="00D00722" w:rsidRDefault="000B2259" w:rsidP="000B2259">
            <w:pPr>
              <w:autoSpaceDE w:val="0"/>
              <w:autoSpaceDN w:val="0"/>
              <w:adjustRightInd w:val="0"/>
              <w:jc w:val="right"/>
              <w:rPr>
                <w:rFonts w:ascii="Arial" w:hAnsi="Arial" w:cs="Arial"/>
                <w:bCs/>
                <w:color w:val="000000"/>
              </w:rPr>
            </w:pPr>
            <w:r w:rsidRPr="00D00722">
              <w:rPr>
                <w:rFonts w:ascii="Arial" w:hAnsi="Arial" w:cs="Arial"/>
                <w:bCs/>
                <w:color w:val="000000"/>
              </w:rPr>
              <w:t>-</w:t>
            </w:r>
          </w:p>
        </w:tc>
      </w:tr>
      <w:tr w:rsidR="000B2259" w:rsidRPr="00D00722" w:rsidTr="000B2259">
        <w:trPr>
          <w:trHeight w:val="113"/>
        </w:trPr>
        <w:tc>
          <w:tcPr>
            <w:tcW w:w="5670" w:type="dxa"/>
            <w:tcBorders>
              <w:top w:val="nil"/>
              <w:left w:val="nil"/>
              <w:bottom w:val="nil"/>
              <w:right w:val="nil"/>
            </w:tcBorders>
          </w:tcPr>
          <w:p w:rsidR="000B2259" w:rsidRPr="00D00722" w:rsidRDefault="000B2259" w:rsidP="00B37F4A">
            <w:pPr>
              <w:autoSpaceDE w:val="0"/>
              <w:autoSpaceDN w:val="0"/>
              <w:adjustRightInd w:val="0"/>
              <w:ind w:left="-108"/>
              <w:rPr>
                <w:rFonts w:ascii="Arial" w:hAnsi="Arial" w:cs="Arial"/>
                <w:color w:val="000000"/>
              </w:rPr>
            </w:pPr>
            <w:r w:rsidRPr="00D00722">
              <w:rPr>
                <w:rFonts w:ascii="Arial" w:hAnsi="Arial" w:cs="Arial"/>
                <w:color w:val="000000"/>
              </w:rPr>
              <w:t>Diğer</w:t>
            </w:r>
          </w:p>
        </w:tc>
        <w:tc>
          <w:tcPr>
            <w:tcW w:w="1701" w:type="dxa"/>
            <w:tcBorders>
              <w:top w:val="nil"/>
              <w:left w:val="nil"/>
              <w:bottom w:val="nil"/>
              <w:right w:val="nil"/>
            </w:tcBorders>
          </w:tcPr>
          <w:p w:rsidR="000B2259" w:rsidRPr="00D00722" w:rsidRDefault="00033B7C" w:rsidP="00E83219">
            <w:pPr>
              <w:autoSpaceDE w:val="0"/>
              <w:autoSpaceDN w:val="0"/>
              <w:adjustRightInd w:val="0"/>
              <w:jc w:val="right"/>
              <w:rPr>
                <w:rFonts w:ascii="Arial" w:hAnsi="Arial" w:cs="Arial"/>
                <w:b/>
                <w:bCs/>
                <w:color w:val="000000"/>
              </w:rPr>
            </w:pPr>
            <w:r w:rsidRPr="00D00722">
              <w:rPr>
                <w:rFonts w:ascii="Arial" w:hAnsi="Arial" w:cs="Arial"/>
                <w:b/>
                <w:bCs/>
                <w:color w:val="000000"/>
              </w:rPr>
              <w:t>4.193</w:t>
            </w:r>
          </w:p>
        </w:tc>
        <w:tc>
          <w:tcPr>
            <w:tcW w:w="1701" w:type="dxa"/>
            <w:tcBorders>
              <w:top w:val="nil"/>
              <w:left w:val="nil"/>
              <w:bottom w:val="nil"/>
              <w:right w:val="nil"/>
            </w:tcBorders>
          </w:tcPr>
          <w:p w:rsidR="000B2259" w:rsidRPr="00D00722" w:rsidRDefault="000B2259" w:rsidP="000B2259">
            <w:pPr>
              <w:autoSpaceDE w:val="0"/>
              <w:autoSpaceDN w:val="0"/>
              <w:adjustRightInd w:val="0"/>
              <w:jc w:val="right"/>
              <w:rPr>
                <w:rFonts w:ascii="Arial" w:hAnsi="Arial" w:cs="Arial"/>
                <w:bCs/>
                <w:color w:val="000000"/>
              </w:rPr>
            </w:pPr>
            <w:r w:rsidRPr="00D00722">
              <w:rPr>
                <w:rFonts w:ascii="Arial" w:hAnsi="Arial" w:cs="Arial"/>
                <w:bCs/>
                <w:color w:val="000000"/>
              </w:rPr>
              <w:t>10.072</w:t>
            </w:r>
          </w:p>
        </w:tc>
      </w:tr>
      <w:tr w:rsidR="000B2259" w:rsidRPr="00D00722" w:rsidTr="000B2259">
        <w:trPr>
          <w:trHeight w:val="113"/>
        </w:trPr>
        <w:tc>
          <w:tcPr>
            <w:tcW w:w="5670" w:type="dxa"/>
            <w:tcBorders>
              <w:top w:val="nil"/>
              <w:left w:val="nil"/>
              <w:bottom w:val="nil"/>
              <w:right w:val="nil"/>
            </w:tcBorders>
          </w:tcPr>
          <w:p w:rsidR="000B2259" w:rsidRPr="00D00722" w:rsidRDefault="000B2259" w:rsidP="00B37F4A">
            <w:pPr>
              <w:autoSpaceDE w:val="0"/>
              <w:autoSpaceDN w:val="0"/>
              <w:adjustRightInd w:val="0"/>
              <w:ind w:left="-108"/>
              <w:jc w:val="right"/>
              <w:rPr>
                <w:rFonts w:ascii="Arial" w:hAnsi="Arial" w:cs="Arial"/>
                <w:color w:val="000000"/>
              </w:rPr>
            </w:pPr>
          </w:p>
        </w:tc>
        <w:tc>
          <w:tcPr>
            <w:tcW w:w="1701" w:type="dxa"/>
            <w:tcBorders>
              <w:top w:val="nil"/>
              <w:left w:val="nil"/>
              <w:bottom w:val="nil"/>
              <w:right w:val="nil"/>
            </w:tcBorders>
          </w:tcPr>
          <w:p w:rsidR="000B2259" w:rsidRPr="00D00722" w:rsidRDefault="000B2259" w:rsidP="00E83219">
            <w:pPr>
              <w:autoSpaceDE w:val="0"/>
              <w:autoSpaceDN w:val="0"/>
              <w:adjustRightInd w:val="0"/>
              <w:jc w:val="right"/>
              <w:rPr>
                <w:rFonts w:ascii="Arial" w:hAnsi="Arial" w:cs="Arial"/>
                <w:b/>
                <w:bCs/>
                <w:color w:val="000000"/>
              </w:rPr>
            </w:pPr>
          </w:p>
        </w:tc>
        <w:tc>
          <w:tcPr>
            <w:tcW w:w="1701" w:type="dxa"/>
            <w:tcBorders>
              <w:top w:val="nil"/>
              <w:left w:val="nil"/>
              <w:bottom w:val="nil"/>
              <w:right w:val="nil"/>
            </w:tcBorders>
          </w:tcPr>
          <w:p w:rsidR="000B2259" w:rsidRPr="00D00722" w:rsidRDefault="000B2259" w:rsidP="000B2259">
            <w:pPr>
              <w:autoSpaceDE w:val="0"/>
              <w:autoSpaceDN w:val="0"/>
              <w:adjustRightInd w:val="0"/>
              <w:jc w:val="right"/>
              <w:rPr>
                <w:rFonts w:ascii="Arial" w:hAnsi="Arial" w:cs="Arial"/>
                <w:bCs/>
                <w:color w:val="000000"/>
              </w:rPr>
            </w:pPr>
          </w:p>
        </w:tc>
      </w:tr>
      <w:tr w:rsidR="000B2259" w:rsidRPr="00D00722" w:rsidTr="000B2259">
        <w:trPr>
          <w:trHeight w:val="113"/>
        </w:trPr>
        <w:tc>
          <w:tcPr>
            <w:tcW w:w="5670" w:type="dxa"/>
            <w:tcBorders>
              <w:top w:val="single" w:sz="6" w:space="0" w:color="auto"/>
              <w:left w:val="nil"/>
              <w:bottom w:val="double" w:sz="6" w:space="0" w:color="auto"/>
              <w:right w:val="nil"/>
            </w:tcBorders>
          </w:tcPr>
          <w:p w:rsidR="000B2259" w:rsidRPr="00D00722" w:rsidRDefault="000B2259" w:rsidP="00B37F4A">
            <w:pPr>
              <w:autoSpaceDE w:val="0"/>
              <w:autoSpaceDN w:val="0"/>
              <w:adjustRightInd w:val="0"/>
              <w:ind w:left="-108"/>
              <w:rPr>
                <w:rFonts w:ascii="Arial" w:hAnsi="Arial" w:cs="Arial"/>
                <w:b/>
                <w:bCs/>
                <w:color w:val="000000"/>
              </w:rPr>
            </w:pPr>
            <w:r w:rsidRPr="00D00722">
              <w:rPr>
                <w:rFonts w:ascii="Arial" w:hAnsi="Arial" w:cs="Arial"/>
                <w:b/>
                <w:bCs/>
                <w:color w:val="000000"/>
              </w:rPr>
              <w:t>Vergi geliri/(gideri)</w:t>
            </w:r>
          </w:p>
        </w:tc>
        <w:tc>
          <w:tcPr>
            <w:tcW w:w="1701" w:type="dxa"/>
            <w:tcBorders>
              <w:top w:val="single" w:sz="6" w:space="0" w:color="auto"/>
              <w:left w:val="nil"/>
              <w:bottom w:val="double" w:sz="6" w:space="0" w:color="auto"/>
              <w:right w:val="nil"/>
            </w:tcBorders>
          </w:tcPr>
          <w:p w:rsidR="000B2259" w:rsidRPr="00D00722" w:rsidRDefault="00033B7C" w:rsidP="00E83219">
            <w:pPr>
              <w:autoSpaceDE w:val="0"/>
              <w:autoSpaceDN w:val="0"/>
              <w:adjustRightInd w:val="0"/>
              <w:jc w:val="right"/>
              <w:rPr>
                <w:rFonts w:ascii="Arial" w:hAnsi="Arial" w:cs="Arial"/>
                <w:b/>
                <w:bCs/>
                <w:color w:val="000000"/>
              </w:rPr>
            </w:pPr>
            <w:r w:rsidRPr="00D00722">
              <w:rPr>
                <w:rFonts w:ascii="Arial" w:hAnsi="Arial" w:cs="Arial"/>
                <w:b/>
                <w:bCs/>
                <w:color w:val="000000"/>
              </w:rPr>
              <w:t>57.801</w:t>
            </w:r>
          </w:p>
        </w:tc>
        <w:tc>
          <w:tcPr>
            <w:tcW w:w="1701" w:type="dxa"/>
            <w:tcBorders>
              <w:top w:val="single" w:sz="6" w:space="0" w:color="auto"/>
              <w:left w:val="nil"/>
              <w:bottom w:val="double" w:sz="6" w:space="0" w:color="auto"/>
              <w:right w:val="nil"/>
            </w:tcBorders>
          </w:tcPr>
          <w:p w:rsidR="000B2259" w:rsidRPr="00D00722" w:rsidRDefault="000B2259" w:rsidP="000B2259">
            <w:pPr>
              <w:autoSpaceDE w:val="0"/>
              <w:autoSpaceDN w:val="0"/>
              <w:adjustRightInd w:val="0"/>
              <w:jc w:val="right"/>
              <w:rPr>
                <w:rFonts w:ascii="Arial" w:hAnsi="Arial" w:cs="Arial"/>
                <w:bCs/>
                <w:color w:val="000000"/>
              </w:rPr>
            </w:pPr>
            <w:r w:rsidRPr="00D00722">
              <w:rPr>
                <w:rFonts w:ascii="Arial" w:hAnsi="Arial" w:cs="Arial"/>
                <w:bCs/>
                <w:color w:val="000000"/>
              </w:rPr>
              <w:t>86.788</w:t>
            </w:r>
          </w:p>
        </w:tc>
      </w:tr>
    </w:tbl>
    <w:p w:rsidR="00521365" w:rsidRPr="00D00722" w:rsidRDefault="00521365" w:rsidP="005A000A">
      <w:pPr>
        <w:spacing w:line="200" w:lineRule="exact"/>
        <w:rPr>
          <w:rFonts w:ascii="Arial" w:hAnsi="Arial" w:cs="Arial"/>
          <w:lang w:val="tr-TR"/>
        </w:rPr>
      </w:pPr>
    </w:p>
    <w:p w:rsidR="00245BD3" w:rsidRPr="00D00722" w:rsidRDefault="00681E53" w:rsidP="0090567F">
      <w:pPr>
        <w:ind w:left="567" w:hanging="567"/>
        <w:rPr>
          <w:rFonts w:ascii="Arial" w:hAnsi="Arial" w:cs="Arial"/>
          <w:b/>
          <w:lang w:val="tr-TR"/>
        </w:rPr>
      </w:pPr>
      <w:r w:rsidRPr="00D00722">
        <w:rPr>
          <w:rFonts w:ascii="Arial" w:hAnsi="Arial" w:cs="Arial"/>
          <w:b/>
          <w:lang w:val="tr-TR"/>
        </w:rPr>
        <w:t>22</w:t>
      </w:r>
      <w:r w:rsidR="00245BD3" w:rsidRPr="00D00722">
        <w:rPr>
          <w:rFonts w:ascii="Arial" w:hAnsi="Arial" w:cs="Arial"/>
          <w:b/>
          <w:lang w:val="tr-TR"/>
        </w:rPr>
        <w:t>.</w:t>
      </w:r>
      <w:r w:rsidR="00245BD3" w:rsidRPr="00D00722">
        <w:rPr>
          <w:rFonts w:ascii="Arial" w:hAnsi="Arial" w:cs="Arial"/>
          <w:b/>
          <w:lang w:val="tr-TR"/>
        </w:rPr>
        <w:tab/>
      </w:r>
      <w:r w:rsidR="007C3C7C" w:rsidRPr="00D00722">
        <w:rPr>
          <w:rFonts w:ascii="Arial" w:hAnsi="Arial" w:cs="Arial"/>
          <w:b/>
          <w:lang w:val="tr-TR"/>
        </w:rPr>
        <w:t>Hisse başına kazanç</w:t>
      </w:r>
    </w:p>
    <w:p w:rsidR="00EE69AC" w:rsidRPr="00D00722" w:rsidRDefault="00EE69AC" w:rsidP="00967F1C">
      <w:pPr>
        <w:ind w:right="-23"/>
        <w:jc w:val="both"/>
        <w:rPr>
          <w:rFonts w:ascii="Arial" w:hAnsi="Arial" w:cs="Arial"/>
          <w:lang w:val="tr-TR"/>
        </w:rPr>
      </w:pPr>
    </w:p>
    <w:p w:rsidR="003B42C2" w:rsidRPr="00D00722" w:rsidRDefault="003732B9">
      <w:pPr>
        <w:rPr>
          <w:rFonts w:ascii="Arial" w:hAnsi="Arial" w:cs="Arial"/>
          <w:b/>
          <w:lang w:val="tr-TR"/>
        </w:rPr>
      </w:pPr>
      <w:r w:rsidRPr="00D00722">
        <w:rPr>
          <w:rFonts w:ascii="Arial" w:hAnsi="Arial" w:cs="Arial"/>
          <w:color w:val="000000"/>
          <w:lang w:val="tr-TR"/>
        </w:rPr>
        <w:t>T</w:t>
      </w:r>
      <w:r w:rsidR="001A0161" w:rsidRPr="00D00722">
        <w:rPr>
          <w:rFonts w:ascii="Arial" w:hAnsi="Arial" w:cs="Arial"/>
          <w:color w:val="000000"/>
          <w:lang w:val="tr-TR"/>
        </w:rPr>
        <w:t>MS 33 “</w:t>
      </w:r>
      <w:r w:rsidR="00245BD3" w:rsidRPr="00D00722">
        <w:rPr>
          <w:rFonts w:ascii="Arial" w:hAnsi="Arial" w:cs="Arial"/>
          <w:color w:val="000000"/>
          <w:lang w:val="tr-TR"/>
        </w:rPr>
        <w:t>Hisse Başına Kazanç” standardına göre, hisse senetleri borsada işlem görmeyen işletmeler hisse başına kazanç açıklamak zorunda değildirler</w:t>
      </w:r>
      <w:r w:rsidR="005A73C5" w:rsidRPr="00D00722">
        <w:rPr>
          <w:rFonts w:ascii="Arial" w:hAnsi="Arial" w:cs="Arial"/>
          <w:color w:val="000000"/>
          <w:lang w:val="tr-TR"/>
        </w:rPr>
        <w:t>.</w:t>
      </w:r>
      <w:r w:rsidR="00245BD3" w:rsidRPr="00D00722">
        <w:rPr>
          <w:rFonts w:ascii="Arial" w:hAnsi="Arial" w:cs="Arial"/>
          <w:color w:val="000000"/>
          <w:lang w:val="tr-TR"/>
        </w:rPr>
        <w:t xml:space="preserve"> Şirket’in hisseleri borsada işlem </w:t>
      </w:r>
      <w:r w:rsidR="005A73C5" w:rsidRPr="00D00722">
        <w:rPr>
          <w:rFonts w:ascii="Arial" w:hAnsi="Arial" w:cs="Arial"/>
          <w:color w:val="000000"/>
          <w:lang w:val="tr-TR"/>
        </w:rPr>
        <w:t>görmediğinden</w:t>
      </w:r>
      <w:r w:rsidR="00C75301" w:rsidRPr="00D00722">
        <w:rPr>
          <w:rFonts w:ascii="Arial" w:hAnsi="Arial" w:cs="Arial"/>
          <w:color w:val="000000"/>
          <w:lang w:val="tr-TR"/>
        </w:rPr>
        <w:t xml:space="preserve"> ekli finansal</w:t>
      </w:r>
      <w:r w:rsidR="00245BD3" w:rsidRPr="00D00722">
        <w:rPr>
          <w:rFonts w:ascii="Arial" w:hAnsi="Arial" w:cs="Arial"/>
          <w:color w:val="000000"/>
          <w:lang w:val="tr-TR"/>
        </w:rPr>
        <w:t xml:space="preserve"> tablolarda hisse başına</w:t>
      </w:r>
      <w:r w:rsidR="005A73C5" w:rsidRPr="00D00722">
        <w:rPr>
          <w:rFonts w:ascii="Arial" w:hAnsi="Arial" w:cs="Arial"/>
          <w:color w:val="000000"/>
          <w:lang w:val="tr-TR"/>
        </w:rPr>
        <w:t xml:space="preserve"> kazanç/zarar hesaplanmamıştır.</w:t>
      </w:r>
      <w:r w:rsidR="00245BD3" w:rsidRPr="00D00722">
        <w:rPr>
          <w:rFonts w:ascii="Arial" w:hAnsi="Arial" w:cs="Arial"/>
          <w:color w:val="000000"/>
          <w:lang w:val="tr-TR"/>
        </w:rPr>
        <w:t xml:space="preserve"> </w:t>
      </w:r>
      <w:r w:rsidR="003B42C2" w:rsidRPr="00D00722">
        <w:rPr>
          <w:rFonts w:ascii="Arial" w:hAnsi="Arial" w:cs="Arial"/>
          <w:b/>
          <w:lang w:val="tr-TR"/>
        </w:rPr>
        <w:br w:type="page"/>
      </w:r>
    </w:p>
    <w:p w:rsidR="00245BD3" w:rsidRPr="00D00722" w:rsidRDefault="00681E53" w:rsidP="00967F1C">
      <w:pPr>
        <w:ind w:left="567" w:hanging="567"/>
        <w:jc w:val="both"/>
        <w:rPr>
          <w:rFonts w:ascii="Arial" w:hAnsi="Arial" w:cs="Arial"/>
          <w:lang w:val="tr-TR"/>
        </w:rPr>
      </w:pPr>
      <w:r w:rsidRPr="00D00722">
        <w:rPr>
          <w:rFonts w:ascii="Arial" w:hAnsi="Arial" w:cs="Arial"/>
          <w:b/>
          <w:lang w:val="tr-TR"/>
        </w:rPr>
        <w:t>23</w:t>
      </w:r>
      <w:r w:rsidR="00245BD3" w:rsidRPr="00D00722">
        <w:rPr>
          <w:rFonts w:ascii="Arial" w:hAnsi="Arial" w:cs="Arial"/>
          <w:b/>
          <w:lang w:val="tr-TR"/>
        </w:rPr>
        <w:t>.</w:t>
      </w:r>
      <w:r w:rsidR="00245BD3" w:rsidRPr="00D00722">
        <w:rPr>
          <w:rFonts w:ascii="Arial" w:hAnsi="Arial" w:cs="Arial"/>
          <w:b/>
          <w:lang w:val="tr-TR"/>
        </w:rPr>
        <w:tab/>
      </w:r>
      <w:r w:rsidR="007C3C7C" w:rsidRPr="00D00722">
        <w:rPr>
          <w:rFonts w:ascii="Arial" w:hAnsi="Arial" w:cs="Arial"/>
          <w:b/>
          <w:lang w:val="tr-TR"/>
        </w:rPr>
        <w:t xml:space="preserve">İlişkili taraf açıklamaları </w:t>
      </w:r>
    </w:p>
    <w:p w:rsidR="00245BD3" w:rsidRPr="00D00722" w:rsidRDefault="00245BD3" w:rsidP="00967F1C">
      <w:pPr>
        <w:jc w:val="both"/>
        <w:rPr>
          <w:rFonts w:ascii="Arial" w:hAnsi="Arial" w:cs="Arial"/>
          <w:lang w:val="tr-TR"/>
        </w:rPr>
      </w:pPr>
    </w:p>
    <w:p w:rsidR="00245BD3" w:rsidRPr="00D00722" w:rsidRDefault="00245BD3" w:rsidP="00E83219">
      <w:pPr>
        <w:autoSpaceDE w:val="0"/>
        <w:autoSpaceDN w:val="0"/>
        <w:adjustRightInd w:val="0"/>
        <w:rPr>
          <w:rFonts w:ascii="Arial" w:hAnsi="Arial" w:cs="Arial"/>
          <w:lang w:val="tr-TR"/>
        </w:rPr>
      </w:pPr>
      <w:r w:rsidRPr="00D00722">
        <w:rPr>
          <w:rFonts w:ascii="Arial" w:hAnsi="Arial" w:cs="Arial"/>
          <w:lang w:val="tr-TR"/>
        </w:rPr>
        <w:t>Şirket’in ana ortağı ile e</w:t>
      </w:r>
      <w:r w:rsidR="00AB4AF6" w:rsidRPr="00D00722">
        <w:rPr>
          <w:rFonts w:ascii="Arial" w:hAnsi="Arial" w:cs="Arial"/>
          <w:lang w:val="tr-TR"/>
        </w:rPr>
        <w:t>sas kontrolü elinde tutan taraf,</w:t>
      </w:r>
      <w:r w:rsidRPr="00D00722">
        <w:rPr>
          <w:rFonts w:ascii="Arial" w:hAnsi="Arial" w:cs="Arial"/>
          <w:lang w:val="tr-TR"/>
        </w:rPr>
        <w:t xml:space="preserve"> Türkiye’de kurulmuş olan Ata Yatırım Menkul Kıymetler A.Ş.</w:t>
      </w:r>
      <w:r w:rsidR="00AE6069" w:rsidRPr="00D00722">
        <w:rPr>
          <w:rFonts w:ascii="Arial" w:hAnsi="Arial" w:cs="Arial"/>
          <w:lang w:val="tr-TR"/>
        </w:rPr>
        <w:t xml:space="preserve"> (“Ata Yatırım”)</w:t>
      </w:r>
      <w:r w:rsidRPr="00D00722">
        <w:rPr>
          <w:rFonts w:ascii="Arial" w:hAnsi="Arial" w:cs="Arial"/>
          <w:lang w:val="tr-TR"/>
        </w:rPr>
        <w:t>’dir</w:t>
      </w:r>
      <w:r w:rsidR="00636175" w:rsidRPr="00D00722">
        <w:rPr>
          <w:rFonts w:ascii="Arial" w:hAnsi="Arial" w:cs="Arial"/>
          <w:lang w:val="tr-TR"/>
        </w:rPr>
        <w:t>.</w:t>
      </w:r>
    </w:p>
    <w:p w:rsidR="009D0CBA" w:rsidRPr="00D00722" w:rsidRDefault="009D0CBA" w:rsidP="00967F1C">
      <w:pPr>
        <w:autoSpaceDE w:val="0"/>
        <w:autoSpaceDN w:val="0"/>
        <w:adjustRightInd w:val="0"/>
        <w:jc w:val="both"/>
        <w:rPr>
          <w:rFonts w:ascii="Arial" w:hAnsi="Arial" w:cs="Arial"/>
          <w:lang w:val="tr-TR"/>
        </w:rPr>
      </w:pPr>
    </w:p>
    <w:p w:rsidR="009D0CBA" w:rsidRPr="00D00722" w:rsidRDefault="009D0CBA" w:rsidP="00967F1C">
      <w:pPr>
        <w:autoSpaceDE w:val="0"/>
        <w:autoSpaceDN w:val="0"/>
        <w:adjustRightInd w:val="0"/>
        <w:jc w:val="both"/>
        <w:rPr>
          <w:rFonts w:ascii="Arial" w:hAnsi="Arial" w:cs="Arial"/>
          <w:lang w:val="tr-TR"/>
        </w:rPr>
      </w:pPr>
      <w:r w:rsidRPr="00D00722">
        <w:rPr>
          <w:rFonts w:ascii="Arial" w:hAnsi="Arial" w:cs="Arial"/>
          <w:lang w:val="tr-TR"/>
        </w:rPr>
        <w:t>Şirket ile diğer ilişkili taraflar arasındaki işlemlerin detayları aşağıda açıklanmıştır.</w:t>
      </w:r>
    </w:p>
    <w:p w:rsidR="009D0CBA" w:rsidRPr="00D00722" w:rsidRDefault="009D0CBA" w:rsidP="00967F1C">
      <w:pPr>
        <w:autoSpaceDE w:val="0"/>
        <w:autoSpaceDN w:val="0"/>
        <w:adjustRightInd w:val="0"/>
        <w:jc w:val="both"/>
        <w:rPr>
          <w:rFonts w:ascii="Arial" w:hAnsi="Arial" w:cs="Arial"/>
          <w:lang w:val="tr-TR"/>
        </w:rPr>
      </w:pPr>
    </w:p>
    <w:p w:rsidR="001F7CD0" w:rsidRPr="00D00722" w:rsidRDefault="00342A95" w:rsidP="00967F1C">
      <w:pPr>
        <w:autoSpaceDE w:val="0"/>
        <w:autoSpaceDN w:val="0"/>
        <w:adjustRightInd w:val="0"/>
        <w:jc w:val="both"/>
        <w:rPr>
          <w:rFonts w:ascii="Arial" w:hAnsi="Arial" w:cs="Arial"/>
          <w:b/>
          <w:lang w:val="tr-TR"/>
        </w:rPr>
      </w:pPr>
      <w:r w:rsidRPr="00D00722">
        <w:rPr>
          <w:rFonts w:ascii="Arial" w:hAnsi="Arial" w:cs="Arial"/>
          <w:b/>
          <w:lang w:val="tr-TR"/>
        </w:rPr>
        <w:t>Nakit ve nakit benzeri değerler</w:t>
      </w:r>
    </w:p>
    <w:p w:rsidR="001F7CD0" w:rsidRPr="00D00722" w:rsidRDefault="001F7CD0" w:rsidP="00967F1C">
      <w:pPr>
        <w:autoSpaceDE w:val="0"/>
        <w:autoSpaceDN w:val="0"/>
        <w:adjustRightInd w:val="0"/>
        <w:jc w:val="both"/>
        <w:rPr>
          <w:rFonts w:ascii="Arial" w:hAnsi="Arial" w:cs="Arial"/>
          <w:lang w:val="tr-TR"/>
        </w:rPr>
      </w:pPr>
    </w:p>
    <w:tbl>
      <w:tblPr>
        <w:tblW w:w="9071" w:type="dxa"/>
        <w:tblInd w:w="108" w:type="dxa"/>
        <w:tblLook w:val="04A0"/>
      </w:tblPr>
      <w:tblGrid>
        <w:gridCol w:w="5586"/>
        <w:gridCol w:w="1785"/>
        <w:gridCol w:w="1700"/>
      </w:tblGrid>
      <w:tr w:rsidR="007C706B" w:rsidRPr="00D00722" w:rsidTr="007C706B">
        <w:trPr>
          <w:trHeight w:val="113"/>
        </w:trPr>
        <w:tc>
          <w:tcPr>
            <w:tcW w:w="5586" w:type="dxa"/>
            <w:tcBorders>
              <w:top w:val="single" w:sz="8" w:space="0" w:color="auto"/>
              <w:left w:val="nil"/>
              <w:bottom w:val="single" w:sz="8" w:space="0" w:color="auto"/>
              <w:right w:val="nil"/>
            </w:tcBorders>
            <w:shd w:val="clear" w:color="auto" w:fill="auto"/>
            <w:hideMark/>
          </w:tcPr>
          <w:p w:rsidR="007C706B" w:rsidRPr="00D00722" w:rsidRDefault="007C706B" w:rsidP="000B5B51">
            <w:pPr>
              <w:autoSpaceDE w:val="0"/>
              <w:autoSpaceDN w:val="0"/>
              <w:adjustRightInd w:val="0"/>
              <w:ind w:hanging="108"/>
              <w:jc w:val="both"/>
              <w:rPr>
                <w:rFonts w:ascii="Arial" w:hAnsi="Arial" w:cs="Arial"/>
                <w:b/>
                <w:bCs/>
                <w:color w:val="000000"/>
              </w:rPr>
            </w:pPr>
          </w:p>
        </w:tc>
        <w:tc>
          <w:tcPr>
            <w:tcW w:w="1785" w:type="dxa"/>
            <w:tcBorders>
              <w:top w:val="single" w:sz="8" w:space="0" w:color="auto"/>
              <w:left w:val="nil"/>
              <w:bottom w:val="single" w:sz="8" w:space="0" w:color="auto"/>
              <w:right w:val="nil"/>
            </w:tcBorders>
            <w:shd w:val="clear" w:color="auto" w:fill="auto"/>
            <w:noWrap/>
            <w:vAlign w:val="bottom"/>
            <w:hideMark/>
          </w:tcPr>
          <w:p w:rsidR="007C706B" w:rsidRPr="00D00722" w:rsidRDefault="007C706B" w:rsidP="007C706B">
            <w:pPr>
              <w:ind w:left="-249"/>
              <w:jc w:val="right"/>
              <w:rPr>
                <w:rFonts w:ascii="Arial" w:hAnsi="Arial" w:cs="Arial"/>
                <w:b/>
                <w:bCs/>
                <w:color w:val="000000"/>
              </w:rPr>
            </w:pPr>
            <w:r w:rsidRPr="00D00722">
              <w:rPr>
                <w:rFonts w:ascii="Arial" w:hAnsi="Arial" w:cs="Arial"/>
                <w:b/>
                <w:bCs/>
                <w:color w:val="000000"/>
              </w:rPr>
              <w:t>31 Mart 2014</w:t>
            </w:r>
          </w:p>
        </w:tc>
        <w:tc>
          <w:tcPr>
            <w:tcW w:w="1700" w:type="dxa"/>
            <w:tcBorders>
              <w:top w:val="single" w:sz="8" w:space="0" w:color="auto"/>
              <w:left w:val="nil"/>
              <w:bottom w:val="single" w:sz="8" w:space="0" w:color="auto"/>
              <w:right w:val="nil"/>
            </w:tcBorders>
            <w:vAlign w:val="bottom"/>
          </w:tcPr>
          <w:p w:rsidR="007C706B" w:rsidRPr="00D00722" w:rsidRDefault="007C706B" w:rsidP="007C706B">
            <w:pPr>
              <w:ind w:left="-249"/>
              <w:jc w:val="right"/>
              <w:rPr>
                <w:rFonts w:ascii="Arial" w:hAnsi="Arial" w:cs="Arial"/>
                <w:bCs/>
                <w:color w:val="000000"/>
              </w:rPr>
            </w:pPr>
            <w:r w:rsidRPr="00D00722">
              <w:rPr>
                <w:rFonts w:ascii="Arial" w:hAnsi="Arial" w:cs="Arial"/>
                <w:bCs/>
                <w:color w:val="000000"/>
              </w:rPr>
              <w:t>31 Aralık 2013</w:t>
            </w:r>
          </w:p>
        </w:tc>
      </w:tr>
      <w:tr w:rsidR="007C706B" w:rsidRPr="00D00722" w:rsidTr="007C706B">
        <w:trPr>
          <w:trHeight w:val="113"/>
        </w:trPr>
        <w:tc>
          <w:tcPr>
            <w:tcW w:w="5586" w:type="dxa"/>
            <w:tcBorders>
              <w:top w:val="nil"/>
              <w:left w:val="nil"/>
              <w:bottom w:val="nil"/>
              <w:right w:val="nil"/>
            </w:tcBorders>
            <w:shd w:val="clear" w:color="auto" w:fill="auto"/>
            <w:hideMark/>
          </w:tcPr>
          <w:p w:rsidR="007C706B" w:rsidRPr="00D00722" w:rsidRDefault="007C706B" w:rsidP="006231B9">
            <w:pPr>
              <w:rPr>
                <w:rFonts w:ascii="Calibri" w:hAnsi="Calibri" w:cs="Arial"/>
                <w:color w:val="000000"/>
              </w:rPr>
            </w:pPr>
          </w:p>
        </w:tc>
        <w:tc>
          <w:tcPr>
            <w:tcW w:w="1785" w:type="dxa"/>
            <w:tcBorders>
              <w:top w:val="nil"/>
              <w:left w:val="nil"/>
              <w:bottom w:val="nil"/>
              <w:right w:val="nil"/>
            </w:tcBorders>
            <w:shd w:val="clear" w:color="auto" w:fill="auto"/>
            <w:hideMark/>
          </w:tcPr>
          <w:p w:rsidR="007C706B" w:rsidRPr="00D00722" w:rsidRDefault="007C706B" w:rsidP="006231B9">
            <w:pPr>
              <w:ind w:left="-249"/>
              <w:rPr>
                <w:rFonts w:ascii="Calibri" w:hAnsi="Calibri" w:cs="Arial"/>
                <w:color w:val="000000"/>
              </w:rPr>
            </w:pPr>
          </w:p>
        </w:tc>
        <w:tc>
          <w:tcPr>
            <w:tcW w:w="1700" w:type="dxa"/>
            <w:tcBorders>
              <w:top w:val="nil"/>
              <w:left w:val="nil"/>
              <w:bottom w:val="nil"/>
              <w:right w:val="nil"/>
            </w:tcBorders>
          </w:tcPr>
          <w:p w:rsidR="007C706B" w:rsidRPr="00D00722" w:rsidRDefault="007C706B" w:rsidP="007C706B">
            <w:pPr>
              <w:ind w:left="-249"/>
              <w:rPr>
                <w:rFonts w:ascii="Calibri" w:hAnsi="Calibri" w:cs="Arial"/>
                <w:color w:val="000000"/>
              </w:rPr>
            </w:pPr>
          </w:p>
        </w:tc>
      </w:tr>
      <w:tr w:rsidR="007C706B" w:rsidRPr="00D00722" w:rsidTr="007C706B">
        <w:trPr>
          <w:trHeight w:val="113"/>
        </w:trPr>
        <w:tc>
          <w:tcPr>
            <w:tcW w:w="5586" w:type="dxa"/>
            <w:tcBorders>
              <w:top w:val="nil"/>
              <w:left w:val="nil"/>
              <w:bottom w:val="nil"/>
              <w:right w:val="nil"/>
            </w:tcBorders>
            <w:shd w:val="clear" w:color="auto" w:fill="auto"/>
            <w:hideMark/>
          </w:tcPr>
          <w:p w:rsidR="007C706B" w:rsidRPr="00D00722" w:rsidRDefault="007C706B" w:rsidP="00B37F4A">
            <w:pPr>
              <w:ind w:left="-108"/>
              <w:rPr>
                <w:rFonts w:ascii="Arial" w:hAnsi="Arial" w:cs="Arial"/>
                <w:color w:val="000000"/>
              </w:rPr>
            </w:pPr>
            <w:r w:rsidRPr="00D00722">
              <w:rPr>
                <w:rFonts w:ascii="Arial" w:hAnsi="Arial" w:cs="Arial"/>
                <w:color w:val="000000"/>
              </w:rPr>
              <w:t>Ata Yatırım Menkul Kıymetler A.Ş.’deki cari hesap</w:t>
            </w:r>
          </w:p>
        </w:tc>
        <w:tc>
          <w:tcPr>
            <w:tcW w:w="1785" w:type="dxa"/>
            <w:tcBorders>
              <w:top w:val="nil"/>
              <w:left w:val="nil"/>
              <w:bottom w:val="nil"/>
              <w:right w:val="nil"/>
            </w:tcBorders>
            <w:shd w:val="clear" w:color="auto" w:fill="auto"/>
            <w:vAlign w:val="bottom"/>
          </w:tcPr>
          <w:p w:rsidR="007C706B" w:rsidRPr="00D00722" w:rsidRDefault="004A3C3A" w:rsidP="004A3C3A">
            <w:pPr>
              <w:ind w:left="-249"/>
              <w:jc w:val="right"/>
              <w:rPr>
                <w:rFonts w:ascii="Arial" w:hAnsi="Arial" w:cs="Arial"/>
                <w:b/>
                <w:bCs/>
                <w:color w:val="000000"/>
              </w:rPr>
            </w:pPr>
            <w:r w:rsidRPr="00D00722">
              <w:rPr>
                <w:rFonts w:ascii="Arial" w:hAnsi="Arial" w:cs="Arial"/>
                <w:b/>
                <w:bCs/>
                <w:color w:val="000000"/>
              </w:rPr>
              <w:t>10.594</w:t>
            </w:r>
          </w:p>
        </w:tc>
        <w:tc>
          <w:tcPr>
            <w:tcW w:w="1700" w:type="dxa"/>
            <w:tcBorders>
              <w:top w:val="nil"/>
              <w:left w:val="nil"/>
              <w:bottom w:val="nil"/>
              <w:right w:val="nil"/>
            </w:tcBorders>
            <w:vAlign w:val="bottom"/>
          </w:tcPr>
          <w:p w:rsidR="007C706B" w:rsidRPr="00D00722" w:rsidRDefault="007C706B" w:rsidP="007C706B">
            <w:pPr>
              <w:ind w:left="-249"/>
              <w:jc w:val="right"/>
              <w:rPr>
                <w:rFonts w:ascii="Arial" w:hAnsi="Arial" w:cs="Arial"/>
                <w:bCs/>
                <w:color w:val="000000"/>
              </w:rPr>
            </w:pPr>
            <w:r w:rsidRPr="00D00722">
              <w:rPr>
                <w:rFonts w:ascii="Arial" w:hAnsi="Arial" w:cs="Arial"/>
                <w:bCs/>
                <w:color w:val="000000"/>
              </w:rPr>
              <w:t>32</w:t>
            </w:r>
          </w:p>
        </w:tc>
      </w:tr>
      <w:tr w:rsidR="007C706B" w:rsidRPr="00D00722" w:rsidTr="007C706B">
        <w:trPr>
          <w:trHeight w:val="113"/>
        </w:trPr>
        <w:tc>
          <w:tcPr>
            <w:tcW w:w="5586" w:type="dxa"/>
            <w:tcBorders>
              <w:top w:val="nil"/>
              <w:left w:val="nil"/>
              <w:bottom w:val="single" w:sz="8" w:space="0" w:color="auto"/>
              <w:right w:val="nil"/>
            </w:tcBorders>
            <w:shd w:val="clear" w:color="auto" w:fill="auto"/>
            <w:hideMark/>
          </w:tcPr>
          <w:p w:rsidR="007C706B" w:rsidRPr="00D00722" w:rsidRDefault="007C706B" w:rsidP="006231B9">
            <w:pPr>
              <w:rPr>
                <w:rFonts w:ascii="Arial" w:hAnsi="Arial" w:cs="Arial"/>
                <w:color w:val="000000"/>
              </w:rPr>
            </w:pPr>
            <w:r w:rsidRPr="00D00722">
              <w:rPr>
                <w:rFonts w:ascii="Arial" w:hAnsi="Arial" w:cs="Arial"/>
                <w:color w:val="000000"/>
              </w:rPr>
              <w:t> </w:t>
            </w:r>
          </w:p>
        </w:tc>
        <w:tc>
          <w:tcPr>
            <w:tcW w:w="1785" w:type="dxa"/>
            <w:tcBorders>
              <w:top w:val="nil"/>
              <w:left w:val="nil"/>
              <w:bottom w:val="single" w:sz="8" w:space="0" w:color="auto"/>
              <w:right w:val="nil"/>
            </w:tcBorders>
            <w:shd w:val="clear" w:color="auto" w:fill="auto"/>
          </w:tcPr>
          <w:p w:rsidR="007C706B" w:rsidRPr="00D00722" w:rsidRDefault="007C706B" w:rsidP="006231B9">
            <w:pPr>
              <w:ind w:left="-249"/>
              <w:jc w:val="right"/>
              <w:rPr>
                <w:rFonts w:ascii="Arial" w:hAnsi="Arial" w:cs="Arial"/>
                <w:b/>
                <w:bCs/>
                <w:color w:val="000000"/>
              </w:rPr>
            </w:pPr>
          </w:p>
        </w:tc>
        <w:tc>
          <w:tcPr>
            <w:tcW w:w="1700" w:type="dxa"/>
            <w:tcBorders>
              <w:top w:val="nil"/>
              <w:left w:val="nil"/>
              <w:bottom w:val="single" w:sz="8" w:space="0" w:color="auto"/>
              <w:right w:val="nil"/>
            </w:tcBorders>
          </w:tcPr>
          <w:p w:rsidR="007C706B" w:rsidRPr="00D00722" w:rsidRDefault="007C706B" w:rsidP="007C706B">
            <w:pPr>
              <w:ind w:left="-249"/>
              <w:jc w:val="right"/>
              <w:rPr>
                <w:rFonts w:ascii="Arial" w:hAnsi="Arial" w:cs="Arial"/>
                <w:bCs/>
                <w:color w:val="000000"/>
              </w:rPr>
            </w:pPr>
          </w:p>
        </w:tc>
      </w:tr>
      <w:tr w:rsidR="007C706B" w:rsidRPr="00D00722" w:rsidTr="007C706B">
        <w:trPr>
          <w:trHeight w:val="113"/>
        </w:trPr>
        <w:tc>
          <w:tcPr>
            <w:tcW w:w="5586" w:type="dxa"/>
            <w:tcBorders>
              <w:top w:val="nil"/>
              <w:left w:val="nil"/>
              <w:bottom w:val="double" w:sz="6" w:space="0" w:color="auto"/>
              <w:right w:val="nil"/>
            </w:tcBorders>
            <w:shd w:val="clear" w:color="auto" w:fill="auto"/>
            <w:hideMark/>
          </w:tcPr>
          <w:p w:rsidR="007C706B" w:rsidRPr="00D00722" w:rsidRDefault="007C706B" w:rsidP="006231B9">
            <w:pPr>
              <w:rPr>
                <w:rFonts w:ascii="Arial" w:hAnsi="Arial" w:cs="Arial"/>
                <w:b/>
                <w:bCs/>
                <w:color w:val="000000"/>
              </w:rPr>
            </w:pPr>
            <w:r w:rsidRPr="00D00722">
              <w:rPr>
                <w:rFonts w:ascii="Arial" w:hAnsi="Arial" w:cs="Arial"/>
                <w:b/>
                <w:bCs/>
                <w:color w:val="000000"/>
              </w:rPr>
              <w:t> </w:t>
            </w:r>
          </w:p>
        </w:tc>
        <w:tc>
          <w:tcPr>
            <w:tcW w:w="1785" w:type="dxa"/>
            <w:tcBorders>
              <w:top w:val="nil"/>
              <w:left w:val="nil"/>
              <w:bottom w:val="double" w:sz="6" w:space="0" w:color="auto"/>
              <w:right w:val="nil"/>
            </w:tcBorders>
            <w:shd w:val="clear" w:color="auto" w:fill="auto"/>
          </w:tcPr>
          <w:p w:rsidR="007C706B" w:rsidRPr="00D00722" w:rsidRDefault="004A3C3A" w:rsidP="004A3C3A">
            <w:pPr>
              <w:ind w:left="-249"/>
              <w:jc w:val="right"/>
              <w:rPr>
                <w:rFonts w:ascii="Arial" w:hAnsi="Arial" w:cs="Arial"/>
                <w:b/>
                <w:bCs/>
                <w:color w:val="000000"/>
              </w:rPr>
            </w:pPr>
            <w:r w:rsidRPr="00D00722">
              <w:rPr>
                <w:rFonts w:ascii="Arial" w:hAnsi="Arial" w:cs="Arial"/>
                <w:b/>
                <w:bCs/>
                <w:color w:val="000000"/>
              </w:rPr>
              <w:t>10.594</w:t>
            </w:r>
          </w:p>
        </w:tc>
        <w:tc>
          <w:tcPr>
            <w:tcW w:w="1700" w:type="dxa"/>
            <w:tcBorders>
              <w:top w:val="nil"/>
              <w:left w:val="nil"/>
              <w:bottom w:val="double" w:sz="6" w:space="0" w:color="auto"/>
              <w:right w:val="nil"/>
            </w:tcBorders>
          </w:tcPr>
          <w:p w:rsidR="007C706B" w:rsidRPr="00D00722" w:rsidRDefault="007C706B" w:rsidP="007C706B">
            <w:pPr>
              <w:ind w:left="-249"/>
              <w:jc w:val="right"/>
              <w:rPr>
                <w:rFonts w:ascii="Arial" w:hAnsi="Arial" w:cs="Arial"/>
                <w:bCs/>
                <w:color w:val="000000"/>
              </w:rPr>
            </w:pPr>
            <w:r w:rsidRPr="00D00722">
              <w:rPr>
                <w:rFonts w:ascii="Arial" w:hAnsi="Arial" w:cs="Arial"/>
                <w:bCs/>
                <w:color w:val="000000"/>
              </w:rPr>
              <w:t>32</w:t>
            </w:r>
          </w:p>
        </w:tc>
      </w:tr>
    </w:tbl>
    <w:p w:rsidR="00162AE4" w:rsidRPr="00D00722" w:rsidRDefault="00162AE4" w:rsidP="0090567F">
      <w:pPr>
        <w:autoSpaceDE w:val="0"/>
        <w:autoSpaceDN w:val="0"/>
        <w:adjustRightInd w:val="0"/>
        <w:rPr>
          <w:rFonts w:ascii="Arial" w:hAnsi="Arial" w:cs="Arial"/>
          <w:b/>
          <w:color w:val="000000"/>
        </w:rPr>
      </w:pPr>
    </w:p>
    <w:p w:rsidR="001F7CD0" w:rsidRPr="00D00722" w:rsidRDefault="00342A95" w:rsidP="0090567F">
      <w:pPr>
        <w:autoSpaceDE w:val="0"/>
        <w:autoSpaceDN w:val="0"/>
        <w:adjustRightInd w:val="0"/>
        <w:rPr>
          <w:rFonts w:ascii="Arial" w:hAnsi="Arial" w:cs="Arial"/>
          <w:b/>
          <w:color w:val="000000"/>
        </w:rPr>
      </w:pPr>
      <w:r w:rsidRPr="00D00722">
        <w:rPr>
          <w:rFonts w:ascii="Arial" w:hAnsi="Arial" w:cs="Arial"/>
          <w:b/>
          <w:color w:val="000000"/>
        </w:rPr>
        <w:t>İlişkili taraflara borçlar</w:t>
      </w:r>
    </w:p>
    <w:p w:rsidR="001F7CD0" w:rsidRPr="00D00722" w:rsidRDefault="001F7CD0" w:rsidP="0090567F">
      <w:pPr>
        <w:autoSpaceDE w:val="0"/>
        <w:autoSpaceDN w:val="0"/>
        <w:adjustRightInd w:val="0"/>
        <w:rPr>
          <w:rFonts w:ascii="Arial" w:hAnsi="Arial" w:cs="Arial"/>
          <w:b/>
          <w:lang w:val="tr-TR"/>
        </w:rPr>
      </w:pPr>
    </w:p>
    <w:tbl>
      <w:tblPr>
        <w:tblW w:w="9072" w:type="dxa"/>
        <w:tblInd w:w="108" w:type="dxa"/>
        <w:tblLook w:val="04A0"/>
      </w:tblPr>
      <w:tblGrid>
        <w:gridCol w:w="5586"/>
        <w:gridCol w:w="1785"/>
        <w:gridCol w:w="1701"/>
      </w:tblGrid>
      <w:tr w:rsidR="007C706B" w:rsidRPr="00D00722" w:rsidTr="007C706B">
        <w:trPr>
          <w:trHeight w:val="113"/>
        </w:trPr>
        <w:tc>
          <w:tcPr>
            <w:tcW w:w="5586" w:type="dxa"/>
            <w:tcBorders>
              <w:top w:val="single" w:sz="8" w:space="0" w:color="auto"/>
              <w:left w:val="nil"/>
              <w:bottom w:val="single" w:sz="8" w:space="0" w:color="auto"/>
              <w:right w:val="nil"/>
            </w:tcBorders>
            <w:shd w:val="clear" w:color="auto" w:fill="auto"/>
            <w:noWrap/>
            <w:hideMark/>
          </w:tcPr>
          <w:p w:rsidR="007C706B" w:rsidRPr="00D00722" w:rsidRDefault="007C706B" w:rsidP="003E1124">
            <w:pPr>
              <w:jc w:val="both"/>
              <w:rPr>
                <w:rFonts w:ascii="Arial" w:hAnsi="Arial" w:cs="Arial"/>
                <w:color w:val="000000"/>
                <w:szCs w:val="18"/>
              </w:rPr>
            </w:pPr>
          </w:p>
        </w:tc>
        <w:tc>
          <w:tcPr>
            <w:tcW w:w="1785" w:type="dxa"/>
            <w:tcBorders>
              <w:top w:val="single" w:sz="8" w:space="0" w:color="auto"/>
              <w:left w:val="nil"/>
              <w:bottom w:val="single" w:sz="8" w:space="0" w:color="auto"/>
              <w:right w:val="nil"/>
            </w:tcBorders>
            <w:shd w:val="clear" w:color="auto" w:fill="auto"/>
            <w:noWrap/>
            <w:vAlign w:val="bottom"/>
            <w:hideMark/>
          </w:tcPr>
          <w:p w:rsidR="007C706B" w:rsidRPr="00D00722" w:rsidRDefault="007C706B" w:rsidP="007C706B">
            <w:pPr>
              <w:ind w:left="-104"/>
              <w:jc w:val="right"/>
              <w:rPr>
                <w:rFonts w:ascii="Arial" w:hAnsi="Arial" w:cs="Arial"/>
                <w:b/>
                <w:bCs/>
                <w:color w:val="000000"/>
                <w:szCs w:val="18"/>
              </w:rPr>
            </w:pPr>
            <w:r w:rsidRPr="00D00722">
              <w:rPr>
                <w:rFonts w:ascii="Arial" w:hAnsi="Arial" w:cs="Arial"/>
                <w:b/>
                <w:bCs/>
                <w:color w:val="000000"/>
                <w:szCs w:val="18"/>
              </w:rPr>
              <w:t>31 Mart 2014</w:t>
            </w:r>
          </w:p>
        </w:tc>
        <w:tc>
          <w:tcPr>
            <w:tcW w:w="1701" w:type="dxa"/>
            <w:tcBorders>
              <w:top w:val="single" w:sz="8" w:space="0" w:color="auto"/>
              <w:left w:val="nil"/>
              <w:bottom w:val="single" w:sz="8" w:space="0" w:color="auto"/>
              <w:right w:val="nil"/>
            </w:tcBorders>
            <w:vAlign w:val="bottom"/>
          </w:tcPr>
          <w:p w:rsidR="007C706B" w:rsidRPr="00D00722" w:rsidRDefault="007C706B" w:rsidP="007C706B">
            <w:pPr>
              <w:ind w:left="-104"/>
              <w:jc w:val="right"/>
              <w:rPr>
                <w:rFonts w:ascii="Arial" w:hAnsi="Arial" w:cs="Arial"/>
                <w:bCs/>
                <w:color w:val="000000"/>
                <w:szCs w:val="18"/>
              </w:rPr>
            </w:pPr>
            <w:r w:rsidRPr="00D00722">
              <w:rPr>
                <w:rFonts w:ascii="Arial" w:hAnsi="Arial" w:cs="Arial"/>
                <w:bCs/>
                <w:color w:val="000000"/>
                <w:szCs w:val="18"/>
              </w:rPr>
              <w:t>31 Aralık 2013</w:t>
            </w:r>
          </w:p>
        </w:tc>
      </w:tr>
      <w:tr w:rsidR="007C706B" w:rsidRPr="00D00722" w:rsidTr="007C706B">
        <w:trPr>
          <w:trHeight w:val="113"/>
        </w:trPr>
        <w:tc>
          <w:tcPr>
            <w:tcW w:w="5586" w:type="dxa"/>
            <w:tcBorders>
              <w:top w:val="nil"/>
              <w:left w:val="nil"/>
              <w:bottom w:val="nil"/>
              <w:right w:val="nil"/>
            </w:tcBorders>
            <w:shd w:val="clear" w:color="auto" w:fill="auto"/>
            <w:noWrap/>
            <w:hideMark/>
          </w:tcPr>
          <w:p w:rsidR="007C706B" w:rsidRPr="00D00722" w:rsidRDefault="007C706B" w:rsidP="003E1124">
            <w:pPr>
              <w:jc w:val="both"/>
              <w:rPr>
                <w:rFonts w:ascii="Arial" w:hAnsi="Arial" w:cs="Arial"/>
                <w:color w:val="000000"/>
                <w:szCs w:val="18"/>
              </w:rPr>
            </w:pPr>
          </w:p>
        </w:tc>
        <w:tc>
          <w:tcPr>
            <w:tcW w:w="1785" w:type="dxa"/>
            <w:tcBorders>
              <w:top w:val="nil"/>
              <w:left w:val="nil"/>
              <w:bottom w:val="nil"/>
              <w:right w:val="nil"/>
            </w:tcBorders>
            <w:shd w:val="clear" w:color="auto" w:fill="auto"/>
            <w:noWrap/>
            <w:vAlign w:val="bottom"/>
            <w:hideMark/>
          </w:tcPr>
          <w:p w:rsidR="007C706B" w:rsidRPr="00D00722" w:rsidRDefault="007C706B" w:rsidP="003E1124">
            <w:pPr>
              <w:ind w:left="-104"/>
              <w:jc w:val="right"/>
              <w:rPr>
                <w:rFonts w:ascii="Arial" w:hAnsi="Arial" w:cs="Arial"/>
                <w:b/>
                <w:bCs/>
                <w:color w:val="000000"/>
                <w:szCs w:val="18"/>
              </w:rPr>
            </w:pPr>
          </w:p>
        </w:tc>
        <w:tc>
          <w:tcPr>
            <w:tcW w:w="1701" w:type="dxa"/>
            <w:tcBorders>
              <w:top w:val="nil"/>
              <w:left w:val="nil"/>
              <w:bottom w:val="nil"/>
              <w:right w:val="nil"/>
            </w:tcBorders>
            <w:vAlign w:val="bottom"/>
          </w:tcPr>
          <w:p w:rsidR="007C706B" w:rsidRPr="00D00722" w:rsidRDefault="007C706B" w:rsidP="007C706B">
            <w:pPr>
              <w:ind w:left="-104"/>
              <w:jc w:val="right"/>
              <w:rPr>
                <w:rFonts w:ascii="Arial" w:hAnsi="Arial" w:cs="Arial"/>
                <w:bCs/>
                <w:color w:val="000000"/>
                <w:szCs w:val="18"/>
              </w:rPr>
            </w:pPr>
          </w:p>
        </w:tc>
      </w:tr>
      <w:tr w:rsidR="007C706B" w:rsidRPr="00D00722" w:rsidTr="007C706B">
        <w:trPr>
          <w:trHeight w:val="113"/>
        </w:trPr>
        <w:tc>
          <w:tcPr>
            <w:tcW w:w="5586" w:type="dxa"/>
            <w:tcBorders>
              <w:top w:val="nil"/>
              <w:left w:val="nil"/>
              <w:bottom w:val="nil"/>
              <w:right w:val="nil"/>
            </w:tcBorders>
            <w:shd w:val="clear" w:color="auto" w:fill="auto"/>
            <w:vAlign w:val="bottom"/>
          </w:tcPr>
          <w:p w:rsidR="007C706B" w:rsidRPr="00D00722" w:rsidRDefault="007C706B" w:rsidP="00B37F4A">
            <w:pPr>
              <w:ind w:hanging="108"/>
              <w:rPr>
                <w:rFonts w:ascii="Arial" w:hAnsi="Arial" w:cs="Arial"/>
                <w:color w:val="000000"/>
                <w:szCs w:val="18"/>
              </w:rPr>
            </w:pPr>
            <w:r w:rsidRPr="00D00722">
              <w:rPr>
                <w:rFonts w:ascii="Arial" w:hAnsi="Arial" w:cs="Arial"/>
                <w:color w:val="000000"/>
                <w:szCs w:val="18"/>
              </w:rPr>
              <w:t>Seraş - (yönetim giderleri)</w:t>
            </w:r>
          </w:p>
        </w:tc>
        <w:tc>
          <w:tcPr>
            <w:tcW w:w="1785" w:type="dxa"/>
            <w:tcBorders>
              <w:top w:val="nil"/>
              <w:left w:val="nil"/>
              <w:bottom w:val="nil"/>
              <w:right w:val="nil"/>
            </w:tcBorders>
            <w:shd w:val="clear" w:color="auto" w:fill="auto"/>
            <w:noWrap/>
            <w:vAlign w:val="bottom"/>
          </w:tcPr>
          <w:p w:rsidR="007C706B" w:rsidRPr="00D00722" w:rsidRDefault="008E0309" w:rsidP="004A3C3A">
            <w:pPr>
              <w:ind w:left="-104"/>
              <w:jc w:val="right"/>
              <w:rPr>
                <w:rFonts w:ascii="Arial" w:hAnsi="Arial" w:cs="Arial"/>
                <w:b/>
                <w:bCs/>
                <w:color w:val="000000"/>
                <w:szCs w:val="18"/>
              </w:rPr>
            </w:pPr>
            <w:r w:rsidRPr="00D00722">
              <w:rPr>
                <w:rFonts w:ascii="Arial" w:hAnsi="Arial" w:cs="Arial"/>
                <w:b/>
                <w:bCs/>
                <w:color w:val="000000"/>
                <w:szCs w:val="18"/>
              </w:rPr>
              <w:t>9.29</w:t>
            </w:r>
            <w:r w:rsidR="004A3C3A" w:rsidRPr="00D00722">
              <w:rPr>
                <w:rFonts w:ascii="Arial" w:hAnsi="Arial" w:cs="Arial"/>
                <w:b/>
                <w:bCs/>
                <w:color w:val="000000"/>
                <w:szCs w:val="18"/>
              </w:rPr>
              <w:t>6</w:t>
            </w:r>
          </w:p>
        </w:tc>
        <w:tc>
          <w:tcPr>
            <w:tcW w:w="1701" w:type="dxa"/>
            <w:tcBorders>
              <w:top w:val="nil"/>
              <w:left w:val="nil"/>
              <w:bottom w:val="nil"/>
              <w:right w:val="nil"/>
            </w:tcBorders>
            <w:vAlign w:val="bottom"/>
          </w:tcPr>
          <w:p w:rsidR="007C706B" w:rsidRPr="00D00722" w:rsidRDefault="007C706B" w:rsidP="007C706B">
            <w:pPr>
              <w:ind w:left="-104"/>
              <w:jc w:val="right"/>
              <w:rPr>
                <w:rFonts w:ascii="Arial" w:hAnsi="Arial" w:cs="Arial"/>
                <w:bCs/>
                <w:color w:val="000000"/>
                <w:szCs w:val="18"/>
              </w:rPr>
            </w:pPr>
            <w:r w:rsidRPr="00D00722">
              <w:rPr>
                <w:rFonts w:ascii="Arial" w:hAnsi="Arial" w:cs="Arial"/>
                <w:bCs/>
                <w:color w:val="000000"/>
                <w:szCs w:val="18"/>
              </w:rPr>
              <w:t>9.947</w:t>
            </w:r>
          </w:p>
        </w:tc>
      </w:tr>
      <w:tr w:rsidR="007C706B" w:rsidRPr="00D00722" w:rsidTr="007C706B">
        <w:trPr>
          <w:trHeight w:val="113"/>
        </w:trPr>
        <w:tc>
          <w:tcPr>
            <w:tcW w:w="5586" w:type="dxa"/>
            <w:tcBorders>
              <w:top w:val="nil"/>
              <w:left w:val="nil"/>
              <w:bottom w:val="nil"/>
              <w:right w:val="nil"/>
            </w:tcBorders>
            <w:shd w:val="clear" w:color="auto" w:fill="auto"/>
            <w:vAlign w:val="bottom"/>
          </w:tcPr>
          <w:p w:rsidR="007C706B" w:rsidRPr="00D00722" w:rsidRDefault="007C706B" w:rsidP="00B37F4A">
            <w:pPr>
              <w:ind w:hanging="108"/>
              <w:rPr>
                <w:rFonts w:ascii="Arial" w:hAnsi="Arial" w:cs="Arial"/>
                <w:color w:val="000000"/>
                <w:szCs w:val="18"/>
              </w:rPr>
            </w:pPr>
            <w:r w:rsidRPr="00D00722">
              <w:rPr>
                <w:rFonts w:ascii="Arial" w:hAnsi="Arial" w:cs="Arial"/>
                <w:color w:val="000000"/>
                <w:szCs w:val="18"/>
              </w:rPr>
              <w:t>Ata Holding A.Ş. – (danışmanlık bedeli)</w:t>
            </w:r>
          </w:p>
        </w:tc>
        <w:tc>
          <w:tcPr>
            <w:tcW w:w="1785" w:type="dxa"/>
            <w:tcBorders>
              <w:top w:val="nil"/>
              <w:left w:val="nil"/>
              <w:bottom w:val="nil"/>
              <w:right w:val="nil"/>
            </w:tcBorders>
            <w:shd w:val="clear" w:color="auto" w:fill="auto"/>
            <w:noWrap/>
            <w:vAlign w:val="bottom"/>
          </w:tcPr>
          <w:p w:rsidR="007C706B" w:rsidRPr="00D00722" w:rsidRDefault="008E0309" w:rsidP="003E1124">
            <w:pPr>
              <w:ind w:left="-104"/>
              <w:jc w:val="right"/>
              <w:rPr>
                <w:rFonts w:ascii="Arial" w:hAnsi="Arial" w:cs="Arial"/>
                <w:b/>
                <w:bCs/>
                <w:color w:val="000000"/>
                <w:szCs w:val="18"/>
              </w:rPr>
            </w:pPr>
            <w:r w:rsidRPr="00D00722">
              <w:rPr>
                <w:rFonts w:ascii="Arial" w:hAnsi="Arial" w:cs="Arial"/>
                <w:b/>
                <w:bCs/>
                <w:color w:val="000000"/>
                <w:szCs w:val="18"/>
              </w:rPr>
              <w:t>-</w:t>
            </w:r>
          </w:p>
        </w:tc>
        <w:tc>
          <w:tcPr>
            <w:tcW w:w="1701" w:type="dxa"/>
            <w:tcBorders>
              <w:top w:val="nil"/>
              <w:left w:val="nil"/>
              <w:bottom w:val="nil"/>
              <w:right w:val="nil"/>
            </w:tcBorders>
            <w:vAlign w:val="bottom"/>
          </w:tcPr>
          <w:p w:rsidR="007C706B" w:rsidRPr="00D00722" w:rsidRDefault="007C706B" w:rsidP="007C706B">
            <w:pPr>
              <w:ind w:left="-104"/>
              <w:jc w:val="right"/>
              <w:rPr>
                <w:rFonts w:ascii="Arial" w:hAnsi="Arial" w:cs="Arial"/>
                <w:bCs/>
                <w:color w:val="000000"/>
                <w:szCs w:val="18"/>
              </w:rPr>
            </w:pPr>
            <w:r w:rsidRPr="00D00722">
              <w:rPr>
                <w:rFonts w:ascii="Arial" w:hAnsi="Arial" w:cs="Arial"/>
                <w:bCs/>
                <w:color w:val="000000"/>
                <w:szCs w:val="18"/>
              </w:rPr>
              <w:t>3.274</w:t>
            </w:r>
          </w:p>
        </w:tc>
      </w:tr>
      <w:tr w:rsidR="007C706B" w:rsidRPr="00D00722" w:rsidTr="007C706B">
        <w:trPr>
          <w:trHeight w:val="113"/>
        </w:trPr>
        <w:tc>
          <w:tcPr>
            <w:tcW w:w="5586" w:type="dxa"/>
            <w:tcBorders>
              <w:top w:val="nil"/>
              <w:left w:val="nil"/>
              <w:bottom w:val="nil"/>
              <w:right w:val="nil"/>
            </w:tcBorders>
            <w:shd w:val="clear" w:color="auto" w:fill="auto"/>
            <w:noWrap/>
            <w:vAlign w:val="bottom"/>
            <w:hideMark/>
          </w:tcPr>
          <w:p w:rsidR="007C706B" w:rsidRPr="00D00722" w:rsidRDefault="007C706B" w:rsidP="00B37F4A">
            <w:pPr>
              <w:ind w:hanging="108"/>
              <w:rPr>
                <w:rFonts w:ascii="Arial" w:hAnsi="Arial" w:cs="Arial"/>
                <w:color w:val="000000"/>
                <w:szCs w:val="18"/>
              </w:rPr>
            </w:pPr>
            <w:r w:rsidRPr="00D00722">
              <w:rPr>
                <w:rFonts w:ascii="Arial" w:hAnsi="Arial" w:cs="Arial"/>
                <w:color w:val="000000"/>
                <w:szCs w:val="18"/>
              </w:rPr>
              <w:t>Ata Gayrimenkul Geliştirme Yatırım ve İnşaat A.Ş. (hizmet giderleri)</w:t>
            </w:r>
          </w:p>
        </w:tc>
        <w:tc>
          <w:tcPr>
            <w:tcW w:w="1785" w:type="dxa"/>
            <w:tcBorders>
              <w:top w:val="nil"/>
              <w:left w:val="nil"/>
              <w:bottom w:val="nil"/>
              <w:right w:val="nil"/>
            </w:tcBorders>
            <w:shd w:val="clear" w:color="auto" w:fill="auto"/>
            <w:noWrap/>
            <w:vAlign w:val="bottom"/>
          </w:tcPr>
          <w:p w:rsidR="007C706B" w:rsidRPr="00D00722" w:rsidRDefault="008E0309" w:rsidP="003E1124">
            <w:pPr>
              <w:ind w:left="-104"/>
              <w:jc w:val="right"/>
              <w:rPr>
                <w:rFonts w:ascii="Arial" w:hAnsi="Arial" w:cs="Arial"/>
                <w:b/>
                <w:bCs/>
                <w:color w:val="000000"/>
                <w:szCs w:val="18"/>
              </w:rPr>
            </w:pPr>
            <w:r w:rsidRPr="00D00722">
              <w:rPr>
                <w:rFonts w:ascii="Arial" w:hAnsi="Arial" w:cs="Arial"/>
                <w:b/>
                <w:bCs/>
                <w:color w:val="000000"/>
                <w:szCs w:val="18"/>
              </w:rPr>
              <w:t>-</w:t>
            </w:r>
          </w:p>
        </w:tc>
        <w:tc>
          <w:tcPr>
            <w:tcW w:w="1701" w:type="dxa"/>
            <w:tcBorders>
              <w:top w:val="nil"/>
              <w:left w:val="nil"/>
              <w:bottom w:val="nil"/>
              <w:right w:val="nil"/>
            </w:tcBorders>
            <w:vAlign w:val="bottom"/>
          </w:tcPr>
          <w:p w:rsidR="007C706B" w:rsidRPr="00D00722" w:rsidRDefault="007C706B" w:rsidP="007C706B">
            <w:pPr>
              <w:ind w:left="-104"/>
              <w:jc w:val="right"/>
              <w:rPr>
                <w:rFonts w:ascii="Arial" w:hAnsi="Arial" w:cs="Arial"/>
                <w:bCs/>
                <w:color w:val="000000"/>
                <w:szCs w:val="18"/>
              </w:rPr>
            </w:pPr>
            <w:r w:rsidRPr="00D00722">
              <w:rPr>
                <w:rFonts w:ascii="Arial" w:hAnsi="Arial" w:cs="Arial"/>
                <w:bCs/>
                <w:color w:val="000000"/>
                <w:szCs w:val="18"/>
              </w:rPr>
              <w:t>1.486</w:t>
            </w:r>
          </w:p>
        </w:tc>
      </w:tr>
      <w:tr w:rsidR="007C706B" w:rsidRPr="00D00722" w:rsidTr="007C706B">
        <w:trPr>
          <w:trHeight w:val="113"/>
        </w:trPr>
        <w:tc>
          <w:tcPr>
            <w:tcW w:w="5586" w:type="dxa"/>
            <w:tcBorders>
              <w:top w:val="nil"/>
              <w:left w:val="nil"/>
              <w:bottom w:val="nil"/>
              <w:right w:val="nil"/>
            </w:tcBorders>
            <w:shd w:val="clear" w:color="auto" w:fill="auto"/>
            <w:noWrap/>
            <w:vAlign w:val="bottom"/>
          </w:tcPr>
          <w:p w:rsidR="007C706B" w:rsidRPr="00D00722" w:rsidRDefault="007C706B" w:rsidP="00AA4A0B">
            <w:pPr>
              <w:ind w:hanging="108"/>
              <w:rPr>
                <w:rFonts w:ascii="Arial" w:hAnsi="Arial" w:cs="Arial"/>
                <w:color w:val="000000"/>
                <w:szCs w:val="18"/>
              </w:rPr>
            </w:pPr>
            <w:r w:rsidRPr="00D00722">
              <w:rPr>
                <w:rFonts w:ascii="Arial" w:hAnsi="Arial" w:cs="Arial"/>
                <w:color w:val="000000"/>
                <w:szCs w:val="18"/>
              </w:rPr>
              <w:t>Arbeta Turizm Org. ve Tic. A.Ş. - (seyahat giderleri)</w:t>
            </w:r>
          </w:p>
        </w:tc>
        <w:tc>
          <w:tcPr>
            <w:tcW w:w="1785" w:type="dxa"/>
            <w:tcBorders>
              <w:top w:val="nil"/>
              <w:left w:val="nil"/>
              <w:bottom w:val="nil"/>
              <w:right w:val="nil"/>
            </w:tcBorders>
            <w:shd w:val="clear" w:color="auto" w:fill="auto"/>
            <w:noWrap/>
            <w:vAlign w:val="bottom"/>
          </w:tcPr>
          <w:p w:rsidR="007C706B" w:rsidRPr="00D00722" w:rsidRDefault="008E0309" w:rsidP="00AA4A0B">
            <w:pPr>
              <w:ind w:left="-104"/>
              <w:jc w:val="right"/>
              <w:rPr>
                <w:rFonts w:ascii="Arial" w:hAnsi="Arial" w:cs="Arial"/>
                <w:b/>
                <w:bCs/>
                <w:color w:val="000000"/>
                <w:szCs w:val="18"/>
              </w:rPr>
            </w:pPr>
            <w:r w:rsidRPr="00D00722">
              <w:rPr>
                <w:rFonts w:ascii="Arial" w:hAnsi="Arial" w:cs="Arial"/>
                <w:b/>
                <w:bCs/>
                <w:color w:val="000000"/>
                <w:szCs w:val="18"/>
              </w:rPr>
              <w:t>1.961</w:t>
            </w:r>
          </w:p>
        </w:tc>
        <w:tc>
          <w:tcPr>
            <w:tcW w:w="1701" w:type="dxa"/>
            <w:tcBorders>
              <w:top w:val="nil"/>
              <w:left w:val="nil"/>
              <w:bottom w:val="nil"/>
              <w:right w:val="nil"/>
            </w:tcBorders>
            <w:vAlign w:val="bottom"/>
          </w:tcPr>
          <w:p w:rsidR="007C706B" w:rsidRPr="00D00722" w:rsidRDefault="007C706B" w:rsidP="007C706B">
            <w:pPr>
              <w:ind w:left="-104"/>
              <w:jc w:val="right"/>
              <w:rPr>
                <w:rFonts w:ascii="Arial" w:hAnsi="Arial" w:cs="Arial"/>
                <w:bCs/>
                <w:color w:val="000000"/>
                <w:szCs w:val="18"/>
              </w:rPr>
            </w:pPr>
            <w:r w:rsidRPr="00D00722">
              <w:rPr>
                <w:rFonts w:ascii="Arial" w:hAnsi="Arial" w:cs="Arial"/>
                <w:bCs/>
                <w:color w:val="000000"/>
                <w:szCs w:val="18"/>
              </w:rPr>
              <w:t>-</w:t>
            </w:r>
          </w:p>
        </w:tc>
      </w:tr>
      <w:tr w:rsidR="007C706B" w:rsidRPr="00D00722" w:rsidTr="007C706B">
        <w:trPr>
          <w:trHeight w:val="113"/>
        </w:trPr>
        <w:tc>
          <w:tcPr>
            <w:tcW w:w="5586" w:type="dxa"/>
            <w:tcBorders>
              <w:top w:val="nil"/>
              <w:left w:val="nil"/>
              <w:bottom w:val="nil"/>
              <w:right w:val="nil"/>
            </w:tcBorders>
            <w:shd w:val="clear" w:color="auto" w:fill="auto"/>
            <w:noWrap/>
            <w:vAlign w:val="bottom"/>
          </w:tcPr>
          <w:p w:rsidR="007C706B" w:rsidRPr="00D00722" w:rsidRDefault="007C706B" w:rsidP="00AA4A0B">
            <w:pPr>
              <w:ind w:hanging="108"/>
              <w:rPr>
                <w:rFonts w:ascii="Arial" w:hAnsi="Arial" w:cs="Arial"/>
                <w:color w:val="000000"/>
                <w:szCs w:val="18"/>
              </w:rPr>
            </w:pPr>
            <w:r w:rsidRPr="00D00722">
              <w:rPr>
                <w:rFonts w:ascii="Arial" w:hAnsi="Arial" w:cs="Arial"/>
                <w:color w:val="000000"/>
                <w:szCs w:val="18"/>
              </w:rPr>
              <w:t>ATP Ticari Bilgisayar Ağı ve Elekt. Güç Kayn. Üretim ve Paz. Tic. A.Ş. - (yazılım lisans bedeli)</w:t>
            </w:r>
          </w:p>
        </w:tc>
        <w:tc>
          <w:tcPr>
            <w:tcW w:w="1785" w:type="dxa"/>
            <w:tcBorders>
              <w:top w:val="nil"/>
              <w:left w:val="nil"/>
              <w:bottom w:val="nil"/>
              <w:right w:val="nil"/>
            </w:tcBorders>
            <w:shd w:val="clear" w:color="auto" w:fill="auto"/>
            <w:noWrap/>
            <w:vAlign w:val="bottom"/>
          </w:tcPr>
          <w:p w:rsidR="007C706B" w:rsidRPr="00D00722" w:rsidRDefault="008E0309" w:rsidP="00AA4A0B">
            <w:pPr>
              <w:ind w:left="-104"/>
              <w:jc w:val="right"/>
              <w:rPr>
                <w:rFonts w:ascii="Arial" w:hAnsi="Arial" w:cs="Arial"/>
                <w:b/>
                <w:bCs/>
                <w:color w:val="000000"/>
                <w:szCs w:val="18"/>
              </w:rPr>
            </w:pPr>
            <w:r w:rsidRPr="00D00722">
              <w:rPr>
                <w:rFonts w:ascii="Arial" w:hAnsi="Arial" w:cs="Arial"/>
                <w:b/>
                <w:bCs/>
                <w:color w:val="000000"/>
                <w:szCs w:val="18"/>
              </w:rPr>
              <w:t>951</w:t>
            </w:r>
          </w:p>
        </w:tc>
        <w:tc>
          <w:tcPr>
            <w:tcW w:w="1701" w:type="dxa"/>
            <w:tcBorders>
              <w:top w:val="nil"/>
              <w:left w:val="nil"/>
              <w:bottom w:val="nil"/>
              <w:right w:val="nil"/>
            </w:tcBorders>
            <w:vAlign w:val="bottom"/>
          </w:tcPr>
          <w:p w:rsidR="007C706B" w:rsidRPr="00D00722" w:rsidRDefault="007C706B" w:rsidP="007C706B">
            <w:pPr>
              <w:ind w:left="-104"/>
              <w:jc w:val="right"/>
              <w:rPr>
                <w:rFonts w:ascii="Arial" w:hAnsi="Arial" w:cs="Arial"/>
                <w:bCs/>
                <w:color w:val="000000"/>
                <w:szCs w:val="18"/>
              </w:rPr>
            </w:pPr>
            <w:r w:rsidRPr="00D00722">
              <w:rPr>
                <w:rFonts w:ascii="Arial" w:hAnsi="Arial" w:cs="Arial"/>
                <w:bCs/>
                <w:color w:val="000000"/>
                <w:szCs w:val="18"/>
              </w:rPr>
              <w:t>-</w:t>
            </w:r>
          </w:p>
        </w:tc>
      </w:tr>
      <w:tr w:rsidR="007C706B" w:rsidRPr="00D00722" w:rsidTr="007C706B">
        <w:trPr>
          <w:trHeight w:val="113"/>
        </w:trPr>
        <w:tc>
          <w:tcPr>
            <w:tcW w:w="5586" w:type="dxa"/>
            <w:tcBorders>
              <w:top w:val="nil"/>
              <w:left w:val="nil"/>
              <w:bottom w:val="single" w:sz="8" w:space="0" w:color="auto"/>
              <w:right w:val="nil"/>
            </w:tcBorders>
            <w:shd w:val="clear" w:color="auto" w:fill="auto"/>
            <w:noWrap/>
            <w:hideMark/>
          </w:tcPr>
          <w:p w:rsidR="007C706B" w:rsidRPr="00D00722" w:rsidRDefault="007C706B" w:rsidP="00B37F4A">
            <w:pPr>
              <w:ind w:hanging="108"/>
              <w:jc w:val="both"/>
              <w:rPr>
                <w:rFonts w:ascii="Arial" w:hAnsi="Arial" w:cs="Arial"/>
                <w:color w:val="000000"/>
                <w:szCs w:val="18"/>
              </w:rPr>
            </w:pPr>
            <w:r w:rsidRPr="00D00722">
              <w:rPr>
                <w:rFonts w:ascii="Arial" w:hAnsi="Arial" w:cs="Arial"/>
                <w:color w:val="000000"/>
                <w:szCs w:val="18"/>
              </w:rPr>
              <w:t> </w:t>
            </w:r>
          </w:p>
        </w:tc>
        <w:tc>
          <w:tcPr>
            <w:tcW w:w="1785" w:type="dxa"/>
            <w:tcBorders>
              <w:top w:val="nil"/>
              <w:left w:val="nil"/>
              <w:bottom w:val="single" w:sz="8" w:space="0" w:color="auto"/>
              <w:right w:val="nil"/>
            </w:tcBorders>
            <w:shd w:val="clear" w:color="auto" w:fill="auto"/>
            <w:noWrap/>
            <w:vAlign w:val="bottom"/>
          </w:tcPr>
          <w:p w:rsidR="007C706B" w:rsidRPr="00D00722" w:rsidRDefault="007C706B" w:rsidP="003E1124">
            <w:pPr>
              <w:ind w:left="-104"/>
              <w:jc w:val="right"/>
              <w:rPr>
                <w:rFonts w:ascii="Arial" w:hAnsi="Arial" w:cs="Arial"/>
                <w:b/>
                <w:bCs/>
                <w:color w:val="000000"/>
                <w:szCs w:val="18"/>
              </w:rPr>
            </w:pPr>
          </w:p>
        </w:tc>
        <w:tc>
          <w:tcPr>
            <w:tcW w:w="1701" w:type="dxa"/>
            <w:tcBorders>
              <w:top w:val="nil"/>
              <w:left w:val="nil"/>
              <w:bottom w:val="single" w:sz="8" w:space="0" w:color="auto"/>
              <w:right w:val="nil"/>
            </w:tcBorders>
            <w:vAlign w:val="bottom"/>
          </w:tcPr>
          <w:p w:rsidR="007C706B" w:rsidRPr="00D00722" w:rsidRDefault="007C706B" w:rsidP="007C706B">
            <w:pPr>
              <w:ind w:left="-104"/>
              <w:jc w:val="right"/>
              <w:rPr>
                <w:rFonts w:ascii="Arial" w:hAnsi="Arial" w:cs="Arial"/>
                <w:bCs/>
                <w:color w:val="000000"/>
                <w:szCs w:val="18"/>
              </w:rPr>
            </w:pPr>
          </w:p>
        </w:tc>
      </w:tr>
      <w:tr w:rsidR="007C706B" w:rsidRPr="00D00722" w:rsidTr="007C706B">
        <w:trPr>
          <w:trHeight w:val="113"/>
        </w:trPr>
        <w:tc>
          <w:tcPr>
            <w:tcW w:w="5586" w:type="dxa"/>
            <w:tcBorders>
              <w:top w:val="nil"/>
              <w:left w:val="nil"/>
              <w:bottom w:val="double" w:sz="6" w:space="0" w:color="auto"/>
              <w:right w:val="nil"/>
            </w:tcBorders>
            <w:shd w:val="clear" w:color="auto" w:fill="auto"/>
            <w:noWrap/>
            <w:hideMark/>
          </w:tcPr>
          <w:p w:rsidR="007C706B" w:rsidRPr="00D00722" w:rsidRDefault="007C706B" w:rsidP="00B37F4A">
            <w:pPr>
              <w:ind w:hanging="108"/>
              <w:jc w:val="both"/>
              <w:rPr>
                <w:rFonts w:ascii="Arial" w:hAnsi="Arial" w:cs="Arial"/>
                <w:color w:val="000000"/>
                <w:szCs w:val="18"/>
              </w:rPr>
            </w:pPr>
            <w:r w:rsidRPr="00D00722">
              <w:rPr>
                <w:rFonts w:ascii="Arial" w:hAnsi="Arial" w:cs="Arial"/>
                <w:color w:val="000000"/>
                <w:szCs w:val="18"/>
              </w:rPr>
              <w:t> </w:t>
            </w:r>
          </w:p>
        </w:tc>
        <w:tc>
          <w:tcPr>
            <w:tcW w:w="1785" w:type="dxa"/>
            <w:tcBorders>
              <w:top w:val="nil"/>
              <w:left w:val="nil"/>
              <w:bottom w:val="double" w:sz="6" w:space="0" w:color="auto"/>
              <w:right w:val="nil"/>
            </w:tcBorders>
            <w:shd w:val="clear" w:color="auto" w:fill="auto"/>
            <w:noWrap/>
            <w:vAlign w:val="bottom"/>
          </w:tcPr>
          <w:p w:rsidR="007C706B" w:rsidRPr="00D00722" w:rsidRDefault="008E0309" w:rsidP="004A3C3A">
            <w:pPr>
              <w:ind w:left="-104"/>
              <w:jc w:val="right"/>
              <w:rPr>
                <w:rFonts w:ascii="Arial" w:hAnsi="Arial" w:cs="Arial"/>
                <w:b/>
                <w:bCs/>
                <w:color w:val="000000"/>
                <w:szCs w:val="18"/>
              </w:rPr>
            </w:pPr>
            <w:r w:rsidRPr="00D00722">
              <w:rPr>
                <w:rFonts w:ascii="Arial" w:hAnsi="Arial" w:cs="Arial"/>
                <w:b/>
                <w:bCs/>
                <w:color w:val="000000"/>
                <w:szCs w:val="18"/>
              </w:rPr>
              <w:t>12.20</w:t>
            </w:r>
            <w:r w:rsidR="004A3C3A" w:rsidRPr="00D00722">
              <w:rPr>
                <w:rFonts w:ascii="Arial" w:hAnsi="Arial" w:cs="Arial"/>
                <w:b/>
                <w:bCs/>
                <w:color w:val="000000"/>
                <w:szCs w:val="18"/>
              </w:rPr>
              <w:t>8</w:t>
            </w:r>
          </w:p>
        </w:tc>
        <w:tc>
          <w:tcPr>
            <w:tcW w:w="1701" w:type="dxa"/>
            <w:tcBorders>
              <w:top w:val="nil"/>
              <w:left w:val="nil"/>
              <w:bottom w:val="double" w:sz="6" w:space="0" w:color="auto"/>
              <w:right w:val="nil"/>
            </w:tcBorders>
            <w:vAlign w:val="bottom"/>
          </w:tcPr>
          <w:p w:rsidR="007C706B" w:rsidRPr="00D00722" w:rsidRDefault="007C706B" w:rsidP="007C706B">
            <w:pPr>
              <w:ind w:left="-104"/>
              <w:jc w:val="right"/>
              <w:rPr>
                <w:rFonts w:ascii="Arial" w:hAnsi="Arial" w:cs="Arial"/>
                <w:bCs/>
                <w:color w:val="000000"/>
                <w:szCs w:val="18"/>
              </w:rPr>
            </w:pPr>
            <w:r w:rsidRPr="00D00722">
              <w:rPr>
                <w:rFonts w:ascii="Arial" w:hAnsi="Arial" w:cs="Arial"/>
                <w:bCs/>
                <w:color w:val="000000"/>
                <w:szCs w:val="18"/>
              </w:rPr>
              <w:t>14.707</w:t>
            </w:r>
          </w:p>
        </w:tc>
      </w:tr>
    </w:tbl>
    <w:p w:rsidR="00032F3B" w:rsidRPr="00D00722" w:rsidRDefault="00032F3B" w:rsidP="00B30DDF">
      <w:pPr>
        <w:ind w:left="567" w:hanging="567"/>
        <w:jc w:val="both"/>
        <w:rPr>
          <w:rFonts w:ascii="Arial" w:hAnsi="Arial" w:cs="Arial"/>
          <w:b/>
          <w:lang w:val="tr-TR"/>
        </w:rPr>
      </w:pPr>
    </w:p>
    <w:p w:rsidR="00C21915" w:rsidRPr="00D00722" w:rsidRDefault="00342A95" w:rsidP="0090567F">
      <w:pPr>
        <w:autoSpaceDE w:val="0"/>
        <w:autoSpaceDN w:val="0"/>
        <w:adjustRightInd w:val="0"/>
        <w:rPr>
          <w:rFonts w:ascii="Arial" w:hAnsi="Arial" w:cs="Arial"/>
          <w:b/>
          <w:sz w:val="18"/>
          <w:szCs w:val="18"/>
          <w:lang w:val="tr-TR"/>
        </w:rPr>
      </w:pPr>
      <w:r w:rsidRPr="00D00722">
        <w:rPr>
          <w:rFonts w:ascii="Arial" w:hAnsi="Arial" w:cs="Arial"/>
          <w:b/>
          <w:lang w:val="tr-TR"/>
        </w:rPr>
        <w:t>İlişkili taraflardan alacaklar</w:t>
      </w:r>
    </w:p>
    <w:p w:rsidR="00C21915" w:rsidRPr="00D00722" w:rsidRDefault="00C21915" w:rsidP="0090567F">
      <w:pPr>
        <w:autoSpaceDE w:val="0"/>
        <w:autoSpaceDN w:val="0"/>
        <w:adjustRightInd w:val="0"/>
        <w:rPr>
          <w:rFonts w:ascii="Arial" w:hAnsi="Arial" w:cs="Arial"/>
          <w:lang w:val="tr-TR"/>
        </w:rPr>
      </w:pPr>
    </w:p>
    <w:tbl>
      <w:tblPr>
        <w:tblW w:w="4884" w:type="pct"/>
        <w:tblInd w:w="108" w:type="dxa"/>
        <w:tblLook w:val="01E0"/>
      </w:tblPr>
      <w:tblGrid>
        <w:gridCol w:w="5594"/>
        <w:gridCol w:w="1782"/>
        <w:gridCol w:w="1696"/>
      </w:tblGrid>
      <w:tr w:rsidR="004A22AC" w:rsidRPr="00D00722" w:rsidTr="004A22AC">
        <w:tc>
          <w:tcPr>
            <w:tcW w:w="3083" w:type="pct"/>
            <w:tcBorders>
              <w:top w:val="single" w:sz="4" w:space="0" w:color="auto"/>
              <w:bottom w:val="single" w:sz="4" w:space="0" w:color="auto"/>
            </w:tcBorders>
          </w:tcPr>
          <w:p w:rsidR="004A22AC" w:rsidRPr="00D00722" w:rsidRDefault="004A22AC" w:rsidP="00AE0484">
            <w:pPr>
              <w:autoSpaceDE w:val="0"/>
              <w:autoSpaceDN w:val="0"/>
              <w:adjustRightInd w:val="0"/>
              <w:ind w:hanging="108"/>
              <w:jc w:val="both"/>
              <w:rPr>
                <w:rFonts w:ascii="Arial" w:hAnsi="Arial" w:cs="Arial"/>
                <w:lang w:val="tr-TR"/>
              </w:rPr>
            </w:pPr>
          </w:p>
        </w:tc>
        <w:tc>
          <w:tcPr>
            <w:tcW w:w="982" w:type="pct"/>
            <w:tcBorders>
              <w:top w:val="single" w:sz="4" w:space="0" w:color="auto"/>
              <w:bottom w:val="single" w:sz="4" w:space="0" w:color="auto"/>
            </w:tcBorders>
            <w:vAlign w:val="bottom"/>
          </w:tcPr>
          <w:p w:rsidR="004A22AC" w:rsidRPr="00D00722" w:rsidRDefault="003972A7" w:rsidP="00D00722">
            <w:pPr>
              <w:autoSpaceDE w:val="0"/>
              <w:autoSpaceDN w:val="0"/>
              <w:adjustRightInd w:val="0"/>
              <w:jc w:val="right"/>
              <w:rPr>
                <w:rFonts w:ascii="Arial" w:hAnsi="Arial" w:cs="Arial"/>
                <w:b/>
                <w:lang w:val="tr-TR"/>
              </w:rPr>
            </w:pPr>
            <w:r w:rsidRPr="00D00722">
              <w:rPr>
                <w:rFonts w:ascii="Arial" w:hAnsi="Arial" w:cs="Arial"/>
                <w:b/>
                <w:lang w:val="tr-TR"/>
              </w:rPr>
              <w:t xml:space="preserve">31 </w:t>
            </w:r>
            <w:r w:rsidR="00D00722" w:rsidRPr="00D00722">
              <w:rPr>
                <w:rFonts w:ascii="Arial" w:hAnsi="Arial" w:cs="Arial"/>
                <w:b/>
                <w:lang w:val="tr-TR"/>
              </w:rPr>
              <w:t>Mart</w:t>
            </w:r>
            <w:r w:rsidR="006E13E5" w:rsidRPr="00D00722">
              <w:rPr>
                <w:rFonts w:ascii="Arial" w:hAnsi="Arial" w:cs="Arial"/>
                <w:b/>
                <w:lang w:val="tr-TR"/>
              </w:rPr>
              <w:t xml:space="preserve"> </w:t>
            </w:r>
            <w:r w:rsidR="00350F68" w:rsidRPr="00D00722">
              <w:rPr>
                <w:rFonts w:ascii="Arial" w:hAnsi="Arial" w:cs="Arial"/>
                <w:b/>
                <w:lang w:val="tr-TR"/>
              </w:rPr>
              <w:t>201</w:t>
            </w:r>
            <w:r w:rsidR="00D00722" w:rsidRPr="00D00722">
              <w:rPr>
                <w:rFonts w:ascii="Arial" w:hAnsi="Arial" w:cs="Arial"/>
                <w:b/>
                <w:lang w:val="tr-TR"/>
              </w:rPr>
              <w:t>4</w:t>
            </w:r>
          </w:p>
        </w:tc>
        <w:tc>
          <w:tcPr>
            <w:tcW w:w="935" w:type="pct"/>
            <w:tcBorders>
              <w:top w:val="single" w:sz="4" w:space="0" w:color="auto"/>
              <w:bottom w:val="single" w:sz="4" w:space="0" w:color="auto"/>
            </w:tcBorders>
            <w:vAlign w:val="bottom"/>
          </w:tcPr>
          <w:p w:rsidR="004A22AC" w:rsidRPr="00D00722" w:rsidRDefault="004A22AC" w:rsidP="007C706B">
            <w:pPr>
              <w:autoSpaceDE w:val="0"/>
              <w:autoSpaceDN w:val="0"/>
              <w:adjustRightInd w:val="0"/>
              <w:jc w:val="right"/>
              <w:rPr>
                <w:rFonts w:ascii="Arial" w:hAnsi="Arial" w:cs="Arial"/>
                <w:lang w:val="tr-TR"/>
              </w:rPr>
            </w:pPr>
            <w:r w:rsidRPr="00D00722">
              <w:rPr>
                <w:rFonts w:ascii="Arial" w:hAnsi="Arial" w:cs="Arial"/>
                <w:lang w:val="tr-TR"/>
              </w:rPr>
              <w:t>31 Aralık</w:t>
            </w:r>
            <w:r w:rsidR="006E13E5" w:rsidRPr="00D00722">
              <w:rPr>
                <w:rFonts w:ascii="Arial" w:hAnsi="Arial" w:cs="Arial"/>
                <w:lang w:val="tr-TR"/>
              </w:rPr>
              <w:t xml:space="preserve"> </w:t>
            </w:r>
            <w:r w:rsidR="00350F68" w:rsidRPr="00D00722">
              <w:rPr>
                <w:rFonts w:ascii="Arial" w:hAnsi="Arial" w:cs="Arial"/>
                <w:lang w:val="tr-TR"/>
              </w:rPr>
              <w:t>201</w:t>
            </w:r>
            <w:r w:rsidR="007C706B" w:rsidRPr="00D00722">
              <w:rPr>
                <w:rFonts w:ascii="Arial" w:hAnsi="Arial" w:cs="Arial"/>
                <w:lang w:val="tr-TR"/>
              </w:rPr>
              <w:t>3</w:t>
            </w:r>
          </w:p>
        </w:tc>
      </w:tr>
      <w:tr w:rsidR="004A22AC" w:rsidRPr="00D00722" w:rsidTr="004A22AC">
        <w:tc>
          <w:tcPr>
            <w:tcW w:w="3083" w:type="pct"/>
            <w:tcBorders>
              <w:top w:val="single" w:sz="4" w:space="0" w:color="auto"/>
            </w:tcBorders>
          </w:tcPr>
          <w:p w:rsidR="004A22AC" w:rsidRPr="00D00722" w:rsidRDefault="004A22AC" w:rsidP="00AE0484">
            <w:pPr>
              <w:autoSpaceDE w:val="0"/>
              <w:autoSpaceDN w:val="0"/>
              <w:adjustRightInd w:val="0"/>
              <w:ind w:hanging="108"/>
              <w:jc w:val="both"/>
              <w:rPr>
                <w:rFonts w:ascii="Arial" w:hAnsi="Arial" w:cs="Arial"/>
                <w:lang w:val="tr-TR"/>
              </w:rPr>
            </w:pPr>
          </w:p>
        </w:tc>
        <w:tc>
          <w:tcPr>
            <w:tcW w:w="982" w:type="pct"/>
            <w:tcBorders>
              <w:top w:val="single" w:sz="4" w:space="0" w:color="auto"/>
            </w:tcBorders>
            <w:vAlign w:val="bottom"/>
          </w:tcPr>
          <w:p w:rsidR="004A22AC" w:rsidRPr="00D00722" w:rsidRDefault="004A22AC" w:rsidP="00D26B4C">
            <w:pPr>
              <w:autoSpaceDE w:val="0"/>
              <w:autoSpaceDN w:val="0"/>
              <w:adjustRightInd w:val="0"/>
              <w:jc w:val="right"/>
              <w:rPr>
                <w:rFonts w:ascii="Arial" w:hAnsi="Arial" w:cs="Arial"/>
                <w:b/>
                <w:lang w:val="tr-TR"/>
              </w:rPr>
            </w:pPr>
          </w:p>
        </w:tc>
        <w:tc>
          <w:tcPr>
            <w:tcW w:w="935" w:type="pct"/>
            <w:tcBorders>
              <w:top w:val="single" w:sz="4" w:space="0" w:color="auto"/>
            </w:tcBorders>
            <w:vAlign w:val="bottom"/>
          </w:tcPr>
          <w:p w:rsidR="004A22AC" w:rsidRPr="00D00722" w:rsidRDefault="004A22AC" w:rsidP="00D26B4C">
            <w:pPr>
              <w:autoSpaceDE w:val="0"/>
              <w:autoSpaceDN w:val="0"/>
              <w:adjustRightInd w:val="0"/>
              <w:jc w:val="right"/>
              <w:rPr>
                <w:rFonts w:ascii="Arial" w:hAnsi="Arial" w:cs="Arial"/>
                <w:lang w:val="tr-TR"/>
              </w:rPr>
            </w:pPr>
          </w:p>
        </w:tc>
      </w:tr>
      <w:tr w:rsidR="002E27C3" w:rsidRPr="00D00722" w:rsidTr="004A22AC">
        <w:tc>
          <w:tcPr>
            <w:tcW w:w="3083" w:type="pct"/>
          </w:tcPr>
          <w:p w:rsidR="002E27C3" w:rsidRPr="00D00722" w:rsidRDefault="002E27C3" w:rsidP="00AE0484">
            <w:pPr>
              <w:autoSpaceDE w:val="0"/>
              <w:autoSpaceDN w:val="0"/>
              <w:adjustRightInd w:val="0"/>
              <w:ind w:hanging="108"/>
              <w:jc w:val="both"/>
              <w:rPr>
                <w:rFonts w:ascii="Arial" w:hAnsi="Arial" w:cs="Arial"/>
                <w:lang w:val="tr-TR"/>
              </w:rPr>
            </w:pPr>
            <w:r w:rsidRPr="00D00722">
              <w:rPr>
                <w:rFonts w:ascii="Arial" w:hAnsi="Arial" w:cs="Arial"/>
                <w:color w:val="000000"/>
              </w:rPr>
              <w:t>Ata Gayrimenkul Yatırım Ortaklığı A.Ş.</w:t>
            </w:r>
          </w:p>
        </w:tc>
        <w:tc>
          <w:tcPr>
            <w:tcW w:w="982" w:type="pct"/>
            <w:vAlign w:val="bottom"/>
          </w:tcPr>
          <w:p w:rsidR="002E27C3" w:rsidRPr="00D00722" w:rsidRDefault="00C82C7B" w:rsidP="00C82C7B">
            <w:pPr>
              <w:jc w:val="right"/>
              <w:rPr>
                <w:rFonts w:ascii="Arial" w:hAnsi="Arial" w:cs="Arial"/>
                <w:b/>
                <w:lang w:val="tr-TR"/>
              </w:rPr>
            </w:pPr>
            <w:r w:rsidRPr="00D00722">
              <w:rPr>
                <w:rFonts w:ascii="Arial" w:hAnsi="Arial" w:cs="Arial"/>
                <w:b/>
                <w:lang w:val="tr-TR"/>
              </w:rPr>
              <w:t>1.050</w:t>
            </w:r>
            <w:r w:rsidR="007048A5" w:rsidRPr="00D00722">
              <w:rPr>
                <w:rFonts w:ascii="Arial" w:hAnsi="Arial" w:cs="Arial"/>
                <w:b/>
                <w:lang w:val="tr-TR"/>
              </w:rPr>
              <w:t>-</w:t>
            </w:r>
          </w:p>
        </w:tc>
        <w:tc>
          <w:tcPr>
            <w:tcW w:w="935" w:type="pct"/>
            <w:vAlign w:val="bottom"/>
          </w:tcPr>
          <w:p w:rsidR="002E27C3" w:rsidRPr="00D00722" w:rsidRDefault="00C82C7B" w:rsidP="002E27C3">
            <w:pPr>
              <w:jc w:val="right"/>
              <w:rPr>
                <w:rFonts w:ascii="Arial" w:hAnsi="Arial" w:cs="Arial"/>
                <w:lang w:val="tr-TR"/>
              </w:rPr>
            </w:pPr>
            <w:r w:rsidRPr="00D00722">
              <w:rPr>
                <w:rFonts w:ascii="Arial" w:hAnsi="Arial" w:cs="Arial"/>
                <w:lang w:val="tr-TR"/>
              </w:rPr>
              <w:t>1.050-</w:t>
            </w:r>
          </w:p>
        </w:tc>
      </w:tr>
      <w:tr w:rsidR="002E27C3" w:rsidRPr="00D00722" w:rsidTr="004A22AC">
        <w:tc>
          <w:tcPr>
            <w:tcW w:w="3083" w:type="pct"/>
            <w:tcBorders>
              <w:bottom w:val="single" w:sz="4" w:space="0" w:color="auto"/>
            </w:tcBorders>
          </w:tcPr>
          <w:p w:rsidR="002E27C3" w:rsidRPr="00D00722" w:rsidRDefault="002E27C3" w:rsidP="00AE0484">
            <w:pPr>
              <w:autoSpaceDE w:val="0"/>
              <w:autoSpaceDN w:val="0"/>
              <w:adjustRightInd w:val="0"/>
              <w:ind w:hanging="108"/>
              <w:jc w:val="both"/>
              <w:rPr>
                <w:rFonts w:ascii="Arial" w:hAnsi="Arial" w:cs="Arial"/>
                <w:color w:val="000000"/>
              </w:rPr>
            </w:pPr>
            <w:r w:rsidRPr="00D00722">
              <w:rPr>
                <w:rFonts w:ascii="Arial" w:hAnsi="Arial" w:cs="Arial"/>
                <w:color w:val="000000"/>
              </w:rPr>
              <w:t xml:space="preserve">   (portföy yönetim ücreti alacakları) </w:t>
            </w:r>
          </w:p>
          <w:p w:rsidR="00C82C7B" w:rsidRPr="00D00722" w:rsidRDefault="00C82C7B" w:rsidP="00AE0484">
            <w:pPr>
              <w:autoSpaceDE w:val="0"/>
              <w:autoSpaceDN w:val="0"/>
              <w:adjustRightInd w:val="0"/>
              <w:ind w:hanging="108"/>
              <w:jc w:val="both"/>
              <w:rPr>
                <w:rFonts w:ascii="Arial" w:hAnsi="Arial" w:cs="Arial"/>
                <w:lang w:val="tr-TR"/>
              </w:rPr>
            </w:pPr>
            <w:r w:rsidRPr="00D00722">
              <w:rPr>
                <w:rFonts w:ascii="Arial" w:hAnsi="Arial" w:cs="Arial"/>
                <w:color w:val="000000"/>
              </w:rPr>
              <w:t>Bedela İnşaat (kira gid)</w:t>
            </w:r>
          </w:p>
        </w:tc>
        <w:tc>
          <w:tcPr>
            <w:tcW w:w="982" w:type="pct"/>
            <w:tcBorders>
              <w:bottom w:val="single" w:sz="4" w:space="0" w:color="auto"/>
            </w:tcBorders>
            <w:vAlign w:val="bottom"/>
          </w:tcPr>
          <w:p w:rsidR="002E27C3" w:rsidRPr="00D00722" w:rsidRDefault="00C82C7B" w:rsidP="00D26B4C">
            <w:pPr>
              <w:autoSpaceDE w:val="0"/>
              <w:autoSpaceDN w:val="0"/>
              <w:adjustRightInd w:val="0"/>
              <w:jc w:val="right"/>
              <w:rPr>
                <w:rFonts w:ascii="Arial" w:hAnsi="Arial" w:cs="Arial"/>
                <w:b/>
                <w:lang w:val="tr-TR"/>
              </w:rPr>
            </w:pPr>
            <w:r w:rsidRPr="00D00722">
              <w:rPr>
                <w:rFonts w:ascii="Arial" w:hAnsi="Arial" w:cs="Arial"/>
                <w:b/>
                <w:lang w:val="tr-TR"/>
              </w:rPr>
              <w:t>192-</w:t>
            </w:r>
          </w:p>
        </w:tc>
        <w:tc>
          <w:tcPr>
            <w:tcW w:w="935" w:type="pct"/>
            <w:tcBorders>
              <w:bottom w:val="single" w:sz="4" w:space="0" w:color="auto"/>
            </w:tcBorders>
            <w:vAlign w:val="bottom"/>
          </w:tcPr>
          <w:p w:rsidR="002E27C3" w:rsidRPr="00D00722" w:rsidRDefault="002E27C3" w:rsidP="002E27C3">
            <w:pPr>
              <w:autoSpaceDE w:val="0"/>
              <w:autoSpaceDN w:val="0"/>
              <w:adjustRightInd w:val="0"/>
              <w:jc w:val="right"/>
              <w:rPr>
                <w:rFonts w:ascii="Arial" w:hAnsi="Arial" w:cs="Arial"/>
                <w:lang w:val="tr-TR"/>
              </w:rPr>
            </w:pPr>
          </w:p>
        </w:tc>
      </w:tr>
      <w:tr w:rsidR="002E27C3" w:rsidRPr="00D00722" w:rsidTr="004A22AC">
        <w:tc>
          <w:tcPr>
            <w:tcW w:w="3083" w:type="pct"/>
            <w:tcBorders>
              <w:top w:val="single" w:sz="4" w:space="0" w:color="auto"/>
              <w:bottom w:val="double" w:sz="4" w:space="0" w:color="auto"/>
            </w:tcBorders>
          </w:tcPr>
          <w:p w:rsidR="002E27C3" w:rsidRPr="00D00722" w:rsidRDefault="002E27C3" w:rsidP="00AE0484">
            <w:pPr>
              <w:autoSpaceDE w:val="0"/>
              <w:autoSpaceDN w:val="0"/>
              <w:adjustRightInd w:val="0"/>
              <w:jc w:val="both"/>
              <w:rPr>
                <w:rFonts w:ascii="Arial" w:hAnsi="Arial" w:cs="Arial"/>
                <w:spacing w:val="-3"/>
                <w:lang w:val="tr-TR"/>
              </w:rPr>
            </w:pPr>
          </w:p>
        </w:tc>
        <w:tc>
          <w:tcPr>
            <w:tcW w:w="982" w:type="pct"/>
            <w:tcBorders>
              <w:top w:val="single" w:sz="4" w:space="0" w:color="auto"/>
              <w:bottom w:val="double" w:sz="4" w:space="0" w:color="auto"/>
            </w:tcBorders>
            <w:vAlign w:val="center"/>
          </w:tcPr>
          <w:p w:rsidR="002E27C3" w:rsidRPr="00D00722" w:rsidRDefault="00C82C7B" w:rsidP="00C82C7B">
            <w:pPr>
              <w:jc w:val="right"/>
              <w:rPr>
                <w:rFonts w:ascii="Arial" w:hAnsi="Arial" w:cs="Arial"/>
                <w:b/>
                <w:lang w:val="tr-TR"/>
              </w:rPr>
            </w:pPr>
            <w:r w:rsidRPr="00D00722">
              <w:rPr>
                <w:rFonts w:ascii="Arial" w:hAnsi="Arial" w:cs="Arial"/>
                <w:b/>
                <w:lang w:val="tr-TR"/>
              </w:rPr>
              <w:t>1.242-</w:t>
            </w:r>
          </w:p>
        </w:tc>
        <w:tc>
          <w:tcPr>
            <w:tcW w:w="935" w:type="pct"/>
            <w:tcBorders>
              <w:top w:val="single" w:sz="4" w:space="0" w:color="auto"/>
              <w:bottom w:val="double" w:sz="4" w:space="0" w:color="auto"/>
            </w:tcBorders>
            <w:vAlign w:val="center"/>
          </w:tcPr>
          <w:p w:rsidR="002E27C3" w:rsidRPr="00D00722" w:rsidRDefault="00C82C7B" w:rsidP="002E27C3">
            <w:pPr>
              <w:jc w:val="right"/>
              <w:rPr>
                <w:rFonts w:ascii="Arial" w:hAnsi="Arial" w:cs="Arial"/>
                <w:lang w:val="tr-TR"/>
              </w:rPr>
            </w:pPr>
            <w:r w:rsidRPr="00D00722">
              <w:rPr>
                <w:rFonts w:ascii="Arial" w:hAnsi="Arial" w:cs="Arial"/>
                <w:lang w:val="tr-TR"/>
              </w:rPr>
              <w:t>1.050-</w:t>
            </w:r>
          </w:p>
        </w:tc>
      </w:tr>
    </w:tbl>
    <w:p w:rsidR="007048A5" w:rsidRPr="00D00722" w:rsidRDefault="007048A5" w:rsidP="000E2EED">
      <w:pPr>
        <w:tabs>
          <w:tab w:val="right" w:pos="6660"/>
          <w:tab w:val="right" w:pos="8640"/>
        </w:tabs>
        <w:jc w:val="both"/>
        <w:rPr>
          <w:rFonts w:ascii="Arial" w:hAnsi="Arial" w:cs="Arial"/>
          <w:lang w:val="tr-TR"/>
        </w:rPr>
      </w:pPr>
    </w:p>
    <w:p w:rsidR="000E2EED" w:rsidRPr="00D00722" w:rsidRDefault="000E2EED" w:rsidP="006B6BAD">
      <w:pPr>
        <w:rPr>
          <w:rFonts w:ascii="Arial" w:hAnsi="Arial" w:cs="Arial"/>
          <w:b/>
          <w:lang w:val="tr-TR"/>
        </w:rPr>
      </w:pPr>
    </w:p>
    <w:p w:rsidR="003B42C2" w:rsidRPr="00D00722" w:rsidRDefault="003B42C2" w:rsidP="008F33FE">
      <w:pPr>
        <w:tabs>
          <w:tab w:val="right" w:pos="6660"/>
          <w:tab w:val="right" w:pos="8640"/>
        </w:tabs>
        <w:jc w:val="both"/>
        <w:rPr>
          <w:rFonts w:ascii="Arial" w:hAnsi="Arial" w:cs="Arial"/>
          <w:lang w:val="tr-TR"/>
        </w:rPr>
      </w:pPr>
    </w:p>
    <w:p w:rsidR="003B42C2" w:rsidRPr="00D00722" w:rsidRDefault="003B42C2">
      <w:pPr>
        <w:rPr>
          <w:rFonts w:ascii="Arial" w:hAnsi="Arial" w:cs="Arial"/>
          <w:lang w:val="tr-TR"/>
        </w:rPr>
      </w:pPr>
      <w:r w:rsidRPr="00D00722">
        <w:rPr>
          <w:rFonts w:ascii="Arial" w:hAnsi="Arial" w:cs="Arial"/>
          <w:lang w:val="tr-TR"/>
        </w:rPr>
        <w:br w:type="page"/>
      </w:r>
    </w:p>
    <w:p w:rsidR="003B42C2" w:rsidRPr="00D00722" w:rsidRDefault="003B42C2" w:rsidP="003B42C2">
      <w:pPr>
        <w:ind w:left="567" w:hanging="567"/>
        <w:jc w:val="both"/>
        <w:rPr>
          <w:rFonts w:ascii="Arial" w:hAnsi="Arial" w:cs="Arial"/>
          <w:lang w:val="tr-TR"/>
        </w:rPr>
      </w:pPr>
      <w:r w:rsidRPr="00D00722">
        <w:rPr>
          <w:rFonts w:ascii="Arial" w:hAnsi="Arial" w:cs="Arial"/>
          <w:b/>
          <w:lang w:val="tr-TR"/>
        </w:rPr>
        <w:t>23.</w:t>
      </w:r>
      <w:r w:rsidRPr="00D00722">
        <w:rPr>
          <w:rFonts w:ascii="Arial" w:hAnsi="Arial" w:cs="Arial"/>
          <w:b/>
          <w:lang w:val="tr-TR"/>
        </w:rPr>
        <w:tab/>
        <w:t>İlişkili taraf açıklamaları (devamı)</w:t>
      </w:r>
    </w:p>
    <w:p w:rsidR="000F693E" w:rsidRPr="00D00722" w:rsidRDefault="000F693E" w:rsidP="008F33FE">
      <w:pPr>
        <w:tabs>
          <w:tab w:val="right" w:pos="6660"/>
          <w:tab w:val="right" w:pos="8640"/>
        </w:tabs>
        <w:jc w:val="both"/>
        <w:rPr>
          <w:rFonts w:ascii="Arial" w:hAnsi="Arial" w:cs="Arial"/>
          <w:lang w:val="tr-TR"/>
        </w:rPr>
      </w:pPr>
    </w:p>
    <w:p w:rsidR="008F33FE" w:rsidRPr="00D00722" w:rsidRDefault="008F33FE" w:rsidP="008F33FE">
      <w:pPr>
        <w:tabs>
          <w:tab w:val="right" w:pos="6660"/>
          <w:tab w:val="right" w:pos="8640"/>
        </w:tabs>
        <w:jc w:val="both"/>
        <w:rPr>
          <w:rFonts w:ascii="Arial" w:hAnsi="Arial" w:cs="Arial"/>
          <w:lang w:val="tr-TR"/>
        </w:rPr>
      </w:pPr>
      <w:r w:rsidRPr="00D00722">
        <w:rPr>
          <w:rFonts w:ascii="Arial" w:hAnsi="Arial" w:cs="Arial"/>
          <w:lang w:val="tr-TR"/>
        </w:rPr>
        <w:t>İlişkili taraflar ile olan önemli işlemlerin detayı aşağıdaki gibidir :</w:t>
      </w:r>
    </w:p>
    <w:p w:rsidR="00151742" w:rsidRPr="00D00722" w:rsidRDefault="00151742" w:rsidP="0090567F">
      <w:pPr>
        <w:rPr>
          <w:rFonts w:ascii="Arial" w:hAnsi="Arial" w:cs="Arial"/>
          <w:b/>
          <w:lang w:val="tr-TR"/>
        </w:rPr>
      </w:pPr>
    </w:p>
    <w:tbl>
      <w:tblPr>
        <w:tblW w:w="9072" w:type="dxa"/>
        <w:tblInd w:w="108" w:type="dxa"/>
        <w:tblLayout w:type="fixed"/>
        <w:tblLook w:val="0000"/>
      </w:tblPr>
      <w:tblGrid>
        <w:gridCol w:w="5600"/>
        <w:gridCol w:w="1771"/>
        <w:gridCol w:w="1701"/>
      </w:tblGrid>
      <w:tr w:rsidR="007C706B" w:rsidRPr="00D00722" w:rsidTr="00E83219">
        <w:trPr>
          <w:trHeight w:val="113"/>
        </w:trPr>
        <w:tc>
          <w:tcPr>
            <w:tcW w:w="5600" w:type="dxa"/>
            <w:tcBorders>
              <w:top w:val="single" w:sz="6" w:space="0" w:color="auto"/>
              <w:left w:val="nil"/>
              <w:bottom w:val="single" w:sz="6" w:space="0" w:color="auto"/>
              <w:right w:val="nil"/>
            </w:tcBorders>
            <w:vAlign w:val="bottom"/>
          </w:tcPr>
          <w:p w:rsidR="007C706B" w:rsidRPr="00D00722" w:rsidRDefault="007C706B" w:rsidP="00E83219">
            <w:pPr>
              <w:autoSpaceDE w:val="0"/>
              <w:autoSpaceDN w:val="0"/>
              <w:adjustRightInd w:val="0"/>
              <w:ind w:hanging="108"/>
              <w:rPr>
                <w:rFonts w:ascii="Arial" w:hAnsi="Arial" w:cs="Arial"/>
                <w:bCs/>
                <w:color w:val="000000"/>
              </w:rPr>
            </w:pPr>
          </w:p>
          <w:p w:rsidR="007C706B" w:rsidRPr="00D00722" w:rsidRDefault="007C706B" w:rsidP="00E83219">
            <w:pPr>
              <w:autoSpaceDE w:val="0"/>
              <w:autoSpaceDN w:val="0"/>
              <w:adjustRightInd w:val="0"/>
              <w:ind w:hanging="108"/>
              <w:rPr>
                <w:rFonts w:ascii="Arial" w:hAnsi="Arial" w:cs="Arial"/>
                <w:b/>
                <w:bCs/>
                <w:color w:val="000000"/>
              </w:rPr>
            </w:pPr>
            <w:r w:rsidRPr="00D00722">
              <w:rPr>
                <w:rFonts w:ascii="Arial" w:hAnsi="Arial" w:cs="Arial"/>
                <w:b/>
                <w:bCs/>
                <w:color w:val="000000"/>
              </w:rPr>
              <w:t>İlişkili taraflarla olan işlemlerin detayı</w:t>
            </w:r>
          </w:p>
        </w:tc>
        <w:tc>
          <w:tcPr>
            <w:tcW w:w="1771" w:type="dxa"/>
            <w:tcBorders>
              <w:top w:val="single" w:sz="6" w:space="0" w:color="auto"/>
              <w:left w:val="nil"/>
              <w:bottom w:val="single" w:sz="6" w:space="0" w:color="auto"/>
              <w:right w:val="nil"/>
            </w:tcBorders>
            <w:vAlign w:val="bottom"/>
          </w:tcPr>
          <w:p w:rsidR="007C706B" w:rsidRPr="00D00722" w:rsidRDefault="007C706B" w:rsidP="00F94040">
            <w:pPr>
              <w:autoSpaceDE w:val="0"/>
              <w:autoSpaceDN w:val="0"/>
              <w:adjustRightInd w:val="0"/>
              <w:jc w:val="right"/>
              <w:rPr>
                <w:rFonts w:ascii="Arial" w:hAnsi="Arial" w:cs="Arial"/>
                <w:b/>
                <w:bCs/>
                <w:color w:val="000000"/>
              </w:rPr>
            </w:pPr>
            <w:r w:rsidRPr="00D00722">
              <w:rPr>
                <w:rFonts w:ascii="Arial" w:hAnsi="Arial" w:cs="Arial"/>
                <w:b/>
                <w:bCs/>
                <w:color w:val="000000"/>
              </w:rPr>
              <w:t>1 Ocak -</w:t>
            </w:r>
          </w:p>
          <w:p w:rsidR="007C706B" w:rsidRPr="00D00722" w:rsidRDefault="007C706B" w:rsidP="00E55DC8">
            <w:pPr>
              <w:autoSpaceDE w:val="0"/>
              <w:autoSpaceDN w:val="0"/>
              <w:adjustRightInd w:val="0"/>
              <w:jc w:val="right"/>
              <w:rPr>
                <w:rFonts w:ascii="Arial" w:hAnsi="Arial" w:cs="Arial"/>
                <w:b/>
                <w:bCs/>
                <w:color w:val="000000"/>
              </w:rPr>
            </w:pPr>
            <w:r w:rsidRPr="00D00722">
              <w:rPr>
                <w:rFonts w:ascii="Arial" w:hAnsi="Arial" w:cs="Arial"/>
                <w:b/>
                <w:bCs/>
                <w:color w:val="000000"/>
              </w:rPr>
              <w:t>31 Mart</w:t>
            </w:r>
            <w:r w:rsidR="00E55DC8" w:rsidRPr="00D00722">
              <w:rPr>
                <w:rFonts w:ascii="Arial" w:hAnsi="Arial" w:cs="Arial"/>
                <w:b/>
                <w:bCs/>
                <w:color w:val="000000"/>
              </w:rPr>
              <w:t xml:space="preserve"> </w:t>
            </w:r>
            <w:r w:rsidRPr="00D00722">
              <w:rPr>
                <w:rFonts w:ascii="Arial" w:hAnsi="Arial" w:cs="Arial"/>
                <w:b/>
                <w:bCs/>
                <w:color w:val="000000"/>
              </w:rPr>
              <w:t>201</w:t>
            </w:r>
            <w:r w:rsidR="00E55DC8" w:rsidRPr="00D00722">
              <w:rPr>
                <w:rFonts w:ascii="Arial" w:hAnsi="Arial" w:cs="Arial"/>
                <w:b/>
                <w:bCs/>
                <w:color w:val="000000"/>
              </w:rPr>
              <w:t>4</w:t>
            </w:r>
          </w:p>
        </w:tc>
        <w:tc>
          <w:tcPr>
            <w:tcW w:w="1701" w:type="dxa"/>
            <w:tcBorders>
              <w:top w:val="single" w:sz="6" w:space="0" w:color="auto"/>
              <w:left w:val="nil"/>
              <w:bottom w:val="single" w:sz="6" w:space="0" w:color="auto"/>
              <w:right w:val="nil"/>
            </w:tcBorders>
            <w:vAlign w:val="bottom"/>
          </w:tcPr>
          <w:p w:rsidR="007C706B" w:rsidRPr="00D00722" w:rsidRDefault="007C706B" w:rsidP="007C706B">
            <w:pPr>
              <w:autoSpaceDE w:val="0"/>
              <w:autoSpaceDN w:val="0"/>
              <w:adjustRightInd w:val="0"/>
              <w:jc w:val="right"/>
              <w:rPr>
                <w:rFonts w:ascii="Arial" w:hAnsi="Arial" w:cs="Arial"/>
                <w:bCs/>
                <w:color w:val="000000"/>
              </w:rPr>
            </w:pPr>
            <w:r w:rsidRPr="00D00722">
              <w:rPr>
                <w:rFonts w:ascii="Arial" w:hAnsi="Arial" w:cs="Arial"/>
                <w:bCs/>
                <w:color w:val="000000"/>
              </w:rPr>
              <w:t>1 Ocak -</w:t>
            </w:r>
          </w:p>
          <w:p w:rsidR="007C706B" w:rsidRPr="00D00722" w:rsidRDefault="007C706B" w:rsidP="00C82C7B">
            <w:pPr>
              <w:autoSpaceDE w:val="0"/>
              <w:autoSpaceDN w:val="0"/>
              <w:adjustRightInd w:val="0"/>
              <w:jc w:val="right"/>
              <w:rPr>
                <w:rFonts w:ascii="Arial" w:hAnsi="Arial" w:cs="Arial"/>
                <w:bCs/>
                <w:color w:val="000000"/>
              </w:rPr>
            </w:pPr>
            <w:r w:rsidRPr="00D00722">
              <w:rPr>
                <w:rFonts w:ascii="Arial" w:hAnsi="Arial" w:cs="Arial"/>
                <w:bCs/>
                <w:color w:val="000000"/>
              </w:rPr>
              <w:t xml:space="preserve">31 </w:t>
            </w:r>
            <w:r w:rsidR="00C82C7B" w:rsidRPr="00D00722">
              <w:rPr>
                <w:rFonts w:ascii="Arial" w:hAnsi="Arial" w:cs="Arial"/>
                <w:bCs/>
                <w:color w:val="000000"/>
              </w:rPr>
              <w:t>Mart</w:t>
            </w:r>
            <w:r w:rsidRPr="00D00722">
              <w:rPr>
                <w:rFonts w:ascii="Arial" w:hAnsi="Arial" w:cs="Arial"/>
                <w:bCs/>
                <w:color w:val="000000"/>
              </w:rPr>
              <w:t xml:space="preserve"> 2013</w:t>
            </w:r>
          </w:p>
        </w:tc>
      </w:tr>
      <w:tr w:rsidR="007C706B" w:rsidRPr="00D00722" w:rsidTr="00E83219">
        <w:trPr>
          <w:trHeight w:val="113"/>
        </w:trPr>
        <w:tc>
          <w:tcPr>
            <w:tcW w:w="5600" w:type="dxa"/>
            <w:tcBorders>
              <w:top w:val="nil"/>
              <w:left w:val="nil"/>
              <w:bottom w:val="nil"/>
              <w:right w:val="nil"/>
            </w:tcBorders>
            <w:vAlign w:val="bottom"/>
          </w:tcPr>
          <w:p w:rsidR="007C706B" w:rsidRPr="00D00722" w:rsidRDefault="007C706B" w:rsidP="00E83219">
            <w:pPr>
              <w:autoSpaceDE w:val="0"/>
              <w:autoSpaceDN w:val="0"/>
              <w:adjustRightInd w:val="0"/>
              <w:ind w:hanging="108"/>
              <w:rPr>
                <w:rFonts w:ascii="Arial" w:hAnsi="Arial" w:cs="Arial"/>
                <w:b/>
                <w:bCs/>
                <w:color w:val="000000"/>
              </w:rPr>
            </w:pPr>
          </w:p>
        </w:tc>
        <w:tc>
          <w:tcPr>
            <w:tcW w:w="1771" w:type="dxa"/>
            <w:tcBorders>
              <w:top w:val="nil"/>
              <w:left w:val="nil"/>
              <w:bottom w:val="nil"/>
              <w:right w:val="nil"/>
            </w:tcBorders>
            <w:vAlign w:val="bottom"/>
          </w:tcPr>
          <w:p w:rsidR="007C706B" w:rsidRPr="00D00722" w:rsidRDefault="007C706B" w:rsidP="00E83219">
            <w:pPr>
              <w:autoSpaceDE w:val="0"/>
              <w:autoSpaceDN w:val="0"/>
              <w:adjustRightInd w:val="0"/>
              <w:jc w:val="right"/>
              <w:rPr>
                <w:rFonts w:ascii="Arial" w:hAnsi="Arial" w:cs="Arial"/>
                <w:b/>
                <w:bCs/>
                <w:color w:val="000000"/>
              </w:rPr>
            </w:pPr>
          </w:p>
        </w:tc>
        <w:tc>
          <w:tcPr>
            <w:tcW w:w="1701" w:type="dxa"/>
            <w:tcBorders>
              <w:top w:val="nil"/>
              <w:left w:val="nil"/>
              <w:bottom w:val="nil"/>
              <w:right w:val="nil"/>
            </w:tcBorders>
            <w:vAlign w:val="bottom"/>
          </w:tcPr>
          <w:p w:rsidR="007C706B" w:rsidRPr="00D00722" w:rsidRDefault="007C706B" w:rsidP="007C706B">
            <w:pPr>
              <w:autoSpaceDE w:val="0"/>
              <w:autoSpaceDN w:val="0"/>
              <w:adjustRightInd w:val="0"/>
              <w:jc w:val="right"/>
              <w:rPr>
                <w:rFonts w:ascii="Arial" w:hAnsi="Arial" w:cs="Arial"/>
                <w:bCs/>
                <w:color w:val="000000"/>
              </w:rPr>
            </w:pPr>
          </w:p>
        </w:tc>
      </w:tr>
      <w:tr w:rsidR="007C706B" w:rsidRPr="00D00722" w:rsidTr="002E27C3">
        <w:trPr>
          <w:trHeight w:val="113"/>
        </w:trPr>
        <w:tc>
          <w:tcPr>
            <w:tcW w:w="5600" w:type="dxa"/>
            <w:tcBorders>
              <w:top w:val="nil"/>
              <w:left w:val="nil"/>
              <w:bottom w:val="nil"/>
              <w:right w:val="nil"/>
            </w:tcBorders>
            <w:vAlign w:val="bottom"/>
          </w:tcPr>
          <w:p w:rsidR="007C706B" w:rsidRPr="00D00722" w:rsidRDefault="007C706B" w:rsidP="00E83219">
            <w:pPr>
              <w:autoSpaceDE w:val="0"/>
              <w:autoSpaceDN w:val="0"/>
              <w:adjustRightInd w:val="0"/>
              <w:ind w:hanging="108"/>
              <w:rPr>
                <w:rFonts w:ascii="Arial" w:hAnsi="Arial" w:cs="Arial"/>
                <w:color w:val="000000"/>
              </w:rPr>
            </w:pPr>
            <w:r w:rsidRPr="00D00722">
              <w:rPr>
                <w:rFonts w:ascii="Arial" w:hAnsi="Arial" w:cs="Arial"/>
                <w:color w:val="000000"/>
              </w:rPr>
              <w:t>Ata Yatırım Menkul Kıymetler A.Ş. Yatırım Fonları – (Portföy yönetim komisyon gelirleri)</w:t>
            </w:r>
          </w:p>
        </w:tc>
        <w:tc>
          <w:tcPr>
            <w:tcW w:w="1771" w:type="dxa"/>
            <w:tcBorders>
              <w:top w:val="nil"/>
              <w:left w:val="nil"/>
              <w:bottom w:val="nil"/>
              <w:right w:val="nil"/>
            </w:tcBorders>
            <w:vAlign w:val="bottom"/>
          </w:tcPr>
          <w:p w:rsidR="007C706B" w:rsidRPr="00D00722" w:rsidRDefault="00A528C4" w:rsidP="00E83219">
            <w:pPr>
              <w:autoSpaceDE w:val="0"/>
              <w:autoSpaceDN w:val="0"/>
              <w:adjustRightInd w:val="0"/>
              <w:jc w:val="right"/>
              <w:rPr>
                <w:rFonts w:ascii="Arial" w:hAnsi="Arial" w:cs="Arial"/>
                <w:b/>
                <w:bCs/>
                <w:color w:val="000000"/>
              </w:rPr>
            </w:pPr>
            <w:r w:rsidRPr="00D00722">
              <w:rPr>
                <w:rFonts w:ascii="Arial" w:hAnsi="Arial" w:cs="Arial"/>
                <w:b/>
                <w:bCs/>
                <w:color w:val="000000"/>
              </w:rPr>
              <w:t>381.236</w:t>
            </w:r>
          </w:p>
        </w:tc>
        <w:tc>
          <w:tcPr>
            <w:tcW w:w="1701" w:type="dxa"/>
            <w:tcBorders>
              <w:top w:val="nil"/>
              <w:left w:val="nil"/>
              <w:bottom w:val="nil"/>
              <w:right w:val="nil"/>
            </w:tcBorders>
            <w:vAlign w:val="bottom"/>
          </w:tcPr>
          <w:p w:rsidR="007C706B" w:rsidRPr="00D00722" w:rsidRDefault="00A528C4" w:rsidP="00A528C4">
            <w:pPr>
              <w:autoSpaceDE w:val="0"/>
              <w:autoSpaceDN w:val="0"/>
              <w:adjustRightInd w:val="0"/>
              <w:jc w:val="right"/>
              <w:rPr>
                <w:rFonts w:ascii="Arial" w:hAnsi="Arial" w:cs="Arial"/>
                <w:bCs/>
                <w:color w:val="000000"/>
              </w:rPr>
            </w:pPr>
            <w:r w:rsidRPr="00D00722">
              <w:rPr>
                <w:rFonts w:ascii="Arial" w:hAnsi="Arial" w:cs="Arial"/>
                <w:bCs/>
                <w:color w:val="000000"/>
              </w:rPr>
              <w:t>588.244</w:t>
            </w:r>
          </w:p>
        </w:tc>
      </w:tr>
      <w:tr w:rsidR="007C706B" w:rsidRPr="00D00722" w:rsidTr="002E27C3">
        <w:trPr>
          <w:trHeight w:val="113"/>
        </w:trPr>
        <w:tc>
          <w:tcPr>
            <w:tcW w:w="5600" w:type="dxa"/>
            <w:tcBorders>
              <w:top w:val="nil"/>
              <w:left w:val="nil"/>
              <w:bottom w:val="nil"/>
              <w:right w:val="nil"/>
            </w:tcBorders>
            <w:vAlign w:val="bottom"/>
          </w:tcPr>
          <w:p w:rsidR="007C706B" w:rsidRPr="00D00722" w:rsidRDefault="007C706B" w:rsidP="00E83219">
            <w:pPr>
              <w:autoSpaceDE w:val="0"/>
              <w:autoSpaceDN w:val="0"/>
              <w:adjustRightInd w:val="0"/>
              <w:ind w:hanging="108"/>
              <w:rPr>
                <w:rFonts w:ascii="Arial" w:hAnsi="Arial" w:cs="Arial"/>
                <w:color w:val="000000"/>
              </w:rPr>
            </w:pPr>
            <w:r w:rsidRPr="00D00722">
              <w:rPr>
                <w:rFonts w:ascii="Arial" w:hAnsi="Arial" w:cs="Arial"/>
                <w:color w:val="000000"/>
              </w:rPr>
              <w:t>Ata Gayrimenkul Yatırım Ortaklığı A.Ş. (eski adıyla Ata Yatırım Ortaklığı A.Ş.) – (Portföy yönetim ücreti)</w:t>
            </w:r>
          </w:p>
        </w:tc>
        <w:tc>
          <w:tcPr>
            <w:tcW w:w="1771" w:type="dxa"/>
            <w:tcBorders>
              <w:top w:val="nil"/>
              <w:left w:val="nil"/>
              <w:bottom w:val="nil"/>
              <w:right w:val="nil"/>
            </w:tcBorders>
            <w:vAlign w:val="bottom"/>
          </w:tcPr>
          <w:p w:rsidR="007C706B" w:rsidRPr="00D00722" w:rsidRDefault="00A528C4" w:rsidP="00924BC3">
            <w:pPr>
              <w:autoSpaceDE w:val="0"/>
              <w:autoSpaceDN w:val="0"/>
              <w:adjustRightInd w:val="0"/>
              <w:jc w:val="right"/>
              <w:rPr>
                <w:rFonts w:ascii="Arial" w:hAnsi="Arial" w:cs="Arial"/>
                <w:b/>
                <w:bCs/>
                <w:color w:val="000000"/>
              </w:rPr>
            </w:pPr>
            <w:r w:rsidRPr="00D00722">
              <w:rPr>
                <w:rFonts w:ascii="Arial" w:hAnsi="Arial" w:cs="Arial"/>
                <w:b/>
                <w:bCs/>
                <w:color w:val="000000"/>
              </w:rPr>
              <w:t>3.000</w:t>
            </w:r>
          </w:p>
        </w:tc>
        <w:tc>
          <w:tcPr>
            <w:tcW w:w="1701" w:type="dxa"/>
            <w:tcBorders>
              <w:top w:val="nil"/>
              <w:left w:val="nil"/>
              <w:bottom w:val="nil"/>
              <w:right w:val="nil"/>
            </w:tcBorders>
            <w:vAlign w:val="bottom"/>
          </w:tcPr>
          <w:p w:rsidR="007C706B" w:rsidRPr="00D00722" w:rsidRDefault="00A528C4" w:rsidP="00A528C4">
            <w:pPr>
              <w:autoSpaceDE w:val="0"/>
              <w:autoSpaceDN w:val="0"/>
              <w:adjustRightInd w:val="0"/>
              <w:jc w:val="right"/>
              <w:rPr>
                <w:rFonts w:ascii="Arial" w:hAnsi="Arial" w:cs="Arial"/>
                <w:bCs/>
                <w:color w:val="000000"/>
              </w:rPr>
            </w:pPr>
            <w:r w:rsidRPr="00D00722">
              <w:rPr>
                <w:rFonts w:ascii="Arial" w:hAnsi="Arial" w:cs="Arial"/>
                <w:bCs/>
                <w:color w:val="000000"/>
              </w:rPr>
              <w:t>3</w:t>
            </w:r>
            <w:r w:rsidR="007C706B" w:rsidRPr="00D00722">
              <w:rPr>
                <w:rFonts w:ascii="Arial" w:hAnsi="Arial" w:cs="Arial"/>
                <w:bCs/>
                <w:color w:val="000000"/>
              </w:rPr>
              <w:t>.</w:t>
            </w:r>
            <w:r w:rsidRPr="00D00722">
              <w:rPr>
                <w:rFonts w:ascii="Arial" w:hAnsi="Arial" w:cs="Arial"/>
                <w:bCs/>
                <w:color w:val="000000"/>
              </w:rPr>
              <w:t>0</w:t>
            </w:r>
            <w:r w:rsidR="007C706B" w:rsidRPr="00D00722">
              <w:rPr>
                <w:rFonts w:ascii="Arial" w:hAnsi="Arial" w:cs="Arial"/>
                <w:bCs/>
                <w:color w:val="000000"/>
              </w:rPr>
              <w:t>00</w:t>
            </w:r>
          </w:p>
        </w:tc>
      </w:tr>
      <w:tr w:rsidR="007C706B" w:rsidRPr="00D00722" w:rsidTr="00E83219">
        <w:trPr>
          <w:trHeight w:val="113"/>
        </w:trPr>
        <w:tc>
          <w:tcPr>
            <w:tcW w:w="5600" w:type="dxa"/>
            <w:tcBorders>
              <w:top w:val="nil"/>
              <w:left w:val="nil"/>
              <w:bottom w:val="nil"/>
              <w:right w:val="nil"/>
            </w:tcBorders>
            <w:vAlign w:val="bottom"/>
          </w:tcPr>
          <w:p w:rsidR="007C706B" w:rsidRPr="00D00722" w:rsidRDefault="007C706B" w:rsidP="00E83219">
            <w:pPr>
              <w:autoSpaceDE w:val="0"/>
              <w:autoSpaceDN w:val="0"/>
              <w:adjustRightInd w:val="0"/>
              <w:ind w:hanging="108"/>
              <w:rPr>
                <w:rFonts w:ascii="Arial" w:hAnsi="Arial" w:cs="Arial"/>
                <w:color w:val="000000"/>
              </w:rPr>
            </w:pPr>
          </w:p>
        </w:tc>
        <w:tc>
          <w:tcPr>
            <w:tcW w:w="1771" w:type="dxa"/>
            <w:tcBorders>
              <w:top w:val="nil"/>
              <w:left w:val="nil"/>
              <w:bottom w:val="nil"/>
              <w:right w:val="nil"/>
            </w:tcBorders>
            <w:vAlign w:val="bottom"/>
          </w:tcPr>
          <w:p w:rsidR="007C706B" w:rsidRPr="00D00722" w:rsidRDefault="007C706B" w:rsidP="00E83219">
            <w:pPr>
              <w:autoSpaceDE w:val="0"/>
              <w:autoSpaceDN w:val="0"/>
              <w:adjustRightInd w:val="0"/>
              <w:jc w:val="right"/>
              <w:rPr>
                <w:rFonts w:ascii="Arial" w:hAnsi="Arial" w:cs="Arial"/>
                <w:b/>
                <w:bCs/>
                <w:color w:val="000000"/>
              </w:rPr>
            </w:pPr>
          </w:p>
        </w:tc>
        <w:tc>
          <w:tcPr>
            <w:tcW w:w="1701" w:type="dxa"/>
            <w:tcBorders>
              <w:top w:val="nil"/>
              <w:left w:val="nil"/>
              <w:bottom w:val="nil"/>
              <w:right w:val="nil"/>
            </w:tcBorders>
            <w:vAlign w:val="bottom"/>
          </w:tcPr>
          <w:p w:rsidR="007C706B" w:rsidRPr="00D00722" w:rsidRDefault="007C706B" w:rsidP="007C706B">
            <w:pPr>
              <w:autoSpaceDE w:val="0"/>
              <w:autoSpaceDN w:val="0"/>
              <w:adjustRightInd w:val="0"/>
              <w:jc w:val="right"/>
              <w:rPr>
                <w:rFonts w:ascii="Arial" w:hAnsi="Arial" w:cs="Arial"/>
                <w:bCs/>
                <w:color w:val="000000"/>
              </w:rPr>
            </w:pPr>
          </w:p>
        </w:tc>
      </w:tr>
      <w:tr w:rsidR="007C706B" w:rsidRPr="00D00722" w:rsidTr="00E83219">
        <w:trPr>
          <w:trHeight w:val="113"/>
        </w:trPr>
        <w:tc>
          <w:tcPr>
            <w:tcW w:w="5600" w:type="dxa"/>
            <w:tcBorders>
              <w:top w:val="single" w:sz="6" w:space="0" w:color="auto"/>
              <w:left w:val="nil"/>
              <w:bottom w:val="single" w:sz="6" w:space="0" w:color="auto"/>
              <w:right w:val="nil"/>
            </w:tcBorders>
            <w:vAlign w:val="bottom"/>
          </w:tcPr>
          <w:p w:rsidR="007C706B" w:rsidRPr="00D00722" w:rsidRDefault="007C706B" w:rsidP="00E83219">
            <w:pPr>
              <w:autoSpaceDE w:val="0"/>
              <w:autoSpaceDN w:val="0"/>
              <w:adjustRightInd w:val="0"/>
              <w:ind w:hanging="108"/>
              <w:rPr>
                <w:rFonts w:ascii="Arial" w:hAnsi="Arial" w:cs="Arial"/>
                <w:bCs/>
                <w:color w:val="000000"/>
              </w:rPr>
            </w:pPr>
            <w:r w:rsidRPr="00D00722">
              <w:rPr>
                <w:rFonts w:ascii="Arial" w:hAnsi="Arial" w:cs="Arial"/>
                <w:bCs/>
                <w:color w:val="000000"/>
              </w:rPr>
              <w:t>İlişkili taraflardan olan gelirler</w:t>
            </w:r>
          </w:p>
        </w:tc>
        <w:tc>
          <w:tcPr>
            <w:tcW w:w="1771" w:type="dxa"/>
            <w:tcBorders>
              <w:top w:val="single" w:sz="6" w:space="0" w:color="auto"/>
              <w:left w:val="nil"/>
              <w:bottom w:val="single" w:sz="6" w:space="0" w:color="auto"/>
              <w:right w:val="nil"/>
            </w:tcBorders>
            <w:vAlign w:val="bottom"/>
          </w:tcPr>
          <w:p w:rsidR="007C706B" w:rsidRPr="00D00722" w:rsidRDefault="00C82C7B" w:rsidP="00824C81">
            <w:pPr>
              <w:autoSpaceDE w:val="0"/>
              <w:autoSpaceDN w:val="0"/>
              <w:adjustRightInd w:val="0"/>
              <w:jc w:val="right"/>
              <w:rPr>
                <w:rFonts w:ascii="Arial" w:hAnsi="Arial" w:cs="Arial"/>
                <w:b/>
                <w:bCs/>
                <w:color w:val="000000"/>
              </w:rPr>
            </w:pPr>
            <w:r w:rsidRPr="00D00722">
              <w:rPr>
                <w:rFonts w:ascii="Arial" w:hAnsi="Arial" w:cs="Arial"/>
                <w:b/>
                <w:bCs/>
                <w:color w:val="000000"/>
              </w:rPr>
              <w:t>384.236</w:t>
            </w:r>
          </w:p>
        </w:tc>
        <w:tc>
          <w:tcPr>
            <w:tcW w:w="1701" w:type="dxa"/>
            <w:tcBorders>
              <w:top w:val="single" w:sz="6" w:space="0" w:color="auto"/>
              <w:left w:val="nil"/>
              <w:bottom w:val="single" w:sz="6" w:space="0" w:color="auto"/>
              <w:right w:val="nil"/>
            </w:tcBorders>
            <w:vAlign w:val="bottom"/>
          </w:tcPr>
          <w:p w:rsidR="007C706B" w:rsidRPr="00D00722" w:rsidRDefault="00C82C7B" w:rsidP="00C82C7B">
            <w:pPr>
              <w:autoSpaceDE w:val="0"/>
              <w:autoSpaceDN w:val="0"/>
              <w:adjustRightInd w:val="0"/>
              <w:jc w:val="right"/>
              <w:rPr>
                <w:rFonts w:ascii="Arial" w:hAnsi="Arial" w:cs="Arial"/>
                <w:bCs/>
                <w:color w:val="000000"/>
              </w:rPr>
            </w:pPr>
            <w:r w:rsidRPr="00D00722">
              <w:rPr>
                <w:rFonts w:ascii="Arial" w:hAnsi="Arial" w:cs="Arial"/>
                <w:bCs/>
                <w:color w:val="000000"/>
              </w:rPr>
              <w:t>591</w:t>
            </w:r>
            <w:r w:rsidR="007C706B" w:rsidRPr="00D00722">
              <w:rPr>
                <w:rFonts w:ascii="Arial" w:hAnsi="Arial" w:cs="Arial"/>
                <w:bCs/>
                <w:color w:val="000000"/>
              </w:rPr>
              <w:t>.</w:t>
            </w:r>
            <w:r w:rsidRPr="00D00722">
              <w:rPr>
                <w:rFonts w:ascii="Arial" w:hAnsi="Arial" w:cs="Arial"/>
                <w:bCs/>
                <w:color w:val="000000"/>
              </w:rPr>
              <w:t>244</w:t>
            </w:r>
          </w:p>
        </w:tc>
      </w:tr>
      <w:tr w:rsidR="007C706B" w:rsidRPr="00D00722" w:rsidTr="00E83219">
        <w:trPr>
          <w:trHeight w:val="113"/>
        </w:trPr>
        <w:tc>
          <w:tcPr>
            <w:tcW w:w="5600" w:type="dxa"/>
            <w:tcBorders>
              <w:top w:val="nil"/>
              <w:left w:val="nil"/>
              <w:bottom w:val="nil"/>
              <w:right w:val="nil"/>
            </w:tcBorders>
            <w:vAlign w:val="bottom"/>
          </w:tcPr>
          <w:p w:rsidR="007C706B" w:rsidRPr="00D00722" w:rsidRDefault="007C706B" w:rsidP="00E83219">
            <w:pPr>
              <w:autoSpaceDE w:val="0"/>
              <w:autoSpaceDN w:val="0"/>
              <w:adjustRightInd w:val="0"/>
              <w:ind w:hanging="108"/>
              <w:rPr>
                <w:rFonts w:ascii="Arial" w:hAnsi="Arial" w:cs="Arial"/>
                <w:b/>
                <w:bCs/>
                <w:color w:val="000000"/>
              </w:rPr>
            </w:pPr>
          </w:p>
        </w:tc>
        <w:tc>
          <w:tcPr>
            <w:tcW w:w="1771" w:type="dxa"/>
            <w:tcBorders>
              <w:top w:val="nil"/>
              <w:left w:val="nil"/>
              <w:bottom w:val="nil"/>
              <w:right w:val="nil"/>
            </w:tcBorders>
            <w:vAlign w:val="bottom"/>
          </w:tcPr>
          <w:p w:rsidR="007C706B" w:rsidRPr="00D00722" w:rsidRDefault="007C706B" w:rsidP="00E83219">
            <w:pPr>
              <w:autoSpaceDE w:val="0"/>
              <w:autoSpaceDN w:val="0"/>
              <w:adjustRightInd w:val="0"/>
              <w:jc w:val="right"/>
              <w:rPr>
                <w:rFonts w:ascii="Arial" w:hAnsi="Arial" w:cs="Arial"/>
                <w:b/>
                <w:bCs/>
                <w:color w:val="000000"/>
              </w:rPr>
            </w:pPr>
          </w:p>
        </w:tc>
        <w:tc>
          <w:tcPr>
            <w:tcW w:w="1701" w:type="dxa"/>
            <w:tcBorders>
              <w:top w:val="nil"/>
              <w:left w:val="nil"/>
              <w:bottom w:val="nil"/>
              <w:right w:val="nil"/>
            </w:tcBorders>
            <w:vAlign w:val="bottom"/>
          </w:tcPr>
          <w:p w:rsidR="007C706B" w:rsidRPr="00D00722" w:rsidRDefault="007C706B" w:rsidP="007C706B">
            <w:pPr>
              <w:autoSpaceDE w:val="0"/>
              <w:autoSpaceDN w:val="0"/>
              <w:adjustRightInd w:val="0"/>
              <w:jc w:val="right"/>
              <w:rPr>
                <w:rFonts w:ascii="Arial" w:hAnsi="Arial" w:cs="Arial"/>
                <w:bCs/>
                <w:color w:val="000000"/>
              </w:rPr>
            </w:pPr>
          </w:p>
        </w:tc>
      </w:tr>
      <w:tr w:rsidR="007C706B" w:rsidRPr="00D00722" w:rsidTr="00E83219">
        <w:trPr>
          <w:trHeight w:val="113"/>
        </w:trPr>
        <w:tc>
          <w:tcPr>
            <w:tcW w:w="5600" w:type="dxa"/>
            <w:tcBorders>
              <w:top w:val="nil"/>
              <w:left w:val="nil"/>
              <w:bottom w:val="nil"/>
              <w:right w:val="nil"/>
            </w:tcBorders>
            <w:vAlign w:val="bottom"/>
          </w:tcPr>
          <w:p w:rsidR="007C706B" w:rsidRPr="00D00722" w:rsidRDefault="007C706B" w:rsidP="00AA4A0B">
            <w:pPr>
              <w:autoSpaceDE w:val="0"/>
              <w:autoSpaceDN w:val="0"/>
              <w:adjustRightInd w:val="0"/>
              <w:ind w:hanging="108"/>
              <w:rPr>
                <w:rFonts w:ascii="Arial" w:hAnsi="Arial" w:cs="Arial"/>
                <w:color w:val="000000"/>
              </w:rPr>
            </w:pPr>
            <w:r w:rsidRPr="00D00722">
              <w:rPr>
                <w:rFonts w:ascii="Arial" w:hAnsi="Arial" w:cs="Arial"/>
                <w:color w:val="000000"/>
              </w:rPr>
              <w:t>Seraş - (Yönetim giderleri)</w:t>
            </w:r>
          </w:p>
        </w:tc>
        <w:tc>
          <w:tcPr>
            <w:tcW w:w="1771" w:type="dxa"/>
            <w:tcBorders>
              <w:top w:val="nil"/>
              <w:left w:val="nil"/>
              <w:bottom w:val="nil"/>
              <w:right w:val="nil"/>
            </w:tcBorders>
            <w:vAlign w:val="bottom"/>
          </w:tcPr>
          <w:p w:rsidR="007C706B" w:rsidRPr="00D00722" w:rsidRDefault="00F71810" w:rsidP="00AA4A0B">
            <w:pPr>
              <w:autoSpaceDE w:val="0"/>
              <w:autoSpaceDN w:val="0"/>
              <w:adjustRightInd w:val="0"/>
              <w:jc w:val="right"/>
              <w:rPr>
                <w:rFonts w:ascii="Arial" w:hAnsi="Arial" w:cs="Arial"/>
                <w:b/>
                <w:bCs/>
                <w:color w:val="000000"/>
              </w:rPr>
            </w:pPr>
            <w:r w:rsidRPr="00D00722">
              <w:rPr>
                <w:rFonts w:ascii="Arial" w:hAnsi="Arial" w:cs="Arial"/>
                <w:b/>
                <w:bCs/>
                <w:color w:val="000000"/>
              </w:rPr>
              <w:t>(25.985)</w:t>
            </w:r>
          </w:p>
        </w:tc>
        <w:tc>
          <w:tcPr>
            <w:tcW w:w="1701" w:type="dxa"/>
            <w:tcBorders>
              <w:top w:val="nil"/>
              <w:left w:val="nil"/>
              <w:bottom w:val="nil"/>
              <w:right w:val="nil"/>
            </w:tcBorders>
            <w:vAlign w:val="bottom"/>
          </w:tcPr>
          <w:p w:rsidR="007C706B" w:rsidRPr="00D00722" w:rsidRDefault="007C706B" w:rsidP="007C706B">
            <w:pPr>
              <w:autoSpaceDE w:val="0"/>
              <w:autoSpaceDN w:val="0"/>
              <w:adjustRightInd w:val="0"/>
              <w:jc w:val="right"/>
              <w:rPr>
                <w:rFonts w:ascii="Arial" w:hAnsi="Arial" w:cs="Arial"/>
                <w:bCs/>
                <w:color w:val="000000"/>
              </w:rPr>
            </w:pPr>
          </w:p>
        </w:tc>
      </w:tr>
      <w:tr w:rsidR="007C706B" w:rsidRPr="00D00722" w:rsidTr="00E83219">
        <w:trPr>
          <w:trHeight w:val="113"/>
        </w:trPr>
        <w:tc>
          <w:tcPr>
            <w:tcW w:w="5600" w:type="dxa"/>
            <w:tcBorders>
              <w:top w:val="nil"/>
              <w:left w:val="nil"/>
              <w:bottom w:val="nil"/>
              <w:right w:val="nil"/>
            </w:tcBorders>
            <w:vAlign w:val="bottom"/>
          </w:tcPr>
          <w:p w:rsidR="007C706B" w:rsidRPr="00D00722" w:rsidRDefault="007C706B" w:rsidP="00AA4A0B">
            <w:pPr>
              <w:autoSpaceDE w:val="0"/>
              <w:autoSpaceDN w:val="0"/>
              <w:adjustRightInd w:val="0"/>
              <w:ind w:hanging="108"/>
              <w:rPr>
                <w:rFonts w:ascii="Arial" w:hAnsi="Arial" w:cs="Arial"/>
                <w:color w:val="000000"/>
              </w:rPr>
            </w:pPr>
            <w:r w:rsidRPr="00D00722">
              <w:rPr>
                <w:rFonts w:ascii="Arial" w:hAnsi="Arial" w:cs="Arial"/>
                <w:color w:val="000000"/>
              </w:rPr>
              <w:t>Ata Holding A.Ş. – (Danışmanlık gideri)</w:t>
            </w:r>
          </w:p>
        </w:tc>
        <w:tc>
          <w:tcPr>
            <w:tcW w:w="1771" w:type="dxa"/>
            <w:tcBorders>
              <w:top w:val="nil"/>
              <w:left w:val="nil"/>
              <w:bottom w:val="nil"/>
              <w:right w:val="nil"/>
            </w:tcBorders>
            <w:vAlign w:val="bottom"/>
          </w:tcPr>
          <w:p w:rsidR="007C706B" w:rsidRPr="00D00722" w:rsidRDefault="00F71810" w:rsidP="00AA4A0B">
            <w:pPr>
              <w:autoSpaceDE w:val="0"/>
              <w:autoSpaceDN w:val="0"/>
              <w:adjustRightInd w:val="0"/>
              <w:jc w:val="right"/>
              <w:rPr>
                <w:rFonts w:ascii="Arial" w:hAnsi="Arial" w:cs="Arial"/>
                <w:b/>
                <w:bCs/>
                <w:color w:val="000000"/>
              </w:rPr>
            </w:pPr>
            <w:r w:rsidRPr="00D00722">
              <w:rPr>
                <w:rFonts w:ascii="Arial" w:hAnsi="Arial" w:cs="Arial"/>
                <w:b/>
                <w:bCs/>
                <w:color w:val="000000"/>
              </w:rPr>
              <w:t>(26.373)</w:t>
            </w:r>
          </w:p>
        </w:tc>
        <w:tc>
          <w:tcPr>
            <w:tcW w:w="1701" w:type="dxa"/>
            <w:tcBorders>
              <w:top w:val="nil"/>
              <w:left w:val="nil"/>
              <w:bottom w:val="nil"/>
              <w:right w:val="nil"/>
            </w:tcBorders>
            <w:vAlign w:val="bottom"/>
          </w:tcPr>
          <w:p w:rsidR="007C706B" w:rsidRPr="00D00722" w:rsidRDefault="00A94B4B" w:rsidP="007C706B">
            <w:pPr>
              <w:autoSpaceDE w:val="0"/>
              <w:autoSpaceDN w:val="0"/>
              <w:adjustRightInd w:val="0"/>
              <w:jc w:val="right"/>
              <w:rPr>
                <w:rFonts w:ascii="Arial" w:hAnsi="Arial" w:cs="Arial"/>
                <w:bCs/>
                <w:color w:val="000000"/>
              </w:rPr>
            </w:pPr>
            <w:r w:rsidRPr="00D00722">
              <w:rPr>
                <w:rFonts w:ascii="Arial" w:hAnsi="Arial" w:cs="Arial"/>
                <w:bCs/>
                <w:color w:val="000000"/>
              </w:rPr>
              <w:t>(21.417)</w:t>
            </w:r>
          </w:p>
        </w:tc>
      </w:tr>
      <w:tr w:rsidR="007C706B" w:rsidRPr="00D00722" w:rsidTr="00E83219">
        <w:trPr>
          <w:trHeight w:val="113"/>
        </w:trPr>
        <w:tc>
          <w:tcPr>
            <w:tcW w:w="5600" w:type="dxa"/>
            <w:tcBorders>
              <w:top w:val="nil"/>
              <w:left w:val="nil"/>
              <w:bottom w:val="nil"/>
              <w:right w:val="nil"/>
            </w:tcBorders>
            <w:vAlign w:val="bottom"/>
          </w:tcPr>
          <w:p w:rsidR="007C706B" w:rsidRPr="00D00722" w:rsidRDefault="007C706B" w:rsidP="00AA4A0B">
            <w:pPr>
              <w:autoSpaceDE w:val="0"/>
              <w:autoSpaceDN w:val="0"/>
              <w:adjustRightInd w:val="0"/>
              <w:ind w:hanging="108"/>
              <w:rPr>
                <w:rFonts w:ascii="Arial" w:hAnsi="Arial" w:cs="Arial"/>
                <w:color w:val="000000"/>
              </w:rPr>
            </w:pPr>
            <w:r w:rsidRPr="00D00722">
              <w:rPr>
                <w:rFonts w:ascii="Arial" w:hAnsi="Arial" w:cs="Arial"/>
                <w:color w:val="000000"/>
              </w:rPr>
              <w:t>Bedela İnşaat ve Tic. A.Ş. - (Kira gideri)</w:t>
            </w:r>
          </w:p>
        </w:tc>
        <w:tc>
          <w:tcPr>
            <w:tcW w:w="1771" w:type="dxa"/>
            <w:tcBorders>
              <w:top w:val="nil"/>
              <w:left w:val="nil"/>
              <w:bottom w:val="nil"/>
              <w:right w:val="nil"/>
            </w:tcBorders>
            <w:vAlign w:val="bottom"/>
          </w:tcPr>
          <w:p w:rsidR="007C706B" w:rsidRPr="00D00722" w:rsidRDefault="00F71810" w:rsidP="00AA4A0B">
            <w:pPr>
              <w:autoSpaceDE w:val="0"/>
              <w:autoSpaceDN w:val="0"/>
              <w:adjustRightInd w:val="0"/>
              <w:jc w:val="right"/>
              <w:rPr>
                <w:rFonts w:ascii="Arial" w:hAnsi="Arial" w:cs="Arial"/>
                <w:b/>
                <w:bCs/>
                <w:color w:val="000000"/>
              </w:rPr>
            </w:pPr>
            <w:r w:rsidRPr="00D00722">
              <w:rPr>
                <w:rFonts w:ascii="Arial" w:hAnsi="Arial" w:cs="Arial"/>
                <w:b/>
                <w:bCs/>
                <w:color w:val="000000"/>
              </w:rPr>
              <w:t>(30.113)</w:t>
            </w:r>
          </w:p>
        </w:tc>
        <w:tc>
          <w:tcPr>
            <w:tcW w:w="1701" w:type="dxa"/>
            <w:tcBorders>
              <w:top w:val="nil"/>
              <w:left w:val="nil"/>
              <w:bottom w:val="nil"/>
              <w:right w:val="nil"/>
            </w:tcBorders>
            <w:vAlign w:val="bottom"/>
          </w:tcPr>
          <w:p w:rsidR="007C706B" w:rsidRPr="00D00722" w:rsidRDefault="00A94B4B" w:rsidP="007C706B">
            <w:pPr>
              <w:autoSpaceDE w:val="0"/>
              <w:autoSpaceDN w:val="0"/>
              <w:adjustRightInd w:val="0"/>
              <w:jc w:val="right"/>
              <w:rPr>
                <w:rFonts w:ascii="Arial" w:hAnsi="Arial" w:cs="Arial"/>
                <w:bCs/>
                <w:color w:val="000000"/>
              </w:rPr>
            </w:pPr>
            <w:r w:rsidRPr="00D00722">
              <w:rPr>
                <w:rFonts w:ascii="Arial" w:hAnsi="Arial" w:cs="Arial"/>
                <w:bCs/>
                <w:color w:val="000000"/>
              </w:rPr>
              <w:t>(9.213)</w:t>
            </w:r>
          </w:p>
        </w:tc>
      </w:tr>
      <w:tr w:rsidR="007C706B" w:rsidRPr="00D00722" w:rsidTr="00E83219">
        <w:trPr>
          <w:trHeight w:val="113"/>
        </w:trPr>
        <w:tc>
          <w:tcPr>
            <w:tcW w:w="5600" w:type="dxa"/>
            <w:tcBorders>
              <w:top w:val="nil"/>
              <w:left w:val="nil"/>
              <w:bottom w:val="nil"/>
              <w:right w:val="nil"/>
            </w:tcBorders>
            <w:vAlign w:val="bottom"/>
          </w:tcPr>
          <w:p w:rsidR="007C706B" w:rsidRPr="00D00722" w:rsidRDefault="007C706B" w:rsidP="004A45C6">
            <w:pPr>
              <w:autoSpaceDE w:val="0"/>
              <w:autoSpaceDN w:val="0"/>
              <w:adjustRightInd w:val="0"/>
              <w:ind w:hanging="108"/>
              <w:rPr>
                <w:rFonts w:ascii="Arial" w:hAnsi="Arial" w:cs="Arial"/>
                <w:color w:val="000000"/>
              </w:rPr>
            </w:pPr>
            <w:r w:rsidRPr="00D00722">
              <w:rPr>
                <w:rFonts w:ascii="Arial" w:hAnsi="Arial" w:cs="Arial"/>
                <w:color w:val="000000"/>
              </w:rPr>
              <w:t>Arbeta Turizm Org. ve Tic. A.Ş. - (Seyahat giderleri)</w:t>
            </w:r>
          </w:p>
        </w:tc>
        <w:tc>
          <w:tcPr>
            <w:tcW w:w="1771" w:type="dxa"/>
            <w:tcBorders>
              <w:top w:val="nil"/>
              <w:left w:val="nil"/>
              <w:bottom w:val="nil"/>
              <w:right w:val="nil"/>
            </w:tcBorders>
            <w:vAlign w:val="bottom"/>
          </w:tcPr>
          <w:p w:rsidR="007C706B" w:rsidRPr="00D00722" w:rsidRDefault="00F71810" w:rsidP="00E83219">
            <w:pPr>
              <w:autoSpaceDE w:val="0"/>
              <w:autoSpaceDN w:val="0"/>
              <w:adjustRightInd w:val="0"/>
              <w:jc w:val="right"/>
              <w:rPr>
                <w:rFonts w:ascii="Arial" w:hAnsi="Arial" w:cs="Arial"/>
                <w:b/>
                <w:bCs/>
                <w:color w:val="000000"/>
              </w:rPr>
            </w:pPr>
            <w:r w:rsidRPr="00D00722">
              <w:rPr>
                <w:rFonts w:ascii="Arial" w:hAnsi="Arial" w:cs="Arial"/>
                <w:b/>
                <w:bCs/>
                <w:color w:val="000000"/>
              </w:rPr>
              <w:t>(5.017)</w:t>
            </w:r>
          </w:p>
        </w:tc>
        <w:tc>
          <w:tcPr>
            <w:tcW w:w="1701" w:type="dxa"/>
            <w:tcBorders>
              <w:top w:val="nil"/>
              <w:left w:val="nil"/>
              <w:bottom w:val="nil"/>
              <w:right w:val="nil"/>
            </w:tcBorders>
            <w:vAlign w:val="bottom"/>
          </w:tcPr>
          <w:p w:rsidR="007C706B" w:rsidRPr="00D00722" w:rsidRDefault="007C706B" w:rsidP="007C706B">
            <w:pPr>
              <w:autoSpaceDE w:val="0"/>
              <w:autoSpaceDN w:val="0"/>
              <w:adjustRightInd w:val="0"/>
              <w:jc w:val="right"/>
              <w:rPr>
                <w:rFonts w:ascii="Arial" w:hAnsi="Arial" w:cs="Arial"/>
                <w:bCs/>
                <w:color w:val="000000"/>
              </w:rPr>
            </w:pPr>
          </w:p>
        </w:tc>
      </w:tr>
      <w:tr w:rsidR="007C706B" w:rsidRPr="00D00722" w:rsidTr="00E83219">
        <w:trPr>
          <w:trHeight w:val="113"/>
        </w:trPr>
        <w:tc>
          <w:tcPr>
            <w:tcW w:w="5600" w:type="dxa"/>
            <w:tcBorders>
              <w:top w:val="nil"/>
              <w:left w:val="nil"/>
              <w:bottom w:val="nil"/>
              <w:right w:val="nil"/>
            </w:tcBorders>
            <w:vAlign w:val="bottom"/>
          </w:tcPr>
          <w:p w:rsidR="007C706B" w:rsidRPr="00D00722" w:rsidRDefault="007C706B" w:rsidP="004A45C6">
            <w:pPr>
              <w:autoSpaceDE w:val="0"/>
              <w:autoSpaceDN w:val="0"/>
              <w:adjustRightInd w:val="0"/>
              <w:ind w:hanging="108"/>
              <w:rPr>
                <w:rFonts w:ascii="Arial" w:hAnsi="Arial" w:cs="Arial"/>
                <w:color w:val="000000"/>
              </w:rPr>
            </w:pPr>
            <w:r w:rsidRPr="00D00722">
              <w:rPr>
                <w:rFonts w:ascii="Arial" w:hAnsi="Arial" w:cs="Arial"/>
                <w:color w:val="000000"/>
                <w:sz w:val="18"/>
                <w:szCs w:val="18"/>
              </w:rPr>
              <w:t>ATP Ticari Bilgisayar Ağı ve Elekt. Güç Kayn. Üretim ve Paz. Tic. A.Ş. - (Yazılım lisans bedeli)</w:t>
            </w:r>
          </w:p>
        </w:tc>
        <w:tc>
          <w:tcPr>
            <w:tcW w:w="1771" w:type="dxa"/>
            <w:tcBorders>
              <w:top w:val="nil"/>
              <w:left w:val="nil"/>
              <w:bottom w:val="nil"/>
              <w:right w:val="nil"/>
            </w:tcBorders>
            <w:vAlign w:val="bottom"/>
          </w:tcPr>
          <w:p w:rsidR="007C706B" w:rsidRPr="00D00722" w:rsidRDefault="00F71810" w:rsidP="00E83219">
            <w:pPr>
              <w:autoSpaceDE w:val="0"/>
              <w:autoSpaceDN w:val="0"/>
              <w:adjustRightInd w:val="0"/>
              <w:jc w:val="right"/>
              <w:rPr>
                <w:rFonts w:ascii="Arial" w:hAnsi="Arial" w:cs="Arial"/>
                <w:b/>
                <w:bCs/>
                <w:color w:val="000000"/>
              </w:rPr>
            </w:pPr>
            <w:r w:rsidRPr="00D00722">
              <w:rPr>
                <w:rFonts w:ascii="Arial" w:hAnsi="Arial" w:cs="Arial"/>
                <w:b/>
                <w:bCs/>
                <w:color w:val="000000"/>
              </w:rPr>
              <w:t>(951)</w:t>
            </w:r>
          </w:p>
        </w:tc>
        <w:tc>
          <w:tcPr>
            <w:tcW w:w="1701" w:type="dxa"/>
            <w:tcBorders>
              <w:top w:val="nil"/>
              <w:left w:val="nil"/>
              <w:bottom w:val="nil"/>
              <w:right w:val="nil"/>
            </w:tcBorders>
            <w:vAlign w:val="bottom"/>
          </w:tcPr>
          <w:p w:rsidR="007C706B" w:rsidRPr="00D00722" w:rsidRDefault="007C706B" w:rsidP="007C706B">
            <w:pPr>
              <w:autoSpaceDE w:val="0"/>
              <w:autoSpaceDN w:val="0"/>
              <w:adjustRightInd w:val="0"/>
              <w:jc w:val="right"/>
              <w:rPr>
                <w:rFonts w:ascii="Arial" w:hAnsi="Arial" w:cs="Arial"/>
                <w:bCs/>
                <w:color w:val="000000"/>
              </w:rPr>
            </w:pPr>
          </w:p>
        </w:tc>
      </w:tr>
      <w:tr w:rsidR="007C706B" w:rsidRPr="00D00722" w:rsidTr="00E83219">
        <w:trPr>
          <w:trHeight w:val="113"/>
        </w:trPr>
        <w:tc>
          <w:tcPr>
            <w:tcW w:w="5600" w:type="dxa"/>
            <w:tcBorders>
              <w:top w:val="nil"/>
              <w:left w:val="nil"/>
              <w:bottom w:val="nil"/>
              <w:right w:val="nil"/>
            </w:tcBorders>
            <w:vAlign w:val="bottom"/>
          </w:tcPr>
          <w:p w:rsidR="007C706B" w:rsidRPr="00D00722" w:rsidRDefault="007C706B" w:rsidP="004A45C6">
            <w:pPr>
              <w:autoSpaceDE w:val="0"/>
              <w:autoSpaceDN w:val="0"/>
              <w:adjustRightInd w:val="0"/>
              <w:ind w:hanging="108"/>
              <w:rPr>
                <w:rFonts w:ascii="Arial" w:hAnsi="Arial" w:cs="Arial"/>
                <w:color w:val="000000"/>
              </w:rPr>
            </w:pPr>
            <w:r w:rsidRPr="00D00722">
              <w:rPr>
                <w:rFonts w:ascii="Arial" w:hAnsi="Arial" w:cs="Arial"/>
                <w:color w:val="000000"/>
              </w:rPr>
              <w:t>TAB Gıda A.Ş. (Yemek giderleri)</w:t>
            </w:r>
          </w:p>
        </w:tc>
        <w:tc>
          <w:tcPr>
            <w:tcW w:w="1771" w:type="dxa"/>
            <w:tcBorders>
              <w:top w:val="nil"/>
              <w:left w:val="nil"/>
              <w:bottom w:val="nil"/>
              <w:right w:val="nil"/>
            </w:tcBorders>
            <w:vAlign w:val="bottom"/>
          </w:tcPr>
          <w:p w:rsidR="007C706B" w:rsidRPr="00D00722" w:rsidRDefault="00F71810" w:rsidP="00E83219">
            <w:pPr>
              <w:autoSpaceDE w:val="0"/>
              <w:autoSpaceDN w:val="0"/>
              <w:adjustRightInd w:val="0"/>
              <w:jc w:val="right"/>
              <w:rPr>
                <w:rFonts w:ascii="Arial" w:hAnsi="Arial" w:cs="Arial"/>
                <w:b/>
                <w:bCs/>
                <w:color w:val="000000"/>
              </w:rPr>
            </w:pPr>
            <w:r w:rsidRPr="00D00722">
              <w:rPr>
                <w:rFonts w:ascii="Arial" w:hAnsi="Arial" w:cs="Arial"/>
                <w:b/>
                <w:bCs/>
                <w:color w:val="000000"/>
              </w:rPr>
              <w:t>-</w:t>
            </w:r>
          </w:p>
        </w:tc>
        <w:tc>
          <w:tcPr>
            <w:tcW w:w="1701" w:type="dxa"/>
            <w:tcBorders>
              <w:top w:val="nil"/>
              <w:left w:val="nil"/>
              <w:bottom w:val="nil"/>
              <w:right w:val="nil"/>
            </w:tcBorders>
            <w:vAlign w:val="bottom"/>
          </w:tcPr>
          <w:p w:rsidR="007C706B" w:rsidRPr="00D00722" w:rsidRDefault="007C706B" w:rsidP="007C706B">
            <w:pPr>
              <w:autoSpaceDE w:val="0"/>
              <w:autoSpaceDN w:val="0"/>
              <w:adjustRightInd w:val="0"/>
              <w:jc w:val="right"/>
              <w:rPr>
                <w:rFonts w:ascii="Arial" w:hAnsi="Arial" w:cs="Arial"/>
                <w:bCs/>
                <w:color w:val="000000"/>
              </w:rPr>
            </w:pPr>
          </w:p>
        </w:tc>
      </w:tr>
      <w:tr w:rsidR="007C706B" w:rsidRPr="00D00722" w:rsidTr="00E83219">
        <w:trPr>
          <w:trHeight w:val="113"/>
        </w:trPr>
        <w:tc>
          <w:tcPr>
            <w:tcW w:w="5600" w:type="dxa"/>
            <w:tcBorders>
              <w:top w:val="nil"/>
              <w:left w:val="nil"/>
              <w:bottom w:val="nil"/>
              <w:right w:val="nil"/>
            </w:tcBorders>
            <w:vAlign w:val="bottom"/>
          </w:tcPr>
          <w:p w:rsidR="007C706B" w:rsidRPr="00D00722" w:rsidRDefault="007C706B" w:rsidP="00E83219">
            <w:pPr>
              <w:autoSpaceDE w:val="0"/>
              <w:autoSpaceDN w:val="0"/>
              <w:adjustRightInd w:val="0"/>
              <w:ind w:hanging="108"/>
              <w:rPr>
                <w:rFonts w:ascii="Arial" w:hAnsi="Arial" w:cs="Arial"/>
                <w:color w:val="000000"/>
              </w:rPr>
            </w:pPr>
          </w:p>
        </w:tc>
        <w:tc>
          <w:tcPr>
            <w:tcW w:w="1771" w:type="dxa"/>
            <w:tcBorders>
              <w:top w:val="nil"/>
              <w:left w:val="nil"/>
              <w:bottom w:val="nil"/>
              <w:right w:val="nil"/>
            </w:tcBorders>
            <w:vAlign w:val="bottom"/>
          </w:tcPr>
          <w:p w:rsidR="007C706B" w:rsidRPr="00D00722" w:rsidRDefault="007C706B" w:rsidP="00E83219">
            <w:pPr>
              <w:autoSpaceDE w:val="0"/>
              <w:autoSpaceDN w:val="0"/>
              <w:adjustRightInd w:val="0"/>
              <w:jc w:val="right"/>
              <w:rPr>
                <w:rFonts w:ascii="Arial" w:hAnsi="Arial" w:cs="Arial"/>
                <w:b/>
                <w:bCs/>
                <w:color w:val="000000"/>
              </w:rPr>
            </w:pPr>
          </w:p>
        </w:tc>
        <w:tc>
          <w:tcPr>
            <w:tcW w:w="1701" w:type="dxa"/>
            <w:tcBorders>
              <w:top w:val="nil"/>
              <w:left w:val="nil"/>
              <w:bottom w:val="nil"/>
              <w:right w:val="nil"/>
            </w:tcBorders>
            <w:vAlign w:val="bottom"/>
          </w:tcPr>
          <w:p w:rsidR="007C706B" w:rsidRPr="00D00722" w:rsidRDefault="007C706B" w:rsidP="007C706B">
            <w:pPr>
              <w:autoSpaceDE w:val="0"/>
              <w:autoSpaceDN w:val="0"/>
              <w:adjustRightInd w:val="0"/>
              <w:jc w:val="right"/>
              <w:rPr>
                <w:rFonts w:ascii="Arial" w:hAnsi="Arial" w:cs="Arial"/>
                <w:bCs/>
                <w:color w:val="000000"/>
              </w:rPr>
            </w:pPr>
          </w:p>
        </w:tc>
      </w:tr>
      <w:tr w:rsidR="007C706B" w:rsidRPr="00D00722" w:rsidTr="00F82BE9">
        <w:trPr>
          <w:trHeight w:val="113"/>
        </w:trPr>
        <w:tc>
          <w:tcPr>
            <w:tcW w:w="5600" w:type="dxa"/>
            <w:tcBorders>
              <w:top w:val="single" w:sz="6" w:space="0" w:color="auto"/>
              <w:left w:val="nil"/>
              <w:bottom w:val="double" w:sz="6" w:space="0" w:color="auto"/>
              <w:right w:val="nil"/>
            </w:tcBorders>
            <w:vAlign w:val="bottom"/>
          </w:tcPr>
          <w:p w:rsidR="007C706B" w:rsidRPr="00D00722" w:rsidRDefault="007C706B" w:rsidP="00E83219">
            <w:pPr>
              <w:autoSpaceDE w:val="0"/>
              <w:autoSpaceDN w:val="0"/>
              <w:adjustRightInd w:val="0"/>
              <w:ind w:hanging="108"/>
              <w:rPr>
                <w:rFonts w:ascii="Arial" w:hAnsi="Arial" w:cs="Arial"/>
                <w:color w:val="000000"/>
              </w:rPr>
            </w:pPr>
            <w:r w:rsidRPr="00D00722">
              <w:rPr>
                <w:rFonts w:ascii="Arial" w:hAnsi="Arial" w:cs="Arial"/>
                <w:color w:val="000000"/>
              </w:rPr>
              <w:t>İlişkili taraflarla olan giderler</w:t>
            </w:r>
          </w:p>
        </w:tc>
        <w:tc>
          <w:tcPr>
            <w:tcW w:w="1771" w:type="dxa"/>
            <w:tcBorders>
              <w:top w:val="single" w:sz="6" w:space="0" w:color="auto"/>
              <w:left w:val="nil"/>
              <w:bottom w:val="double" w:sz="6" w:space="0" w:color="auto"/>
              <w:right w:val="nil"/>
            </w:tcBorders>
            <w:vAlign w:val="bottom"/>
          </w:tcPr>
          <w:p w:rsidR="007C706B" w:rsidRPr="00D00722" w:rsidRDefault="00F71810" w:rsidP="00824C81">
            <w:pPr>
              <w:autoSpaceDE w:val="0"/>
              <w:autoSpaceDN w:val="0"/>
              <w:adjustRightInd w:val="0"/>
              <w:jc w:val="right"/>
              <w:rPr>
                <w:rFonts w:ascii="Arial" w:hAnsi="Arial" w:cs="Arial"/>
                <w:b/>
                <w:bCs/>
                <w:color w:val="000000"/>
              </w:rPr>
            </w:pPr>
            <w:r w:rsidRPr="00D00722">
              <w:rPr>
                <w:rFonts w:ascii="Arial" w:hAnsi="Arial" w:cs="Arial"/>
                <w:b/>
                <w:bCs/>
                <w:color w:val="000000"/>
              </w:rPr>
              <w:t>(88.439)</w:t>
            </w:r>
          </w:p>
        </w:tc>
        <w:tc>
          <w:tcPr>
            <w:tcW w:w="1701" w:type="dxa"/>
            <w:tcBorders>
              <w:top w:val="single" w:sz="6" w:space="0" w:color="auto"/>
              <w:left w:val="nil"/>
              <w:bottom w:val="double" w:sz="6" w:space="0" w:color="auto"/>
              <w:right w:val="nil"/>
            </w:tcBorders>
            <w:vAlign w:val="bottom"/>
          </w:tcPr>
          <w:p w:rsidR="007C706B" w:rsidRPr="00D00722" w:rsidRDefault="007C706B" w:rsidP="00A94B4B">
            <w:pPr>
              <w:autoSpaceDE w:val="0"/>
              <w:autoSpaceDN w:val="0"/>
              <w:adjustRightInd w:val="0"/>
              <w:jc w:val="right"/>
              <w:rPr>
                <w:rFonts w:ascii="Arial" w:hAnsi="Arial" w:cs="Arial"/>
                <w:bCs/>
                <w:color w:val="000000"/>
              </w:rPr>
            </w:pPr>
            <w:r w:rsidRPr="00D00722">
              <w:rPr>
                <w:rFonts w:ascii="Arial" w:hAnsi="Arial" w:cs="Arial"/>
                <w:bCs/>
                <w:color w:val="000000"/>
              </w:rPr>
              <w:t>(</w:t>
            </w:r>
            <w:r w:rsidR="00A94B4B" w:rsidRPr="00D00722">
              <w:rPr>
                <w:rFonts w:ascii="Arial" w:hAnsi="Arial" w:cs="Arial"/>
                <w:bCs/>
                <w:color w:val="000000"/>
              </w:rPr>
              <w:t>30</w:t>
            </w:r>
            <w:r w:rsidRPr="00D00722">
              <w:rPr>
                <w:rFonts w:ascii="Arial" w:hAnsi="Arial" w:cs="Arial"/>
                <w:bCs/>
                <w:color w:val="000000"/>
              </w:rPr>
              <w:t>.</w:t>
            </w:r>
            <w:r w:rsidR="00A94B4B" w:rsidRPr="00D00722">
              <w:rPr>
                <w:rFonts w:ascii="Arial" w:hAnsi="Arial" w:cs="Arial"/>
                <w:bCs/>
                <w:color w:val="000000"/>
              </w:rPr>
              <w:t>630</w:t>
            </w:r>
            <w:r w:rsidRPr="00D00722">
              <w:rPr>
                <w:rFonts w:ascii="Arial" w:hAnsi="Arial" w:cs="Arial"/>
                <w:bCs/>
                <w:color w:val="000000"/>
              </w:rPr>
              <w:t>)</w:t>
            </w:r>
          </w:p>
        </w:tc>
      </w:tr>
    </w:tbl>
    <w:p w:rsidR="00681E53" w:rsidRPr="00D00722" w:rsidRDefault="00681E53" w:rsidP="00792AEE">
      <w:pPr>
        <w:autoSpaceDE w:val="0"/>
        <w:autoSpaceDN w:val="0"/>
        <w:adjustRightInd w:val="0"/>
        <w:rPr>
          <w:rFonts w:ascii="Arial" w:hAnsi="Arial" w:cs="Arial"/>
          <w:b/>
          <w:bCs/>
          <w:color w:val="000000"/>
        </w:rPr>
      </w:pPr>
    </w:p>
    <w:p w:rsidR="00792AEE" w:rsidRPr="00D00722" w:rsidRDefault="00792AEE" w:rsidP="00792AEE">
      <w:pPr>
        <w:autoSpaceDE w:val="0"/>
        <w:autoSpaceDN w:val="0"/>
        <w:adjustRightInd w:val="0"/>
        <w:rPr>
          <w:rFonts w:ascii="Arial" w:hAnsi="Arial" w:cs="Arial"/>
          <w:color w:val="000000"/>
        </w:rPr>
      </w:pPr>
      <w:r w:rsidRPr="00D00722">
        <w:rPr>
          <w:rFonts w:ascii="Arial" w:hAnsi="Arial" w:cs="Arial"/>
          <w:b/>
          <w:bCs/>
          <w:color w:val="000000"/>
        </w:rPr>
        <w:t>Üst düzey yöneticilere sağlanan menfaatler</w:t>
      </w:r>
    </w:p>
    <w:p w:rsidR="00792AEE" w:rsidRPr="00D00722" w:rsidRDefault="00792AEE" w:rsidP="00F76E09">
      <w:pPr>
        <w:ind w:left="567" w:hanging="567"/>
        <w:jc w:val="both"/>
        <w:rPr>
          <w:rFonts w:ascii="Arial" w:hAnsi="Arial" w:cs="Arial"/>
          <w:b/>
          <w:lang w:val="tr-TR"/>
        </w:rPr>
      </w:pPr>
    </w:p>
    <w:tbl>
      <w:tblPr>
        <w:tblW w:w="9072" w:type="dxa"/>
        <w:tblInd w:w="108" w:type="dxa"/>
        <w:tblLayout w:type="fixed"/>
        <w:tblLook w:val="0000"/>
      </w:tblPr>
      <w:tblGrid>
        <w:gridCol w:w="5600"/>
        <w:gridCol w:w="1771"/>
        <w:gridCol w:w="1701"/>
      </w:tblGrid>
      <w:tr w:rsidR="00E55DC8" w:rsidRPr="00D00722" w:rsidTr="00E55DC8">
        <w:trPr>
          <w:trHeight w:val="113"/>
        </w:trPr>
        <w:tc>
          <w:tcPr>
            <w:tcW w:w="5600" w:type="dxa"/>
            <w:tcBorders>
              <w:top w:val="single" w:sz="6" w:space="0" w:color="auto"/>
              <w:left w:val="nil"/>
              <w:bottom w:val="single" w:sz="6" w:space="0" w:color="auto"/>
              <w:right w:val="nil"/>
            </w:tcBorders>
            <w:vAlign w:val="bottom"/>
          </w:tcPr>
          <w:p w:rsidR="00E55DC8" w:rsidRPr="00D00722" w:rsidRDefault="00E55DC8" w:rsidP="00E83219">
            <w:pPr>
              <w:autoSpaceDE w:val="0"/>
              <w:autoSpaceDN w:val="0"/>
              <w:adjustRightInd w:val="0"/>
              <w:ind w:hanging="108"/>
              <w:rPr>
                <w:rFonts w:ascii="Arial" w:hAnsi="Arial" w:cs="Arial"/>
                <w:color w:val="000000"/>
              </w:rPr>
            </w:pPr>
          </w:p>
        </w:tc>
        <w:tc>
          <w:tcPr>
            <w:tcW w:w="1771" w:type="dxa"/>
            <w:tcBorders>
              <w:top w:val="single" w:sz="6" w:space="0" w:color="auto"/>
              <w:left w:val="nil"/>
              <w:bottom w:val="single" w:sz="6" w:space="0" w:color="auto"/>
              <w:right w:val="nil"/>
            </w:tcBorders>
            <w:vAlign w:val="bottom"/>
          </w:tcPr>
          <w:p w:rsidR="00E55DC8" w:rsidRPr="00D00722" w:rsidRDefault="00E55DC8" w:rsidP="00232D52">
            <w:pPr>
              <w:autoSpaceDE w:val="0"/>
              <w:autoSpaceDN w:val="0"/>
              <w:adjustRightInd w:val="0"/>
              <w:jc w:val="right"/>
              <w:rPr>
                <w:rFonts w:ascii="Arial" w:hAnsi="Arial" w:cs="Arial"/>
                <w:b/>
                <w:bCs/>
                <w:color w:val="000000"/>
              </w:rPr>
            </w:pPr>
            <w:r w:rsidRPr="00D00722">
              <w:rPr>
                <w:rFonts w:ascii="Arial" w:hAnsi="Arial" w:cs="Arial"/>
                <w:b/>
                <w:bCs/>
                <w:color w:val="000000"/>
              </w:rPr>
              <w:t>1 Ocak -</w:t>
            </w:r>
          </w:p>
          <w:p w:rsidR="00E55DC8" w:rsidRPr="00D00722" w:rsidRDefault="00E55DC8" w:rsidP="00E55DC8">
            <w:pPr>
              <w:autoSpaceDE w:val="0"/>
              <w:autoSpaceDN w:val="0"/>
              <w:adjustRightInd w:val="0"/>
              <w:jc w:val="right"/>
              <w:rPr>
                <w:rFonts w:ascii="Arial" w:hAnsi="Arial" w:cs="Arial"/>
                <w:b/>
                <w:bCs/>
                <w:color w:val="000000"/>
              </w:rPr>
            </w:pPr>
            <w:r w:rsidRPr="00D00722">
              <w:rPr>
                <w:rFonts w:ascii="Arial" w:hAnsi="Arial" w:cs="Arial"/>
                <w:b/>
                <w:bCs/>
                <w:color w:val="000000"/>
              </w:rPr>
              <w:t>31 Mart 2014</w:t>
            </w:r>
          </w:p>
        </w:tc>
        <w:tc>
          <w:tcPr>
            <w:tcW w:w="1701" w:type="dxa"/>
            <w:tcBorders>
              <w:top w:val="single" w:sz="6" w:space="0" w:color="auto"/>
              <w:left w:val="nil"/>
              <w:bottom w:val="single" w:sz="6" w:space="0" w:color="auto"/>
              <w:right w:val="nil"/>
            </w:tcBorders>
            <w:vAlign w:val="bottom"/>
          </w:tcPr>
          <w:p w:rsidR="00E55DC8" w:rsidRPr="00D00722" w:rsidRDefault="00E55DC8" w:rsidP="00ED6F5D">
            <w:pPr>
              <w:autoSpaceDE w:val="0"/>
              <w:autoSpaceDN w:val="0"/>
              <w:adjustRightInd w:val="0"/>
              <w:jc w:val="right"/>
              <w:rPr>
                <w:rFonts w:ascii="Arial" w:hAnsi="Arial" w:cs="Arial"/>
                <w:bCs/>
                <w:color w:val="000000"/>
              </w:rPr>
            </w:pPr>
            <w:r w:rsidRPr="00D00722">
              <w:rPr>
                <w:rFonts w:ascii="Arial" w:hAnsi="Arial" w:cs="Arial"/>
                <w:bCs/>
                <w:color w:val="000000"/>
              </w:rPr>
              <w:t>1 Ocak -</w:t>
            </w:r>
          </w:p>
          <w:p w:rsidR="00E55DC8" w:rsidRPr="00D00722" w:rsidRDefault="00E55DC8" w:rsidP="00B30A32">
            <w:pPr>
              <w:autoSpaceDE w:val="0"/>
              <w:autoSpaceDN w:val="0"/>
              <w:adjustRightInd w:val="0"/>
              <w:jc w:val="right"/>
              <w:rPr>
                <w:rFonts w:ascii="Arial" w:hAnsi="Arial" w:cs="Arial"/>
                <w:bCs/>
                <w:color w:val="000000"/>
              </w:rPr>
            </w:pPr>
            <w:r w:rsidRPr="00D00722">
              <w:rPr>
                <w:rFonts w:ascii="Arial" w:hAnsi="Arial" w:cs="Arial"/>
                <w:bCs/>
                <w:color w:val="000000"/>
              </w:rPr>
              <w:t xml:space="preserve">31 </w:t>
            </w:r>
            <w:r w:rsidR="00B30A32" w:rsidRPr="00D00722">
              <w:rPr>
                <w:rFonts w:ascii="Arial" w:hAnsi="Arial" w:cs="Arial"/>
                <w:bCs/>
                <w:color w:val="000000"/>
              </w:rPr>
              <w:t>Mart</w:t>
            </w:r>
            <w:r w:rsidRPr="00D00722">
              <w:rPr>
                <w:rFonts w:ascii="Arial" w:hAnsi="Arial" w:cs="Arial"/>
                <w:bCs/>
                <w:color w:val="000000"/>
              </w:rPr>
              <w:t xml:space="preserve"> 2013</w:t>
            </w:r>
          </w:p>
        </w:tc>
      </w:tr>
      <w:tr w:rsidR="00E55DC8" w:rsidRPr="00D00722" w:rsidTr="00E55DC8">
        <w:trPr>
          <w:trHeight w:val="113"/>
        </w:trPr>
        <w:tc>
          <w:tcPr>
            <w:tcW w:w="5600" w:type="dxa"/>
            <w:tcBorders>
              <w:top w:val="nil"/>
              <w:left w:val="nil"/>
              <w:bottom w:val="nil"/>
              <w:right w:val="nil"/>
            </w:tcBorders>
            <w:vAlign w:val="bottom"/>
          </w:tcPr>
          <w:p w:rsidR="00E55DC8" w:rsidRPr="00D00722" w:rsidRDefault="00E55DC8" w:rsidP="00E83219">
            <w:pPr>
              <w:autoSpaceDE w:val="0"/>
              <w:autoSpaceDN w:val="0"/>
              <w:adjustRightInd w:val="0"/>
              <w:ind w:hanging="108"/>
              <w:rPr>
                <w:rFonts w:ascii="Arial" w:hAnsi="Arial" w:cs="Arial"/>
                <w:b/>
                <w:bCs/>
                <w:color w:val="000000"/>
              </w:rPr>
            </w:pPr>
          </w:p>
        </w:tc>
        <w:tc>
          <w:tcPr>
            <w:tcW w:w="1771" w:type="dxa"/>
            <w:tcBorders>
              <w:top w:val="nil"/>
              <w:left w:val="nil"/>
              <w:bottom w:val="nil"/>
              <w:right w:val="nil"/>
            </w:tcBorders>
            <w:vAlign w:val="bottom"/>
          </w:tcPr>
          <w:p w:rsidR="00E55DC8" w:rsidRPr="00D00722" w:rsidRDefault="00E55DC8" w:rsidP="00F94040">
            <w:pPr>
              <w:autoSpaceDE w:val="0"/>
              <w:autoSpaceDN w:val="0"/>
              <w:adjustRightInd w:val="0"/>
              <w:jc w:val="right"/>
              <w:rPr>
                <w:rFonts w:ascii="Arial" w:hAnsi="Arial" w:cs="Arial"/>
                <w:b/>
                <w:bCs/>
                <w:color w:val="000000"/>
              </w:rPr>
            </w:pPr>
          </w:p>
        </w:tc>
        <w:tc>
          <w:tcPr>
            <w:tcW w:w="1701" w:type="dxa"/>
            <w:tcBorders>
              <w:top w:val="nil"/>
              <w:left w:val="nil"/>
              <w:bottom w:val="nil"/>
              <w:right w:val="nil"/>
            </w:tcBorders>
            <w:vAlign w:val="bottom"/>
          </w:tcPr>
          <w:p w:rsidR="00E55DC8" w:rsidRPr="00D00722" w:rsidRDefault="00E55DC8" w:rsidP="00ED6F5D">
            <w:pPr>
              <w:autoSpaceDE w:val="0"/>
              <w:autoSpaceDN w:val="0"/>
              <w:adjustRightInd w:val="0"/>
              <w:jc w:val="right"/>
              <w:rPr>
                <w:rFonts w:ascii="Arial" w:hAnsi="Arial" w:cs="Arial"/>
                <w:bCs/>
                <w:color w:val="000000"/>
              </w:rPr>
            </w:pPr>
          </w:p>
        </w:tc>
      </w:tr>
      <w:tr w:rsidR="00E55DC8" w:rsidRPr="00D00722" w:rsidTr="00E55DC8">
        <w:trPr>
          <w:trHeight w:val="113"/>
        </w:trPr>
        <w:tc>
          <w:tcPr>
            <w:tcW w:w="5600" w:type="dxa"/>
            <w:tcBorders>
              <w:top w:val="nil"/>
              <w:left w:val="nil"/>
              <w:bottom w:val="nil"/>
              <w:right w:val="nil"/>
            </w:tcBorders>
            <w:vAlign w:val="bottom"/>
          </w:tcPr>
          <w:p w:rsidR="00E55DC8" w:rsidRPr="00D00722" w:rsidRDefault="00E55DC8" w:rsidP="00E83219">
            <w:pPr>
              <w:autoSpaceDE w:val="0"/>
              <w:autoSpaceDN w:val="0"/>
              <w:adjustRightInd w:val="0"/>
              <w:ind w:hanging="108"/>
              <w:rPr>
                <w:rFonts w:ascii="Arial" w:hAnsi="Arial" w:cs="Arial"/>
                <w:color w:val="000000"/>
              </w:rPr>
            </w:pPr>
            <w:r w:rsidRPr="00D00722">
              <w:rPr>
                <w:rFonts w:ascii="Arial" w:hAnsi="Arial" w:cs="Arial"/>
                <w:color w:val="000000"/>
              </w:rPr>
              <w:t>Ücretler</w:t>
            </w:r>
          </w:p>
        </w:tc>
        <w:tc>
          <w:tcPr>
            <w:tcW w:w="1771" w:type="dxa"/>
            <w:tcBorders>
              <w:top w:val="nil"/>
              <w:left w:val="nil"/>
              <w:bottom w:val="nil"/>
              <w:right w:val="nil"/>
            </w:tcBorders>
            <w:vAlign w:val="bottom"/>
          </w:tcPr>
          <w:p w:rsidR="00E55DC8" w:rsidRPr="00D00722" w:rsidRDefault="00F71810" w:rsidP="00E83219">
            <w:pPr>
              <w:autoSpaceDE w:val="0"/>
              <w:autoSpaceDN w:val="0"/>
              <w:adjustRightInd w:val="0"/>
              <w:jc w:val="right"/>
              <w:rPr>
                <w:rFonts w:ascii="Arial" w:hAnsi="Arial" w:cs="Arial"/>
                <w:b/>
                <w:bCs/>
                <w:color w:val="000000"/>
              </w:rPr>
            </w:pPr>
            <w:r w:rsidRPr="00D00722">
              <w:rPr>
                <w:rFonts w:ascii="Arial" w:hAnsi="Arial" w:cs="Arial"/>
                <w:b/>
                <w:bCs/>
                <w:color w:val="000000"/>
              </w:rPr>
              <w:t>205.243</w:t>
            </w:r>
          </w:p>
        </w:tc>
        <w:tc>
          <w:tcPr>
            <w:tcW w:w="1701" w:type="dxa"/>
            <w:tcBorders>
              <w:top w:val="nil"/>
              <w:left w:val="nil"/>
              <w:bottom w:val="nil"/>
              <w:right w:val="nil"/>
            </w:tcBorders>
            <w:vAlign w:val="bottom"/>
          </w:tcPr>
          <w:p w:rsidR="00E55DC8" w:rsidRPr="00D00722" w:rsidRDefault="00B30A32" w:rsidP="00B30A32">
            <w:pPr>
              <w:autoSpaceDE w:val="0"/>
              <w:autoSpaceDN w:val="0"/>
              <w:adjustRightInd w:val="0"/>
              <w:jc w:val="right"/>
              <w:rPr>
                <w:rFonts w:ascii="Arial" w:hAnsi="Arial" w:cs="Arial"/>
                <w:bCs/>
                <w:color w:val="000000"/>
              </w:rPr>
            </w:pPr>
            <w:r w:rsidRPr="00D00722">
              <w:rPr>
                <w:rFonts w:ascii="Arial" w:hAnsi="Arial" w:cs="Arial"/>
                <w:bCs/>
                <w:color w:val="000000"/>
              </w:rPr>
              <w:t>206.510</w:t>
            </w:r>
          </w:p>
        </w:tc>
      </w:tr>
      <w:tr w:rsidR="00E55DC8" w:rsidRPr="00D00722" w:rsidTr="00E55DC8">
        <w:trPr>
          <w:trHeight w:val="113"/>
        </w:trPr>
        <w:tc>
          <w:tcPr>
            <w:tcW w:w="5600" w:type="dxa"/>
            <w:tcBorders>
              <w:top w:val="nil"/>
              <w:left w:val="nil"/>
              <w:bottom w:val="nil"/>
              <w:right w:val="nil"/>
            </w:tcBorders>
            <w:vAlign w:val="bottom"/>
          </w:tcPr>
          <w:p w:rsidR="00E55DC8" w:rsidRPr="00D00722" w:rsidRDefault="00E55DC8" w:rsidP="00E83219">
            <w:pPr>
              <w:autoSpaceDE w:val="0"/>
              <w:autoSpaceDN w:val="0"/>
              <w:adjustRightInd w:val="0"/>
              <w:ind w:hanging="108"/>
              <w:rPr>
                <w:rFonts w:ascii="Arial" w:hAnsi="Arial" w:cs="Arial"/>
                <w:color w:val="000000"/>
              </w:rPr>
            </w:pPr>
            <w:r w:rsidRPr="00D00722">
              <w:rPr>
                <w:rFonts w:ascii="Arial" w:hAnsi="Arial" w:cs="Arial"/>
                <w:color w:val="000000"/>
              </w:rPr>
              <w:t>Araç gideri (kira, benzin vb.)</w:t>
            </w:r>
          </w:p>
        </w:tc>
        <w:tc>
          <w:tcPr>
            <w:tcW w:w="1771" w:type="dxa"/>
            <w:tcBorders>
              <w:top w:val="nil"/>
              <w:left w:val="nil"/>
              <w:bottom w:val="nil"/>
              <w:right w:val="nil"/>
            </w:tcBorders>
            <w:vAlign w:val="bottom"/>
          </w:tcPr>
          <w:p w:rsidR="00E55DC8" w:rsidRPr="00D00722" w:rsidRDefault="00F71810" w:rsidP="00E83219">
            <w:pPr>
              <w:autoSpaceDE w:val="0"/>
              <w:autoSpaceDN w:val="0"/>
              <w:adjustRightInd w:val="0"/>
              <w:jc w:val="right"/>
              <w:rPr>
                <w:rFonts w:ascii="Arial" w:hAnsi="Arial" w:cs="Arial"/>
                <w:b/>
                <w:bCs/>
                <w:color w:val="000000"/>
              </w:rPr>
            </w:pPr>
            <w:r w:rsidRPr="00D00722">
              <w:rPr>
                <w:rFonts w:ascii="Arial" w:hAnsi="Arial" w:cs="Arial"/>
                <w:b/>
                <w:bCs/>
                <w:color w:val="000000"/>
              </w:rPr>
              <w:t>43.004</w:t>
            </w:r>
          </w:p>
        </w:tc>
        <w:tc>
          <w:tcPr>
            <w:tcW w:w="1701" w:type="dxa"/>
            <w:tcBorders>
              <w:top w:val="nil"/>
              <w:left w:val="nil"/>
              <w:bottom w:val="nil"/>
              <w:right w:val="nil"/>
            </w:tcBorders>
            <w:vAlign w:val="bottom"/>
          </w:tcPr>
          <w:p w:rsidR="00E55DC8" w:rsidRPr="00D00722" w:rsidRDefault="00B30A32" w:rsidP="00B30A32">
            <w:pPr>
              <w:autoSpaceDE w:val="0"/>
              <w:autoSpaceDN w:val="0"/>
              <w:adjustRightInd w:val="0"/>
              <w:jc w:val="right"/>
              <w:rPr>
                <w:rFonts w:ascii="Arial" w:hAnsi="Arial" w:cs="Arial"/>
                <w:bCs/>
                <w:color w:val="000000"/>
              </w:rPr>
            </w:pPr>
            <w:r w:rsidRPr="00D00722">
              <w:rPr>
                <w:rFonts w:ascii="Arial" w:hAnsi="Arial" w:cs="Arial"/>
                <w:bCs/>
                <w:color w:val="000000"/>
              </w:rPr>
              <w:t>31</w:t>
            </w:r>
            <w:r w:rsidR="00E55DC8" w:rsidRPr="00D00722">
              <w:rPr>
                <w:rFonts w:ascii="Arial" w:hAnsi="Arial" w:cs="Arial"/>
                <w:bCs/>
                <w:color w:val="000000"/>
              </w:rPr>
              <w:t>.</w:t>
            </w:r>
            <w:r w:rsidRPr="00D00722">
              <w:rPr>
                <w:rFonts w:ascii="Arial" w:hAnsi="Arial" w:cs="Arial"/>
                <w:bCs/>
                <w:color w:val="000000"/>
              </w:rPr>
              <w:t>195</w:t>
            </w:r>
          </w:p>
        </w:tc>
      </w:tr>
      <w:tr w:rsidR="00E55DC8" w:rsidRPr="00D00722" w:rsidTr="00E55DC8">
        <w:trPr>
          <w:trHeight w:val="113"/>
        </w:trPr>
        <w:tc>
          <w:tcPr>
            <w:tcW w:w="5600" w:type="dxa"/>
            <w:tcBorders>
              <w:top w:val="nil"/>
              <w:left w:val="nil"/>
              <w:right w:val="nil"/>
            </w:tcBorders>
            <w:vAlign w:val="bottom"/>
          </w:tcPr>
          <w:p w:rsidR="00E55DC8" w:rsidRPr="00D00722" w:rsidRDefault="00E55DC8" w:rsidP="00E83219">
            <w:pPr>
              <w:autoSpaceDE w:val="0"/>
              <w:autoSpaceDN w:val="0"/>
              <w:adjustRightInd w:val="0"/>
              <w:ind w:hanging="108"/>
              <w:rPr>
                <w:rFonts w:ascii="Arial" w:hAnsi="Arial" w:cs="Arial"/>
                <w:color w:val="000000"/>
              </w:rPr>
            </w:pPr>
            <w:r w:rsidRPr="00D00722">
              <w:rPr>
                <w:rFonts w:ascii="Arial" w:hAnsi="Arial" w:cs="Arial"/>
                <w:color w:val="000000"/>
              </w:rPr>
              <w:t>Sağlık sigortası gideri</w:t>
            </w:r>
          </w:p>
        </w:tc>
        <w:tc>
          <w:tcPr>
            <w:tcW w:w="1771" w:type="dxa"/>
            <w:tcBorders>
              <w:top w:val="nil"/>
              <w:left w:val="nil"/>
              <w:right w:val="nil"/>
            </w:tcBorders>
            <w:vAlign w:val="bottom"/>
          </w:tcPr>
          <w:p w:rsidR="00E55DC8" w:rsidRPr="00D00722" w:rsidRDefault="00F71810" w:rsidP="00E83219">
            <w:pPr>
              <w:autoSpaceDE w:val="0"/>
              <w:autoSpaceDN w:val="0"/>
              <w:adjustRightInd w:val="0"/>
              <w:jc w:val="right"/>
              <w:rPr>
                <w:rFonts w:ascii="Arial" w:hAnsi="Arial" w:cs="Arial"/>
                <w:b/>
                <w:bCs/>
                <w:color w:val="000000"/>
              </w:rPr>
            </w:pPr>
            <w:r w:rsidRPr="00D00722">
              <w:rPr>
                <w:rFonts w:ascii="Arial" w:hAnsi="Arial" w:cs="Arial"/>
                <w:b/>
                <w:bCs/>
                <w:color w:val="000000"/>
              </w:rPr>
              <w:t>3.310</w:t>
            </w:r>
          </w:p>
        </w:tc>
        <w:tc>
          <w:tcPr>
            <w:tcW w:w="1701" w:type="dxa"/>
            <w:tcBorders>
              <w:top w:val="nil"/>
              <w:left w:val="nil"/>
              <w:right w:val="nil"/>
            </w:tcBorders>
            <w:vAlign w:val="bottom"/>
          </w:tcPr>
          <w:p w:rsidR="00E55DC8" w:rsidRPr="00D00722" w:rsidRDefault="00B30A32" w:rsidP="00B30A32">
            <w:pPr>
              <w:autoSpaceDE w:val="0"/>
              <w:autoSpaceDN w:val="0"/>
              <w:adjustRightInd w:val="0"/>
              <w:jc w:val="right"/>
              <w:rPr>
                <w:rFonts w:ascii="Arial" w:hAnsi="Arial" w:cs="Arial"/>
                <w:bCs/>
                <w:color w:val="000000"/>
              </w:rPr>
            </w:pPr>
            <w:r w:rsidRPr="00D00722">
              <w:rPr>
                <w:rFonts w:ascii="Arial" w:hAnsi="Arial" w:cs="Arial"/>
                <w:bCs/>
                <w:color w:val="000000"/>
              </w:rPr>
              <w:t>2</w:t>
            </w:r>
            <w:r w:rsidR="00E55DC8" w:rsidRPr="00D00722">
              <w:rPr>
                <w:rFonts w:ascii="Arial" w:hAnsi="Arial" w:cs="Arial"/>
                <w:bCs/>
                <w:color w:val="000000"/>
              </w:rPr>
              <w:t>.</w:t>
            </w:r>
            <w:r w:rsidRPr="00D00722">
              <w:rPr>
                <w:rFonts w:ascii="Arial" w:hAnsi="Arial" w:cs="Arial"/>
                <w:bCs/>
                <w:color w:val="000000"/>
              </w:rPr>
              <w:t>582</w:t>
            </w:r>
          </w:p>
        </w:tc>
      </w:tr>
      <w:tr w:rsidR="00E55DC8" w:rsidRPr="00D00722" w:rsidTr="00E55DC8">
        <w:trPr>
          <w:trHeight w:val="113"/>
        </w:trPr>
        <w:tc>
          <w:tcPr>
            <w:tcW w:w="5600" w:type="dxa"/>
            <w:tcBorders>
              <w:top w:val="nil"/>
              <w:left w:val="nil"/>
              <w:bottom w:val="single" w:sz="4" w:space="0" w:color="auto"/>
              <w:right w:val="nil"/>
            </w:tcBorders>
            <w:vAlign w:val="bottom"/>
          </w:tcPr>
          <w:p w:rsidR="00E55DC8" w:rsidRPr="00D00722" w:rsidRDefault="00E55DC8" w:rsidP="00E83219">
            <w:pPr>
              <w:autoSpaceDE w:val="0"/>
              <w:autoSpaceDN w:val="0"/>
              <w:adjustRightInd w:val="0"/>
              <w:ind w:hanging="108"/>
              <w:rPr>
                <w:rFonts w:ascii="Arial" w:hAnsi="Arial" w:cs="Arial"/>
                <w:color w:val="000000"/>
              </w:rPr>
            </w:pPr>
          </w:p>
        </w:tc>
        <w:tc>
          <w:tcPr>
            <w:tcW w:w="1771" w:type="dxa"/>
            <w:tcBorders>
              <w:top w:val="nil"/>
              <w:left w:val="nil"/>
              <w:bottom w:val="single" w:sz="4" w:space="0" w:color="auto"/>
              <w:right w:val="nil"/>
            </w:tcBorders>
            <w:vAlign w:val="bottom"/>
          </w:tcPr>
          <w:p w:rsidR="00E55DC8" w:rsidRPr="00D00722" w:rsidRDefault="00E55DC8" w:rsidP="00E83219">
            <w:pPr>
              <w:autoSpaceDE w:val="0"/>
              <w:autoSpaceDN w:val="0"/>
              <w:adjustRightInd w:val="0"/>
              <w:jc w:val="right"/>
              <w:rPr>
                <w:rFonts w:ascii="Arial" w:hAnsi="Arial" w:cs="Arial"/>
                <w:b/>
                <w:bCs/>
                <w:color w:val="000000"/>
              </w:rPr>
            </w:pPr>
          </w:p>
        </w:tc>
        <w:tc>
          <w:tcPr>
            <w:tcW w:w="1701" w:type="dxa"/>
            <w:tcBorders>
              <w:top w:val="nil"/>
              <w:left w:val="nil"/>
              <w:bottom w:val="single" w:sz="4" w:space="0" w:color="auto"/>
              <w:right w:val="nil"/>
            </w:tcBorders>
            <w:vAlign w:val="bottom"/>
          </w:tcPr>
          <w:p w:rsidR="00E55DC8" w:rsidRPr="00D00722" w:rsidRDefault="00E55DC8" w:rsidP="00ED6F5D">
            <w:pPr>
              <w:autoSpaceDE w:val="0"/>
              <w:autoSpaceDN w:val="0"/>
              <w:adjustRightInd w:val="0"/>
              <w:jc w:val="right"/>
              <w:rPr>
                <w:rFonts w:ascii="Arial" w:hAnsi="Arial" w:cs="Arial"/>
                <w:bCs/>
                <w:color w:val="000000"/>
              </w:rPr>
            </w:pPr>
          </w:p>
        </w:tc>
      </w:tr>
      <w:tr w:rsidR="00E55DC8" w:rsidRPr="00D00722" w:rsidTr="00E55DC8">
        <w:trPr>
          <w:trHeight w:val="113"/>
        </w:trPr>
        <w:tc>
          <w:tcPr>
            <w:tcW w:w="5600" w:type="dxa"/>
            <w:tcBorders>
              <w:top w:val="single" w:sz="4" w:space="0" w:color="auto"/>
              <w:left w:val="nil"/>
              <w:bottom w:val="double" w:sz="6" w:space="0" w:color="auto"/>
              <w:right w:val="nil"/>
            </w:tcBorders>
            <w:vAlign w:val="bottom"/>
          </w:tcPr>
          <w:p w:rsidR="00E55DC8" w:rsidRPr="00D00722" w:rsidRDefault="00E55DC8" w:rsidP="00E83219">
            <w:pPr>
              <w:autoSpaceDE w:val="0"/>
              <w:autoSpaceDN w:val="0"/>
              <w:adjustRightInd w:val="0"/>
              <w:ind w:hanging="108"/>
              <w:rPr>
                <w:rFonts w:ascii="Arial" w:hAnsi="Arial" w:cs="Arial"/>
                <w:color w:val="000000"/>
              </w:rPr>
            </w:pPr>
          </w:p>
        </w:tc>
        <w:tc>
          <w:tcPr>
            <w:tcW w:w="1771" w:type="dxa"/>
            <w:tcBorders>
              <w:top w:val="single" w:sz="4" w:space="0" w:color="auto"/>
              <w:left w:val="nil"/>
              <w:bottom w:val="double" w:sz="6" w:space="0" w:color="auto"/>
              <w:right w:val="nil"/>
            </w:tcBorders>
            <w:vAlign w:val="bottom"/>
          </w:tcPr>
          <w:p w:rsidR="00E55DC8" w:rsidRPr="00D00722" w:rsidRDefault="00F71810" w:rsidP="004A3C3A">
            <w:pPr>
              <w:autoSpaceDE w:val="0"/>
              <w:autoSpaceDN w:val="0"/>
              <w:adjustRightInd w:val="0"/>
              <w:jc w:val="right"/>
              <w:rPr>
                <w:rFonts w:ascii="Arial" w:hAnsi="Arial" w:cs="Arial"/>
                <w:b/>
                <w:bCs/>
                <w:color w:val="000000"/>
              </w:rPr>
            </w:pPr>
            <w:r w:rsidRPr="00D00722">
              <w:rPr>
                <w:rFonts w:ascii="Arial" w:hAnsi="Arial" w:cs="Arial"/>
                <w:b/>
                <w:bCs/>
                <w:color w:val="000000"/>
              </w:rPr>
              <w:t>251.55</w:t>
            </w:r>
            <w:r w:rsidR="004A3C3A" w:rsidRPr="00D00722">
              <w:rPr>
                <w:rFonts w:ascii="Arial" w:hAnsi="Arial" w:cs="Arial"/>
                <w:b/>
                <w:bCs/>
                <w:color w:val="000000"/>
              </w:rPr>
              <w:t>7</w:t>
            </w:r>
          </w:p>
        </w:tc>
        <w:tc>
          <w:tcPr>
            <w:tcW w:w="1701" w:type="dxa"/>
            <w:tcBorders>
              <w:top w:val="single" w:sz="4" w:space="0" w:color="auto"/>
              <w:left w:val="nil"/>
              <w:bottom w:val="double" w:sz="6" w:space="0" w:color="auto"/>
              <w:right w:val="nil"/>
            </w:tcBorders>
            <w:vAlign w:val="bottom"/>
          </w:tcPr>
          <w:p w:rsidR="00E55DC8" w:rsidRPr="00D00722" w:rsidRDefault="00B30A32" w:rsidP="00B30A32">
            <w:pPr>
              <w:autoSpaceDE w:val="0"/>
              <w:autoSpaceDN w:val="0"/>
              <w:adjustRightInd w:val="0"/>
              <w:jc w:val="right"/>
              <w:rPr>
                <w:rFonts w:ascii="Arial" w:hAnsi="Arial" w:cs="Arial"/>
                <w:bCs/>
                <w:color w:val="000000"/>
              </w:rPr>
            </w:pPr>
            <w:r w:rsidRPr="00D00722">
              <w:rPr>
                <w:rFonts w:ascii="Arial" w:hAnsi="Arial" w:cs="Arial"/>
                <w:bCs/>
                <w:color w:val="000000"/>
              </w:rPr>
              <w:t>240</w:t>
            </w:r>
            <w:r w:rsidR="00E55DC8" w:rsidRPr="00D00722">
              <w:rPr>
                <w:rFonts w:ascii="Arial" w:hAnsi="Arial" w:cs="Arial"/>
                <w:bCs/>
                <w:color w:val="000000"/>
              </w:rPr>
              <w:t>.</w:t>
            </w:r>
            <w:r w:rsidRPr="00D00722">
              <w:rPr>
                <w:rFonts w:ascii="Arial" w:hAnsi="Arial" w:cs="Arial"/>
                <w:bCs/>
                <w:color w:val="000000"/>
              </w:rPr>
              <w:t>287</w:t>
            </w:r>
          </w:p>
        </w:tc>
      </w:tr>
    </w:tbl>
    <w:p w:rsidR="003820C9" w:rsidRPr="00D00722" w:rsidRDefault="003820C9" w:rsidP="00E83219">
      <w:pPr>
        <w:tabs>
          <w:tab w:val="left" w:pos="567"/>
        </w:tabs>
        <w:rPr>
          <w:rFonts w:ascii="Arial" w:hAnsi="Arial" w:cs="Arial"/>
          <w:b/>
          <w:lang w:val="tr-TR"/>
        </w:rPr>
      </w:pPr>
    </w:p>
    <w:p w:rsidR="006A6A8B" w:rsidRPr="00D00722" w:rsidRDefault="006A6A8B" w:rsidP="006A6A8B">
      <w:pPr>
        <w:tabs>
          <w:tab w:val="left" w:pos="567"/>
        </w:tabs>
        <w:rPr>
          <w:rFonts w:ascii="Arial" w:hAnsi="Arial" w:cs="Arial"/>
          <w:b/>
          <w:lang w:val="tr-TR"/>
        </w:rPr>
      </w:pPr>
    </w:p>
    <w:p w:rsidR="00245BD3" w:rsidRPr="00D00722" w:rsidRDefault="006D6214" w:rsidP="006A6A8B">
      <w:pPr>
        <w:tabs>
          <w:tab w:val="left" w:pos="567"/>
        </w:tabs>
        <w:rPr>
          <w:rFonts w:ascii="Arial" w:hAnsi="Arial" w:cs="Arial"/>
          <w:lang w:val="tr-TR"/>
        </w:rPr>
      </w:pPr>
      <w:r w:rsidRPr="00D00722">
        <w:rPr>
          <w:rFonts w:ascii="Arial" w:hAnsi="Arial" w:cs="Arial"/>
          <w:b/>
          <w:lang w:val="tr-TR"/>
        </w:rPr>
        <w:t>24</w:t>
      </w:r>
      <w:r w:rsidR="00245BD3" w:rsidRPr="00D00722">
        <w:rPr>
          <w:rFonts w:ascii="Arial" w:hAnsi="Arial" w:cs="Arial"/>
          <w:b/>
          <w:lang w:val="tr-TR"/>
        </w:rPr>
        <w:t>.</w:t>
      </w:r>
      <w:r w:rsidR="00245BD3" w:rsidRPr="00D00722">
        <w:rPr>
          <w:rFonts w:ascii="Arial" w:hAnsi="Arial" w:cs="Arial"/>
          <w:b/>
          <w:lang w:val="tr-TR"/>
        </w:rPr>
        <w:tab/>
      </w:r>
      <w:r w:rsidR="003C0653" w:rsidRPr="00D00722">
        <w:rPr>
          <w:rFonts w:ascii="Arial" w:hAnsi="Arial" w:cs="Arial"/>
          <w:b/>
          <w:lang w:val="tr-TR"/>
        </w:rPr>
        <w:t>Finansal araçlardan kaynaklanan risklerin niteliği ve düzeyi</w:t>
      </w:r>
    </w:p>
    <w:p w:rsidR="00245BD3" w:rsidRPr="00D00722" w:rsidRDefault="00245BD3" w:rsidP="0090567F">
      <w:pPr>
        <w:widowControl w:val="0"/>
        <w:ind w:right="-23"/>
        <w:rPr>
          <w:rFonts w:ascii="Arial" w:hAnsi="Arial" w:cs="Arial"/>
          <w:u w:val="single"/>
          <w:lang w:val="tr-TR"/>
        </w:rPr>
      </w:pPr>
    </w:p>
    <w:p w:rsidR="0035400E" w:rsidRPr="00D00722" w:rsidRDefault="0035400E" w:rsidP="0090567F">
      <w:pPr>
        <w:widowControl w:val="0"/>
        <w:ind w:right="-23"/>
        <w:rPr>
          <w:rFonts w:ascii="Arial" w:hAnsi="Arial" w:cs="Arial"/>
          <w:u w:val="single"/>
          <w:lang w:val="tr-TR"/>
        </w:rPr>
      </w:pPr>
      <w:r w:rsidRPr="00D00722">
        <w:rPr>
          <w:rFonts w:ascii="Arial" w:hAnsi="Arial" w:cs="Arial"/>
          <w:u w:val="single"/>
          <w:lang w:val="tr-TR"/>
        </w:rPr>
        <w:t xml:space="preserve">Sermaye </w:t>
      </w:r>
      <w:r w:rsidR="009B610C" w:rsidRPr="00D00722">
        <w:rPr>
          <w:rFonts w:ascii="Arial" w:hAnsi="Arial" w:cs="Arial"/>
          <w:u w:val="single"/>
          <w:lang w:val="tr-TR"/>
        </w:rPr>
        <w:t>yönetimi ve sermaye yeterliliği gereklilikleri</w:t>
      </w:r>
    </w:p>
    <w:p w:rsidR="0035400E" w:rsidRPr="00D00722" w:rsidRDefault="0035400E" w:rsidP="0090567F">
      <w:pPr>
        <w:widowControl w:val="0"/>
        <w:ind w:right="-23"/>
        <w:rPr>
          <w:rFonts w:ascii="Arial" w:hAnsi="Arial" w:cs="Arial"/>
          <w:lang w:val="tr-TR"/>
        </w:rPr>
      </w:pPr>
    </w:p>
    <w:p w:rsidR="00003D1D" w:rsidRPr="00D00722" w:rsidRDefault="00003D1D" w:rsidP="00003D1D">
      <w:pPr>
        <w:rPr>
          <w:rFonts w:ascii="Arial" w:hAnsi="Arial" w:cs="Arial"/>
          <w:lang w:val="tr-TR"/>
        </w:rPr>
      </w:pPr>
      <w:r w:rsidRPr="00D00722">
        <w:rPr>
          <w:rFonts w:ascii="Arial" w:hAnsi="Arial" w:cs="Arial"/>
          <w:lang w:val="tr-TR"/>
        </w:rPr>
        <w:t xml:space="preserve">Şirket, Sermaye Piyasası Kurulu’nun Seri: V No:34 sayılı Aracı Kurumların Sermayelerine ve Sermaye Yeterliliğine İlişkin Esaslar Tebliği’ne (“Tebliğ Seri: V No: 34”) uygun olarak sermayesini tanımlamakta ve yönetmektedir. Söz konusu Tebliğ’e göre portföy yönetim şirketleri de bu tebliğin hükümlerine tabi olup söz konusu şirketlerin öz sermayeleri, Tebliğ Seri: V No: 34’te getirilen değerleme hükümleri çerçevesinde, değerleme günü itibarıyla hazırlanmış bilançolarında yer alan ve net aktif toplamının ortaklık tarafından karşılanan kısmını ifade eden tutarların yer aldığı grubu oluşturur. Tebliğ Seri: V No: 34 hükümlerine göre portföy yönetim şirketleri için açıklanan asgari ödenmiş sermaye tutarı 31 </w:t>
      </w:r>
      <w:r w:rsidR="00BC2303" w:rsidRPr="00D00722">
        <w:rPr>
          <w:rFonts w:ascii="Arial" w:hAnsi="Arial" w:cs="Arial"/>
          <w:lang w:val="tr-TR"/>
        </w:rPr>
        <w:t>Mart</w:t>
      </w:r>
      <w:r w:rsidRPr="00D00722">
        <w:rPr>
          <w:rFonts w:ascii="Arial" w:hAnsi="Arial" w:cs="Arial"/>
          <w:lang w:val="tr-TR"/>
        </w:rPr>
        <w:t xml:space="preserve"> 201</w:t>
      </w:r>
      <w:r w:rsidR="00BC2303" w:rsidRPr="00D00722">
        <w:rPr>
          <w:rFonts w:ascii="Arial" w:hAnsi="Arial" w:cs="Arial"/>
          <w:lang w:val="tr-TR"/>
        </w:rPr>
        <w:t>4</w:t>
      </w:r>
      <w:r w:rsidRPr="00D00722">
        <w:rPr>
          <w:rFonts w:ascii="Arial" w:hAnsi="Arial" w:cs="Arial"/>
          <w:lang w:val="tr-TR"/>
        </w:rPr>
        <w:t xml:space="preserve"> tarihinde sona eren hesap dönemi için 427.000 TL (1 Ocak - 31 Aralık 201</w:t>
      </w:r>
      <w:r w:rsidR="00BC2303" w:rsidRPr="00D00722">
        <w:rPr>
          <w:rFonts w:ascii="Arial" w:hAnsi="Arial" w:cs="Arial"/>
          <w:lang w:val="tr-TR"/>
        </w:rPr>
        <w:t>3</w:t>
      </w:r>
      <w:r w:rsidRPr="00D00722">
        <w:rPr>
          <w:rFonts w:ascii="Arial" w:hAnsi="Arial" w:cs="Arial"/>
          <w:lang w:val="tr-TR"/>
        </w:rPr>
        <w:t xml:space="preserve"> - </w:t>
      </w:r>
      <w:r w:rsidR="00BC2303" w:rsidRPr="00D00722">
        <w:rPr>
          <w:rFonts w:ascii="Arial" w:hAnsi="Arial" w:cs="Arial"/>
          <w:lang w:val="tr-TR"/>
        </w:rPr>
        <w:t>427</w:t>
      </w:r>
      <w:r w:rsidRPr="00D00722">
        <w:rPr>
          <w:rFonts w:ascii="Arial" w:hAnsi="Arial" w:cs="Arial"/>
          <w:lang w:val="tr-TR"/>
        </w:rPr>
        <w:t xml:space="preserve">.000 TL) olarak belirlenmiştir. </w:t>
      </w:r>
    </w:p>
    <w:p w:rsidR="003B42C2" w:rsidRPr="00D00722" w:rsidRDefault="003B42C2">
      <w:pPr>
        <w:rPr>
          <w:rFonts w:ascii="Arial" w:hAnsi="Arial" w:cs="Arial"/>
          <w:lang w:val="tr-TR"/>
        </w:rPr>
      </w:pPr>
      <w:r w:rsidRPr="00D00722">
        <w:rPr>
          <w:rFonts w:ascii="Arial" w:hAnsi="Arial" w:cs="Arial"/>
          <w:lang w:val="tr-TR"/>
        </w:rPr>
        <w:br w:type="page"/>
      </w:r>
    </w:p>
    <w:p w:rsidR="003B42C2" w:rsidRPr="00D00722" w:rsidRDefault="003B42C2" w:rsidP="003B42C2">
      <w:pPr>
        <w:pStyle w:val="body0"/>
        <w:spacing w:after="0" w:line="240" w:lineRule="auto"/>
        <w:ind w:left="567" w:hanging="567"/>
        <w:rPr>
          <w:rFonts w:ascii="Arial" w:hAnsi="Arial" w:cs="Arial"/>
          <w:b/>
          <w:spacing w:val="-2"/>
          <w:sz w:val="20"/>
          <w:szCs w:val="20"/>
          <w:lang w:val="tr-TR"/>
        </w:rPr>
      </w:pPr>
      <w:r w:rsidRPr="00D00722">
        <w:rPr>
          <w:rFonts w:ascii="Arial" w:hAnsi="Arial" w:cs="Arial"/>
          <w:b/>
          <w:spacing w:val="-2"/>
          <w:sz w:val="20"/>
          <w:szCs w:val="20"/>
          <w:lang w:val="tr-TR"/>
        </w:rPr>
        <w:t>24.</w:t>
      </w:r>
      <w:r w:rsidRPr="00D00722">
        <w:rPr>
          <w:rFonts w:ascii="Arial" w:hAnsi="Arial" w:cs="Arial"/>
          <w:b/>
          <w:spacing w:val="-2"/>
          <w:sz w:val="20"/>
          <w:szCs w:val="20"/>
          <w:lang w:val="tr-TR"/>
        </w:rPr>
        <w:tab/>
        <w:t>Finansal araçlardan kaynaklanan risklerin niteliği ve düzeyi (devamı)</w:t>
      </w:r>
    </w:p>
    <w:p w:rsidR="00003D1D" w:rsidRPr="00D00722" w:rsidRDefault="00003D1D" w:rsidP="00003D1D">
      <w:pPr>
        <w:rPr>
          <w:rFonts w:ascii="Arial" w:hAnsi="Arial" w:cs="Arial"/>
          <w:lang w:val="tr-TR"/>
        </w:rPr>
      </w:pPr>
    </w:p>
    <w:p w:rsidR="00003D1D" w:rsidRPr="00D00722" w:rsidRDefault="00003D1D" w:rsidP="00003D1D">
      <w:pPr>
        <w:rPr>
          <w:rFonts w:ascii="Arial" w:hAnsi="Arial" w:cs="Arial"/>
          <w:lang w:val="tr-TR"/>
        </w:rPr>
      </w:pPr>
      <w:r w:rsidRPr="00D00722">
        <w:rPr>
          <w:rFonts w:ascii="Arial" w:hAnsi="Arial" w:cs="Arial"/>
          <w:lang w:val="tr-TR"/>
        </w:rPr>
        <w:t>SPK’nın Seri: V No: 34 sayılı Aracı Kurumların Sermayelerine ve Sermaye Yeterliliğine İlişkin Esaslar Tebliği’nin 25. maddesine istinaden Portföy Yönetimi Şirketleri sermaye yeterliliklerini aynı tebliğin düzenlemelerine göre hesaplamak ve SPK’ya bildirmekle yükümlüdür. Seri: V No: 34 sayılı tebliğin 4. maddesine göre portföy yönetimi şirketlerinin sermaye yeterliliği tabanı, Tebliğ Seri: V No: 34’ün 3. maddesi uyarınca hesaplanan öz sermayelerinden maddi ve maddi olmayan duran varlıkların net tutarı, borsalarda ve teşkilatlanmış diğer piyasalarda işlem görenler hariç olmak üzere, değer düşüklüğü karşılığı ve sermaye taahhütleri düşüldükten sonra kalan finansal duran varlıklar ve diğer duran varlıklar ile müşteri sıfatı ile olsa dahi, personelden, ortaklardan, iştiraklerden, bağlı ortaklıklardan ve sermaye, yönetim ve denetim açısından doğrudan veya dolaylı olarak ilişkili bulunulan kişi ve kurumlardan olan teminatsız alacaklar ile bu kişi ve kurumlar tarafından ihraç edilmiş ve borsalarda ve teşkilatlanmış diğer piyasalarda işlem görmeyen sermaye piyasası araçları tutarlarının indirilmesi suretiyle bulunan tutarı ifade eder.</w:t>
      </w:r>
    </w:p>
    <w:p w:rsidR="00003D1D" w:rsidRPr="00D00722" w:rsidRDefault="00003D1D" w:rsidP="00003D1D">
      <w:pPr>
        <w:rPr>
          <w:rFonts w:ascii="Arial" w:hAnsi="Arial" w:cs="Arial"/>
          <w:lang w:val="tr-TR"/>
        </w:rPr>
      </w:pPr>
    </w:p>
    <w:p w:rsidR="00003D1D" w:rsidRPr="00D00722" w:rsidRDefault="00003D1D" w:rsidP="00003D1D">
      <w:pPr>
        <w:rPr>
          <w:rFonts w:ascii="Arial" w:hAnsi="Arial" w:cs="Arial"/>
          <w:lang w:val="tr-TR"/>
        </w:rPr>
      </w:pPr>
      <w:r w:rsidRPr="00D00722">
        <w:rPr>
          <w:rFonts w:ascii="Arial" w:hAnsi="Arial" w:cs="Arial"/>
          <w:lang w:val="tr-TR"/>
        </w:rPr>
        <w:t>Tebliğ Seri: V No: 34’ün 8. maddesine göre portföy yönetimi şirketlerinin sermaye yeterliliği tabanları, sahip oldukları yetki belgelerine tekabül eden asgari öz sermayeleri, Tebliğ Seri: V No: 34’de anılan risk karşılıkları ve değerleme gününden önceki son üç ayda oluşan faaliyet giderleri, kalemlerinin herhangi birinden az olamaz.</w:t>
      </w:r>
    </w:p>
    <w:p w:rsidR="00003D1D" w:rsidRPr="00D00722" w:rsidRDefault="00003D1D" w:rsidP="00003D1D">
      <w:pPr>
        <w:rPr>
          <w:rFonts w:ascii="Arial" w:hAnsi="Arial" w:cs="Arial"/>
          <w:lang w:val="tr-TR"/>
        </w:rPr>
      </w:pPr>
    </w:p>
    <w:p w:rsidR="0035400E" w:rsidRPr="00D00722" w:rsidRDefault="00003D1D" w:rsidP="00003D1D">
      <w:pPr>
        <w:rPr>
          <w:rFonts w:ascii="Arial" w:hAnsi="Arial" w:cs="Arial"/>
          <w:lang w:val="tr-TR"/>
        </w:rPr>
      </w:pPr>
      <w:r w:rsidRPr="00D00722">
        <w:rPr>
          <w:rFonts w:ascii="Arial" w:hAnsi="Arial" w:cs="Arial"/>
          <w:lang w:val="tr-TR"/>
        </w:rPr>
        <w:t xml:space="preserve">Şirket, 31 </w:t>
      </w:r>
      <w:r w:rsidR="00BC2303" w:rsidRPr="00D00722">
        <w:rPr>
          <w:rFonts w:ascii="Arial" w:hAnsi="Arial" w:cs="Arial"/>
          <w:lang w:val="tr-TR"/>
        </w:rPr>
        <w:t>Mart</w:t>
      </w:r>
      <w:r w:rsidRPr="00D00722">
        <w:rPr>
          <w:rFonts w:ascii="Arial" w:hAnsi="Arial" w:cs="Arial"/>
          <w:lang w:val="tr-TR"/>
        </w:rPr>
        <w:t xml:space="preserve"> 201</w:t>
      </w:r>
      <w:r w:rsidR="00BC2303" w:rsidRPr="00D00722">
        <w:rPr>
          <w:rFonts w:ascii="Arial" w:hAnsi="Arial" w:cs="Arial"/>
          <w:lang w:val="tr-TR"/>
        </w:rPr>
        <w:t>4</w:t>
      </w:r>
      <w:r w:rsidRPr="00D00722">
        <w:rPr>
          <w:rFonts w:ascii="Arial" w:hAnsi="Arial" w:cs="Arial"/>
          <w:lang w:val="tr-TR"/>
        </w:rPr>
        <w:t xml:space="preserve"> ve 31 Aralık 201</w:t>
      </w:r>
      <w:r w:rsidR="00BC2303" w:rsidRPr="00D00722">
        <w:rPr>
          <w:rFonts w:ascii="Arial" w:hAnsi="Arial" w:cs="Arial"/>
          <w:lang w:val="tr-TR"/>
        </w:rPr>
        <w:t>3</w:t>
      </w:r>
      <w:r w:rsidRPr="00D00722">
        <w:rPr>
          <w:rFonts w:ascii="Arial" w:hAnsi="Arial" w:cs="Arial"/>
          <w:lang w:val="tr-TR"/>
        </w:rPr>
        <w:t xml:space="preserve"> tarihleri itibariyle ilgili sermaye yeterlilikleri gerekliliklerini yerine getirmektedir.</w:t>
      </w:r>
    </w:p>
    <w:p w:rsidR="00603ACE" w:rsidRPr="00D00722" w:rsidRDefault="00603ACE" w:rsidP="00003D1D">
      <w:pPr>
        <w:rPr>
          <w:rFonts w:ascii="Arial" w:hAnsi="Arial" w:cs="Arial"/>
          <w:lang w:val="tr-TR"/>
        </w:rPr>
      </w:pPr>
    </w:p>
    <w:p w:rsidR="00003D1D" w:rsidRPr="00D00722" w:rsidRDefault="00003D1D" w:rsidP="00003D1D">
      <w:pPr>
        <w:rPr>
          <w:rFonts w:ascii="Arial" w:hAnsi="Arial" w:cs="Arial"/>
          <w:lang w:val="tr-TR"/>
        </w:rPr>
      </w:pPr>
    </w:p>
    <w:p w:rsidR="00FE7D29" w:rsidRPr="00D00722" w:rsidRDefault="00FE7D29" w:rsidP="0090567F">
      <w:pPr>
        <w:autoSpaceDE w:val="0"/>
        <w:autoSpaceDN w:val="0"/>
        <w:adjustRightInd w:val="0"/>
        <w:rPr>
          <w:rFonts w:ascii="Arial" w:hAnsi="Arial" w:cs="Arial"/>
          <w:u w:val="single"/>
          <w:lang w:val="tr-TR"/>
        </w:rPr>
      </w:pPr>
      <w:r w:rsidRPr="00D00722">
        <w:rPr>
          <w:rFonts w:ascii="Arial" w:hAnsi="Arial" w:cs="Arial"/>
          <w:u w:val="single"/>
          <w:lang w:val="tr-TR"/>
        </w:rPr>
        <w:t xml:space="preserve">Finansal </w:t>
      </w:r>
      <w:r w:rsidR="009B610C" w:rsidRPr="00D00722">
        <w:rPr>
          <w:rFonts w:ascii="Arial" w:hAnsi="Arial" w:cs="Arial"/>
          <w:u w:val="single"/>
          <w:lang w:val="tr-TR"/>
        </w:rPr>
        <w:t>risk faktörleri</w:t>
      </w:r>
    </w:p>
    <w:p w:rsidR="00FE7D29" w:rsidRPr="00D00722" w:rsidRDefault="00FE7D29" w:rsidP="0090567F">
      <w:pPr>
        <w:autoSpaceDE w:val="0"/>
        <w:autoSpaceDN w:val="0"/>
        <w:adjustRightInd w:val="0"/>
        <w:rPr>
          <w:rFonts w:ascii="Arial" w:hAnsi="Arial" w:cs="Arial"/>
          <w:lang w:val="tr-TR"/>
        </w:rPr>
      </w:pPr>
    </w:p>
    <w:p w:rsidR="00FE7D29" w:rsidRPr="00D00722" w:rsidRDefault="00FE7D29" w:rsidP="0090567F">
      <w:pPr>
        <w:autoSpaceDE w:val="0"/>
        <w:autoSpaceDN w:val="0"/>
        <w:adjustRightInd w:val="0"/>
        <w:rPr>
          <w:rFonts w:ascii="Arial" w:hAnsi="Arial" w:cs="Arial"/>
          <w:lang w:val="tr-TR"/>
        </w:rPr>
      </w:pPr>
      <w:r w:rsidRPr="00D00722">
        <w:rPr>
          <w:rFonts w:ascii="Arial" w:hAnsi="Arial" w:cs="Arial"/>
          <w:lang w:val="tr-TR"/>
        </w:rPr>
        <w:t>Şirket faaliyeti gereği piyasa riskine (gerçeğe uygun değer faiz oranı riski, nakit akımı faiz oranı riski ve hisse senedi fiyat riski) maruz kalmaktadır. Piyasa riski, faiz oranlarında, menkul kıymetlerin veya diğer finansal sözleşmelerin değerinde meydana gelecek ve Şirket’i olumsuz etkileyecek dalgalanmalardır. Şirket finansal varlıklarını gerçeğe uygun fiyatlar ile  değerleyerek maruz kalınan piyasa riskini faiz ve hisse senedi pozisyon riski ayrımında günlük olarak takip etmektedir. Şirket Yönetim Kurulu’nca, belirli dönemlerde portföyün yönetimine ilişkin stratejiler ve limitler belirlenmekte, menkul kıymet portöyü, portföy yöneticileri tarafından bu çerçevede yönetilmektedir. Ekonomik tablonun ve piyasaların durumuna göre bu limit ve politikalar değişim göstermekte, belirsizliğin hakim olduğu dönemlerde riskin asgari düzeye indirilmesine çalışılmaktadır.</w:t>
      </w:r>
    </w:p>
    <w:p w:rsidR="00FE7D29" w:rsidRPr="00D00722" w:rsidRDefault="00FE7D29" w:rsidP="0090567F">
      <w:pPr>
        <w:autoSpaceDE w:val="0"/>
        <w:autoSpaceDN w:val="0"/>
        <w:adjustRightInd w:val="0"/>
        <w:rPr>
          <w:rFonts w:ascii="Arial" w:hAnsi="Arial" w:cs="Arial"/>
          <w:u w:val="single"/>
          <w:lang w:val="tr-TR"/>
        </w:rPr>
      </w:pPr>
    </w:p>
    <w:p w:rsidR="00FE7D29" w:rsidRPr="00D00722" w:rsidRDefault="00FE7D29" w:rsidP="0090567F">
      <w:pPr>
        <w:autoSpaceDE w:val="0"/>
        <w:autoSpaceDN w:val="0"/>
        <w:adjustRightInd w:val="0"/>
        <w:rPr>
          <w:rFonts w:ascii="Arial" w:hAnsi="Arial" w:cs="Arial"/>
          <w:u w:val="single"/>
          <w:lang w:val="tr-TR"/>
        </w:rPr>
      </w:pPr>
      <w:r w:rsidRPr="00D00722">
        <w:rPr>
          <w:rFonts w:ascii="Arial" w:hAnsi="Arial" w:cs="Arial"/>
          <w:u w:val="single"/>
          <w:lang w:val="tr-TR"/>
        </w:rPr>
        <w:t>Kredi riski</w:t>
      </w:r>
    </w:p>
    <w:p w:rsidR="00FE7D29" w:rsidRPr="00D00722" w:rsidRDefault="00FE7D29" w:rsidP="0090567F">
      <w:pPr>
        <w:autoSpaceDE w:val="0"/>
        <w:autoSpaceDN w:val="0"/>
        <w:adjustRightInd w:val="0"/>
        <w:rPr>
          <w:rFonts w:ascii="Arial" w:hAnsi="Arial" w:cs="Arial"/>
          <w:lang w:val="tr-TR"/>
        </w:rPr>
      </w:pPr>
    </w:p>
    <w:p w:rsidR="00FE7D29" w:rsidRPr="00D00722" w:rsidRDefault="00FE7D29" w:rsidP="0090567F">
      <w:pPr>
        <w:autoSpaceDE w:val="0"/>
        <w:autoSpaceDN w:val="0"/>
        <w:adjustRightInd w:val="0"/>
        <w:rPr>
          <w:rFonts w:ascii="Arial" w:hAnsi="Arial" w:cs="Arial"/>
          <w:lang w:val="tr-TR"/>
        </w:rPr>
      </w:pPr>
      <w:r w:rsidRPr="00D00722">
        <w:rPr>
          <w:rFonts w:ascii="Arial" w:hAnsi="Arial" w:cs="Arial"/>
          <w:lang w:val="tr-TR"/>
        </w:rPr>
        <w:t xml:space="preserve">Finansal araçlar karşı tarafın anlaşma gereklerini yerine getirememe riskini taşımaktadır. </w:t>
      </w:r>
    </w:p>
    <w:p w:rsidR="006A6A8B" w:rsidRPr="00D00722" w:rsidRDefault="006A6A8B" w:rsidP="0090567F">
      <w:pPr>
        <w:autoSpaceDE w:val="0"/>
        <w:autoSpaceDN w:val="0"/>
        <w:adjustRightInd w:val="0"/>
        <w:rPr>
          <w:rFonts w:ascii="Arial" w:hAnsi="Arial" w:cs="Arial"/>
          <w:lang w:val="tr-TR"/>
        </w:rPr>
      </w:pPr>
    </w:p>
    <w:p w:rsidR="00FE7D29" w:rsidRPr="00D00722" w:rsidRDefault="00FE7D29" w:rsidP="0090567F">
      <w:pPr>
        <w:autoSpaceDE w:val="0"/>
        <w:autoSpaceDN w:val="0"/>
        <w:adjustRightInd w:val="0"/>
        <w:rPr>
          <w:rFonts w:ascii="Arial" w:hAnsi="Arial" w:cs="Arial"/>
          <w:lang w:val="tr-TR"/>
        </w:rPr>
      </w:pPr>
      <w:r w:rsidRPr="00D00722">
        <w:rPr>
          <w:rFonts w:ascii="Arial" w:hAnsi="Arial" w:cs="Arial"/>
          <w:lang w:val="tr-TR"/>
        </w:rPr>
        <w:t>Finansal varlıklar, vadesi geçmemiş ve değer düşüklüğüne uğramamış alacaklardan oluşmaktadır.</w:t>
      </w:r>
    </w:p>
    <w:p w:rsidR="006A6A8B" w:rsidRPr="00D00722" w:rsidRDefault="006A6A8B" w:rsidP="0090567F">
      <w:pPr>
        <w:autoSpaceDE w:val="0"/>
        <w:autoSpaceDN w:val="0"/>
        <w:adjustRightInd w:val="0"/>
        <w:rPr>
          <w:rFonts w:ascii="Arial" w:hAnsi="Arial" w:cs="Arial"/>
          <w:lang w:val="tr-TR"/>
        </w:rPr>
      </w:pPr>
    </w:p>
    <w:p w:rsidR="00EC7963" w:rsidRPr="00D00722" w:rsidRDefault="003972A7" w:rsidP="006A6A8B">
      <w:pPr>
        <w:autoSpaceDE w:val="0"/>
        <w:autoSpaceDN w:val="0"/>
        <w:adjustRightInd w:val="0"/>
        <w:rPr>
          <w:rFonts w:ascii="Arial" w:hAnsi="Arial" w:cs="Arial"/>
          <w:lang w:val="tr-TR"/>
        </w:rPr>
        <w:sectPr w:rsidR="00EC7963" w:rsidRPr="00D00722" w:rsidSect="00AE0484">
          <w:headerReference w:type="default" r:id="rId15"/>
          <w:pgSz w:w="11907" w:h="16834" w:code="9"/>
          <w:pgMar w:top="1418" w:right="1418" w:bottom="1418" w:left="1418" w:header="708" w:footer="708" w:gutter="0"/>
          <w:cols w:space="708"/>
        </w:sectPr>
      </w:pPr>
      <w:r w:rsidRPr="00D00722">
        <w:rPr>
          <w:rFonts w:ascii="Arial" w:hAnsi="Arial" w:cs="Arial"/>
          <w:lang w:val="tr-TR"/>
        </w:rPr>
        <w:t xml:space="preserve">31 </w:t>
      </w:r>
      <w:r w:rsidR="00BC2303" w:rsidRPr="00D00722">
        <w:rPr>
          <w:rFonts w:ascii="Arial" w:hAnsi="Arial" w:cs="Arial"/>
          <w:lang w:val="tr-TR"/>
        </w:rPr>
        <w:t>Mart</w:t>
      </w:r>
      <w:r w:rsidRPr="00D00722">
        <w:rPr>
          <w:rFonts w:ascii="Arial" w:hAnsi="Arial" w:cs="Arial"/>
          <w:lang w:val="tr-TR"/>
        </w:rPr>
        <w:t xml:space="preserve"> </w:t>
      </w:r>
      <w:r w:rsidR="00952E0D" w:rsidRPr="00D00722">
        <w:rPr>
          <w:rFonts w:ascii="Arial" w:hAnsi="Arial" w:cs="Arial"/>
          <w:lang w:val="tr-TR"/>
        </w:rPr>
        <w:t>201</w:t>
      </w:r>
      <w:r w:rsidR="00BC2303" w:rsidRPr="00D00722">
        <w:rPr>
          <w:rFonts w:ascii="Arial" w:hAnsi="Arial" w:cs="Arial"/>
          <w:lang w:val="tr-TR"/>
        </w:rPr>
        <w:t>4</w:t>
      </w:r>
      <w:r w:rsidR="00F31A3D" w:rsidRPr="00D00722">
        <w:rPr>
          <w:rFonts w:ascii="Arial" w:hAnsi="Arial" w:cs="Arial"/>
          <w:lang w:val="tr-TR"/>
        </w:rPr>
        <w:t xml:space="preserve"> ve </w:t>
      </w:r>
      <w:r w:rsidR="00952E0D" w:rsidRPr="00D00722">
        <w:rPr>
          <w:rFonts w:ascii="Arial" w:hAnsi="Arial" w:cs="Arial"/>
          <w:lang w:val="tr-TR"/>
        </w:rPr>
        <w:t>201</w:t>
      </w:r>
      <w:r w:rsidR="00BC2303" w:rsidRPr="00D00722">
        <w:rPr>
          <w:rFonts w:ascii="Arial" w:hAnsi="Arial" w:cs="Arial"/>
          <w:lang w:val="tr-TR"/>
        </w:rPr>
        <w:t>3</w:t>
      </w:r>
      <w:r w:rsidR="00FE7D29" w:rsidRPr="00D00722">
        <w:rPr>
          <w:rFonts w:ascii="Arial" w:hAnsi="Arial" w:cs="Arial"/>
          <w:lang w:val="tr-TR"/>
        </w:rPr>
        <w:t xml:space="preserve"> tarihleri </w:t>
      </w:r>
      <w:r w:rsidR="00200AA8" w:rsidRPr="00D00722">
        <w:rPr>
          <w:rFonts w:ascii="Arial" w:hAnsi="Arial" w:cs="Arial"/>
          <w:lang w:val="tr-TR"/>
        </w:rPr>
        <w:t>itibariyle</w:t>
      </w:r>
      <w:r w:rsidR="00FE7D29" w:rsidRPr="00D00722">
        <w:rPr>
          <w:rFonts w:ascii="Arial" w:hAnsi="Arial" w:cs="Arial"/>
          <w:lang w:val="tr-TR"/>
        </w:rPr>
        <w:t xml:space="preserve"> Şirket’in vadesi</w:t>
      </w:r>
      <w:r w:rsidR="006A6A8B" w:rsidRPr="00D00722">
        <w:rPr>
          <w:rFonts w:ascii="Arial" w:hAnsi="Arial" w:cs="Arial"/>
          <w:lang w:val="tr-TR"/>
        </w:rPr>
        <w:t xml:space="preserve"> geçen alacağı bulunmamaktadır.</w:t>
      </w:r>
    </w:p>
    <w:p w:rsidR="008D47CB" w:rsidRPr="00D00722" w:rsidRDefault="006D6214" w:rsidP="00AE0484">
      <w:pPr>
        <w:pStyle w:val="body0"/>
        <w:spacing w:after="0" w:line="240" w:lineRule="auto"/>
        <w:ind w:left="567" w:hanging="567"/>
        <w:rPr>
          <w:rFonts w:ascii="Arial" w:hAnsi="Arial" w:cs="Arial"/>
          <w:b/>
          <w:spacing w:val="-2"/>
          <w:sz w:val="20"/>
          <w:szCs w:val="20"/>
          <w:lang w:val="tr-TR"/>
        </w:rPr>
      </w:pPr>
      <w:r w:rsidRPr="00D00722">
        <w:rPr>
          <w:rFonts w:ascii="Arial" w:hAnsi="Arial" w:cs="Arial"/>
          <w:b/>
          <w:spacing w:val="-2"/>
          <w:sz w:val="20"/>
          <w:szCs w:val="20"/>
          <w:lang w:val="tr-TR"/>
        </w:rPr>
        <w:t>24</w:t>
      </w:r>
      <w:r w:rsidR="008D47CB" w:rsidRPr="00D00722">
        <w:rPr>
          <w:rFonts w:ascii="Arial" w:hAnsi="Arial" w:cs="Arial"/>
          <w:b/>
          <w:spacing w:val="-2"/>
          <w:sz w:val="20"/>
          <w:szCs w:val="20"/>
          <w:lang w:val="tr-TR"/>
        </w:rPr>
        <w:t>.</w:t>
      </w:r>
      <w:r w:rsidR="008D47CB" w:rsidRPr="00D00722">
        <w:rPr>
          <w:rFonts w:ascii="Arial" w:hAnsi="Arial" w:cs="Arial"/>
          <w:b/>
          <w:spacing w:val="-2"/>
          <w:sz w:val="20"/>
          <w:szCs w:val="20"/>
          <w:lang w:val="tr-TR"/>
        </w:rPr>
        <w:tab/>
      </w:r>
      <w:r w:rsidR="003C0653" w:rsidRPr="00D00722">
        <w:rPr>
          <w:rFonts w:ascii="Arial" w:hAnsi="Arial" w:cs="Arial"/>
          <w:b/>
          <w:spacing w:val="-2"/>
          <w:sz w:val="20"/>
          <w:szCs w:val="20"/>
          <w:lang w:val="tr-TR"/>
        </w:rPr>
        <w:t xml:space="preserve">Finansal araçlardan kaynaklanan risklerin niteliği ve düzeyi </w:t>
      </w:r>
      <w:r w:rsidR="008D47CB" w:rsidRPr="00D00722">
        <w:rPr>
          <w:rFonts w:ascii="Arial" w:hAnsi="Arial" w:cs="Arial"/>
          <w:b/>
          <w:spacing w:val="-2"/>
          <w:sz w:val="20"/>
          <w:szCs w:val="20"/>
          <w:lang w:val="tr-TR"/>
        </w:rPr>
        <w:t>(devamı)</w:t>
      </w:r>
    </w:p>
    <w:p w:rsidR="006A6A8B" w:rsidRPr="00D00722" w:rsidRDefault="006A6A8B" w:rsidP="00AE0484">
      <w:pPr>
        <w:pStyle w:val="body0"/>
        <w:spacing w:after="0" w:line="240" w:lineRule="auto"/>
        <w:ind w:left="567" w:hanging="567"/>
        <w:rPr>
          <w:rFonts w:ascii="Arial" w:hAnsi="Arial" w:cs="Arial"/>
          <w:b/>
          <w:spacing w:val="-2"/>
          <w:sz w:val="20"/>
          <w:szCs w:val="20"/>
          <w:lang w:val="tr-TR"/>
        </w:rPr>
      </w:pPr>
    </w:p>
    <w:p w:rsidR="006A6A8B" w:rsidRPr="00D00722" w:rsidRDefault="006A6A8B" w:rsidP="006A6A8B">
      <w:pPr>
        <w:autoSpaceDE w:val="0"/>
        <w:autoSpaceDN w:val="0"/>
        <w:adjustRightInd w:val="0"/>
        <w:rPr>
          <w:rFonts w:ascii="Arial" w:hAnsi="Arial" w:cs="Arial"/>
          <w:lang w:val="tr-TR"/>
        </w:rPr>
      </w:pPr>
      <w:r w:rsidRPr="00D00722">
        <w:rPr>
          <w:rFonts w:ascii="Arial" w:hAnsi="Arial" w:cs="Arial"/>
          <w:lang w:val="tr-TR"/>
        </w:rPr>
        <w:t xml:space="preserve">31 </w:t>
      </w:r>
      <w:r w:rsidR="00BC2303" w:rsidRPr="00D00722">
        <w:rPr>
          <w:rFonts w:ascii="Arial" w:hAnsi="Arial" w:cs="Arial"/>
          <w:lang w:val="tr-TR"/>
        </w:rPr>
        <w:t>Mart</w:t>
      </w:r>
      <w:r w:rsidRPr="00D00722">
        <w:rPr>
          <w:rFonts w:ascii="Arial" w:hAnsi="Arial" w:cs="Arial"/>
          <w:lang w:val="tr-TR"/>
        </w:rPr>
        <w:t xml:space="preserve"> 201</w:t>
      </w:r>
      <w:r w:rsidR="00BC2303" w:rsidRPr="00D00722">
        <w:rPr>
          <w:rFonts w:ascii="Arial" w:hAnsi="Arial" w:cs="Arial"/>
          <w:lang w:val="tr-TR"/>
        </w:rPr>
        <w:t>4</w:t>
      </w:r>
      <w:r w:rsidRPr="00D00722">
        <w:rPr>
          <w:rFonts w:ascii="Arial" w:hAnsi="Arial" w:cs="Arial"/>
          <w:lang w:val="tr-TR"/>
        </w:rPr>
        <w:t xml:space="preserve"> ve 201</w:t>
      </w:r>
      <w:r w:rsidR="00BC2303" w:rsidRPr="00D00722">
        <w:rPr>
          <w:rFonts w:ascii="Arial" w:hAnsi="Arial" w:cs="Arial"/>
          <w:lang w:val="tr-TR"/>
        </w:rPr>
        <w:t>3</w:t>
      </w:r>
      <w:r w:rsidRPr="00D00722">
        <w:rPr>
          <w:rFonts w:ascii="Arial" w:hAnsi="Arial" w:cs="Arial"/>
          <w:lang w:val="tr-TR"/>
        </w:rPr>
        <w:t xml:space="preserve"> tarihleri itibariyle finansal araç türleri itibariyle maruz kalınan kredi riskinin detayı aşağıdaki gibidir:</w:t>
      </w:r>
    </w:p>
    <w:p w:rsidR="00EE69AC" w:rsidRPr="00D00722" w:rsidRDefault="00EE69AC" w:rsidP="00AE0484">
      <w:pPr>
        <w:pStyle w:val="body0"/>
        <w:spacing w:after="0" w:line="240" w:lineRule="auto"/>
        <w:ind w:left="567" w:hanging="567"/>
        <w:rPr>
          <w:rFonts w:ascii="Arial" w:hAnsi="Arial" w:cs="Arial"/>
          <w:b/>
          <w:spacing w:val="-2"/>
          <w:sz w:val="20"/>
          <w:szCs w:val="20"/>
          <w:lang w:val="tr-TR"/>
        </w:rPr>
      </w:pPr>
    </w:p>
    <w:tbl>
      <w:tblPr>
        <w:tblW w:w="13943" w:type="dxa"/>
        <w:tblInd w:w="108" w:type="dxa"/>
        <w:tblLook w:val="0000"/>
      </w:tblPr>
      <w:tblGrid>
        <w:gridCol w:w="6237"/>
        <w:gridCol w:w="1074"/>
        <w:gridCol w:w="1131"/>
        <w:gridCol w:w="995"/>
        <w:gridCol w:w="993"/>
        <w:gridCol w:w="1213"/>
        <w:gridCol w:w="1456"/>
        <w:gridCol w:w="916"/>
      </w:tblGrid>
      <w:tr w:rsidR="004362C7" w:rsidRPr="00D00722" w:rsidTr="00ED6F5D">
        <w:trPr>
          <w:trHeight w:val="113"/>
        </w:trPr>
        <w:tc>
          <w:tcPr>
            <w:tcW w:w="6237" w:type="dxa"/>
            <w:tcBorders>
              <w:top w:val="single" w:sz="4" w:space="0" w:color="auto"/>
              <w:left w:val="nil"/>
              <w:bottom w:val="single" w:sz="4" w:space="0" w:color="auto"/>
              <w:right w:val="nil"/>
            </w:tcBorders>
            <w:shd w:val="clear" w:color="auto" w:fill="auto"/>
            <w:noWrap/>
            <w:vAlign w:val="bottom"/>
          </w:tcPr>
          <w:p w:rsidR="004362C7" w:rsidRPr="00D00722" w:rsidRDefault="004362C7" w:rsidP="00ED6F5D">
            <w:pPr>
              <w:ind w:left="318" w:hanging="426"/>
              <w:rPr>
                <w:rFonts w:ascii="Arial" w:hAnsi="Arial" w:cs="Arial"/>
                <w:bCs/>
                <w:sz w:val="16"/>
                <w:szCs w:val="16"/>
                <w:lang w:val="tr-TR"/>
              </w:rPr>
            </w:pPr>
            <w:r w:rsidRPr="00D00722">
              <w:rPr>
                <w:rFonts w:ascii="Arial" w:hAnsi="Arial" w:cs="Arial"/>
                <w:bCs/>
                <w:sz w:val="16"/>
                <w:szCs w:val="16"/>
                <w:lang w:val="tr-TR"/>
              </w:rPr>
              <w:t>Finansal araç türleri itibariyle maruz kalınan kredi riskleri</w:t>
            </w:r>
          </w:p>
        </w:tc>
        <w:tc>
          <w:tcPr>
            <w:tcW w:w="4193" w:type="dxa"/>
            <w:gridSpan w:val="4"/>
            <w:tcBorders>
              <w:top w:val="single" w:sz="4" w:space="0" w:color="auto"/>
              <w:left w:val="nil"/>
              <w:bottom w:val="single" w:sz="4" w:space="0" w:color="auto"/>
              <w:right w:val="nil"/>
            </w:tcBorders>
            <w:shd w:val="clear" w:color="auto" w:fill="auto"/>
            <w:noWrap/>
            <w:vAlign w:val="bottom"/>
          </w:tcPr>
          <w:p w:rsidR="004362C7" w:rsidRPr="00D00722" w:rsidRDefault="004362C7" w:rsidP="00ED6F5D">
            <w:pPr>
              <w:jc w:val="right"/>
              <w:rPr>
                <w:rFonts w:ascii="Arial" w:hAnsi="Arial" w:cs="Arial"/>
                <w:b/>
                <w:bCs/>
                <w:sz w:val="16"/>
                <w:szCs w:val="16"/>
              </w:rPr>
            </w:pPr>
            <w:r w:rsidRPr="00D00722">
              <w:rPr>
                <w:rFonts w:ascii="Arial" w:hAnsi="Arial" w:cs="Arial"/>
                <w:b/>
                <w:bCs/>
                <w:sz w:val="16"/>
                <w:szCs w:val="16"/>
              </w:rPr>
              <w:t>Alacaklar</w:t>
            </w:r>
          </w:p>
        </w:tc>
        <w:tc>
          <w:tcPr>
            <w:tcW w:w="1141" w:type="dxa"/>
            <w:tcBorders>
              <w:top w:val="single" w:sz="4" w:space="0" w:color="auto"/>
              <w:left w:val="nil"/>
              <w:bottom w:val="single" w:sz="4" w:space="0" w:color="auto"/>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1456" w:type="dxa"/>
            <w:tcBorders>
              <w:top w:val="single" w:sz="4" w:space="0" w:color="auto"/>
              <w:left w:val="nil"/>
              <w:bottom w:val="single" w:sz="4" w:space="0" w:color="auto"/>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916" w:type="dxa"/>
            <w:tcBorders>
              <w:top w:val="single" w:sz="4" w:space="0" w:color="auto"/>
              <w:left w:val="nil"/>
              <w:bottom w:val="single" w:sz="4" w:space="0" w:color="auto"/>
              <w:right w:val="nil"/>
            </w:tcBorders>
            <w:shd w:val="clear" w:color="auto" w:fill="auto"/>
            <w:noWrap/>
            <w:vAlign w:val="bottom"/>
          </w:tcPr>
          <w:p w:rsidR="004362C7" w:rsidRPr="00D00722" w:rsidRDefault="004362C7" w:rsidP="00ED6F5D">
            <w:pPr>
              <w:jc w:val="right"/>
              <w:rPr>
                <w:rFonts w:ascii="Arial" w:hAnsi="Arial" w:cs="Arial"/>
                <w:b/>
                <w:sz w:val="16"/>
                <w:szCs w:val="16"/>
              </w:rPr>
            </w:pPr>
          </w:p>
        </w:tc>
      </w:tr>
      <w:tr w:rsidR="004362C7" w:rsidRPr="00D00722" w:rsidTr="00ED6F5D">
        <w:trPr>
          <w:trHeight w:val="113"/>
        </w:trPr>
        <w:tc>
          <w:tcPr>
            <w:tcW w:w="6237" w:type="dxa"/>
            <w:tcBorders>
              <w:top w:val="single" w:sz="4" w:space="0" w:color="auto"/>
              <w:left w:val="nil"/>
              <w:bottom w:val="single" w:sz="4" w:space="0" w:color="auto"/>
              <w:right w:val="nil"/>
            </w:tcBorders>
            <w:shd w:val="clear" w:color="auto" w:fill="auto"/>
            <w:noWrap/>
            <w:vAlign w:val="bottom"/>
          </w:tcPr>
          <w:p w:rsidR="004362C7" w:rsidRPr="00D00722" w:rsidRDefault="004362C7" w:rsidP="00ED6F5D">
            <w:pPr>
              <w:ind w:left="318" w:hanging="426"/>
              <w:rPr>
                <w:rFonts w:ascii="Arial" w:hAnsi="Arial" w:cs="Arial"/>
                <w:sz w:val="16"/>
                <w:szCs w:val="16"/>
              </w:rPr>
            </w:pPr>
          </w:p>
        </w:tc>
        <w:tc>
          <w:tcPr>
            <w:tcW w:w="2205" w:type="dxa"/>
            <w:gridSpan w:val="2"/>
            <w:tcBorders>
              <w:top w:val="single" w:sz="4" w:space="0" w:color="auto"/>
              <w:left w:val="nil"/>
              <w:bottom w:val="single" w:sz="4" w:space="0" w:color="auto"/>
              <w:right w:val="nil"/>
            </w:tcBorders>
            <w:shd w:val="clear" w:color="auto" w:fill="auto"/>
            <w:noWrap/>
            <w:vAlign w:val="bottom"/>
          </w:tcPr>
          <w:p w:rsidR="004362C7" w:rsidRPr="00D00722" w:rsidRDefault="004362C7" w:rsidP="00ED6F5D">
            <w:pPr>
              <w:jc w:val="right"/>
              <w:rPr>
                <w:rFonts w:ascii="Arial" w:hAnsi="Arial" w:cs="Arial"/>
                <w:b/>
                <w:bCs/>
                <w:sz w:val="16"/>
                <w:szCs w:val="16"/>
              </w:rPr>
            </w:pPr>
            <w:r w:rsidRPr="00D00722">
              <w:rPr>
                <w:rFonts w:ascii="Arial" w:hAnsi="Arial" w:cs="Arial"/>
                <w:b/>
                <w:bCs/>
                <w:sz w:val="16"/>
                <w:szCs w:val="16"/>
              </w:rPr>
              <w:t>Ticari alacaklar</w:t>
            </w:r>
          </w:p>
        </w:tc>
        <w:tc>
          <w:tcPr>
            <w:tcW w:w="1988" w:type="dxa"/>
            <w:gridSpan w:val="2"/>
            <w:tcBorders>
              <w:top w:val="single" w:sz="4" w:space="0" w:color="auto"/>
              <w:left w:val="nil"/>
              <w:bottom w:val="single" w:sz="4" w:space="0" w:color="auto"/>
              <w:right w:val="nil"/>
            </w:tcBorders>
            <w:shd w:val="clear" w:color="auto" w:fill="auto"/>
            <w:noWrap/>
            <w:vAlign w:val="bottom"/>
          </w:tcPr>
          <w:p w:rsidR="004362C7" w:rsidRPr="00D00722" w:rsidRDefault="004362C7" w:rsidP="00ED6F5D">
            <w:pPr>
              <w:jc w:val="right"/>
              <w:rPr>
                <w:rFonts w:ascii="Arial" w:hAnsi="Arial" w:cs="Arial"/>
                <w:b/>
                <w:bCs/>
                <w:sz w:val="16"/>
                <w:szCs w:val="16"/>
              </w:rPr>
            </w:pPr>
            <w:r w:rsidRPr="00D00722">
              <w:rPr>
                <w:rFonts w:ascii="Arial" w:hAnsi="Arial" w:cs="Arial"/>
                <w:b/>
                <w:bCs/>
                <w:sz w:val="16"/>
                <w:szCs w:val="16"/>
              </w:rPr>
              <w:t>Diğer alacaklar</w:t>
            </w:r>
          </w:p>
        </w:tc>
        <w:tc>
          <w:tcPr>
            <w:tcW w:w="1141" w:type="dxa"/>
            <w:tcBorders>
              <w:top w:val="single" w:sz="4" w:space="0" w:color="auto"/>
              <w:left w:val="nil"/>
              <w:bottom w:val="single" w:sz="4" w:space="0" w:color="auto"/>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1456" w:type="dxa"/>
            <w:tcBorders>
              <w:top w:val="single" w:sz="4" w:space="0" w:color="auto"/>
              <w:left w:val="nil"/>
              <w:bottom w:val="single" w:sz="4" w:space="0" w:color="auto"/>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916" w:type="dxa"/>
            <w:tcBorders>
              <w:top w:val="single" w:sz="4" w:space="0" w:color="auto"/>
              <w:left w:val="nil"/>
              <w:bottom w:val="single" w:sz="4" w:space="0" w:color="auto"/>
              <w:right w:val="nil"/>
            </w:tcBorders>
            <w:shd w:val="clear" w:color="auto" w:fill="auto"/>
            <w:noWrap/>
            <w:vAlign w:val="bottom"/>
          </w:tcPr>
          <w:p w:rsidR="004362C7" w:rsidRPr="00D00722" w:rsidRDefault="004362C7" w:rsidP="00ED6F5D">
            <w:pPr>
              <w:jc w:val="right"/>
              <w:rPr>
                <w:rFonts w:ascii="Arial" w:hAnsi="Arial" w:cs="Arial"/>
                <w:b/>
                <w:sz w:val="16"/>
                <w:szCs w:val="16"/>
              </w:rPr>
            </w:pPr>
          </w:p>
        </w:tc>
      </w:tr>
      <w:tr w:rsidR="004362C7" w:rsidRPr="00D00722" w:rsidTr="00ED6F5D">
        <w:trPr>
          <w:trHeight w:val="113"/>
        </w:trPr>
        <w:tc>
          <w:tcPr>
            <w:tcW w:w="6237" w:type="dxa"/>
            <w:tcBorders>
              <w:top w:val="single" w:sz="4" w:space="0" w:color="auto"/>
              <w:left w:val="nil"/>
              <w:bottom w:val="single" w:sz="4" w:space="0" w:color="auto"/>
              <w:right w:val="nil"/>
            </w:tcBorders>
            <w:shd w:val="clear" w:color="auto" w:fill="auto"/>
            <w:noWrap/>
            <w:vAlign w:val="bottom"/>
          </w:tcPr>
          <w:p w:rsidR="004362C7" w:rsidRPr="00D00722" w:rsidRDefault="004362C7" w:rsidP="004362C7">
            <w:pPr>
              <w:ind w:left="318" w:hanging="426"/>
              <w:rPr>
                <w:rFonts w:ascii="Arial" w:hAnsi="Arial" w:cs="Arial"/>
                <w:bCs/>
                <w:sz w:val="16"/>
                <w:szCs w:val="16"/>
              </w:rPr>
            </w:pPr>
            <w:r w:rsidRPr="00D00722">
              <w:rPr>
                <w:rFonts w:ascii="Arial" w:hAnsi="Arial" w:cs="Arial"/>
                <w:bCs/>
                <w:sz w:val="16"/>
                <w:szCs w:val="16"/>
              </w:rPr>
              <w:t>31 Mart 2014</w:t>
            </w:r>
          </w:p>
        </w:tc>
        <w:tc>
          <w:tcPr>
            <w:tcW w:w="1074" w:type="dxa"/>
            <w:tcBorders>
              <w:top w:val="single" w:sz="4" w:space="0" w:color="auto"/>
              <w:left w:val="nil"/>
              <w:bottom w:val="single" w:sz="4" w:space="0" w:color="auto"/>
              <w:right w:val="nil"/>
            </w:tcBorders>
            <w:shd w:val="clear" w:color="auto" w:fill="auto"/>
            <w:noWrap/>
            <w:vAlign w:val="bottom"/>
          </w:tcPr>
          <w:p w:rsidR="004362C7" w:rsidRPr="00D00722" w:rsidRDefault="004362C7" w:rsidP="00ED6F5D">
            <w:pPr>
              <w:jc w:val="right"/>
              <w:rPr>
                <w:rFonts w:ascii="Arial" w:hAnsi="Arial" w:cs="Arial"/>
                <w:b/>
                <w:bCs/>
                <w:sz w:val="16"/>
                <w:szCs w:val="16"/>
              </w:rPr>
            </w:pPr>
            <w:r w:rsidRPr="00D00722">
              <w:rPr>
                <w:rFonts w:ascii="Arial" w:hAnsi="Arial" w:cs="Arial"/>
                <w:b/>
                <w:bCs/>
                <w:sz w:val="16"/>
                <w:szCs w:val="16"/>
              </w:rPr>
              <w:t>İlişkili taraf</w:t>
            </w:r>
          </w:p>
        </w:tc>
        <w:tc>
          <w:tcPr>
            <w:tcW w:w="1131" w:type="dxa"/>
            <w:tcBorders>
              <w:top w:val="single" w:sz="4" w:space="0" w:color="auto"/>
              <w:left w:val="nil"/>
              <w:bottom w:val="single" w:sz="4" w:space="0" w:color="auto"/>
              <w:right w:val="nil"/>
            </w:tcBorders>
            <w:shd w:val="clear" w:color="auto" w:fill="auto"/>
            <w:noWrap/>
            <w:vAlign w:val="bottom"/>
          </w:tcPr>
          <w:p w:rsidR="004362C7" w:rsidRPr="00D00722" w:rsidRDefault="004362C7" w:rsidP="00ED6F5D">
            <w:pPr>
              <w:jc w:val="right"/>
              <w:rPr>
                <w:rFonts w:ascii="Arial" w:hAnsi="Arial" w:cs="Arial"/>
                <w:b/>
                <w:bCs/>
                <w:sz w:val="16"/>
                <w:szCs w:val="16"/>
              </w:rPr>
            </w:pPr>
            <w:r w:rsidRPr="00D00722">
              <w:rPr>
                <w:rFonts w:ascii="Arial" w:hAnsi="Arial" w:cs="Arial"/>
                <w:b/>
                <w:bCs/>
                <w:sz w:val="16"/>
                <w:szCs w:val="16"/>
              </w:rPr>
              <w:t>Diğer taraf</w:t>
            </w:r>
          </w:p>
        </w:tc>
        <w:tc>
          <w:tcPr>
            <w:tcW w:w="995" w:type="dxa"/>
            <w:tcBorders>
              <w:top w:val="single" w:sz="4" w:space="0" w:color="auto"/>
              <w:left w:val="nil"/>
              <w:bottom w:val="single" w:sz="4" w:space="0" w:color="auto"/>
              <w:right w:val="nil"/>
            </w:tcBorders>
            <w:shd w:val="clear" w:color="auto" w:fill="auto"/>
            <w:noWrap/>
            <w:vAlign w:val="bottom"/>
          </w:tcPr>
          <w:p w:rsidR="004362C7" w:rsidRPr="00D00722" w:rsidRDefault="004362C7" w:rsidP="00ED6F5D">
            <w:pPr>
              <w:jc w:val="right"/>
              <w:rPr>
                <w:rFonts w:ascii="Arial" w:hAnsi="Arial" w:cs="Arial"/>
                <w:b/>
                <w:bCs/>
                <w:sz w:val="16"/>
                <w:szCs w:val="16"/>
              </w:rPr>
            </w:pPr>
            <w:r w:rsidRPr="00D00722">
              <w:rPr>
                <w:rFonts w:ascii="Arial" w:hAnsi="Arial" w:cs="Arial"/>
                <w:b/>
                <w:bCs/>
                <w:sz w:val="16"/>
                <w:szCs w:val="16"/>
              </w:rPr>
              <w:t>İlişkili taraf</w:t>
            </w:r>
          </w:p>
        </w:tc>
        <w:tc>
          <w:tcPr>
            <w:tcW w:w="993" w:type="dxa"/>
            <w:tcBorders>
              <w:top w:val="single" w:sz="4" w:space="0" w:color="auto"/>
              <w:left w:val="nil"/>
              <w:bottom w:val="single" w:sz="4" w:space="0" w:color="auto"/>
              <w:right w:val="nil"/>
            </w:tcBorders>
            <w:shd w:val="clear" w:color="auto" w:fill="auto"/>
            <w:noWrap/>
            <w:vAlign w:val="bottom"/>
          </w:tcPr>
          <w:p w:rsidR="004362C7" w:rsidRPr="00D00722" w:rsidRDefault="004362C7" w:rsidP="00ED6F5D">
            <w:pPr>
              <w:jc w:val="right"/>
              <w:rPr>
                <w:rFonts w:ascii="Arial" w:hAnsi="Arial" w:cs="Arial"/>
                <w:b/>
                <w:bCs/>
                <w:sz w:val="16"/>
                <w:szCs w:val="16"/>
              </w:rPr>
            </w:pPr>
            <w:r w:rsidRPr="00D00722">
              <w:rPr>
                <w:rFonts w:ascii="Arial" w:hAnsi="Arial" w:cs="Arial"/>
                <w:b/>
                <w:bCs/>
                <w:sz w:val="16"/>
                <w:szCs w:val="16"/>
              </w:rPr>
              <w:t>Diğer taraf</w:t>
            </w:r>
          </w:p>
        </w:tc>
        <w:tc>
          <w:tcPr>
            <w:tcW w:w="1141" w:type="dxa"/>
            <w:tcBorders>
              <w:top w:val="single" w:sz="4" w:space="0" w:color="auto"/>
              <w:left w:val="nil"/>
              <w:bottom w:val="single" w:sz="4" w:space="0" w:color="auto"/>
              <w:right w:val="nil"/>
            </w:tcBorders>
            <w:shd w:val="clear" w:color="auto" w:fill="auto"/>
            <w:vAlign w:val="bottom"/>
          </w:tcPr>
          <w:p w:rsidR="004362C7" w:rsidRPr="00D00722" w:rsidRDefault="004362C7" w:rsidP="00ED6F5D">
            <w:pPr>
              <w:jc w:val="right"/>
              <w:rPr>
                <w:rFonts w:ascii="Arial" w:hAnsi="Arial" w:cs="Arial"/>
                <w:b/>
                <w:bCs/>
                <w:sz w:val="16"/>
                <w:szCs w:val="16"/>
              </w:rPr>
            </w:pPr>
            <w:r w:rsidRPr="00D00722">
              <w:rPr>
                <w:rFonts w:ascii="Arial" w:hAnsi="Arial" w:cs="Arial"/>
                <w:b/>
                <w:bCs/>
                <w:sz w:val="16"/>
                <w:szCs w:val="16"/>
              </w:rPr>
              <w:t>Bankalardaki mevduat</w:t>
            </w:r>
          </w:p>
        </w:tc>
        <w:tc>
          <w:tcPr>
            <w:tcW w:w="1456" w:type="dxa"/>
            <w:tcBorders>
              <w:top w:val="single" w:sz="4" w:space="0" w:color="auto"/>
              <w:left w:val="nil"/>
              <w:bottom w:val="single" w:sz="4" w:space="0" w:color="auto"/>
              <w:right w:val="nil"/>
            </w:tcBorders>
            <w:shd w:val="clear" w:color="auto" w:fill="auto"/>
            <w:noWrap/>
            <w:vAlign w:val="bottom"/>
          </w:tcPr>
          <w:p w:rsidR="004362C7" w:rsidRPr="00D00722" w:rsidRDefault="004362C7" w:rsidP="00ED6F5D">
            <w:pPr>
              <w:jc w:val="right"/>
              <w:rPr>
                <w:rFonts w:ascii="Arial" w:hAnsi="Arial" w:cs="Arial"/>
                <w:b/>
                <w:bCs/>
                <w:sz w:val="16"/>
                <w:szCs w:val="16"/>
              </w:rPr>
            </w:pPr>
            <w:r w:rsidRPr="00D00722">
              <w:rPr>
                <w:rFonts w:ascii="Arial" w:hAnsi="Arial" w:cs="Arial"/>
                <w:b/>
                <w:bCs/>
                <w:sz w:val="16"/>
                <w:szCs w:val="16"/>
              </w:rPr>
              <w:t xml:space="preserve">Gerçeğe uygun değ. </w:t>
            </w:r>
            <w:proofErr w:type="gramStart"/>
            <w:r w:rsidRPr="00D00722">
              <w:rPr>
                <w:rFonts w:ascii="Arial" w:hAnsi="Arial" w:cs="Arial"/>
                <w:b/>
                <w:bCs/>
                <w:sz w:val="16"/>
                <w:szCs w:val="16"/>
              </w:rPr>
              <w:t>farkı</w:t>
            </w:r>
            <w:proofErr w:type="gramEnd"/>
            <w:r w:rsidRPr="00D00722">
              <w:rPr>
                <w:rFonts w:ascii="Arial" w:hAnsi="Arial" w:cs="Arial"/>
                <w:b/>
                <w:bCs/>
                <w:sz w:val="16"/>
                <w:szCs w:val="16"/>
              </w:rPr>
              <w:t xml:space="preserve"> gelir tablosuna yans. </w:t>
            </w:r>
            <w:proofErr w:type="gramStart"/>
            <w:r w:rsidRPr="00D00722">
              <w:rPr>
                <w:rFonts w:ascii="Arial" w:hAnsi="Arial" w:cs="Arial"/>
                <w:b/>
                <w:bCs/>
                <w:sz w:val="16"/>
                <w:szCs w:val="16"/>
              </w:rPr>
              <w:t>fin</w:t>
            </w:r>
            <w:proofErr w:type="gramEnd"/>
            <w:r w:rsidRPr="00D00722">
              <w:rPr>
                <w:rFonts w:ascii="Arial" w:hAnsi="Arial" w:cs="Arial"/>
                <w:b/>
                <w:bCs/>
                <w:sz w:val="16"/>
                <w:szCs w:val="16"/>
              </w:rPr>
              <w:t>. varlıklar</w:t>
            </w:r>
          </w:p>
        </w:tc>
        <w:tc>
          <w:tcPr>
            <w:tcW w:w="916" w:type="dxa"/>
            <w:tcBorders>
              <w:top w:val="single" w:sz="4" w:space="0" w:color="auto"/>
              <w:left w:val="nil"/>
              <w:bottom w:val="single" w:sz="4" w:space="0" w:color="auto"/>
              <w:right w:val="nil"/>
            </w:tcBorders>
            <w:shd w:val="clear" w:color="auto" w:fill="auto"/>
            <w:noWrap/>
            <w:vAlign w:val="bottom"/>
          </w:tcPr>
          <w:p w:rsidR="004362C7" w:rsidRPr="00D00722" w:rsidRDefault="004362C7" w:rsidP="00ED6F5D">
            <w:pPr>
              <w:jc w:val="right"/>
              <w:rPr>
                <w:rFonts w:ascii="Arial" w:hAnsi="Arial" w:cs="Arial"/>
                <w:b/>
                <w:bCs/>
                <w:sz w:val="16"/>
                <w:szCs w:val="16"/>
              </w:rPr>
            </w:pPr>
            <w:r w:rsidRPr="00D00722">
              <w:rPr>
                <w:rFonts w:ascii="Arial" w:hAnsi="Arial" w:cs="Arial"/>
                <w:b/>
                <w:bCs/>
                <w:sz w:val="16"/>
                <w:szCs w:val="16"/>
              </w:rPr>
              <w:t>Diğer(**)</w:t>
            </w:r>
          </w:p>
        </w:tc>
      </w:tr>
      <w:tr w:rsidR="004362C7" w:rsidRPr="00D00722" w:rsidTr="00ED6F5D">
        <w:trPr>
          <w:trHeight w:val="113"/>
        </w:trPr>
        <w:tc>
          <w:tcPr>
            <w:tcW w:w="6237" w:type="dxa"/>
            <w:tcBorders>
              <w:top w:val="single" w:sz="4" w:space="0" w:color="auto"/>
              <w:left w:val="nil"/>
              <w:bottom w:val="nil"/>
              <w:right w:val="nil"/>
            </w:tcBorders>
            <w:shd w:val="clear" w:color="auto" w:fill="auto"/>
            <w:noWrap/>
            <w:vAlign w:val="bottom"/>
          </w:tcPr>
          <w:p w:rsidR="004362C7" w:rsidRPr="00D00722" w:rsidRDefault="004362C7" w:rsidP="00ED6F5D">
            <w:pPr>
              <w:ind w:left="318" w:hanging="426"/>
              <w:rPr>
                <w:rFonts w:ascii="Arial" w:hAnsi="Arial" w:cs="Arial"/>
                <w:sz w:val="16"/>
                <w:szCs w:val="16"/>
              </w:rPr>
            </w:pPr>
          </w:p>
        </w:tc>
        <w:tc>
          <w:tcPr>
            <w:tcW w:w="1074" w:type="dxa"/>
            <w:tcBorders>
              <w:top w:val="single" w:sz="4" w:space="0" w:color="auto"/>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1131" w:type="dxa"/>
            <w:tcBorders>
              <w:top w:val="single" w:sz="4" w:space="0" w:color="auto"/>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995" w:type="dxa"/>
            <w:tcBorders>
              <w:top w:val="single" w:sz="4" w:space="0" w:color="auto"/>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993" w:type="dxa"/>
            <w:tcBorders>
              <w:top w:val="single" w:sz="4" w:space="0" w:color="auto"/>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1141" w:type="dxa"/>
            <w:tcBorders>
              <w:top w:val="single" w:sz="4" w:space="0" w:color="auto"/>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1456" w:type="dxa"/>
            <w:tcBorders>
              <w:top w:val="single" w:sz="4" w:space="0" w:color="auto"/>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916" w:type="dxa"/>
            <w:tcBorders>
              <w:top w:val="single" w:sz="4" w:space="0" w:color="auto"/>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r>
      <w:tr w:rsidR="004362C7" w:rsidRPr="00D00722" w:rsidTr="00ED6F5D">
        <w:trPr>
          <w:trHeight w:val="113"/>
        </w:trPr>
        <w:tc>
          <w:tcPr>
            <w:tcW w:w="6237" w:type="dxa"/>
            <w:tcBorders>
              <w:top w:val="nil"/>
              <w:left w:val="nil"/>
              <w:bottom w:val="nil"/>
              <w:right w:val="nil"/>
            </w:tcBorders>
            <w:shd w:val="clear" w:color="auto" w:fill="auto"/>
            <w:noWrap/>
            <w:vAlign w:val="bottom"/>
          </w:tcPr>
          <w:p w:rsidR="004362C7" w:rsidRPr="00D00722" w:rsidRDefault="004362C7" w:rsidP="00ED6F5D">
            <w:pPr>
              <w:ind w:left="318" w:hanging="426"/>
              <w:rPr>
                <w:rFonts w:ascii="Arial" w:hAnsi="Arial" w:cs="Arial"/>
                <w:sz w:val="16"/>
                <w:szCs w:val="16"/>
              </w:rPr>
            </w:pPr>
            <w:r w:rsidRPr="00D00722">
              <w:rPr>
                <w:rFonts w:ascii="Arial" w:hAnsi="Arial" w:cs="Arial"/>
                <w:sz w:val="16"/>
                <w:szCs w:val="16"/>
              </w:rPr>
              <w:t>Raporlama tarihi itibariyle maruz kalınan azami kredi riski (*)</w:t>
            </w:r>
          </w:p>
        </w:tc>
        <w:tc>
          <w:tcPr>
            <w:tcW w:w="1074" w:type="dxa"/>
            <w:tcBorders>
              <w:top w:val="nil"/>
              <w:left w:val="nil"/>
              <w:bottom w:val="nil"/>
              <w:right w:val="nil"/>
            </w:tcBorders>
            <w:shd w:val="clear" w:color="auto" w:fill="auto"/>
            <w:noWrap/>
            <w:vAlign w:val="bottom"/>
          </w:tcPr>
          <w:p w:rsidR="004362C7" w:rsidRPr="00D00722" w:rsidRDefault="008E0309" w:rsidP="00ED6F5D">
            <w:pPr>
              <w:jc w:val="right"/>
              <w:rPr>
                <w:rFonts w:ascii="Arial" w:hAnsi="Arial" w:cs="Arial"/>
                <w:b/>
                <w:sz w:val="16"/>
                <w:szCs w:val="16"/>
              </w:rPr>
            </w:pPr>
            <w:r w:rsidRPr="00D00722">
              <w:rPr>
                <w:rFonts w:ascii="Arial" w:hAnsi="Arial" w:cs="Arial"/>
                <w:b/>
                <w:color w:val="000000"/>
                <w:sz w:val="16"/>
                <w:szCs w:val="16"/>
              </w:rPr>
              <w:t>1.242</w:t>
            </w:r>
          </w:p>
        </w:tc>
        <w:tc>
          <w:tcPr>
            <w:tcW w:w="1131" w:type="dxa"/>
            <w:tcBorders>
              <w:top w:val="nil"/>
              <w:left w:val="nil"/>
              <w:bottom w:val="nil"/>
              <w:right w:val="nil"/>
            </w:tcBorders>
            <w:shd w:val="clear" w:color="auto" w:fill="auto"/>
            <w:noWrap/>
            <w:vAlign w:val="bottom"/>
          </w:tcPr>
          <w:p w:rsidR="004362C7" w:rsidRPr="00D00722" w:rsidRDefault="008E0309" w:rsidP="00ED6F5D">
            <w:pPr>
              <w:jc w:val="right"/>
              <w:rPr>
                <w:rFonts w:ascii="Arial" w:hAnsi="Arial" w:cs="Arial"/>
                <w:b/>
                <w:color w:val="000000"/>
                <w:sz w:val="16"/>
                <w:szCs w:val="16"/>
              </w:rPr>
            </w:pPr>
            <w:r w:rsidRPr="00D00722">
              <w:rPr>
                <w:rFonts w:ascii="Arial" w:hAnsi="Arial" w:cs="Arial"/>
                <w:b/>
                <w:color w:val="000000"/>
                <w:sz w:val="16"/>
                <w:szCs w:val="16"/>
              </w:rPr>
              <w:t>3.666</w:t>
            </w:r>
          </w:p>
        </w:tc>
        <w:tc>
          <w:tcPr>
            <w:tcW w:w="995"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993"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1141" w:type="dxa"/>
            <w:tcBorders>
              <w:top w:val="nil"/>
              <w:left w:val="nil"/>
              <w:bottom w:val="nil"/>
              <w:right w:val="nil"/>
            </w:tcBorders>
            <w:shd w:val="clear" w:color="auto" w:fill="auto"/>
            <w:noWrap/>
            <w:vAlign w:val="bottom"/>
          </w:tcPr>
          <w:p w:rsidR="004362C7" w:rsidRPr="00D00722" w:rsidRDefault="008E0309" w:rsidP="00ED6F5D">
            <w:pPr>
              <w:jc w:val="right"/>
              <w:rPr>
                <w:rFonts w:ascii="Arial" w:hAnsi="Arial" w:cs="Arial"/>
                <w:b/>
                <w:sz w:val="16"/>
                <w:szCs w:val="16"/>
              </w:rPr>
            </w:pPr>
            <w:r w:rsidRPr="00D00722">
              <w:rPr>
                <w:rFonts w:ascii="Arial" w:hAnsi="Arial" w:cs="Arial"/>
                <w:b/>
                <w:sz w:val="16"/>
                <w:szCs w:val="16"/>
              </w:rPr>
              <w:t>705.138</w:t>
            </w:r>
          </w:p>
        </w:tc>
        <w:tc>
          <w:tcPr>
            <w:tcW w:w="1456" w:type="dxa"/>
            <w:tcBorders>
              <w:top w:val="nil"/>
              <w:left w:val="nil"/>
              <w:bottom w:val="nil"/>
              <w:right w:val="nil"/>
            </w:tcBorders>
            <w:shd w:val="clear" w:color="auto" w:fill="auto"/>
            <w:noWrap/>
            <w:vAlign w:val="bottom"/>
          </w:tcPr>
          <w:p w:rsidR="004362C7" w:rsidRPr="00D00722" w:rsidRDefault="008E0309" w:rsidP="00ED6F5D">
            <w:pPr>
              <w:jc w:val="right"/>
              <w:rPr>
                <w:rFonts w:ascii="Arial" w:hAnsi="Arial" w:cs="Arial"/>
                <w:b/>
                <w:sz w:val="16"/>
                <w:szCs w:val="16"/>
              </w:rPr>
            </w:pPr>
            <w:r w:rsidRPr="00D00722">
              <w:rPr>
                <w:rFonts w:ascii="Arial" w:hAnsi="Arial" w:cs="Arial"/>
                <w:b/>
                <w:sz w:val="16"/>
                <w:szCs w:val="16"/>
              </w:rPr>
              <w:t>98.454</w:t>
            </w:r>
          </w:p>
        </w:tc>
        <w:tc>
          <w:tcPr>
            <w:tcW w:w="916" w:type="dxa"/>
            <w:tcBorders>
              <w:top w:val="nil"/>
              <w:left w:val="nil"/>
              <w:bottom w:val="nil"/>
              <w:right w:val="nil"/>
            </w:tcBorders>
            <w:shd w:val="clear" w:color="auto" w:fill="auto"/>
            <w:noWrap/>
            <w:vAlign w:val="bottom"/>
          </w:tcPr>
          <w:p w:rsidR="004362C7" w:rsidRPr="00D00722" w:rsidRDefault="008E0309" w:rsidP="00C47DD1">
            <w:pPr>
              <w:jc w:val="right"/>
              <w:rPr>
                <w:rFonts w:ascii="Arial" w:hAnsi="Arial" w:cs="Arial"/>
                <w:b/>
                <w:sz w:val="16"/>
                <w:szCs w:val="16"/>
              </w:rPr>
            </w:pPr>
            <w:r w:rsidRPr="00D00722">
              <w:rPr>
                <w:rFonts w:ascii="Arial" w:hAnsi="Arial" w:cs="Arial"/>
                <w:b/>
                <w:sz w:val="16"/>
                <w:szCs w:val="16"/>
              </w:rPr>
              <w:t>2</w:t>
            </w:r>
            <w:r w:rsidR="00C47DD1" w:rsidRPr="00D00722">
              <w:rPr>
                <w:rFonts w:ascii="Arial" w:hAnsi="Arial" w:cs="Arial"/>
                <w:b/>
                <w:sz w:val="16"/>
                <w:szCs w:val="16"/>
              </w:rPr>
              <w:t>86</w:t>
            </w:r>
            <w:r w:rsidRPr="00D00722">
              <w:rPr>
                <w:rFonts w:ascii="Arial" w:hAnsi="Arial" w:cs="Arial"/>
                <w:b/>
                <w:sz w:val="16"/>
                <w:szCs w:val="16"/>
              </w:rPr>
              <w:t>,</w:t>
            </w:r>
            <w:r w:rsidR="00C47DD1" w:rsidRPr="00D00722">
              <w:rPr>
                <w:rFonts w:ascii="Arial" w:hAnsi="Arial" w:cs="Arial"/>
                <w:b/>
                <w:sz w:val="16"/>
                <w:szCs w:val="16"/>
              </w:rPr>
              <w:t>639</w:t>
            </w:r>
          </w:p>
        </w:tc>
      </w:tr>
      <w:tr w:rsidR="004362C7" w:rsidRPr="00D00722" w:rsidTr="00ED6F5D">
        <w:trPr>
          <w:trHeight w:val="113"/>
        </w:trPr>
        <w:tc>
          <w:tcPr>
            <w:tcW w:w="6237" w:type="dxa"/>
            <w:tcBorders>
              <w:top w:val="nil"/>
              <w:left w:val="nil"/>
              <w:bottom w:val="nil"/>
              <w:right w:val="nil"/>
            </w:tcBorders>
            <w:shd w:val="clear" w:color="auto" w:fill="auto"/>
            <w:noWrap/>
            <w:vAlign w:val="bottom"/>
          </w:tcPr>
          <w:p w:rsidR="004362C7" w:rsidRPr="00D00722" w:rsidRDefault="004362C7" w:rsidP="00ED6F5D">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1131"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995"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993"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1141"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1456"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916"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r>
      <w:tr w:rsidR="004362C7" w:rsidRPr="00D00722" w:rsidTr="00ED6F5D">
        <w:trPr>
          <w:trHeight w:val="113"/>
        </w:trPr>
        <w:tc>
          <w:tcPr>
            <w:tcW w:w="6237" w:type="dxa"/>
            <w:tcBorders>
              <w:top w:val="nil"/>
              <w:left w:val="nil"/>
              <w:bottom w:val="nil"/>
              <w:right w:val="nil"/>
            </w:tcBorders>
            <w:shd w:val="clear" w:color="auto" w:fill="auto"/>
            <w:noWrap/>
            <w:vAlign w:val="bottom"/>
          </w:tcPr>
          <w:p w:rsidR="004362C7" w:rsidRPr="00D00722" w:rsidRDefault="004362C7" w:rsidP="00ED6F5D">
            <w:pPr>
              <w:ind w:left="318" w:hanging="426"/>
              <w:rPr>
                <w:rFonts w:ascii="Arial" w:hAnsi="Arial" w:cs="Arial"/>
                <w:sz w:val="16"/>
                <w:szCs w:val="16"/>
              </w:rPr>
            </w:pPr>
            <w:r w:rsidRPr="00D00722">
              <w:rPr>
                <w:rFonts w:ascii="Arial" w:hAnsi="Arial" w:cs="Arial"/>
                <w:sz w:val="16"/>
                <w:szCs w:val="16"/>
              </w:rPr>
              <w:t>- Azami riskin teminat, vs ile güvence altına alınmış kısmı</w:t>
            </w:r>
          </w:p>
        </w:tc>
        <w:tc>
          <w:tcPr>
            <w:tcW w:w="1074"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r w:rsidRPr="00D00722">
              <w:rPr>
                <w:rFonts w:ascii="Arial" w:hAnsi="Arial" w:cs="Arial"/>
                <w:b/>
                <w:color w:val="000000"/>
                <w:sz w:val="16"/>
                <w:szCs w:val="16"/>
              </w:rPr>
              <w:t>-</w:t>
            </w:r>
          </w:p>
        </w:tc>
        <w:tc>
          <w:tcPr>
            <w:tcW w:w="1131"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995"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993"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1141"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1456"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916"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r>
      <w:tr w:rsidR="004362C7" w:rsidRPr="00D00722" w:rsidTr="00ED6F5D">
        <w:trPr>
          <w:trHeight w:val="113"/>
        </w:trPr>
        <w:tc>
          <w:tcPr>
            <w:tcW w:w="6237" w:type="dxa"/>
            <w:tcBorders>
              <w:top w:val="nil"/>
              <w:left w:val="nil"/>
              <w:bottom w:val="nil"/>
              <w:right w:val="nil"/>
            </w:tcBorders>
            <w:shd w:val="clear" w:color="auto" w:fill="auto"/>
            <w:noWrap/>
            <w:vAlign w:val="bottom"/>
          </w:tcPr>
          <w:p w:rsidR="004362C7" w:rsidRPr="00D00722" w:rsidRDefault="004362C7" w:rsidP="00ED6F5D">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1131"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995"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993"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1141"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1456"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916"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r>
      <w:tr w:rsidR="004362C7" w:rsidRPr="00D00722" w:rsidTr="00ED6F5D">
        <w:trPr>
          <w:trHeight w:val="113"/>
        </w:trPr>
        <w:tc>
          <w:tcPr>
            <w:tcW w:w="6237" w:type="dxa"/>
            <w:tcBorders>
              <w:top w:val="nil"/>
              <w:left w:val="nil"/>
              <w:bottom w:val="nil"/>
              <w:right w:val="nil"/>
            </w:tcBorders>
            <w:shd w:val="clear" w:color="auto" w:fill="auto"/>
            <w:vAlign w:val="bottom"/>
          </w:tcPr>
          <w:p w:rsidR="004362C7" w:rsidRPr="00D00722" w:rsidRDefault="004362C7" w:rsidP="00ED6F5D">
            <w:pPr>
              <w:ind w:left="318" w:hanging="426"/>
              <w:rPr>
                <w:rFonts w:ascii="Arial" w:hAnsi="Arial" w:cs="Arial"/>
                <w:sz w:val="16"/>
                <w:szCs w:val="16"/>
              </w:rPr>
            </w:pPr>
            <w:r w:rsidRPr="00D00722">
              <w:rPr>
                <w:rFonts w:ascii="Arial" w:hAnsi="Arial" w:cs="Arial"/>
                <w:sz w:val="16"/>
                <w:szCs w:val="16"/>
              </w:rPr>
              <w:t>A. Vadesi geçmemiş ya da değer düşüklüğüne uğramamış finansal varlıkların net defter değeri</w:t>
            </w:r>
          </w:p>
        </w:tc>
        <w:tc>
          <w:tcPr>
            <w:tcW w:w="1074" w:type="dxa"/>
            <w:tcBorders>
              <w:top w:val="nil"/>
              <w:left w:val="nil"/>
              <w:bottom w:val="nil"/>
              <w:right w:val="nil"/>
            </w:tcBorders>
            <w:shd w:val="clear" w:color="auto" w:fill="auto"/>
            <w:noWrap/>
            <w:vAlign w:val="bottom"/>
          </w:tcPr>
          <w:p w:rsidR="004362C7" w:rsidRPr="00D00722" w:rsidRDefault="008E0309" w:rsidP="008E0309">
            <w:pPr>
              <w:jc w:val="right"/>
              <w:rPr>
                <w:rFonts w:ascii="Arial" w:hAnsi="Arial" w:cs="Arial"/>
                <w:b/>
                <w:sz w:val="16"/>
                <w:szCs w:val="16"/>
              </w:rPr>
            </w:pPr>
            <w:r w:rsidRPr="00D00722">
              <w:rPr>
                <w:rFonts w:ascii="Arial" w:hAnsi="Arial" w:cs="Arial"/>
                <w:b/>
                <w:color w:val="000000"/>
                <w:sz w:val="16"/>
                <w:szCs w:val="16"/>
              </w:rPr>
              <w:t>1.242</w:t>
            </w:r>
          </w:p>
        </w:tc>
        <w:tc>
          <w:tcPr>
            <w:tcW w:w="1131" w:type="dxa"/>
            <w:tcBorders>
              <w:top w:val="nil"/>
              <w:left w:val="nil"/>
              <w:bottom w:val="nil"/>
              <w:right w:val="nil"/>
            </w:tcBorders>
            <w:shd w:val="clear" w:color="auto" w:fill="auto"/>
            <w:noWrap/>
            <w:vAlign w:val="bottom"/>
          </w:tcPr>
          <w:p w:rsidR="004362C7" w:rsidRPr="00D00722" w:rsidRDefault="008E0309" w:rsidP="00ED6F5D">
            <w:pPr>
              <w:jc w:val="right"/>
              <w:rPr>
                <w:rFonts w:ascii="Arial" w:hAnsi="Arial" w:cs="Arial"/>
                <w:b/>
                <w:color w:val="000000"/>
                <w:sz w:val="16"/>
                <w:szCs w:val="16"/>
              </w:rPr>
            </w:pPr>
            <w:r w:rsidRPr="00D00722">
              <w:rPr>
                <w:rFonts w:ascii="Arial" w:hAnsi="Arial" w:cs="Arial"/>
                <w:b/>
                <w:color w:val="000000"/>
                <w:sz w:val="16"/>
                <w:szCs w:val="16"/>
              </w:rPr>
              <w:t>3.666</w:t>
            </w:r>
          </w:p>
        </w:tc>
        <w:tc>
          <w:tcPr>
            <w:tcW w:w="995"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993"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1141" w:type="dxa"/>
            <w:tcBorders>
              <w:top w:val="nil"/>
              <w:left w:val="nil"/>
              <w:bottom w:val="nil"/>
              <w:right w:val="nil"/>
            </w:tcBorders>
            <w:shd w:val="clear" w:color="auto" w:fill="auto"/>
            <w:noWrap/>
            <w:vAlign w:val="bottom"/>
          </w:tcPr>
          <w:p w:rsidR="004362C7" w:rsidRPr="00D00722" w:rsidRDefault="008E0309" w:rsidP="00ED6F5D">
            <w:pPr>
              <w:jc w:val="right"/>
              <w:rPr>
                <w:rFonts w:ascii="Arial" w:hAnsi="Arial" w:cs="Arial"/>
                <w:b/>
                <w:sz w:val="16"/>
                <w:szCs w:val="16"/>
              </w:rPr>
            </w:pPr>
            <w:r w:rsidRPr="00D00722">
              <w:rPr>
                <w:rFonts w:ascii="Arial" w:hAnsi="Arial" w:cs="Arial"/>
                <w:b/>
                <w:sz w:val="16"/>
                <w:szCs w:val="16"/>
              </w:rPr>
              <w:t>705.138</w:t>
            </w:r>
          </w:p>
        </w:tc>
        <w:tc>
          <w:tcPr>
            <w:tcW w:w="1456" w:type="dxa"/>
            <w:tcBorders>
              <w:top w:val="nil"/>
              <w:left w:val="nil"/>
              <w:bottom w:val="nil"/>
              <w:right w:val="nil"/>
            </w:tcBorders>
            <w:shd w:val="clear" w:color="auto" w:fill="auto"/>
            <w:noWrap/>
            <w:vAlign w:val="bottom"/>
          </w:tcPr>
          <w:p w:rsidR="004362C7" w:rsidRPr="00D00722" w:rsidRDefault="008E0309" w:rsidP="00ED6F5D">
            <w:pPr>
              <w:jc w:val="right"/>
              <w:rPr>
                <w:rFonts w:ascii="Arial" w:hAnsi="Arial" w:cs="Arial"/>
                <w:b/>
                <w:sz w:val="16"/>
                <w:szCs w:val="16"/>
              </w:rPr>
            </w:pPr>
            <w:r w:rsidRPr="00D00722">
              <w:rPr>
                <w:rFonts w:ascii="Arial" w:hAnsi="Arial" w:cs="Arial"/>
                <w:b/>
                <w:sz w:val="16"/>
                <w:szCs w:val="16"/>
              </w:rPr>
              <w:t>98.454</w:t>
            </w:r>
          </w:p>
        </w:tc>
        <w:tc>
          <w:tcPr>
            <w:tcW w:w="916" w:type="dxa"/>
            <w:tcBorders>
              <w:top w:val="nil"/>
              <w:left w:val="nil"/>
              <w:bottom w:val="nil"/>
              <w:right w:val="nil"/>
            </w:tcBorders>
            <w:shd w:val="clear" w:color="auto" w:fill="auto"/>
            <w:noWrap/>
            <w:vAlign w:val="bottom"/>
          </w:tcPr>
          <w:p w:rsidR="004362C7" w:rsidRPr="00D00722" w:rsidRDefault="00C47DD1" w:rsidP="00B1327F">
            <w:pPr>
              <w:jc w:val="right"/>
              <w:rPr>
                <w:rFonts w:ascii="Arial" w:hAnsi="Arial" w:cs="Arial"/>
                <w:b/>
                <w:sz w:val="16"/>
                <w:szCs w:val="16"/>
              </w:rPr>
            </w:pPr>
            <w:r w:rsidRPr="00D00722">
              <w:rPr>
                <w:rFonts w:ascii="Arial" w:hAnsi="Arial" w:cs="Arial"/>
                <w:b/>
                <w:sz w:val="16"/>
                <w:szCs w:val="16"/>
              </w:rPr>
              <w:t>28</w:t>
            </w:r>
            <w:r w:rsidR="00B1327F" w:rsidRPr="00D00722">
              <w:rPr>
                <w:rFonts w:ascii="Arial" w:hAnsi="Arial" w:cs="Arial"/>
                <w:b/>
                <w:sz w:val="16"/>
                <w:szCs w:val="16"/>
              </w:rPr>
              <w:t>6</w:t>
            </w:r>
            <w:r w:rsidR="008E0309" w:rsidRPr="00D00722">
              <w:rPr>
                <w:rFonts w:ascii="Arial" w:hAnsi="Arial" w:cs="Arial"/>
                <w:b/>
                <w:sz w:val="16"/>
                <w:szCs w:val="16"/>
              </w:rPr>
              <w:t>.</w:t>
            </w:r>
            <w:r w:rsidR="00B1327F" w:rsidRPr="00D00722">
              <w:rPr>
                <w:rFonts w:ascii="Arial" w:hAnsi="Arial" w:cs="Arial"/>
                <w:b/>
                <w:sz w:val="16"/>
                <w:szCs w:val="16"/>
              </w:rPr>
              <w:t>639</w:t>
            </w:r>
          </w:p>
        </w:tc>
      </w:tr>
      <w:tr w:rsidR="004362C7" w:rsidRPr="00D00722" w:rsidTr="00ED6F5D">
        <w:trPr>
          <w:trHeight w:val="113"/>
        </w:trPr>
        <w:tc>
          <w:tcPr>
            <w:tcW w:w="6237" w:type="dxa"/>
            <w:tcBorders>
              <w:top w:val="nil"/>
              <w:left w:val="nil"/>
              <w:bottom w:val="nil"/>
              <w:right w:val="nil"/>
            </w:tcBorders>
            <w:shd w:val="clear" w:color="auto" w:fill="auto"/>
            <w:noWrap/>
            <w:vAlign w:val="bottom"/>
          </w:tcPr>
          <w:p w:rsidR="004362C7" w:rsidRPr="00D00722" w:rsidRDefault="004362C7" w:rsidP="00ED6F5D">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1131"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995"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993"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1141"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1456"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916"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r>
      <w:tr w:rsidR="004362C7" w:rsidRPr="00D00722" w:rsidTr="00ED6F5D">
        <w:trPr>
          <w:trHeight w:val="113"/>
        </w:trPr>
        <w:tc>
          <w:tcPr>
            <w:tcW w:w="6237" w:type="dxa"/>
            <w:tcBorders>
              <w:top w:val="nil"/>
              <w:left w:val="nil"/>
              <w:bottom w:val="nil"/>
              <w:right w:val="nil"/>
            </w:tcBorders>
            <w:shd w:val="clear" w:color="auto" w:fill="auto"/>
            <w:vAlign w:val="bottom"/>
          </w:tcPr>
          <w:p w:rsidR="004362C7" w:rsidRPr="00D00722" w:rsidRDefault="004362C7" w:rsidP="00ED6F5D">
            <w:pPr>
              <w:ind w:left="318" w:hanging="426"/>
              <w:rPr>
                <w:rFonts w:ascii="Arial" w:hAnsi="Arial" w:cs="Arial"/>
                <w:sz w:val="16"/>
                <w:szCs w:val="16"/>
              </w:rPr>
            </w:pPr>
            <w:r w:rsidRPr="00D00722">
              <w:rPr>
                <w:rFonts w:ascii="Arial" w:hAnsi="Arial" w:cs="Arial"/>
                <w:sz w:val="16"/>
                <w:szCs w:val="16"/>
              </w:rPr>
              <w:t>B. Koşulları yeniden görüşülmüş bulunan, aksi takdirde vadesi geçmiş veya değer düşüklüğüne uğramış sayılacak finansal varlıkların defter değeri</w:t>
            </w:r>
          </w:p>
        </w:tc>
        <w:tc>
          <w:tcPr>
            <w:tcW w:w="1074"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r w:rsidRPr="00D00722">
              <w:rPr>
                <w:rFonts w:ascii="Arial" w:hAnsi="Arial" w:cs="Arial"/>
                <w:b/>
                <w:color w:val="000000"/>
                <w:sz w:val="16"/>
                <w:szCs w:val="16"/>
              </w:rPr>
              <w:t>-</w:t>
            </w:r>
          </w:p>
        </w:tc>
        <w:tc>
          <w:tcPr>
            <w:tcW w:w="1131"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995"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993"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1141"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1456"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916"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r>
      <w:tr w:rsidR="004362C7" w:rsidRPr="00D00722" w:rsidTr="00ED6F5D">
        <w:trPr>
          <w:trHeight w:val="113"/>
        </w:trPr>
        <w:tc>
          <w:tcPr>
            <w:tcW w:w="6237" w:type="dxa"/>
            <w:tcBorders>
              <w:top w:val="nil"/>
              <w:left w:val="nil"/>
              <w:bottom w:val="nil"/>
              <w:right w:val="nil"/>
            </w:tcBorders>
            <w:shd w:val="clear" w:color="auto" w:fill="auto"/>
            <w:noWrap/>
            <w:vAlign w:val="bottom"/>
          </w:tcPr>
          <w:p w:rsidR="004362C7" w:rsidRPr="00D00722" w:rsidRDefault="004362C7" w:rsidP="00ED6F5D">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1131"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995"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993"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1141"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1456"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916"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r>
      <w:tr w:rsidR="004362C7" w:rsidRPr="00D00722" w:rsidTr="00ED6F5D">
        <w:trPr>
          <w:trHeight w:val="113"/>
        </w:trPr>
        <w:tc>
          <w:tcPr>
            <w:tcW w:w="6237" w:type="dxa"/>
            <w:tcBorders>
              <w:top w:val="nil"/>
              <w:left w:val="nil"/>
              <w:bottom w:val="nil"/>
              <w:right w:val="nil"/>
            </w:tcBorders>
            <w:shd w:val="clear" w:color="auto" w:fill="auto"/>
            <w:vAlign w:val="bottom"/>
          </w:tcPr>
          <w:p w:rsidR="004362C7" w:rsidRPr="00D00722" w:rsidRDefault="004362C7" w:rsidP="00ED6F5D">
            <w:pPr>
              <w:ind w:left="318" w:hanging="426"/>
              <w:rPr>
                <w:rFonts w:ascii="Arial" w:hAnsi="Arial" w:cs="Arial"/>
                <w:sz w:val="16"/>
                <w:szCs w:val="16"/>
              </w:rPr>
            </w:pPr>
            <w:r w:rsidRPr="00D00722">
              <w:rPr>
                <w:rFonts w:ascii="Arial" w:hAnsi="Arial" w:cs="Arial"/>
                <w:sz w:val="16"/>
                <w:szCs w:val="16"/>
              </w:rPr>
              <w:t>C. Vadesi geçmiş ancak değer düşüklüğüne uğramamış varlıkların net defter değeri</w:t>
            </w:r>
          </w:p>
        </w:tc>
        <w:tc>
          <w:tcPr>
            <w:tcW w:w="1074"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r w:rsidRPr="00D00722">
              <w:rPr>
                <w:rFonts w:ascii="Arial" w:hAnsi="Arial" w:cs="Arial"/>
                <w:b/>
                <w:color w:val="000000"/>
                <w:sz w:val="16"/>
                <w:szCs w:val="16"/>
              </w:rPr>
              <w:t>-</w:t>
            </w:r>
          </w:p>
        </w:tc>
        <w:tc>
          <w:tcPr>
            <w:tcW w:w="1131"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995"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993"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1141"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1456"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916"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r>
      <w:tr w:rsidR="004362C7" w:rsidRPr="00D00722" w:rsidTr="00ED6F5D">
        <w:trPr>
          <w:trHeight w:val="113"/>
        </w:trPr>
        <w:tc>
          <w:tcPr>
            <w:tcW w:w="6237" w:type="dxa"/>
            <w:tcBorders>
              <w:top w:val="nil"/>
              <w:left w:val="nil"/>
              <w:bottom w:val="nil"/>
              <w:right w:val="nil"/>
            </w:tcBorders>
            <w:shd w:val="clear" w:color="auto" w:fill="auto"/>
            <w:noWrap/>
            <w:vAlign w:val="bottom"/>
          </w:tcPr>
          <w:p w:rsidR="004362C7" w:rsidRPr="00D00722" w:rsidRDefault="004362C7" w:rsidP="00ED6F5D">
            <w:pPr>
              <w:ind w:left="318" w:hanging="426"/>
              <w:rPr>
                <w:rFonts w:ascii="Arial" w:hAnsi="Arial" w:cs="Arial"/>
                <w:sz w:val="16"/>
                <w:szCs w:val="16"/>
              </w:rPr>
            </w:pPr>
            <w:r w:rsidRPr="00D00722">
              <w:rPr>
                <w:rFonts w:ascii="Arial" w:hAnsi="Arial" w:cs="Arial"/>
                <w:sz w:val="16"/>
                <w:szCs w:val="16"/>
              </w:rPr>
              <w:t>- teminat, vs ile güvence altına alınmış kısmı</w:t>
            </w:r>
          </w:p>
        </w:tc>
        <w:tc>
          <w:tcPr>
            <w:tcW w:w="1074"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r w:rsidRPr="00D00722">
              <w:rPr>
                <w:rFonts w:ascii="Arial" w:hAnsi="Arial" w:cs="Arial"/>
                <w:b/>
                <w:color w:val="000000"/>
                <w:sz w:val="16"/>
                <w:szCs w:val="16"/>
              </w:rPr>
              <w:t>-</w:t>
            </w:r>
          </w:p>
        </w:tc>
        <w:tc>
          <w:tcPr>
            <w:tcW w:w="1131"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995"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993"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1141"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1456"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916"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r>
      <w:tr w:rsidR="004362C7" w:rsidRPr="00D00722" w:rsidTr="00ED6F5D">
        <w:trPr>
          <w:trHeight w:val="113"/>
        </w:trPr>
        <w:tc>
          <w:tcPr>
            <w:tcW w:w="6237" w:type="dxa"/>
            <w:tcBorders>
              <w:top w:val="nil"/>
              <w:left w:val="nil"/>
              <w:bottom w:val="nil"/>
              <w:right w:val="nil"/>
            </w:tcBorders>
            <w:shd w:val="clear" w:color="auto" w:fill="auto"/>
            <w:noWrap/>
            <w:vAlign w:val="bottom"/>
          </w:tcPr>
          <w:p w:rsidR="004362C7" w:rsidRPr="00D00722" w:rsidRDefault="004362C7" w:rsidP="00ED6F5D">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1131"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995"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993"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1141"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1456"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916"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r>
      <w:tr w:rsidR="004362C7" w:rsidRPr="00D00722" w:rsidTr="00ED6F5D">
        <w:trPr>
          <w:trHeight w:val="113"/>
        </w:trPr>
        <w:tc>
          <w:tcPr>
            <w:tcW w:w="6237" w:type="dxa"/>
            <w:tcBorders>
              <w:top w:val="nil"/>
              <w:left w:val="nil"/>
              <w:bottom w:val="nil"/>
              <w:right w:val="nil"/>
            </w:tcBorders>
            <w:shd w:val="clear" w:color="auto" w:fill="auto"/>
            <w:noWrap/>
            <w:vAlign w:val="bottom"/>
          </w:tcPr>
          <w:p w:rsidR="004362C7" w:rsidRPr="00D00722" w:rsidRDefault="004362C7" w:rsidP="00ED6F5D">
            <w:pPr>
              <w:ind w:left="318" w:hanging="426"/>
              <w:rPr>
                <w:rFonts w:ascii="Arial" w:hAnsi="Arial" w:cs="Arial"/>
                <w:sz w:val="16"/>
                <w:szCs w:val="16"/>
              </w:rPr>
            </w:pPr>
            <w:r w:rsidRPr="00D00722">
              <w:rPr>
                <w:rFonts w:ascii="Arial" w:hAnsi="Arial" w:cs="Arial"/>
                <w:sz w:val="16"/>
                <w:szCs w:val="16"/>
              </w:rPr>
              <w:t>D. Değer düşüklüğüne uğrayan varlıkların net defter değerleri</w:t>
            </w:r>
          </w:p>
        </w:tc>
        <w:tc>
          <w:tcPr>
            <w:tcW w:w="1074"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1131"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995"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993"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1141"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1456"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916"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r>
      <w:tr w:rsidR="004362C7" w:rsidRPr="00D00722" w:rsidTr="00ED6F5D">
        <w:trPr>
          <w:trHeight w:val="113"/>
        </w:trPr>
        <w:tc>
          <w:tcPr>
            <w:tcW w:w="6237" w:type="dxa"/>
            <w:tcBorders>
              <w:top w:val="nil"/>
              <w:left w:val="nil"/>
              <w:bottom w:val="nil"/>
              <w:right w:val="nil"/>
            </w:tcBorders>
            <w:shd w:val="clear" w:color="auto" w:fill="auto"/>
            <w:noWrap/>
            <w:vAlign w:val="bottom"/>
          </w:tcPr>
          <w:p w:rsidR="004362C7" w:rsidRPr="00D00722" w:rsidRDefault="004362C7" w:rsidP="00ED6F5D">
            <w:pPr>
              <w:ind w:left="318" w:hanging="426"/>
              <w:rPr>
                <w:rFonts w:ascii="Arial" w:hAnsi="Arial" w:cs="Arial"/>
                <w:sz w:val="16"/>
                <w:szCs w:val="16"/>
              </w:rPr>
            </w:pPr>
            <w:r w:rsidRPr="00D00722">
              <w:rPr>
                <w:rFonts w:ascii="Arial" w:hAnsi="Arial" w:cs="Arial"/>
                <w:sz w:val="16"/>
                <w:szCs w:val="16"/>
              </w:rPr>
              <w:t>- Vadesi geçmiş (brüt defter değeri)</w:t>
            </w:r>
          </w:p>
        </w:tc>
        <w:tc>
          <w:tcPr>
            <w:tcW w:w="1074"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r w:rsidRPr="00D00722">
              <w:rPr>
                <w:rFonts w:ascii="Arial" w:hAnsi="Arial" w:cs="Arial"/>
                <w:b/>
                <w:color w:val="000000"/>
                <w:sz w:val="16"/>
                <w:szCs w:val="16"/>
              </w:rPr>
              <w:t>-</w:t>
            </w:r>
          </w:p>
        </w:tc>
        <w:tc>
          <w:tcPr>
            <w:tcW w:w="1131"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995"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993"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1141"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1456"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916"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r>
      <w:tr w:rsidR="004362C7" w:rsidRPr="00D00722" w:rsidTr="00ED6F5D">
        <w:trPr>
          <w:trHeight w:val="113"/>
        </w:trPr>
        <w:tc>
          <w:tcPr>
            <w:tcW w:w="6237" w:type="dxa"/>
            <w:tcBorders>
              <w:top w:val="nil"/>
              <w:left w:val="nil"/>
              <w:bottom w:val="nil"/>
              <w:right w:val="nil"/>
            </w:tcBorders>
            <w:shd w:val="clear" w:color="auto" w:fill="auto"/>
            <w:noWrap/>
            <w:vAlign w:val="bottom"/>
          </w:tcPr>
          <w:p w:rsidR="004362C7" w:rsidRPr="00D00722" w:rsidRDefault="004362C7" w:rsidP="00ED6F5D">
            <w:pPr>
              <w:ind w:left="318" w:hanging="426"/>
              <w:rPr>
                <w:rFonts w:ascii="Arial" w:hAnsi="Arial" w:cs="Arial"/>
                <w:sz w:val="16"/>
                <w:szCs w:val="16"/>
              </w:rPr>
            </w:pPr>
            <w:r w:rsidRPr="00D00722">
              <w:rPr>
                <w:rFonts w:ascii="Arial" w:hAnsi="Arial" w:cs="Arial"/>
                <w:sz w:val="16"/>
                <w:szCs w:val="16"/>
              </w:rPr>
              <w:t>- Değer düşüklüğü (-)</w:t>
            </w:r>
          </w:p>
        </w:tc>
        <w:tc>
          <w:tcPr>
            <w:tcW w:w="1074"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r w:rsidRPr="00D00722">
              <w:rPr>
                <w:rFonts w:ascii="Arial" w:hAnsi="Arial" w:cs="Arial"/>
                <w:b/>
                <w:color w:val="000000"/>
                <w:sz w:val="16"/>
                <w:szCs w:val="16"/>
              </w:rPr>
              <w:t>-</w:t>
            </w:r>
          </w:p>
        </w:tc>
        <w:tc>
          <w:tcPr>
            <w:tcW w:w="1131"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995"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993"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1141"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1456"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916"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r>
      <w:tr w:rsidR="004362C7" w:rsidRPr="00D00722" w:rsidTr="00ED6F5D">
        <w:trPr>
          <w:trHeight w:val="113"/>
        </w:trPr>
        <w:tc>
          <w:tcPr>
            <w:tcW w:w="6237" w:type="dxa"/>
            <w:tcBorders>
              <w:top w:val="nil"/>
              <w:left w:val="nil"/>
              <w:bottom w:val="nil"/>
              <w:right w:val="nil"/>
            </w:tcBorders>
            <w:shd w:val="clear" w:color="auto" w:fill="auto"/>
            <w:noWrap/>
            <w:vAlign w:val="bottom"/>
          </w:tcPr>
          <w:p w:rsidR="004362C7" w:rsidRPr="00D00722" w:rsidRDefault="004362C7" w:rsidP="00ED6F5D">
            <w:pPr>
              <w:ind w:left="318" w:hanging="426"/>
              <w:rPr>
                <w:rFonts w:ascii="Arial" w:hAnsi="Arial" w:cs="Arial"/>
                <w:sz w:val="16"/>
                <w:szCs w:val="16"/>
              </w:rPr>
            </w:pPr>
            <w:r w:rsidRPr="00D00722">
              <w:rPr>
                <w:rFonts w:ascii="Arial" w:hAnsi="Arial" w:cs="Arial"/>
                <w:sz w:val="16"/>
                <w:szCs w:val="16"/>
              </w:rPr>
              <w:t>- Net değerin teminat, vs ile güvence altına alınmış kısmı</w:t>
            </w:r>
          </w:p>
        </w:tc>
        <w:tc>
          <w:tcPr>
            <w:tcW w:w="1074"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r w:rsidRPr="00D00722">
              <w:rPr>
                <w:rFonts w:ascii="Arial" w:hAnsi="Arial" w:cs="Arial"/>
                <w:b/>
                <w:color w:val="000000"/>
                <w:sz w:val="16"/>
                <w:szCs w:val="16"/>
              </w:rPr>
              <w:t>-</w:t>
            </w:r>
          </w:p>
        </w:tc>
        <w:tc>
          <w:tcPr>
            <w:tcW w:w="1131"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995"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993"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1141"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1456"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916"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r>
      <w:tr w:rsidR="004362C7" w:rsidRPr="00D00722" w:rsidTr="00ED6F5D">
        <w:trPr>
          <w:trHeight w:val="113"/>
        </w:trPr>
        <w:tc>
          <w:tcPr>
            <w:tcW w:w="6237" w:type="dxa"/>
            <w:tcBorders>
              <w:top w:val="nil"/>
              <w:left w:val="nil"/>
              <w:bottom w:val="nil"/>
              <w:right w:val="nil"/>
            </w:tcBorders>
            <w:shd w:val="clear" w:color="auto" w:fill="auto"/>
            <w:noWrap/>
            <w:vAlign w:val="bottom"/>
          </w:tcPr>
          <w:p w:rsidR="004362C7" w:rsidRPr="00D00722" w:rsidRDefault="004362C7" w:rsidP="00ED6F5D">
            <w:pPr>
              <w:ind w:left="318" w:hanging="426"/>
              <w:rPr>
                <w:rFonts w:ascii="Arial" w:hAnsi="Arial" w:cs="Arial"/>
                <w:sz w:val="16"/>
                <w:szCs w:val="16"/>
              </w:rPr>
            </w:pPr>
            <w:r w:rsidRPr="00D00722">
              <w:rPr>
                <w:rFonts w:ascii="Arial" w:hAnsi="Arial" w:cs="Arial"/>
                <w:sz w:val="16"/>
                <w:szCs w:val="16"/>
              </w:rPr>
              <w:t>- Vadesi geçmemiş (brüt defter değeri)</w:t>
            </w:r>
          </w:p>
        </w:tc>
        <w:tc>
          <w:tcPr>
            <w:tcW w:w="1074"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r w:rsidRPr="00D00722">
              <w:rPr>
                <w:rFonts w:ascii="Arial" w:hAnsi="Arial" w:cs="Arial"/>
                <w:b/>
                <w:color w:val="000000"/>
                <w:sz w:val="16"/>
                <w:szCs w:val="16"/>
              </w:rPr>
              <w:t>-</w:t>
            </w:r>
          </w:p>
        </w:tc>
        <w:tc>
          <w:tcPr>
            <w:tcW w:w="1131"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995"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993"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1141"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1456"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916"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r>
      <w:tr w:rsidR="004362C7" w:rsidRPr="00D00722" w:rsidTr="00ED6F5D">
        <w:trPr>
          <w:trHeight w:val="113"/>
        </w:trPr>
        <w:tc>
          <w:tcPr>
            <w:tcW w:w="6237" w:type="dxa"/>
            <w:tcBorders>
              <w:top w:val="nil"/>
              <w:left w:val="nil"/>
              <w:bottom w:val="nil"/>
              <w:right w:val="nil"/>
            </w:tcBorders>
            <w:shd w:val="clear" w:color="auto" w:fill="auto"/>
            <w:noWrap/>
            <w:vAlign w:val="bottom"/>
          </w:tcPr>
          <w:p w:rsidR="004362C7" w:rsidRPr="00D00722" w:rsidRDefault="004362C7" w:rsidP="00ED6F5D">
            <w:pPr>
              <w:ind w:left="318" w:hanging="426"/>
              <w:rPr>
                <w:rFonts w:ascii="Arial" w:hAnsi="Arial" w:cs="Arial"/>
                <w:sz w:val="16"/>
                <w:szCs w:val="16"/>
              </w:rPr>
            </w:pPr>
            <w:r w:rsidRPr="00D00722">
              <w:rPr>
                <w:rFonts w:ascii="Arial" w:hAnsi="Arial" w:cs="Arial"/>
                <w:sz w:val="16"/>
                <w:szCs w:val="16"/>
              </w:rPr>
              <w:t>- Değer düşüklüğü (-)</w:t>
            </w:r>
          </w:p>
        </w:tc>
        <w:tc>
          <w:tcPr>
            <w:tcW w:w="1074"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r w:rsidRPr="00D00722">
              <w:rPr>
                <w:rFonts w:ascii="Arial" w:hAnsi="Arial" w:cs="Arial"/>
                <w:b/>
                <w:color w:val="000000"/>
                <w:sz w:val="16"/>
                <w:szCs w:val="16"/>
              </w:rPr>
              <w:t>-</w:t>
            </w:r>
          </w:p>
        </w:tc>
        <w:tc>
          <w:tcPr>
            <w:tcW w:w="1131"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995"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993"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1141"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1456"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916"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r>
      <w:tr w:rsidR="004362C7" w:rsidRPr="00D00722" w:rsidTr="00ED6F5D">
        <w:trPr>
          <w:trHeight w:val="113"/>
        </w:trPr>
        <w:tc>
          <w:tcPr>
            <w:tcW w:w="6237" w:type="dxa"/>
            <w:tcBorders>
              <w:top w:val="nil"/>
              <w:left w:val="nil"/>
              <w:bottom w:val="nil"/>
              <w:right w:val="nil"/>
            </w:tcBorders>
            <w:shd w:val="clear" w:color="auto" w:fill="auto"/>
            <w:noWrap/>
            <w:vAlign w:val="bottom"/>
          </w:tcPr>
          <w:p w:rsidR="004362C7" w:rsidRPr="00D00722" w:rsidRDefault="004362C7" w:rsidP="00ED6F5D">
            <w:pPr>
              <w:ind w:left="318" w:hanging="426"/>
              <w:rPr>
                <w:rFonts w:ascii="Arial" w:hAnsi="Arial" w:cs="Arial"/>
                <w:sz w:val="16"/>
                <w:szCs w:val="16"/>
              </w:rPr>
            </w:pPr>
            <w:r w:rsidRPr="00D00722">
              <w:rPr>
                <w:rFonts w:ascii="Arial" w:hAnsi="Arial" w:cs="Arial"/>
                <w:sz w:val="16"/>
                <w:szCs w:val="16"/>
              </w:rPr>
              <w:t>- Net değerin teminat, vs ile güvence altına alınmış kısmı</w:t>
            </w:r>
          </w:p>
        </w:tc>
        <w:tc>
          <w:tcPr>
            <w:tcW w:w="1074"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r w:rsidRPr="00D00722">
              <w:rPr>
                <w:rFonts w:ascii="Arial" w:hAnsi="Arial" w:cs="Arial"/>
                <w:b/>
                <w:color w:val="000000"/>
                <w:sz w:val="16"/>
                <w:szCs w:val="16"/>
              </w:rPr>
              <w:t>-</w:t>
            </w:r>
          </w:p>
        </w:tc>
        <w:tc>
          <w:tcPr>
            <w:tcW w:w="1131"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995"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993"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1141"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1456"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color w:val="000000"/>
                <w:sz w:val="16"/>
                <w:szCs w:val="16"/>
              </w:rPr>
            </w:pPr>
          </w:p>
        </w:tc>
        <w:tc>
          <w:tcPr>
            <w:tcW w:w="916"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r>
      <w:tr w:rsidR="004362C7" w:rsidRPr="00D00722" w:rsidTr="00ED6F5D">
        <w:trPr>
          <w:trHeight w:val="113"/>
        </w:trPr>
        <w:tc>
          <w:tcPr>
            <w:tcW w:w="6237" w:type="dxa"/>
            <w:tcBorders>
              <w:top w:val="nil"/>
              <w:left w:val="nil"/>
              <w:bottom w:val="nil"/>
              <w:right w:val="nil"/>
            </w:tcBorders>
            <w:shd w:val="clear" w:color="auto" w:fill="auto"/>
            <w:noWrap/>
            <w:vAlign w:val="bottom"/>
          </w:tcPr>
          <w:p w:rsidR="004362C7" w:rsidRPr="00D00722" w:rsidRDefault="004362C7" w:rsidP="00ED6F5D">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1131"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995"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993"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1141"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1456"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916"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r>
      <w:tr w:rsidR="004362C7" w:rsidRPr="00D00722" w:rsidTr="00ED6F5D">
        <w:trPr>
          <w:trHeight w:val="113"/>
        </w:trPr>
        <w:tc>
          <w:tcPr>
            <w:tcW w:w="6237" w:type="dxa"/>
            <w:tcBorders>
              <w:top w:val="nil"/>
              <w:left w:val="nil"/>
              <w:bottom w:val="nil"/>
              <w:right w:val="nil"/>
            </w:tcBorders>
            <w:shd w:val="clear" w:color="auto" w:fill="auto"/>
            <w:noWrap/>
            <w:vAlign w:val="bottom"/>
          </w:tcPr>
          <w:p w:rsidR="004362C7" w:rsidRPr="00D00722" w:rsidRDefault="004362C7" w:rsidP="00ED6F5D">
            <w:pPr>
              <w:ind w:left="318" w:hanging="426"/>
              <w:rPr>
                <w:rFonts w:ascii="Arial" w:hAnsi="Arial" w:cs="Arial"/>
                <w:sz w:val="16"/>
                <w:szCs w:val="16"/>
              </w:rPr>
            </w:pPr>
            <w:r w:rsidRPr="00D00722">
              <w:rPr>
                <w:rFonts w:ascii="Arial" w:hAnsi="Arial" w:cs="Arial"/>
                <w:sz w:val="16"/>
                <w:szCs w:val="16"/>
              </w:rPr>
              <w:t>E. Bilanço dışı kredi riski içeren unsurlar</w:t>
            </w:r>
          </w:p>
        </w:tc>
        <w:tc>
          <w:tcPr>
            <w:tcW w:w="1074"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r w:rsidRPr="00D00722">
              <w:rPr>
                <w:rFonts w:ascii="Arial" w:hAnsi="Arial" w:cs="Arial"/>
                <w:b/>
                <w:color w:val="000000"/>
                <w:sz w:val="16"/>
                <w:szCs w:val="16"/>
              </w:rPr>
              <w:t>-</w:t>
            </w:r>
          </w:p>
        </w:tc>
        <w:tc>
          <w:tcPr>
            <w:tcW w:w="1131"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995"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993"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1141"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1456"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c>
          <w:tcPr>
            <w:tcW w:w="916" w:type="dxa"/>
            <w:tcBorders>
              <w:top w:val="nil"/>
              <w:left w:val="nil"/>
              <w:bottom w:val="nil"/>
              <w:right w:val="nil"/>
            </w:tcBorders>
            <w:shd w:val="clear" w:color="auto" w:fill="auto"/>
            <w:noWrap/>
            <w:vAlign w:val="bottom"/>
          </w:tcPr>
          <w:p w:rsidR="004362C7" w:rsidRPr="00D00722" w:rsidRDefault="004362C7" w:rsidP="00ED6F5D">
            <w:pPr>
              <w:jc w:val="right"/>
              <w:rPr>
                <w:rFonts w:ascii="Arial" w:hAnsi="Arial" w:cs="Arial"/>
                <w:b/>
                <w:sz w:val="16"/>
                <w:szCs w:val="16"/>
              </w:rPr>
            </w:pPr>
          </w:p>
        </w:tc>
      </w:tr>
    </w:tbl>
    <w:p w:rsidR="004362C7" w:rsidRPr="00D00722" w:rsidRDefault="004362C7" w:rsidP="004362C7">
      <w:pPr>
        <w:autoSpaceDE w:val="0"/>
        <w:autoSpaceDN w:val="0"/>
        <w:adjustRightInd w:val="0"/>
        <w:jc w:val="both"/>
        <w:rPr>
          <w:rFonts w:ascii="Arial" w:hAnsi="Arial" w:cs="Arial"/>
          <w:lang w:val="tr-TR"/>
        </w:rPr>
      </w:pPr>
    </w:p>
    <w:p w:rsidR="004362C7" w:rsidRPr="00D00722" w:rsidRDefault="004362C7" w:rsidP="004362C7">
      <w:pPr>
        <w:autoSpaceDE w:val="0"/>
        <w:autoSpaceDN w:val="0"/>
        <w:adjustRightInd w:val="0"/>
        <w:ind w:left="567" w:hanging="567"/>
        <w:jc w:val="both"/>
        <w:rPr>
          <w:rFonts w:ascii="Arial" w:hAnsi="Arial" w:cs="Arial"/>
          <w:sz w:val="16"/>
          <w:lang w:val="tr-TR"/>
        </w:rPr>
      </w:pPr>
      <w:r w:rsidRPr="00D00722">
        <w:rPr>
          <w:rFonts w:ascii="Arial" w:hAnsi="Arial" w:cs="Arial"/>
          <w:sz w:val="16"/>
          <w:lang w:val="tr-TR"/>
        </w:rPr>
        <w:t xml:space="preserve">(*)   </w:t>
      </w:r>
      <w:r w:rsidRPr="00D00722">
        <w:rPr>
          <w:rFonts w:ascii="Arial" w:hAnsi="Arial" w:cs="Arial"/>
          <w:sz w:val="16"/>
          <w:lang w:val="tr-TR"/>
        </w:rPr>
        <w:tab/>
        <w:t>Tutarın belirlenmesinde, alınan teminatlar gibi, kredi güvenilirliğinde artış sağlayan unsurlar dikkate alınmamıştır.</w:t>
      </w:r>
    </w:p>
    <w:p w:rsidR="004362C7" w:rsidRPr="00D00722" w:rsidRDefault="004362C7" w:rsidP="004362C7">
      <w:pPr>
        <w:pStyle w:val="body0"/>
        <w:spacing w:after="0" w:line="240" w:lineRule="auto"/>
        <w:ind w:left="567" w:hanging="567"/>
        <w:rPr>
          <w:rFonts w:ascii="Arial" w:hAnsi="Arial" w:cs="Arial"/>
          <w:sz w:val="16"/>
          <w:szCs w:val="20"/>
          <w:lang w:val="tr-TR"/>
        </w:rPr>
      </w:pPr>
      <w:r w:rsidRPr="00D00722">
        <w:rPr>
          <w:rFonts w:ascii="Arial" w:hAnsi="Arial" w:cs="Arial"/>
          <w:sz w:val="16"/>
          <w:szCs w:val="20"/>
          <w:lang w:val="tr-TR"/>
        </w:rPr>
        <w:t xml:space="preserve">(**)  </w:t>
      </w:r>
      <w:r w:rsidRPr="00D00722">
        <w:rPr>
          <w:rFonts w:ascii="Arial" w:hAnsi="Arial" w:cs="Arial"/>
          <w:sz w:val="16"/>
          <w:szCs w:val="20"/>
          <w:lang w:val="tr-TR"/>
        </w:rPr>
        <w:tab/>
      </w:r>
      <w:r w:rsidR="00C47DD1" w:rsidRPr="00D00722">
        <w:rPr>
          <w:rFonts w:ascii="Arial" w:hAnsi="Arial" w:cs="Arial"/>
          <w:sz w:val="16"/>
          <w:szCs w:val="20"/>
          <w:lang w:val="tr-TR"/>
        </w:rPr>
        <w:t>286.639</w:t>
      </w:r>
      <w:r w:rsidRPr="00D00722">
        <w:rPr>
          <w:rFonts w:ascii="Arial" w:hAnsi="Arial" w:cs="Arial"/>
          <w:sz w:val="16"/>
          <w:szCs w:val="20"/>
          <w:lang w:val="tr-TR"/>
        </w:rPr>
        <w:t xml:space="preserve"> TL tutarının</w:t>
      </w:r>
      <w:r w:rsidR="00C47DD1" w:rsidRPr="00D00722">
        <w:rPr>
          <w:rFonts w:ascii="Arial" w:hAnsi="Arial" w:cs="Arial"/>
          <w:sz w:val="16"/>
          <w:szCs w:val="20"/>
          <w:lang w:val="tr-TR"/>
        </w:rPr>
        <w:t xml:space="preserve"> 275.087.-</w:t>
      </w:r>
      <w:r w:rsidRPr="00D00722">
        <w:rPr>
          <w:rFonts w:ascii="Arial" w:hAnsi="Arial" w:cs="Arial"/>
          <w:sz w:val="16"/>
          <w:szCs w:val="20"/>
          <w:lang w:val="tr-TR"/>
        </w:rPr>
        <w:t>TL tutarındaki kısmı Borsa Para Piyasası’ndan alacaklardan ve</w:t>
      </w:r>
      <w:r w:rsidR="00C47DD1" w:rsidRPr="00D00722">
        <w:rPr>
          <w:rFonts w:ascii="Arial" w:hAnsi="Arial" w:cs="Arial"/>
          <w:sz w:val="16"/>
          <w:szCs w:val="20"/>
          <w:lang w:val="tr-TR"/>
        </w:rPr>
        <w:t>11.552</w:t>
      </w:r>
      <w:r w:rsidRPr="00D00722">
        <w:rPr>
          <w:rFonts w:ascii="Arial" w:hAnsi="Arial" w:cs="Arial"/>
          <w:sz w:val="16"/>
          <w:szCs w:val="20"/>
          <w:lang w:val="tr-TR"/>
        </w:rPr>
        <w:t xml:space="preserve"> TL tutarındaki kısmı ise diğer hazır değerlerden oluşmaktadır.</w:t>
      </w:r>
    </w:p>
    <w:p w:rsidR="004362C7" w:rsidRPr="00D00722" w:rsidRDefault="004362C7" w:rsidP="004362C7">
      <w:pPr>
        <w:pStyle w:val="body0"/>
        <w:spacing w:after="0" w:line="240" w:lineRule="auto"/>
        <w:ind w:left="567" w:hanging="567"/>
        <w:rPr>
          <w:rFonts w:ascii="Arial" w:hAnsi="Arial" w:cs="Arial"/>
          <w:b/>
          <w:spacing w:val="-2"/>
          <w:sz w:val="20"/>
          <w:szCs w:val="20"/>
          <w:lang w:val="tr-TR"/>
        </w:rPr>
      </w:pPr>
      <w:r w:rsidRPr="00D00722">
        <w:rPr>
          <w:rFonts w:ascii="Arial" w:hAnsi="Arial" w:cs="Arial"/>
          <w:sz w:val="20"/>
          <w:szCs w:val="20"/>
          <w:lang w:val="tr-TR"/>
        </w:rPr>
        <w:br w:type="page"/>
      </w:r>
    </w:p>
    <w:tbl>
      <w:tblPr>
        <w:tblW w:w="14015" w:type="dxa"/>
        <w:tblInd w:w="108" w:type="dxa"/>
        <w:tblLook w:val="0000"/>
      </w:tblPr>
      <w:tblGrid>
        <w:gridCol w:w="6237"/>
        <w:gridCol w:w="1074"/>
        <w:gridCol w:w="1131"/>
        <w:gridCol w:w="995"/>
        <w:gridCol w:w="993"/>
        <w:gridCol w:w="1213"/>
        <w:gridCol w:w="1456"/>
        <w:gridCol w:w="916"/>
      </w:tblGrid>
      <w:tr w:rsidR="00E83219" w:rsidRPr="00D00722" w:rsidTr="004362C7">
        <w:trPr>
          <w:trHeight w:val="113"/>
        </w:trPr>
        <w:tc>
          <w:tcPr>
            <w:tcW w:w="6237" w:type="dxa"/>
            <w:tcBorders>
              <w:top w:val="single" w:sz="4" w:space="0" w:color="auto"/>
              <w:left w:val="nil"/>
              <w:bottom w:val="single" w:sz="4" w:space="0" w:color="auto"/>
              <w:right w:val="nil"/>
            </w:tcBorders>
            <w:shd w:val="clear" w:color="auto" w:fill="auto"/>
            <w:noWrap/>
            <w:vAlign w:val="bottom"/>
          </w:tcPr>
          <w:p w:rsidR="00E83219" w:rsidRPr="00D00722" w:rsidRDefault="00E83219" w:rsidP="006B2665">
            <w:pPr>
              <w:ind w:left="318" w:hanging="426"/>
              <w:rPr>
                <w:rFonts w:ascii="Arial" w:hAnsi="Arial" w:cs="Arial"/>
                <w:bCs/>
                <w:sz w:val="16"/>
                <w:szCs w:val="16"/>
                <w:lang w:val="tr-TR"/>
              </w:rPr>
            </w:pPr>
            <w:r w:rsidRPr="00D00722">
              <w:rPr>
                <w:rFonts w:ascii="Arial" w:hAnsi="Arial" w:cs="Arial"/>
                <w:bCs/>
                <w:sz w:val="16"/>
                <w:szCs w:val="16"/>
                <w:lang w:val="tr-TR"/>
              </w:rPr>
              <w:t xml:space="preserve">Finansal araç türleri </w:t>
            </w:r>
            <w:r w:rsidR="00200AA8" w:rsidRPr="00D00722">
              <w:rPr>
                <w:rFonts w:ascii="Arial" w:hAnsi="Arial" w:cs="Arial"/>
                <w:bCs/>
                <w:sz w:val="16"/>
                <w:szCs w:val="16"/>
                <w:lang w:val="tr-TR"/>
              </w:rPr>
              <w:t>itibariyle</w:t>
            </w:r>
            <w:r w:rsidRPr="00D00722">
              <w:rPr>
                <w:rFonts w:ascii="Arial" w:hAnsi="Arial" w:cs="Arial"/>
                <w:bCs/>
                <w:sz w:val="16"/>
                <w:szCs w:val="16"/>
                <w:lang w:val="tr-TR"/>
              </w:rPr>
              <w:t xml:space="preserve"> maruz kalınan kredi riskleri</w:t>
            </w:r>
          </w:p>
        </w:tc>
        <w:tc>
          <w:tcPr>
            <w:tcW w:w="4193" w:type="dxa"/>
            <w:gridSpan w:val="4"/>
            <w:tcBorders>
              <w:top w:val="single" w:sz="4" w:space="0" w:color="auto"/>
              <w:left w:val="nil"/>
              <w:bottom w:val="single" w:sz="4" w:space="0" w:color="auto"/>
              <w:right w:val="nil"/>
            </w:tcBorders>
            <w:shd w:val="clear" w:color="auto" w:fill="auto"/>
            <w:noWrap/>
            <w:vAlign w:val="bottom"/>
          </w:tcPr>
          <w:p w:rsidR="00E83219" w:rsidRPr="00D00722" w:rsidRDefault="00E83219" w:rsidP="00E83219">
            <w:pPr>
              <w:jc w:val="right"/>
              <w:rPr>
                <w:rFonts w:ascii="Arial" w:hAnsi="Arial" w:cs="Arial"/>
                <w:b/>
                <w:bCs/>
                <w:sz w:val="16"/>
                <w:szCs w:val="16"/>
              </w:rPr>
            </w:pPr>
            <w:r w:rsidRPr="00D00722">
              <w:rPr>
                <w:rFonts w:ascii="Arial" w:hAnsi="Arial" w:cs="Arial"/>
                <w:b/>
                <w:bCs/>
                <w:sz w:val="16"/>
                <w:szCs w:val="16"/>
              </w:rPr>
              <w:t>Alacaklar</w:t>
            </w:r>
          </w:p>
        </w:tc>
        <w:tc>
          <w:tcPr>
            <w:tcW w:w="1213" w:type="dxa"/>
            <w:tcBorders>
              <w:top w:val="single" w:sz="4" w:space="0" w:color="auto"/>
              <w:left w:val="nil"/>
              <w:bottom w:val="single" w:sz="4" w:space="0" w:color="auto"/>
              <w:right w:val="nil"/>
            </w:tcBorders>
            <w:shd w:val="clear" w:color="auto" w:fill="auto"/>
            <w:noWrap/>
            <w:vAlign w:val="bottom"/>
          </w:tcPr>
          <w:p w:rsidR="00E83219" w:rsidRPr="00D00722" w:rsidRDefault="00E83219" w:rsidP="00E83219">
            <w:pPr>
              <w:jc w:val="right"/>
              <w:rPr>
                <w:rFonts w:ascii="Arial" w:hAnsi="Arial" w:cs="Arial"/>
                <w:b/>
                <w:sz w:val="16"/>
                <w:szCs w:val="16"/>
              </w:rPr>
            </w:pPr>
          </w:p>
        </w:tc>
        <w:tc>
          <w:tcPr>
            <w:tcW w:w="1456" w:type="dxa"/>
            <w:tcBorders>
              <w:top w:val="single" w:sz="4" w:space="0" w:color="auto"/>
              <w:left w:val="nil"/>
              <w:bottom w:val="single" w:sz="4" w:space="0" w:color="auto"/>
              <w:right w:val="nil"/>
            </w:tcBorders>
            <w:shd w:val="clear" w:color="auto" w:fill="auto"/>
            <w:noWrap/>
            <w:vAlign w:val="bottom"/>
          </w:tcPr>
          <w:p w:rsidR="00E83219" w:rsidRPr="00D00722" w:rsidRDefault="00E83219" w:rsidP="00E83219">
            <w:pPr>
              <w:jc w:val="right"/>
              <w:rPr>
                <w:rFonts w:ascii="Arial" w:hAnsi="Arial" w:cs="Arial"/>
                <w:b/>
                <w:sz w:val="16"/>
                <w:szCs w:val="16"/>
              </w:rPr>
            </w:pPr>
          </w:p>
        </w:tc>
        <w:tc>
          <w:tcPr>
            <w:tcW w:w="916" w:type="dxa"/>
            <w:tcBorders>
              <w:top w:val="single" w:sz="4" w:space="0" w:color="auto"/>
              <w:left w:val="nil"/>
              <w:bottom w:val="single" w:sz="4" w:space="0" w:color="auto"/>
              <w:right w:val="nil"/>
            </w:tcBorders>
            <w:shd w:val="clear" w:color="auto" w:fill="auto"/>
            <w:noWrap/>
            <w:vAlign w:val="bottom"/>
          </w:tcPr>
          <w:p w:rsidR="00E83219" w:rsidRPr="00D00722" w:rsidRDefault="00E83219" w:rsidP="00E83219">
            <w:pPr>
              <w:jc w:val="right"/>
              <w:rPr>
                <w:rFonts w:ascii="Arial" w:hAnsi="Arial" w:cs="Arial"/>
                <w:b/>
                <w:sz w:val="16"/>
                <w:szCs w:val="16"/>
              </w:rPr>
            </w:pPr>
          </w:p>
        </w:tc>
      </w:tr>
      <w:tr w:rsidR="00E83219" w:rsidRPr="00D00722" w:rsidTr="004362C7">
        <w:trPr>
          <w:trHeight w:val="113"/>
        </w:trPr>
        <w:tc>
          <w:tcPr>
            <w:tcW w:w="6237" w:type="dxa"/>
            <w:tcBorders>
              <w:top w:val="single" w:sz="4" w:space="0" w:color="auto"/>
              <w:left w:val="nil"/>
              <w:bottom w:val="single" w:sz="4" w:space="0" w:color="auto"/>
              <w:right w:val="nil"/>
            </w:tcBorders>
            <w:shd w:val="clear" w:color="auto" w:fill="auto"/>
            <w:noWrap/>
            <w:vAlign w:val="bottom"/>
          </w:tcPr>
          <w:p w:rsidR="00E83219" w:rsidRPr="00D00722" w:rsidRDefault="00E83219" w:rsidP="006B2665">
            <w:pPr>
              <w:ind w:left="318" w:hanging="426"/>
              <w:rPr>
                <w:rFonts w:ascii="Arial" w:hAnsi="Arial" w:cs="Arial"/>
                <w:sz w:val="16"/>
                <w:szCs w:val="16"/>
              </w:rPr>
            </w:pPr>
          </w:p>
        </w:tc>
        <w:tc>
          <w:tcPr>
            <w:tcW w:w="2205" w:type="dxa"/>
            <w:gridSpan w:val="2"/>
            <w:tcBorders>
              <w:top w:val="single" w:sz="4" w:space="0" w:color="auto"/>
              <w:left w:val="nil"/>
              <w:bottom w:val="single" w:sz="4" w:space="0" w:color="auto"/>
              <w:right w:val="nil"/>
            </w:tcBorders>
            <w:shd w:val="clear" w:color="auto" w:fill="auto"/>
            <w:noWrap/>
            <w:vAlign w:val="bottom"/>
          </w:tcPr>
          <w:p w:rsidR="00E83219" w:rsidRPr="00D00722" w:rsidRDefault="00E83219" w:rsidP="00E83219">
            <w:pPr>
              <w:jc w:val="right"/>
              <w:rPr>
                <w:rFonts w:ascii="Arial" w:hAnsi="Arial" w:cs="Arial"/>
                <w:b/>
                <w:bCs/>
                <w:sz w:val="16"/>
                <w:szCs w:val="16"/>
              </w:rPr>
            </w:pPr>
            <w:r w:rsidRPr="00D00722">
              <w:rPr>
                <w:rFonts w:ascii="Arial" w:hAnsi="Arial" w:cs="Arial"/>
                <w:b/>
                <w:bCs/>
                <w:sz w:val="16"/>
                <w:szCs w:val="16"/>
              </w:rPr>
              <w:t>Ticari alacaklar</w:t>
            </w:r>
          </w:p>
        </w:tc>
        <w:tc>
          <w:tcPr>
            <w:tcW w:w="1988" w:type="dxa"/>
            <w:gridSpan w:val="2"/>
            <w:tcBorders>
              <w:top w:val="single" w:sz="4" w:space="0" w:color="auto"/>
              <w:left w:val="nil"/>
              <w:bottom w:val="single" w:sz="4" w:space="0" w:color="auto"/>
              <w:right w:val="nil"/>
            </w:tcBorders>
            <w:shd w:val="clear" w:color="auto" w:fill="auto"/>
            <w:noWrap/>
            <w:vAlign w:val="bottom"/>
          </w:tcPr>
          <w:p w:rsidR="00E83219" w:rsidRPr="00D00722" w:rsidRDefault="00E83219" w:rsidP="00E83219">
            <w:pPr>
              <w:jc w:val="right"/>
              <w:rPr>
                <w:rFonts w:ascii="Arial" w:hAnsi="Arial" w:cs="Arial"/>
                <w:b/>
                <w:bCs/>
                <w:sz w:val="16"/>
                <w:szCs w:val="16"/>
              </w:rPr>
            </w:pPr>
            <w:r w:rsidRPr="00D00722">
              <w:rPr>
                <w:rFonts w:ascii="Arial" w:hAnsi="Arial" w:cs="Arial"/>
                <w:b/>
                <w:bCs/>
                <w:sz w:val="16"/>
                <w:szCs w:val="16"/>
              </w:rPr>
              <w:t>Diğer alacaklar</w:t>
            </w:r>
          </w:p>
        </w:tc>
        <w:tc>
          <w:tcPr>
            <w:tcW w:w="1213" w:type="dxa"/>
            <w:tcBorders>
              <w:top w:val="single" w:sz="4" w:space="0" w:color="auto"/>
              <w:left w:val="nil"/>
              <w:bottom w:val="single" w:sz="4" w:space="0" w:color="auto"/>
              <w:right w:val="nil"/>
            </w:tcBorders>
            <w:shd w:val="clear" w:color="auto" w:fill="auto"/>
            <w:noWrap/>
            <w:vAlign w:val="bottom"/>
          </w:tcPr>
          <w:p w:rsidR="00E83219" w:rsidRPr="00D00722" w:rsidRDefault="00E83219" w:rsidP="00E83219">
            <w:pPr>
              <w:jc w:val="right"/>
              <w:rPr>
                <w:rFonts w:ascii="Arial" w:hAnsi="Arial" w:cs="Arial"/>
                <w:b/>
                <w:sz w:val="16"/>
                <w:szCs w:val="16"/>
              </w:rPr>
            </w:pPr>
          </w:p>
        </w:tc>
        <w:tc>
          <w:tcPr>
            <w:tcW w:w="1456" w:type="dxa"/>
            <w:tcBorders>
              <w:top w:val="single" w:sz="4" w:space="0" w:color="auto"/>
              <w:left w:val="nil"/>
              <w:bottom w:val="single" w:sz="4" w:space="0" w:color="auto"/>
              <w:right w:val="nil"/>
            </w:tcBorders>
            <w:shd w:val="clear" w:color="auto" w:fill="auto"/>
            <w:noWrap/>
            <w:vAlign w:val="bottom"/>
          </w:tcPr>
          <w:p w:rsidR="00E83219" w:rsidRPr="00D00722" w:rsidRDefault="00E83219" w:rsidP="00E83219">
            <w:pPr>
              <w:jc w:val="right"/>
              <w:rPr>
                <w:rFonts w:ascii="Arial" w:hAnsi="Arial" w:cs="Arial"/>
                <w:b/>
                <w:sz w:val="16"/>
                <w:szCs w:val="16"/>
              </w:rPr>
            </w:pPr>
          </w:p>
        </w:tc>
        <w:tc>
          <w:tcPr>
            <w:tcW w:w="916" w:type="dxa"/>
            <w:tcBorders>
              <w:top w:val="single" w:sz="4" w:space="0" w:color="auto"/>
              <w:left w:val="nil"/>
              <w:bottom w:val="single" w:sz="4" w:space="0" w:color="auto"/>
              <w:right w:val="nil"/>
            </w:tcBorders>
            <w:shd w:val="clear" w:color="auto" w:fill="auto"/>
            <w:noWrap/>
            <w:vAlign w:val="bottom"/>
          </w:tcPr>
          <w:p w:rsidR="00E83219" w:rsidRPr="00D00722" w:rsidRDefault="00E83219" w:rsidP="00E83219">
            <w:pPr>
              <w:jc w:val="right"/>
              <w:rPr>
                <w:rFonts w:ascii="Arial" w:hAnsi="Arial" w:cs="Arial"/>
                <w:b/>
                <w:sz w:val="16"/>
                <w:szCs w:val="16"/>
              </w:rPr>
            </w:pPr>
          </w:p>
        </w:tc>
      </w:tr>
      <w:tr w:rsidR="00E83219" w:rsidRPr="00D00722" w:rsidTr="004362C7">
        <w:trPr>
          <w:trHeight w:val="113"/>
        </w:trPr>
        <w:tc>
          <w:tcPr>
            <w:tcW w:w="6237" w:type="dxa"/>
            <w:tcBorders>
              <w:top w:val="single" w:sz="4" w:space="0" w:color="auto"/>
              <w:left w:val="nil"/>
              <w:bottom w:val="single" w:sz="4" w:space="0" w:color="auto"/>
              <w:right w:val="nil"/>
            </w:tcBorders>
            <w:shd w:val="clear" w:color="auto" w:fill="auto"/>
            <w:noWrap/>
            <w:vAlign w:val="bottom"/>
          </w:tcPr>
          <w:p w:rsidR="00E83219" w:rsidRPr="00D00722" w:rsidRDefault="00E83219" w:rsidP="006B2665">
            <w:pPr>
              <w:ind w:left="318" w:hanging="426"/>
              <w:rPr>
                <w:rFonts w:ascii="Arial" w:hAnsi="Arial" w:cs="Arial"/>
                <w:bCs/>
                <w:sz w:val="16"/>
                <w:szCs w:val="16"/>
              </w:rPr>
            </w:pPr>
            <w:r w:rsidRPr="00D00722">
              <w:rPr>
                <w:rFonts w:ascii="Arial" w:hAnsi="Arial" w:cs="Arial"/>
                <w:bCs/>
                <w:sz w:val="16"/>
                <w:szCs w:val="16"/>
              </w:rPr>
              <w:t xml:space="preserve">31 Aralık </w:t>
            </w:r>
            <w:r w:rsidR="00350F68" w:rsidRPr="00D00722">
              <w:rPr>
                <w:rFonts w:ascii="Arial" w:hAnsi="Arial" w:cs="Arial"/>
                <w:bCs/>
                <w:sz w:val="16"/>
                <w:szCs w:val="16"/>
              </w:rPr>
              <w:t>201</w:t>
            </w:r>
            <w:r w:rsidR="002E27C3" w:rsidRPr="00D00722">
              <w:rPr>
                <w:rFonts w:ascii="Arial" w:hAnsi="Arial" w:cs="Arial"/>
                <w:bCs/>
                <w:sz w:val="16"/>
                <w:szCs w:val="16"/>
              </w:rPr>
              <w:t>3</w:t>
            </w:r>
          </w:p>
        </w:tc>
        <w:tc>
          <w:tcPr>
            <w:tcW w:w="1074" w:type="dxa"/>
            <w:tcBorders>
              <w:top w:val="single" w:sz="4" w:space="0" w:color="auto"/>
              <w:left w:val="nil"/>
              <w:bottom w:val="single" w:sz="4" w:space="0" w:color="auto"/>
              <w:right w:val="nil"/>
            </w:tcBorders>
            <w:shd w:val="clear" w:color="auto" w:fill="auto"/>
            <w:noWrap/>
            <w:vAlign w:val="bottom"/>
          </w:tcPr>
          <w:p w:rsidR="00E83219" w:rsidRPr="00D00722" w:rsidRDefault="00E83219" w:rsidP="00E83219">
            <w:pPr>
              <w:jc w:val="right"/>
              <w:rPr>
                <w:rFonts w:ascii="Arial" w:hAnsi="Arial" w:cs="Arial"/>
                <w:b/>
                <w:bCs/>
                <w:sz w:val="16"/>
                <w:szCs w:val="16"/>
              </w:rPr>
            </w:pPr>
            <w:r w:rsidRPr="00D00722">
              <w:rPr>
                <w:rFonts w:ascii="Arial" w:hAnsi="Arial" w:cs="Arial"/>
                <w:b/>
                <w:bCs/>
                <w:sz w:val="16"/>
                <w:szCs w:val="16"/>
              </w:rPr>
              <w:t>İlişkili taraf</w:t>
            </w:r>
          </w:p>
        </w:tc>
        <w:tc>
          <w:tcPr>
            <w:tcW w:w="1131" w:type="dxa"/>
            <w:tcBorders>
              <w:top w:val="single" w:sz="4" w:space="0" w:color="auto"/>
              <w:left w:val="nil"/>
              <w:bottom w:val="single" w:sz="4" w:space="0" w:color="auto"/>
              <w:right w:val="nil"/>
            </w:tcBorders>
            <w:shd w:val="clear" w:color="auto" w:fill="auto"/>
            <w:noWrap/>
            <w:vAlign w:val="bottom"/>
          </w:tcPr>
          <w:p w:rsidR="00E83219" w:rsidRPr="00D00722" w:rsidRDefault="00E83219" w:rsidP="00E83219">
            <w:pPr>
              <w:jc w:val="right"/>
              <w:rPr>
                <w:rFonts w:ascii="Arial" w:hAnsi="Arial" w:cs="Arial"/>
                <w:b/>
                <w:bCs/>
                <w:sz w:val="16"/>
                <w:szCs w:val="16"/>
              </w:rPr>
            </w:pPr>
            <w:r w:rsidRPr="00D00722">
              <w:rPr>
                <w:rFonts w:ascii="Arial" w:hAnsi="Arial" w:cs="Arial"/>
                <w:b/>
                <w:bCs/>
                <w:sz w:val="16"/>
                <w:szCs w:val="16"/>
              </w:rPr>
              <w:t>Diğer taraf</w:t>
            </w:r>
          </w:p>
        </w:tc>
        <w:tc>
          <w:tcPr>
            <w:tcW w:w="995" w:type="dxa"/>
            <w:tcBorders>
              <w:top w:val="single" w:sz="4" w:space="0" w:color="auto"/>
              <w:left w:val="nil"/>
              <w:bottom w:val="single" w:sz="4" w:space="0" w:color="auto"/>
              <w:right w:val="nil"/>
            </w:tcBorders>
            <w:shd w:val="clear" w:color="auto" w:fill="auto"/>
            <w:noWrap/>
            <w:vAlign w:val="bottom"/>
          </w:tcPr>
          <w:p w:rsidR="00E83219" w:rsidRPr="00D00722" w:rsidRDefault="00E83219" w:rsidP="00E83219">
            <w:pPr>
              <w:jc w:val="right"/>
              <w:rPr>
                <w:rFonts w:ascii="Arial" w:hAnsi="Arial" w:cs="Arial"/>
                <w:b/>
                <w:bCs/>
                <w:sz w:val="16"/>
                <w:szCs w:val="16"/>
              </w:rPr>
            </w:pPr>
            <w:r w:rsidRPr="00D00722">
              <w:rPr>
                <w:rFonts w:ascii="Arial" w:hAnsi="Arial" w:cs="Arial"/>
                <w:b/>
                <w:bCs/>
                <w:sz w:val="16"/>
                <w:szCs w:val="16"/>
              </w:rPr>
              <w:t>İlişkili taraf</w:t>
            </w:r>
          </w:p>
        </w:tc>
        <w:tc>
          <w:tcPr>
            <w:tcW w:w="993" w:type="dxa"/>
            <w:tcBorders>
              <w:top w:val="single" w:sz="4" w:space="0" w:color="auto"/>
              <w:left w:val="nil"/>
              <w:bottom w:val="single" w:sz="4" w:space="0" w:color="auto"/>
              <w:right w:val="nil"/>
            </w:tcBorders>
            <w:shd w:val="clear" w:color="auto" w:fill="auto"/>
            <w:noWrap/>
            <w:vAlign w:val="bottom"/>
          </w:tcPr>
          <w:p w:rsidR="00E83219" w:rsidRPr="00D00722" w:rsidRDefault="00E83219" w:rsidP="00E83219">
            <w:pPr>
              <w:jc w:val="right"/>
              <w:rPr>
                <w:rFonts w:ascii="Arial" w:hAnsi="Arial" w:cs="Arial"/>
                <w:b/>
                <w:bCs/>
                <w:sz w:val="16"/>
                <w:szCs w:val="16"/>
              </w:rPr>
            </w:pPr>
            <w:r w:rsidRPr="00D00722">
              <w:rPr>
                <w:rFonts w:ascii="Arial" w:hAnsi="Arial" w:cs="Arial"/>
                <w:b/>
                <w:bCs/>
                <w:sz w:val="16"/>
                <w:szCs w:val="16"/>
              </w:rPr>
              <w:t>Diğer taraf</w:t>
            </w:r>
          </w:p>
        </w:tc>
        <w:tc>
          <w:tcPr>
            <w:tcW w:w="1213" w:type="dxa"/>
            <w:tcBorders>
              <w:top w:val="single" w:sz="4" w:space="0" w:color="auto"/>
              <w:left w:val="nil"/>
              <w:bottom w:val="single" w:sz="4" w:space="0" w:color="auto"/>
              <w:right w:val="nil"/>
            </w:tcBorders>
            <w:shd w:val="clear" w:color="auto" w:fill="auto"/>
            <w:vAlign w:val="bottom"/>
          </w:tcPr>
          <w:p w:rsidR="00E83219" w:rsidRPr="00D00722" w:rsidRDefault="00E83219" w:rsidP="00E83219">
            <w:pPr>
              <w:jc w:val="right"/>
              <w:rPr>
                <w:rFonts w:ascii="Arial" w:hAnsi="Arial" w:cs="Arial"/>
                <w:b/>
                <w:bCs/>
                <w:sz w:val="16"/>
                <w:szCs w:val="16"/>
              </w:rPr>
            </w:pPr>
            <w:r w:rsidRPr="00D00722">
              <w:rPr>
                <w:rFonts w:ascii="Arial" w:hAnsi="Arial" w:cs="Arial"/>
                <w:b/>
                <w:bCs/>
                <w:sz w:val="16"/>
                <w:szCs w:val="16"/>
              </w:rPr>
              <w:t>Bankalardaki mevduat</w:t>
            </w:r>
          </w:p>
        </w:tc>
        <w:tc>
          <w:tcPr>
            <w:tcW w:w="1456" w:type="dxa"/>
            <w:tcBorders>
              <w:top w:val="single" w:sz="4" w:space="0" w:color="auto"/>
              <w:left w:val="nil"/>
              <w:bottom w:val="single" w:sz="4" w:space="0" w:color="auto"/>
              <w:right w:val="nil"/>
            </w:tcBorders>
            <w:shd w:val="clear" w:color="auto" w:fill="auto"/>
            <w:noWrap/>
            <w:vAlign w:val="bottom"/>
          </w:tcPr>
          <w:p w:rsidR="00E83219" w:rsidRPr="00D00722" w:rsidRDefault="00E83219" w:rsidP="00E83219">
            <w:pPr>
              <w:jc w:val="right"/>
              <w:rPr>
                <w:rFonts w:ascii="Arial" w:hAnsi="Arial" w:cs="Arial"/>
                <w:b/>
                <w:bCs/>
                <w:sz w:val="16"/>
                <w:szCs w:val="16"/>
              </w:rPr>
            </w:pPr>
            <w:r w:rsidRPr="00D00722">
              <w:rPr>
                <w:rFonts w:ascii="Arial" w:hAnsi="Arial" w:cs="Arial"/>
                <w:b/>
                <w:bCs/>
                <w:sz w:val="16"/>
                <w:szCs w:val="16"/>
              </w:rPr>
              <w:t xml:space="preserve">Gerçeğe uygun değ. </w:t>
            </w:r>
            <w:proofErr w:type="gramStart"/>
            <w:r w:rsidRPr="00D00722">
              <w:rPr>
                <w:rFonts w:ascii="Arial" w:hAnsi="Arial" w:cs="Arial"/>
                <w:b/>
                <w:bCs/>
                <w:sz w:val="16"/>
                <w:szCs w:val="16"/>
              </w:rPr>
              <w:t>farkı</w:t>
            </w:r>
            <w:proofErr w:type="gramEnd"/>
            <w:r w:rsidRPr="00D00722">
              <w:rPr>
                <w:rFonts w:ascii="Arial" w:hAnsi="Arial" w:cs="Arial"/>
                <w:b/>
                <w:bCs/>
                <w:sz w:val="16"/>
                <w:szCs w:val="16"/>
              </w:rPr>
              <w:t xml:space="preserve"> gelir tablosuna yans. </w:t>
            </w:r>
            <w:proofErr w:type="gramStart"/>
            <w:r w:rsidRPr="00D00722">
              <w:rPr>
                <w:rFonts w:ascii="Arial" w:hAnsi="Arial" w:cs="Arial"/>
                <w:b/>
                <w:bCs/>
                <w:sz w:val="16"/>
                <w:szCs w:val="16"/>
              </w:rPr>
              <w:t>fin</w:t>
            </w:r>
            <w:proofErr w:type="gramEnd"/>
            <w:r w:rsidRPr="00D00722">
              <w:rPr>
                <w:rFonts w:ascii="Arial" w:hAnsi="Arial" w:cs="Arial"/>
                <w:b/>
                <w:bCs/>
                <w:sz w:val="16"/>
                <w:szCs w:val="16"/>
              </w:rPr>
              <w:t>. varlıklar</w:t>
            </w:r>
          </w:p>
        </w:tc>
        <w:tc>
          <w:tcPr>
            <w:tcW w:w="916" w:type="dxa"/>
            <w:tcBorders>
              <w:top w:val="single" w:sz="4" w:space="0" w:color="auto"/>
              <w:left w:val="nil"/>
              <w:bottom w:val="single" w:sz="4" w:space="0" w:color="auto"/>
              <w:right w:val="nil"/>
            </w:tcBorders>
            <w:shd w:val="clear" w:color="auto" w:fill="auto"/>
            <w:noWrap/>
            <w:vAlign w:val="bottom"/>
          </w:tcPr>
          <w:p w:rsidR="00E83219" w:rsidRPr="00D00722" w:rsidRDefault="00E83219" w:rsidP="00E83219">
            <w:pPr>
              <w:jc w:val="right"/>
              <w:rPr>
                <w:rFonts w:ascii="Arial" w:hAnsi="Arial" w:cs="Arial"/>
                <w:b/>
                <w:bCs/>
                <w:sz w:val="16"/>
                <w:szCs w:val="16"/>
              </w:rPr>
            </w:pPr>
            <w:r w:rsidRPr="00D00722">
              <w:rPr>
                <w:rFonts w:ascii="Arial" w:hAnsi="Arial" w:cs="Arial"/>
                <w:b/>
                <w:bCs/>
                <w:sz w:val="16"/>
                <w:szCs w:val="16"/>
              </w:rPr>
              <w:t>Diğer(**)</w:t>
            </w:r>
          </w:p>
        </w:tc>
      </w:tr>
      <w:tr w:rsidR="00E83219" w:rsidRPr="00D00722" w:rsidTr="004362C7">
        <w:trPr>
          <w:trHeight w:val="113"/>
        </w:trPr>
        <w:tc>
          <w:tcPr>
            <w:tcW w:w="6237" w:type="dxa"/>
            <w:tcBorders>
              <w:top w:val="single" w:sz="4" w:space="0" w:color="auto"/>
              <w:left w:val="nil"/>
              <w:bottom w:val="nil"/>
              <w:right w:val="nil"/>
            </w:tcBorders>
            <w:shd w:val="clear" w:color="auto" w:fill="auto"/>
            <w:noWrap/>
            <w:vAlign w:val="bottom"/>
          </w:tcPr>
          <w:p w:rsidR="00E83219" w:rsidRPr="00D00722" w:rsidRDefault="00E83219" w:rsidP="006B2665">
            <w:pPr>
              <w:ind w:left="318" w:hanging="426"/>
              <w:rPr>
                <w:rFonts w:ascii="Arial" w:hAnsi="Arial" w:cs="Arial"/>
                <w:sz w:val="16"/>
                <w:szCs w:val="16"/>
              </w:rPr>
            </w:pPr>
          </w:p>
        </w:tc>
        <w:tc>
          <w:tcPr>
            <w:tcW w:w="1074" w:type="dxa"/>
            <w:tcBorders>
              <w:top w:val="single" w:sz="4" w:space="0" w:color="auto"/>
              <w:left w:val="nil"/>
              <w:bottom w:val="nil"/>
              <w:right w:val="nil"/>
            </w:tcBorders>
            <w:shd w:val="clear" w:color="auto" w:fill="auto"/>
            <w:noWrap/>
            <w:vAlign w:val="bottom"/>
          </w:tcPr>
          <w:p w:rsidR="00E83219" w:rsidRPr="00D00722" w:rsidRDefault="00E83219" w:rsidP="00E83219">
            <w:pPr>
              <w:jc w:val="right"/>
              <w:rPr>
                <w:rFonts w:ascii="Arial" w:hAnsi="Arial" w:cs="Arial"/>
                <w:b/>
                <w:sz w:val="16"/>
                <w:szCs w:val="16"/>
              </w:rPr>
            </w:pPr>
          </w:p>
        </w:tc>
        <w:tc>
          <w:tcPr>
            <w:tcW w:w="1131" w:type="dxa"/>
            <w:tcBorders>
              <w:top w:val="single" w:sz="4" w:space="0" w:color="auto"/>
              <w:left w:val="nil"/>
              <w:bottom w:val="nil"/>
              <w:right w:val="nil"/>
            </w:tcBorders>
            <w:shd w:val="clear" w:color="auto" w:fill="auto"/>
            <w:noWrap/>
            <w:vAlign w:val="bottom"/>
          </w:tcPr>
          <w:p w:rsidR="00E83219" w:rsidRPr="00D00722" w:rsidRDefault="00E83219" w:rsidP="00E83219">
            <w:pPr>
              <w:jc w:val="right"/>
              <w:rPr>
                <w:rFonts w:ascii="Arial" w:hAnsi="Arial" w:cs="Arial"/>
                <w:b/>
                <w:sz w:val="16"/>
                <w:szCs w:val="16"/>
              </w:rPr>
            </w:pPr>
          </w:p>
        </w:tc>
        <w:tc>
          <w:tcPr>
            <w:tcW w:w="995" w:type="dxa"/>
            <w:tcBorders>
              <w:top w:val="single" w:sz="4" w:space="0" w:color="auto"/>
              <w:left w:val="nil"/>
              <w:bottom w:val="nil"/>
              <w:right w:val="nil"/>
            </w:tcBorders>
            <w:shd w:val="clear" w:color="auto" w:fill="auto"/>
            <w:noWrap/>
            <w:vAlign w:val="bottom"/>
          </w:tcPr>
          <w:p w:rsidR="00E83219" w:rsidRPr="00D00722" w:rsidRDefault="00E83219" w:rsidP="00E83219">
            <w:pPr>
              <w:jc w:val="right"/>
              <w:rPr>
                <w:rFonts w:ascii="Arial" w:hAnsi="Arial" w:cs="Arial"/>
                <w:b/>
                <w:sz w:val="16"/>
                <w:szCs w:val="16"/>
              </w:rPr>
            </w:pPr>
          </w:p>
        </w:tc>
        <w:tc>
          <w:tcPr>
            <w:tcW w:w="993" w:type="dxa"/>
            <w:tcBorders>
              <w:top w:val="single" w:sz="4" w:space="0" w:color="auto"/>
              <w:left w:val="nil"/>
              <w:bottom w:val="nil"/>
              <w:right w:val="nil"/>
            </w:tcBorders>
            <w:shd w:val="clear" w:color="auto" w:fill="auto"/>
            <w:noWrap/>
            <w:vAlign w:val="bottom"/>
          </w:tcPr>
          <w:p w:rsidR="00E83219" w:rsidRPr="00D00722" w:rsidRDefault="00E83219" w:rsidP="00E83219">
            <w:pPr>
              <w:jc w:val="right"/>
              <w:rPr>
                <w:rFonts w:ascii="Arial" w:hAnsi="Arial" w:cs="Arial"/>
                <w:b/>
                <w:sz w:val="16"/>
                <w:szCs w:val="16"/>
              </w:rPr>
            </w:pPr>
          </w:p>
        </w:tc>
        <w:tc>
          <w:tcPr>
            <w:tcW w:w="1213" w:type="dxa"/>
            <w:tcBorders>
              <w:top w:val="single" w:sz="4" w:space="0" w:color="auto"/>
              <w:left w:val="nil"/>
              <w:bottom w:val="nil"/>
              <w:right w:val="nil"/>
            </w:tcBorders>
            <w:shd w:val="clear" w:color="auto" w:fill="auto"/>
            <w:noWrap/>
            <w:vAlign w:val="bottom"/>
          </w:tcPr>
          <w:p w:rsidR="00E83219" w:rsidRPr="00D00722" w:rsidRDefault="00E83219" w:rsidP="00E83219">
            <w:pPr>
              <w:jc w:val="right"/>
              <w:rPr>
                <w:rFonts w:ascii="Arial" w:hAnsi="Arial" w:cs="Arial"/>
                <w:b/>
                <w:sz w:val="16"/>
                <w:szCs w:val="16"/>
              </w:rPr>
            </w:pPr>
          </w:p>
        </w:tc>
        <w:tc>
          <w:tcPr>
            <w:tcW w:w="1456" w:type="dxa"/>
            <w:tcBorders>
              <w:top w:val="single" w:sz="4" w:space="0" w:color="auto"/>
              <w:left w:val="nil"/>
              <w:bottom w:val="nil"/>
              <w:right w:val="nil"/>
            </w:tcBorders>
            <w:shd w:val="clear" w:color="auto" w:fill="auto"/>
            <w:noWrap/>
            <w:vAlign w:val="bottom"/>
          </w:tcPr>
          <w:p w:rsidR="00E83219" w:rsidRPr="00D00722" w:rsidRDefault="00E83219" w:rsidP="00E83219">
            <w:pPr>
              <w:jc w:val="right"/>
              <w:rPr>
                <w:rFonts w:ascii="Arial" w:hAnsi="Arial" w:cs="Arial"/>
                <w:b/>
                <w:sz w:val="16"/>
                <w:szCs w:val="16"/>
              </w:rPr>
            </w:pPr>
          </w:p>
        </w:tc>
        <w:tc>
          <w:tcPr>
            <w:tcW w:w="916" w:type="dxa"/>
            <w:tcBorders>
              <w:top w:val="single" w:sz="4" w:space="0" w:color="auto"/>
              <w:left w:val="nil"/>
              <w:bottom w:val="nil"/>
              <w:right w:val="nil"/>
            </w:tcBorders>
            <w:shd w:val="clear" w:color="auto" w:fill="auto"/>
            <w:noWrap/>
            <w:vAlign w:val="bottom"/>
          </w:tcPr>
          <w:p w:rsidR="00E83219" w:rsidRPr="00D00722" w:rsidRDefault="00E83219" w:rsidP="00E83219">
            <w:pPr>
              <w:jc w:val="right"/>
              <w:rPr>
                <w:rFonts w:ascii="Arial" w:hAnsi="Arial" w:cs="Arial"/>
                <w:b/>
                <w:sz w:val="16"/>
                <w:szCs w:val="16"/>
              </w:rPr>
            </w:pPr>
          </w:p>
        </w:tc>
      </w:tr>
      <w:tr w:rsidR="00E2313A" w:rsidRPr="00D00722" w:rsidTr="004362C7">
        <w:trPr>
          <w:trHeight w:val="113"/>
        </w:trPr>
        <w:tc>
          <w:tcPr>
            <w:tcW w:w="6237" w:type="dxa"/>
            <w:tcBorders>
              <w:top w:val="nil"/>
              <w:left w:val="nil"/>
              <w:bottom w:val="nil"/>
              <w:right w:val="nil"/>
            </w:tcBorders>
            <w:shd w:val="clear" w:color="auto" w:fill="auto"/>
            <w:noWrap/>
            <w:vAlign w:val="bottom"/>
          </w:tcPr>
          <w:p w:rsidR="00E2313A" w:rsidRPr="00D00722" w:rsidRDefault="00E2313A" w:rsidP="006B2665">
            <w:pPr>
              <w:ind w:left="318" w:hanging="426"/>
              <w:rPr>
                <w:rFonts w:ascii="Arial" w:hAnsi="Arial" w:cs="Arial"/>
                <w:sz w:val="16"/>
                <w:szCs w:val="16"/>
              </w:rPr>
            </w:pPr>
            <w:r w:rsidRPr="00D00722">
              <w:rPr>
                <w:rFonts w:ascii="Arial" w:hAnsi="Arial" w:cs="Arial"/>
                <w:sz w:val="16"/>
                <w:szCs w:val="16"/>
              </w:rPr>
              <w:t>Raporlama tarihi itibariyle maruz kalınan azami kredi riski (*)</w:t>
            </w:r>
          </w:p>
        </w:tc>
        <w:tc>
          <w:tcPr>
            <w:tcW w:w="1074" w:type="dxa"/>
            <w:tcBorders>
              <w:top w:val="nil"/>
              <w:left w:val="nil"/>
              <w:bottom w:val="nil"/>
              <w:right w:val="nil"/>
            </w:tcBorders>
            <w:shd w:val="clear" w:color="auto" w:fill="auto"/>
            <w:noWrap/>
            <w:vAlign w:val="bottom"/>
          </w:tcPr>
          <w:p w:rsidR="00E2313A" w:rsidRPr="00D00722" w:rsidRDefault="003F7726" w:rsidP="00E83219">
            <w:pPr>
              <w:jc w:val="right"/>
              <w:rPr>
                <w:rFonts w:ascii="Arial" w:hAnsi="Arial" w:cs="Arial"/>
                <w:b/>
                <w:sz w:val="16"/>
                <w:szCs w:val="16"/>
              </w:rPr>
            </w:pPr>
            <w:r w:rsidRPr="00D00722">
              <w:rPr>
                <w:rFonts w:ascii="Arial" w:hAnsi="Arial" w:cs="Arial"/>
                <w:b/>
                <w:color w:val="000000"/>
                <w:sz w:val="16"/>
                <w:szCs w:val="16"/>
              </w:rPr>
              <w:t>-</w:t>
            </w:r>
          </w:p>
        </w:tc>
        <w:tc>
          <w:tcPr>
            <w:tcW w:w="1131"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r w:rsidRPr="00D00722">
              <w:rPr>
                <w:rFonts w:ascii="Arial" w:hAnsi="Arial" w:cs="Arial"/>
                <w:b/>
                <w:color w:val="000000"/>
                <w:sz w:val="16"/>
                <w:szCs w:val="16"/>
              </w:rPr>
              <w:t>1</w:t>
            </w:r>
            <w:r w:rsidR="00B160BD" w:rsidRPr="00D00722">
              <w:rPr>
                <w:rFonts w:ascii="Arial" w:hAnsi="Arial" w:cs="Arial"/>
                <w:b/>
                <w:color w:val="000000"/>
                <w:sz w:val="16"/>
                <w:szCs w:val="16"/>
              </w:rPr>
              <w:t>.40</w:t>
            </w:r>
            <w:r w:rsidR="003F7726" w:rsidRPr="00D00722">
              <w:rPr>
                <w:rFonts w:ascii="Arial" w:hAnsi="Arial" w:cs="Arial"/>
                <w:b/>
                <w:color w:val="000000"/>
                <w:sz w:val="16"/>
                <w:szCs w:val="16"/>
              </w:rPr>
              <w:t>8</w:t>
            </w:r>
          </w:p>
        </w:tc>
        <w:tc>
          <w:tcPr>
            <w:tcW w:w="995" w:type="dxa"/>
            <w:tcBorders>
              <w:top w:val="nil"/>
              <w:left w:val="nil"/>
              <w:bottom w:val="nil"/>
              <w:right w:val="nil"/>
            </w:tcBorders>
            <w:shd w:val="clear" w:color="auto" w:fill="auto"/>
            <w:noWrap/>
            <w:vAlign w:val="bottom"/>
          </w:tcPr>
          <w:p w:rsidR="00E2313A" w:rsidRPr="00D00722" w:rsidRDefault="00844E6D" w:rsidP="00E83219">
            <w:pPr>
              <w:jc w:val="right"/>
              <w:rPr>
                <w:rFonts w:ascii="Arial" w:hAnsi="Arial" w:cs="Arial"/>
                <w:b/>
                <w:sz w:val="16"/>
                <w:szCs w:val="16"/>
              </w:rPr>
            </w:pPr>
            <w:r w:rsidRPr="00D00722">
              <w:rPr>
                <w:rFonts w:ascii="Arial" w:hAnsi="Arial" w:cs="Arial"/>
                <w:b/>
                <w:color w:val="000000"/>
                <w:sz w:val="16"/>
                <w:szCs w:val="16"/>
              </w:rPr>
              <w:t>-</w:t>
            </w:r>
          </w:p>
        </w:tc>
        <w:tc>
          <w:tcPr>
            <w:tcW w:w="993" w:type="dxa"/>
            <w:tcBorders>
              <w:top w:val="nil"/>
              <w:left w:val="nil"/>
              <w:bottom w:val="nil"/>
              <w:right w:val="nil"/>
            </w:tcBorders>
            <w:shd w:val="clear" w:color="auto" w:fill="auto"/>
            <w:noWrap/>
            <w:vAlign w:val="bottom"/>
          </w:tcPr>
          <w:p w:rsidR="00E2313A" w:rsidRPr="00D00722" w:rsidRDefault="00844E6D" w:rsidP="00E83219">
            <w:pPr>
              <w:jc w:val="right"/>
              <w:rPr>
                <w:rFonts w:ascii="Arial" w:hAnsi="Arial" w:cs="Arial"/>
                <w:b/>
                <w:color w:val="000000"/>
                <w:sz w:val="16"/>
                <w:szCs w:val="16"/>
              </w:rPr>
            </w:pPr>
            <w:r w:rsidRPr="00D00722">
              <w:rPr>
                <w:rFonts w:ascii="Arial" w:hAnsi="Arial" w:cs="Arial"/>
                <w:b/>
                <w:color w:val="000000"/>
                <w:sz w:val="16"/>
                <w:szCs w:val="16"/>
              </w:rPr>
              <w:t>-</w:t>
            </w:r>
          </w:p>
        </w:tc>
        <w:tc>
          <w:tcPr>
            <w:tcW w:w="1213"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8</w:t>
            </w:r>
            <w:r w:rsidR="003F7726" w:rsidRPr="00D00722">
              <w:rPr>
                <w:rFonts w:ascii="Arial" w:hAnsi="Arial" w:cs="Arial"/>
                <w:b/>
                <w:color w:val="000000"/>
                <w:sz w:val="16"/>
                <w:szCs w:val="16"/>
              </w:rPr>
              <w:t>68.886</w:t>
            </w:r>
          </w:p>
        </w:tc>
        <w:tc>
          <w:tcPr>
            <w:tcW w:w="1456" w:type="dxa"/>
            <w:tcBorders>
              <w:top w:val="nil"/>
              <w:left w:val="nil"/>
              <w:bottom w:val="nil"/>
              <w:right w:val="nil"/>
            </w:tcBorders>
            <w:shd w:val="clear" w:color="auto" w:fill="auto"/>
            <w:noWrap/>
            <w:vAlign w:val="bottom"/>
          </w:tcPr>
          <w:p w:rsidR="00E2313A" w:rsidRPr="00D00722" w:rsidRDefault="003F7726" w:rsidP="00E83219">
            <w:pPr>
              <w:jc w:val="right"/>
              <w:rPr>
                <w:rFonts w:ascii="Arial" w:hAnsi="Arial" w:cs="Arial"/>
                <w:b/>
                <w:sz w:val="16"/>
                <w:szCs w:val="16"/>
              </w:rPr>
            </w:pPr>
            <w:r w:rsidRPr="00D00722">
              <w:rPr>
                <w:rFonts w:ascii="Arial" w:hAnsi="Arial" w:cs="Arial"/>
                <w:b/>
                <w:color w:val="000000"/>
                <w:sz w:val="16"/>
                <w:szCs w:val="16"/>
              </w:rPr>
              <w:t>103</w:t>
            </w:r>
            <w:r w:rsidR="00E2313A" w:rsidRPr="00D00722">
              <w:rPr>
                <w:rFonts w:ascii="Arial" w:hAnsi="Arial" w:cs="Arial"/>
                <w:b/>
                <w:color w:val="000000"/>
                <w:sz w:val="16"/>
                <w:szCs w:val="16"/>
              </w:rPr>
              <w:t>.</w:t>
            </w:r>
            <w:r w:rsidR="00885B49" w:rsidRPr="00D00722">
              <w:rPr>
                <w:rFonts w:ascii="Arial" w:hAnsi="Arial" w:cs="Arial"/>
                <w:b/>
                <w:color w:val="000000"/>
                <w:sz w:val="16"/>
                <w:szCs w:val="16"/>
              </w:rPr>
              <w:t>03</w:t>
            </w:r>
            <w:r w:rsidRPr="00D00722">
              <w:rPr>
                <w:rFonts w:ascii="Arial" w:hAnsi="Arial" w:cs="Arial"/>
                <w:b/>
                <w:color w:val="000000"/>
                <w:sz w:val="16"/>
                <w:szCs w:val="16"/>
              </w:rPr>
              <w:t>8</w:t>
            </w:r>
          </w:p>
        </w:tc>
        <w:tc>
          <w:tcPr>
            <w:tcW w:w="916" w:type="dxa"/>
            <w:tcBorders>
              <w:top w:val="nil"/>
              <w:left w:val="nil"/>
              <w:bottom w:val="nil"/>
              <w:right w:val="nil"/>
            </w:tcBorders>
            <w:shd w:val="clear" w:color="auto" w:fill="auto"/>
            <w:noWrap/>
            <w:vAlign w:val="bottom"/>
          </w:tcPr>
          <w:p w:rsidR="00E2313A" w:rsidRPr="00D00722" w:rsidRDefault="003F7726" w:rsidP="00E83219">
            <w:pPr>
              <w:jc w:val="right"/>
              <w:rPr>
                <w:rFonts w:ascii="Arial" w:hAnsi="Arial" w:cs="Arial"/>
                <w:b/>
                <w:sz w:val="16"/>
                <w:szCs w:val="16"/>
              </w:rPr>
            </w:pPr>
            <w:r w:rsidRPr="00D00722">
              <w:rPr>
                <w:rFonts w:ascii="Arial" w:hAnsi="Arial" w:cs="Arial"/>
                <w:b/>
                <w:color w:val="000000"/>
                <w:sz w:val="16"/>
                <w:szCs w:val="16"/>
              </w:rPr>
              <w:t>96.054</w:t>
            </w:r>
          </w:p>
        </w:tc>
      </w:tr>
      <w:tr w:rsidR="00E2313A" w:rsidRPr="00D00722" w:rsidTr="004362C7">
        <w:trPr>
          <w:trHeight w:val="113"/>
        </w:trPr>
        <w:tc>
          <w:tcPr>
            <w:tcW w:w="6237" w:type="dxa"/>
            <w:tcBorders>
              <w:top w:val="nil"/>
              <w:left w:val="nil"/>
              <w:bottom w:val="nil"/>
              <w:right w:val="nil"/>
            </w:tcBorders>
            <w:shd w:val="clear" w:color="auto" w:fill="auto"/>
            <w:noWrap/>
            <w:vAlign w:val="bottom"/>
          </w:tcPr>
          <w:p w:rsidR="00E2313A" w:rsidRPr="00D00722" w:rsidRDefault="00E2313A" w:rsidP="006B2665">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p>
        </w:tc>
        <w:tc>
          <w:tcPr>
            <w:tcW w:w="1131"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p>
        </w:tc>
        <w:tc>
          <w:tcPr>
            <w:tcW w:w="995"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p>
        </w:tc>
        <w:tc>
          <w:tcPr>
            <w:tcW w:w="993"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p>
        </w:tc>
        <w:tc>
          <w:tcPr>
            <w:tcW w:w="1213"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p>
        </w:tc>
        <w:tc>
          <w:tcPr>
            <w:tcW w:w="1456"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p>
        </w:tc>
        <w:tc>
          <w:tcPr>
            <w:tcW w:w="916"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p>
        </w:tc>
      </w:tr>
      <w:tr w:rsidR="00E2313A" w:rsidRPr="00D00722" w:rsidTr="004362C7">
        <w:trPr>
          <w:trHeight w:val="113"/>
        </w:trPr>
        <w:tc>
          <w:tcPr>
            <w:tcW w:w="6237" w:type="dxa"/>
            <w:tcBorders>
              <w:top w:val="nil"/>
              <w:left w:val="nil"/>
              <w:bottom w:val="nil"/>
              <w:right w:val="nil"/>
            </w:tcBorders>
            <w:shd w:val="clear" w:color="auto" w:fill="auto"/>
            <w:noWrap/>
            <w:vAlign w:val="bottom"/>
          </w:tcPr>
          <w:p w:rsidR="00E2313A" w:rsidRPr="00D00722" w:rsidRDefault="00E2313A" w:rsidP="006B2665">
            <w:pPr>
              <w:ind w:left="318" w:hanging="426"/>
              <w:rPr>
                <w:rFonts w:ascii="Arial" w:hAnsi="Arial" w:cs="Arial"/>
                <w:sz w:val="16"/>
                <w:szCs w:val="16"/>
              </w:rPr>
            </w:pPr>
            <w:r w:rsidRPr="00D00722">
              <w:rPr>
                <w:rFonts w:ascii="Arial" w:hAnsi="Arial" w:cs="Arial"/>
                <w:sz w:val="16"/>
                <w:szCs w:val="16"/>
              </w:rPr>
              <w:t>- Azami riskin teminat, vs ile güvence altına alınmış kısmı</w:t>
            </w:r>
          </w:p>
        </w:tc>
        <w:tc>
          <w:tcPr>
            <w:tcW w:w="1074"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c>
          <w:tcPr>
            <w:tcW w:w="1131" w:type="dxa"/>
            <w:tcBorders>
              <w:top w:val="nil"/>
              <w:left w:val="nil"/>
              <w:bottom w:val="nil"/>
              <w:right w:val="nil"/>
            </w:tcBorders>
            <w:shd w:val="clear" w:color="auto" w:fill="auto"/>
            <w:noWrap/>
            <w:vAlign w:val="bottom"/>
          </w:tcPr>
          <w:p w:rsidR="00E2313A" w:rsidRPr="00D00722" w:rsidRDefault="000F2712" w:rsidP="00E83219">
            <w:pPr>
              <w:jc w:val="right"/>
              <w:rPr>
                <w:rFonts w:ascii="Arial" w:hAnsi="Arial" w:cs="Arial"/>
                <w:b/>
                <w:color w:val="000000"/>
                <w:sz w:val="16"/>
                <w:szCs w:val="16"/>
              </w:rPr>
            </w:pPr>
            <w:r w:rsidRPr="00D00722">
              <w:rPr>
                <w:rFonts w:ascii="Arial" w:hAnsi="Arial" w:cs="Arial"/>
                <w:b/>
                <w:color w:val="000000"/>
                <w:sz w:val="16"/>
                <w:szCs w:val="16"/>
              </w:rPr>
              <w:t>-</w:t>
            </w:r>
          </w:p>
        </w:tc>
        <w:tc>
          <w:tcPr>
            <w:tcW w:w="995"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c>
          <w:tcPr>
            <w:tcW w:w="993"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r w:rsidRPr="00D00722">
              <w:rPr>
                <w:rFonts w:ascii="Arial" w:hAnsi="Arial" w:cs="Arial"/>
                <w:b/>
                <w:color w:val="000000"/>
                <w:sz w:val="16"/>
                <w:szCs w:val="16"/>
              </w:rPr>
              <w:t>-</w:t>
            </w:r>
          </w:p>
        </w:tc>
        <w:tc>
          <w:tcPr>
            <w:tcW w:w="1213"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c>
          <w:tcPr>
            <w:tcW w:w="1456"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r w:rsidRPr="00D00722">
              <w:rPr>
                <w:rFonts w:ascii="Arial" w:hAnsi="Arial" w:cs="Arial"/>
                <w:b/>
                <w:color w:val="000000"/>
                <w:sz w:val="16"/>
                <w:szCs w:val="16"/>
              </w:rPr>
              <w:t>-</w:t>
            </w:r>
          </w:p>
        </w:tc>
        <w:tc>
          <w:tcPr>
            <w:tcW w:w="916"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r>
      <w:tr w:rsidR="00E2313A" w:rsidRPr="00D00722" w:rsidTr="004362C7">
        <w:trPr>
          <w:trHeight w:val="113"/>
        </w:trPr>
        <w:tc>
          <w:tcPr>
            <w:tcW w:w="6237" w:type="dxa"/>
            <w:tcBorders>
              <w:top w:val="nil"/>
              <w:left w:val="nil"/>
              <w:bottom w:val="nil"/>
              <w:right w:val="nil"/>
            </w:tcBorders>
            <w:shd w:val="clear" w:color="auto" w:fill="auto"/>
            <w:noWrap/>
            <w:vAlign w:val="bottom"/>
          </w:tcPr>
          <w:p w:rsidR="00E2313A" w:rsidRPr="00D00722" w:rsidRDefault="00E2313A" w:rsidP="006B2665">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p>
        </w:tc>
        <w:tc>
          <w:tcPr>
            <w:tcW w:w="1131"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p>
        </w:tc>
        <w:tc>
          <w:tcPr>
            <w:tcW w:w="995"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p>
        </w:tc>
        <w:tc>
          <w:tcPr>
            <w:tcW w:w="993"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p>
        </w:tc>
        <w:tc>
          <w:tcPr>
            <w:tcW w:w="1213"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p>
        </w:tc>
        <w:tc>
          <w:tcPr>
            <w:tcW w:w="1456"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p>
        </w:tc>
        <w:tc>
          <w:tcPr>
            <w:tcW w:w="916"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p>
        </w:tc>
      </w:tr>
      <w:tr w:rsidR="00E2313A" w:rsidRPr="00D00722" w:rsidTr="004362C7">
        <w:trPr>
          <w:trHeight w:val="113"/>
        </w:trPr>
        <w:tc>
          <w:tcPr>
            <w:tcW w:w="6237" w:type="dxa"/>
            <w:tcBorders>
              <w:top w:val="nil"/>
              <w:left w:val="nil"/>
              <w:bottom w:val="nil"/>
              <w:right w:val="nil"/>
            </w:tcBorders>
            <w:shd w:val="clear" w:color="auto" w:fill="auto"/>
            <w:vAlign w:val="bottom"/>
          </w:tcPr>
          <w:p w:rsidR="00E2313A" w:rsidRPr="00D00722" w:rsidRDefault="00E2313A" w:rsidP="006B2665">
            <w:pPr>
              <w:ind w:left="318" w:hanging="426"/>
              <w:rPr>
                <w:rFonts w:ascii="Arial" w:hAnsi="Arial" w:cs="Arial"/>
                <w:sz w:val="16"/>
                <w:szCs w:val="16"/>
              </w:rPr>
            </w:pPr>
            <w:r w:rsidRPr="00D00722">
              <w:rPr>
                <w:rFonts w:ascii="Arial" w:hAnsi="Arial" w:cs="Arial"/>
                <w:sz w:val="16"/>
                <w:szCs w:val="16"/>
              </w:rPr>
              <w:t>A. Vadesi geçmemiş ya da değer düşüklüğüne uğramamış finansal varlıkların net defter değeri</w:t>
            </w:r>
          </w:p>
        </w:tc>
        <w:tc>
          <w:tcPr>
            <w:tcW w:w="1074" w:type="dxa"/>
            <w:tcBorders>
              <w:top w:val="nil"/>
              <w:left w:val="nil"/>
              <w:bottom w:val="nil"/>
              <w:right w:val="nil"/>
            </w:tcBorders>
            <w:shd w:val="clear" w:color="auto" w:fill="auto"/>
            <w:noWrap/>
            <w:vAlign w:val="bottom"/>
          </w:tcPr>
          <w:p w:rsidR="00E2313A" w:rsidRPr="00D00722" w:rsidRDefault="003F7726" w:rsidP="00E83219">
            <w:pPr>
              <w:jc w:val="right"/>
              <w:rPr>
                <w:rFonts w:ascii="Arial" w:hAnsi="Arial" w:cs="Arial"/>
                <w:b/>
                <w:sz w:val="16"/>
                <w:szCs w:val="16"/>
              </w:rPr>
            </w:pPr>
            <w:r w:rsidRPr="00D00722">
              <w:rPr>
                <w:rFonts w:ascii="Arial" w:hAnsi="Arial" w:cs="Arial"/>
                <w:b/>
                <w:color w:val="000000"/>
                <w:sz w:val="16"/>
                <w:szCs w:val="16"/>
              </w:rPr>
              <w:t>-</w:t>
            </w:r>
          </w:p>
        </w:tc>
        <w:tc>
          <w:tcPr>
            <w:tcW w:w="1131"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r w:rsidRPr="00D00722">
              <w:rPr>
                <w:rFonts w:ascii="Arial" w:hAnsi="Arial" w:cs="Arial"/>
                <w:b/>
                <w:color w:val="000000"/>
                <w:sz w:val="16"/>
                <w:szCs w:val="16"/>
              </w:rPr>
              <w:t>1</w:t>
            </w:r>
            <w:r w:rsidR="00B160BD" w:rsidRPr="00D00722">
              <w:rPr>
                <w:rFonts w:ascii="Arial" w:hAnsi="Arial" w:cs="Arial"/>
                <w:b/>
                <w:color w:val="000000"/>
                <w:sz w:val="16"/>
                <w:szCs w:val="16"/>
              </w:rPr>
              <w:t>.40</w:t>
            </w:r>
            <w:r w:rsidR="003F7726" w:rsidRPr="00D00722">
              <w:rPr>
                <w:rFonts w:ascii="Arial" w:hAnsi="Arial" w:cs="Arial"/>
                <w:b/>
                <w:color w:val="000000"/>
                <w:sz w:val="16"/>
                <w:szCs w:val="16"/>
              </w:rPr>
              <w:t>8</w:t>
            </w:r>
          </w:p>
        </w:tc>
        <w:tc>
          <w:tcPr>
            <w:tcW w:w="995" w:type="dxa"/>
            <w:tcBorders>
              <w:top w:val="nil"/>
              <w:left w:val="nil"/>
              <w:bottom w:val="nil"/>
              <w:right w:val="nil"/>
            </w:tcBorders>
            <w:shd w:val="clear" w:color="auto" w:fill="auto"/>
            <w:noWrap/>
            <w:vAlign w:val="bottom"/>
          </w:tcPr>
          <w:p w:rsidR="00E2313A" w:rsidRPr="00D00722" w:rsidRDefault="00844E6D" w:rsidP="00E83219">
            <w:pPr>
              <w:jc w:val="right"/>
              <w:rPr>
                <w:rFonts w:ascii="Arial" w:hAnsi="Arial" w:cs="Arial"/>
                <w:b/>
                <w:sz w:val="16"/>
                <w:szCs w:val="16"/>
              </w:rPr>
            </w:pPr>
            <w:r w:rsidRPr="00D00722">
              <w:rPr>
                <w:rFonts w:ascii="Arial" w:hAnsi="Arial" w:cs="Arial"/>
                <w:b/>
                <w:color w:val="000000"/>
                <w:sz w:val="16"/>
                <w:szCs w:val="16"/>
              </w:rPr>
              <w:t>-</w:t>
            </w:r>
          </w:p>
        </w:tc>
        <w:tc>
          <w:tcPr>
            <w:tcW w:w="993" w:type="dxa"/>
            <w:tcBorders>
              <w:top w:val="nil"/>
              <w:left w:val="nil"/>
              <w:bottom w:val="nil"/>
              <w:right w:val="nil"/>
            </w:tcBorders>
            <w:shd w:val="clear" w:color="auto" w:fill="auto"/>
            <w:noWrap/>
            <w:vAlign w:val="bottom"/>
          </w:tcPr>
          <w:p w:rsidR="00E2313A" w:rsidRPr="00D00722" w:rsidRDefault="00844E6D" w:rsidP="00E83219">
            <w:pPr>
              <w:jc w:val="right"/>
              <w:rPr>
                <w:rFonts w:ascii="Arial" w:hAnsi="Arial" w:cs="Arial"/>
                <w:b/>
                <w:color w:val="000000"/>
                <w:sz w:val="16"/>
                <w:szCs w:val="16"/>
              </w:rPr>
            </w:pPr>
            <w:r w:rsidRPr="00D00722">
              <w:rPr>
                <w:rFonts w:ascii="Arial" w:hAnsi="Arial" w:cs="Arial"/>
                <w:b/>
                <w:color w:val="000000"/>
                <w:sz w:val="16"/>
                <w:szCs w:val="16"/>
              </w:rPr>
              <w:t>-</w:t>
            </w:r>
          </w:p>
        </w:tc>
        <w:tc>
          <w:tcPr>
            <w:tcW w:w="1213"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8</w:t>
            </w:r>
            <w:r w:rsidR="003F7726" w:rsidRPr="00D00722">
              <w:rPr>
                <w:rFonts w:ascii="Arial" w:hAnsi="Arial" w:cs="Arial"/>
                <w:b/>
                <w:color w:val="000000"/>
                <w:sz w:val="16"/>
                <w:szCs w:val="16"/>
              </w:rPr>
              <w:t>68.886</w:t>
            </w:r>
          </w:p>
        </w:tc>
        <w:tc>
          <w:tcPr>
            <w:tcW w:w="1456"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10</w:t>
            </w:r>
            <w:r w:rsidR="003F7726" w:rsidRPr="00D00722">
              <w:rPr>
                <w:rFonts w:ascii="Arial" w:hAnsi="Arial" w:cs="Arial"/>
                <w:b/>
                <w:color w:val="000000"/>
                <w:sz w:val="16"/>
                <w:szCs w:val="16"/>
              </w:rPr>
              <w:t>3.038</w:t>
            </w:r>
          </w:p>
        </w:tc>
        <w:tc>
          <w:tcPr>
            <w:tcW w:w="916" w:type="dxa"/>
            <w:tcBorders>
              <w:top w:val="nil"/>
              <w:left w:val="nil"/>
              <w:bottom w:val="nil"/>
              <w:right w:val="nil"/>
            </w:tcBorders>
            <w:shd w:val="clear" w:color="auto" w:fill="auto"/>
            <w:noWrap/>
            <w:vAlign w:val="bottom"/>
          </w:tcPr>
          <w:p w:rsidR="00E2313A" w:rsidRPr="00D00722" w:rsidRDefault="003F7726" w:rsidP="00E83219">
            <w:pPr>
              <w:jc w:val="right"/>
              <w:rPr>
                <w:rFonts w:ascii="Arial" w:hAnsi="Arial" w:cs="Arial"/>
                <w:b/>
                <w:sz w:val="16"/>
                <w:szCs w:val="16"/>
              </w:rPr>
            </w:pPr>
            <w:r w:rsidRPr="00D00722">
              <w:rPr>
                <w:rFonts w:ascii="Arial" w:hAnsi="Arial" w:cs="Arial"/>
                <w:b/>
                <w:color w:val="000000"/>
                <w:sz w:val="16"/>
                <w:szCs w:val="16"/>
              </w:rPr>
              <w:t>96.054</w:t>
            </w:r>
          </w:p>
        </w:tc>
      </w:tr>
      <w:tr w:rsidR="00E2313A" w:rsidRPr="00D00722" w:rsidTr="004362C7">
        <w:trPr>
          <w:trHeight w:val="113"/>
        </w:trPr>
        <w:tc>
          <w:tcPr>
            <w:tcW w:w="6237" w:type="dxa"/>
            <w:tcBorders>
              <w:top w:val="nil"/>
              <w:left w:val="nil"/>
              <w:bottom w:val="nil"/>
              <w:right w:val="nil"/>
            </w:tcBorders>
            <w:shd w:val="clear" w:color="auto" w:fill="auto"/>
            <w:noWrap/>
            <w:vAlign w:val="bottom"/>
          </w:tcPr>
          <w:p w:rsidR="00E2313A" w:rsidRPr="00D00722" w:rsidRDefault="00E2313A" w:rsidP="006B2665">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p>
        </w:tc>
        <w:tc>
          <w:tcPr>
            <w:tcW w:w="1131"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p>
        </w:tc>
        <w:tc>
          <w:tcPr>
            <w:tcW w:w="995"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p>
        </w:tc>
        <w:tc>
          <w:tcPr>
            <w:tcW w:w="993"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p>
        </w:tc>
        <w:tc>
          <w:tcPr>
            <w:tcW w:w="1213"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p>
        </w:tc>
        <w:tc>
          <w:tcPr>
            <w:tcW w:w="1456"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p>
        </w:tc>
        <w:tc>
          <w:tcPr>
            <w:tcW w:w="916"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p>
        </w:tc>
      </w:tr>
      <w:tr w:rsidR="00E2313A" w:rsidRPr="00D00722" w:rsidTr="004362C7">
        <w:trPr>
          <w:trHeight w:val="113"/>
        </w:trPr>
        <w:tc>
          <w:tcPr>
            <w:tcW w:w="6237" w:type="dxa"/>
            <w:tcBorders>
              <w:top w:val="nil"/>
              <w:left w:val="nil"/>
              <w:bottom w:val="nil"/>
              <w:right w:val="nil"/>
            </w:tcBorders>
            <w:shd w:val="clear" w:color="auto" w:fill="auto"/>
            <w:vAlign w:val="bottom"/>
          </w:tcPr>
          <w:p w:rsidR="00E2313A" w:rsidRPr="00D00722" w:rsidRDefault="00E2313A" w:rsidP="006B2665">
            <w:pPr>
              <w:ind w:left="318" w:hanging="426"/>
              <w:rPr>
                <w:rFonts w:ascii="Arial" w:hAnsi="Arial" w:cs="Arial"/>
                <w:sz w:val="16"/>
                <w:szCs w:val="16"/>
              </w:rPr>
            </w:pPr>
            <w:r w:rsidRPr="00D00722">
              <w:rPr>
                <w:rFonts w:ascii="Arial" w:hAnsi="Arial" w:cs="Arial"/>
                <w:sz w:val="16"/>
                <w:szCs w:val="16"/>
              </w:rPr>
              <w:t>B. Koşulları yeniden görüşülmüş bulunan, aksi takdirde vadesi geçmiş veya değer düşüklüğüne uğramış sayılacak finansal varlıkların defter değeri</w:t>
            </w:r>
          </w:p>
        </w:tc>
        <w:tc>
          <w:tcPr>
            <w:tcW w:w="1074"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c>
          <w:tcPr>
            <w:tcW w:w="1131"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r w:rsidRPr="00D00722">
              <w:rPr>
                <w:rFonts w:ascii="Arial" w:hAnsi="Arial" w:cs="Arial"/>
                <w:b/>
                <w:color w:val="000000"/>
                <w:sz w:val="16"/>
                <w:szCs w:val="16"/>
              </w:rPr>
              <w:t>-</w:t>
            </w:r>
          </w:p>
        </w:tc>
        <w:tc>
          <w:tcPr>
            <w:tcW w:w="995"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c>
          <w:tcPr>
            <w:tcW w:w="993"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r w:rsidRPr="00D00722">
              <w:rPr>
                <w:rFonts w:ascii="Arial" w:hAnsi="Arial" w:cs="Arial"/>
                <w:b/>
                <w:color w:val="000000"/>
                <w:sz w:val="16"/>
                <w:szCs w:val="16"/>
              </w:rPr>
              <w:t>-</w:t>
            </w:r>
          </w:p>
        </w:tc>
        <w:tc>
          <w:tcPr>
            <w:tcW w:w="1213"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c>
          <w:tcPr>
            <w:tcW w:w="1456"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c>
          <w:tcPr>
            <w:tcW w:w="916"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r>
      <w:tr w:rsidR="00E2313A" w:rsidRPr="00D00722" w:rsidTr="004362C7">
        <w:trPr>
          <w:trHeight w:val="113"/>
        </w:trPr>
        <w:tc>
          <w:tcPr>
            <w:tcW w:w="6237" w:type="dxa"/>
            <w:tcBorders>
              <w:top w:val="nil"/>
              <w:left w:val="nil"/>
              <w:bottom w:val="nil"/>
              <w:right w:val="nil"/>
            </w:tcBorders>
            <w:shd w:val="clear" w:color="auto" w:fill="auto"/>
            <w:noWrap/>
            <w:vAlign w:val="bottom"/>
          </w:tcPr>
          <w:p w:rsidR="00E2313A" w:rsidRPr="00D00722" w:rsidRDefault="00E2313A" w:rsidP="006B2665">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p>
        </w:tc>
        <w:tc>
          <w:tcPr>
            <w:tcW w:w="1131"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p>
        </w:tc>
        <w:tc>
          <w:tcPr>
            <w:tcW w:w="995"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p>
        </w:tc>
        <w:tc>
          <w:tcPr>
            <w:tcW w:w="993"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p>
        </w:tc>
        <w:tc>
          <w:tcPr>
            <w:tcW w:w="1213"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p>
        </w:tc>
        <w:tc>
          <w:tcPr>
            <w:tcW w:w="1456"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p>
        </w:tc>
        <w:tc>
          <w:tcPr>
            <w:tcW w:w="916"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p>
        </w:tc>
      </w:tr>
      <w:tr w:rsidR="00E2313A" w:rsidRPr="00D00722" w:rsidTr="004362C7">
        <w:trPr>
          <w:trHeight w:val="113"/>
        </w:trPr>
        <w:tc>
          <w:tcPr>
            <w:tcW w:w="6237" w:type="dxa"/>
            <w:tcBorders>
              <w:top w:val="nil"/>
              <w:left w:val="nil"/>
              <w:bottom w:val="nil"/>
              <w:right w:val="nil"/>
            </w:tcBorders>
            <w:shd w:val="clear" w:color="auto" w:fill="auto"/>
            <w:vAlign w:val="bottom"/>
          </w:tcPr>
          <w:p w:rsidR="00E2313A" w:rsidRPr="00D00722" w:rsidRDefault="00E2313A" w:rsidP="006B2665">
            <w:pPr>
              <w:ind w:left="318" w:hanging="426"/>
              <w:rPr>
                <w:rFonts w:ascii="Arial" w:hAnsi="Arial" w:cs="Arial"/>
                <w:sz w:val="16"/>
                <w:szCs w:val="16"/>
              </w:rPr>
            </w:pPr>
            <w:r w:rsidRPr="00D00722">
              <w:rPr>
                <w:rFonts w:ascii="Arial" w:hAnsi="Arial" w:cs="Arial"/>
                <w:sz w:val="16"/>
                <w:szCs w:val="16"/>
              </w:rPr>
              <w:t>C. Vadesi geçmiş ancak değer düşüklüğüne uğramamış varlıkların net defter değeri</w:t>
            </w:r>
          </w:p>
        </w:tc>
        <w:tc>
          <w:tcPr>
            <w:tcW w:w="1074"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c>
          <w:tcPr>
            <w:tcW w:w="1131"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r w:rsidRPr="00D00722">
              <w:rPr>
                <w:rFonts w:ascii="Arial" w:hAnsi="Arial" w:cs="Arial"/>
                <w:b/>
                <w:color w:val="000000"/>
                <w:sz w:val="16"/>
                <w:szCs w:val="16"/>
              </w:rPr>
              <w:t>-</w:t>
            </w:r>
          </w:p>
        </w:tc>
        <w:tc>
          <w:tcPr>
            <w:tcW w:w="995"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c>
          <w:tcPr>
            <w:tcW w:w="993"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r w:rsidRPr="00D00722">
              <w:rPr>
                <w:rFonts w:ascii="Arial" w:hAnsi="Arial" w:cs="Arial"/>
                <w:b/>
                <w:color w:val="000000"/>
                <w:sz w:val="16"/>
                <w:szCs w:val="16"/>
              </w:rPr>
              <w:t>-</w:t>
            </w:r>
          </w:p>
        </w:tc>
        <w:tc>
          <w:tcPr>
            <w:tcW w:w="1213"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c>
          <w:tcPr>
            <w:tcW w:w="1456"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c>
          <w:tcPr>
            <w:tcW w:w="916"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r>
      <w:tr w:rsidR="00E2313A" w:rsidRPr="00D00722" w:rsidTr="004362C7">
        <w:trPr>
          <w:trHeight w:val="113"/>
        </w:trPr>
        <w:tc>
          <w:tcPr>
            <w:tcW w:w="6237" w:type="dxa"/>
            <w:tcBorders>
              <w:top w:val="nil"/>
              <w:left w:val="nil"/>
              <w:bottom w:val="nil"/>
              <w:right w:val="nil"/>
            </w:tcBorders>
            <w:shd w:val="clear" w:color="auto" w:fill="auto"/>
            <w:noWrap/>
            <w:vAlign w:val="bottom"/>
          </w:tcPr>
          <w:p w:rsidR="00E2313A" w:rsidRPr="00D00722" w:rsidRDefault="00E2313A" w:rsidP="006B2665">
            <w:pPr>
              <w:ind w:left="318" w:hanging="426"/>
              <w:rPr>
                <w:rFonts w:ascii="Arial" w:hAnsi="Arial" w:cs="Arial"/>
                <w:sz w:val="16"/>
                <w:szCs w:val="16"/>
              </w:rPr>
            </w:pPr>
            <w:r w:rsidRPr="00D00722">
              <w:rPr>
                <w:rFonts w:ascii="Arial" w:hAnsi="Arial" w:cs="Arial"/>
                <w:sz w:val="16"/>
                <w:szCs w:val="16"/>
              </w:rPr>
              <w:t>- teminat, vs ile güvence altına alınmış kısmı</w:t>
            </w:r>
          </w:p>
        </w:tc>
        <w:tc>
          <w:tcPr>
            <w:tcW w:w="1074"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c>
          <w:tcPr>
            <w:tcW w:w="1131"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r w:rsidRPr="00D00722">
              <w:rPr>
                <w:rFonts w:ascii="Arial" w:hAnsi="Arial" w:cs="Arial"/>
                <w:b/>
                <w:color w:val="000000"/>
                <w:sz w:val="16"/>
                <w:szCs w:val="16"/>
              </w:rPr>
              <w:t>-</w:t>
            </w:r>
          </w:p>
        </w:tc>
        <w:tc>
          <w:tcPr>
            <w:tcW w:w="995"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c>
          <w:tcPr>
            <w:tcW w:w="993"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r w:rsidRPr="00D00722">
              <w:rPr>
                <w:rFonts w:ascii="Arial" w:hAnsi="Arial" w:cs="Arial"/>
                <w:b/>
                <w:color w:val="000000"/>
                <w:sz w:val="16"/>
                <w:szCs w:val="16"/>
              </w:rPr>
              <w:t>-</w:t>
            </w:r>
          </w:p>
        </w:tc>
        <w:tc>
          <w:tcPr>
            <w:tcW w:w="1213"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c>
          <w:tcPr>
            <w:tcW w:w="1456"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c>
          <w:tcPr>
            <w:tcW w:w="916"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r>
      <w:tr w:rsidR="00E2313A" w:rsidRPr="00D00722" w:rsidTr="004362C7">
        <w:trPr>
          <w:trHeight w:val="113"/>
        </w:trPr>
        <w:tc>
          <w:tcPr>
            <w:tcW w:w="6237" w:type="dxa"/>
            <w:tcBorders>
              <w:top w:val="nil"/>
              <w:left w:val="nil"/>
              <w:bottom w:val="nil"/>
              <w:right w:val="nil"/>
            </w:tcBorders>
            <w:shd w:val="clear" w:color="auto" w:fill="auto"/>
            <w:noWrap/>
            <w:vAlign w:val="bottom"/>
          </w:tcPr>
          <w:p w:rsidR="00E2313A" w:rsidRPr="00D00722" w:rsidRDefault="00E2313A" w:rsidP="006B2665">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p>
        </w:tc>
        <w:tc>
          <w:tcPr>
            <w:tcW w:w="1131"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p>
        </w:tc>
        <w:tc>
          <w:tcPr>
            <w:tcW w:w="995"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p>
        </w:tc>
        <w:tc>
          <w:tcPr>
            <w:tcW w:w="993"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p>
        </w:tc>
        <w:tc>
          <w:tcPr>
            <w:tcW w:w="1213"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p>
        </w:tc>
        <w:tc>
          <w:tcPr>
            <w:tcW w:w="1456"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p>
        </w:tc>
        <w:tc>
          <w:tcPr>
            <w:tcW w:w="916"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p>
        </w:tc>
      </w:tr>
      <w:tr w:rsidR="00E2313A" w:rsidRPr="00D00722" w:rsidTr="004362C7">
        <w:trPr>
          <w:trHeight w:val="113"/>
        </w:trPr>
        <w:tc>
          <w:tcPr>
            <w:tcW w:w="6237" w:type="dxa"/>
            <w:tcBorders>
              <w:top w:val="nil"/>
              <w:left w:val="nil"/>
              <w:bottom w:val="nil"/>
              <w:right w:val="nil"/>
            </w:tcBorders>
            <w:shd w:val="clear" w:color="auto" w:fill="auto"/>
            <w:noWrap/>
            <w:vAlign w:val="bottom"/>
          </w:tcPr>
          <w:p w:rsidR="00E2313A" w:rsidRPr="00D00722" w:rsidRDefault="00E2313A" w:rsidP="006B2665">
            <w:pPr>
              <w:ind w:left="318" w:hanging="426"/>
              <w:rPr>
                <w:rFonts w:ascii="Arial" w:hAnsi="Arial" w:cs="Arial"/>
                <w:sz w:val="16"/>
                <w:szCs w:val="16"/>
              </w:rPr>
            </w:pPr>
            <w:r w:rsidRPr="00D00722">
              <w:rPr>
                <w:rFonts w:ascii="Arial" w:hAnsi="Arial" w:cs="Arial"/>
                <w:sz w:val="16"/>
                <w:szCs w:val="16"/>
              </w:rPr>
              <w:t>D. Değer düşüklüğüne uğrayan varlıkların net defter değerleri</w:t>
            </w:r>
          </w:p>
        </w:tc>
        <w:tc>
          <w:tcPr>
            <w:tcW w:w="1074"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p>
        </w:tc>
        <w:tc>
          <w:tcPr>
            <w:tcW w:w="1131"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p>
        </w:tc>
        <w:tc>
          <w:tcPr>
            <w:tcW w:w="995"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p>
        </w:tc>
        <w:tc>
          <w:tcPr>
            <w:tcW w:w="993"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p>
        </w:tc>
        <w:tc>
          <w:tcPr>
            <w:tcW w:w="1213"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p>
        </w:tc>
        <w:tc>
          <w:tcPr>
            <w:tcW w:w="1456"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p>
        </w:tc>
        <w:tc>
          <w:tcPr>
            <w:tcW w:w="916"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p>
        </w:tc>
      </w:tr>
      <w:tr w:rsidR="00E2313A" w:rsidRPr="00D00722" w:rsidTr="004362C7">
        <w:trPr>
          <w:trHeight w:val="113"/>
        </w:trPr>
        <w:tc>
          <w:tcPr>
            <w:tcW w:w="6237" w:type="dxa"/>
            <w:tcBorders>
              <w:top w:val="nil"/>
              <w:left w:val="nil"/>
              <w:bottom w:val="nil"/>
              <w:right w:val="nil"/>
            </w:tcBorders>
            <w:shd w:val="clear" w:color="auto" w:fill="auto"/>
            <w:noWrap/>
            <w:vAlign w:val="bottom"/>
          </w:tcPr>
          <w:p w:rsidR="00E2313A" w:rsidRPr="00D00722" w:rsidRDefault="00E2313A" w:rsidP="006B2665">
            <w:pPr>
              <w:ind w:left="318" w:hanging="426"/>
              <w:rPr>
                <w:rFonts w:ascii="Arial" w:hAnsi="Arial" w:cs="Arial"/>
                <w:sz w:val="16"/>
                <w:szCs w:val="16"/>
              </w:rPr>
            </w:pPr>
            <w:r w:rsidRPr="00D00722">
              <w:rPr>
                <w:rFonts w:ascii="Arial" w:hAnsi="Arial" w:cs="Arial"/>
                <w:sz w:val="16"/>
                <w:szCs w:val="16"/>
              </w:rPr>
              <w:t>- Vadesi geçmiş (brüt defter değeri)</w:t>
            </w:r>
          </w:p>
        </w:tc>
        <w:tc>
          <w:tcPr>
            <w:tcW w:w="1074"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c>
          <w:tcPr>
            <w:tcW w:w="1131"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r w:rsidRPr="00D00722">
              <w:rPr>
                <w:rFonts w:ascii="Arial" w:hAnsi="Arial" w:cs="Arial"/>
                <w:b/>
                <w:color w:val="000000"/>
                <w:sz w:val="16"/>
                <w:szCs w:val="16"/>
              </w:rPr>
              <w:t>-</w:t>
            </w:r>
          </w:p>
        </w:tc>
        <w:tc>
          <w:tcPr>
            <w:tcW w:w="995"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c>
          <w:tcPr>
            <w:tcW w:w="993"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r w:rsidRPr="00D00722">
              <w:rPr>
                <w:rFonts w:ascii="Arial" w:hAnsi="Arial" w:cs="Arial"/>
                <w:b/>
                <w:color w:val="000000"/>
                <w:sz w:val="16"/>
                <w:szCs w:val="16"/>
              </w:rPr>
              <w:t>-</w:t>
            </w:r>
          </w:p>
        </w:tc>
        <w:tc>
          <w:tcPr>
            <w:tcW w:w="1213"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c>
          <w:tcPr>
            <w:tcW w:w="1456"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r w:rsidRPr="00D00722">
              <w:rPr>
                <w:rFonts w:ascii="Arial" w:hAnsi="Arial" w:cs="Arial"/>
                <w:b/>
                <w:color w:val="000000"/>
                <w:sz w:val="16"/>
                <w:szCs w:val="16"/>
              </w:rPr>
              <w:t>-</w:t>
            </w:r>
          </w:p>
        </w:tc>
        <w:tc>
          <w:tcPr>
            <w:tcW w:w="916"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r>
      <w:tr w:rsidR="00E2313A" w:rsidRPr="00D00722" w:rsidTr="004362C7">
        <w:trPr>
          <w:trHeight w:val="113"/>
        </w:trPr>
        <w:tc>
          <w:tcPr>
            <w:tcW w:w="6237" w:type="dxa"/>
            <w:tcBorders>
              <w:top w:val="nil"/>
              <w:left w:val="nil"/>
              <w:bottom w:val="nil"/>
              <w:right w:val="nil"/>
            </w:tcBorders>
            <w:shd w:val="clear" w:color="auto" w:fill="auto"/>
            <w:noWrap/>
            <w:vAlign w:val="bottom"/>
          </w:tcPr>
          <w:p w:rsidR="00E2313A" w:rsidRPr="00D00722" w:rsidRDefault="00E2313A" w:rsidP="006B2665">
            <w:pPr>
              <w:ind w:left="318" w:hanging="426"/>
              <w:rPr>
                <w:rFonts w:ascii="Arial" w:hAnsi="Arial" w:cs="Arial"/>
                <w:sz w:val="16"/>
                <w:szCs w:val="16"/>
              </w:rPr>
            </w:pPr>
            <w:r w:rsidRPr="00D00722">
              <w:rPr>
                <w:rFonts w:ascii="Arial" w:hAnsi="Arial" w:cs="Arial"/>
                <w:sz w:val="16"/>
                <w:szCs w:val="16"/>
              </w:rPr>
              <w:t>- Değer düşüklüğü (-)</w:t>
            </w:r>
          </w:p>
        </w:tc>
        <w:tc>
          <w:tcPr>
            <w:tcW w:w="1074"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c>
          <w:tcPr>
            <w:tcW w:w="1131"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r w:rsidRPr="00D00722">
              <w:rPr>
                <w:rFonts w:ascii="Arial" w:hAnsi="Arial" w:cs="Arial"/>
                <w:b/>
                <w:color w:val="000000"/>
                <w:sz w:val="16"/>
                <w:szCs w:val="16"/>
              </w:rPr>
              <w:t>-</w:t>
            </w:r>
          </w:p>
        </w:tc>
        <w:tc>
          <w:tcPr>
            <w:tcW w:w="995"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c>
          <w:tcPr>
            <w:tcW w:w="993"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r w:rsidRPr="00D00722">
              <w:rPr>
                <w:rFonts w:ascii="Arial" w:hAnsi="Arial" w:cs="Arial"/>
                <w:b/>
                <w:color w:val="000000"/>
                <w:sz w:val="16"/>
                <w:szCs w:val="16"/>
              </w:rPr>
              <w:t>-</w:t>
            </w:r>
          </w:p>
        </w:tc>
        <w:tc>
          <w:tcPr>
            <w:tcW w:w="1213"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c>
          <w:tcPr>
            <w:tcW w:w="1456"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r w:rsidRPr="00D00722">
              <w:rPr>
                <w:rFonts w:ascii="Arial" w:hAnsi="Arial" w:cs="Arial"/>
                <w:b/>
                <w:color w:val="000000"/>
                <w:sz w:val="16"/>
                <w:szCs w:val="16"/>
              </w:rPr>
              <w:t>-</w:t>
            </w:r>
          </w:p>
        </w:tc>
        <w:tc>
          <w:tcPr>
            <w:tcW w:w="916"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r>
      <w:tr w:rsidR="00E2313A" w:rsidRPr="00D00722" w:rsidTr="004362C7">
        <w:trPr>
          <w:trHeight w:val="113"/>
        </w:trPr>
        <w:tc>
          <w:tcPr>
            <w:tcW w:w="6237" w:type="dxa"/>
            <w:tcBorders>
              <w:top w:val="nil"/>
              <w:left w:val="nil"/>
              <w:bottom w:val="nil"/>
              <w:right w:val="nil"/>
            </w:tcBorders>
            <w:shd w:val="clear" w:color="auto" w:fill="auto"/>
            <w:noWrap/>
            <w:vAlign w:val="bottom"/>
          </w:tcPr>
          <w:p w:rsidR="00E2313A" w:rsidRPr="00D00722" w:rsidRDefault="00E2313A" w:rsidP="006B2665">
            <w:pPr>
              <w:ind w:left="318" w:hanging="426"/>
              <w:rPr>
                <w:rFonts w:ascii="Arial" w:hAnsi="Arial" w:cs="Arial"/>
                <w:sz w:val="16"/>
                <w:szCs w:val="16"/>
              </w:rPr>
            </w:pPr>
            <w:r w:rsidRPr="00D00722">
              <w:rPr>
                <w:rFonts w:ascii="Arial" w:hAnsi="Arial" w:cs="Arial"/>
                <w:sz w:val="16"/>
                <w:szCs w:val="16"/>
              </w:rPr>
              <w:t>- Net değerin teminat, vs ile güvence altına alınmış kısmı</w:t>
            </w:r>
          </w:p>
        </w:tc>
        <w:tc>
          <w:tcPr>
            <w:tcW w:w="1074"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c>
          <w:tcPr>
            <w:tcW w:w="1131"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r w:rsidRPr="00D00722">
              <w:rPr>
                <w:rFonts w:ascii="Arial" w:hAnsi="Arial" w:cs="Arial"/>
                <w:b/>
                <w:color w:val="000000"/>
                <w:sz w:val="16"/>
                <w:szCs w:val="16"/>
              </w:rPr>
              <w:t>-</w:t>
            </w:r>
          </w:p>
        </w:tc>
        <w:tc>
          <w:tcPr>
            <w:tcW w:w="995"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c>
          <w:tcPr>
            <w:tcW w:w="993"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r w:rsidRPr="00D00722">
              <w:rPr>
                <w:rFonts w:ascii="Arial" w:hAnsi="Arial" w:cs="Arial"/>
                <w:b/>
                <w:color w:val="000000"/>
                <w:sz w:val="16"/>
                <w:szCs w:val="16"/>
              </w:rPr>
              <w:t>-</w:t>
            </w:r>
          </w:p>
        </w:tc>
        <w:tc>
          <w:tcPr>
            <w:tcW w:w="1213"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c>
          <w:tcPr>
            <w:tcW w:w="1456"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r w:rsidRPr="00D00722">
              <w:rPr>
                <w:rFonts w:ascii="Arial" w:hAnsi="Arial" w:cs="Arial"/>
                <w:b/>
                <w:color w:val="000000"/>
                <w:sz w:val="16"/>
                <w:szCs w:val="16"/>
              </w:rPr>
              <w:t>-</w:t>
            </w:r>
          </w:p>
        </w:tc>
        <w:tc>
          <w:tcPr>
            <w:tcW w:w="916"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r>
      <w:tr w:rsidR="00E2313A" w:rsidRPr="00D00722" w:rsidTr="004362C7">
        <w:trPr>
          <w:trHeight w:val="113"/>
        </w:trPr>
        <w:tc>
          <w:tcPr>
            <w:tcW w:w="6237" w:type="dxa"/>
            <w:tcBorders>
              <w:top w:val="nil"/>
              <w:left w:val="nil"/>
              <w:bottom w:val="nil"/>
              <w:right w:val="nil"/>
            </w:tcBorders>
            <w:shd w:val="clear" w:color="auto" w:fill="auto"/>
            <w:noWrap/>
            <w:vAlign w:val="bottom"/>
          </w:tcPr>
          <w:p w:rsidR="00E2313A" w:rsidRPr="00D00722" w:rsidRDefault="00E2313A" w:rsidP="006B2665">
            <w:pPr>
              <w:ind w:left="318" w:hanging="426"/>
              <w:rPr>
                <w:rFonts w:ascii="Arial" w:hAnsi="Arial" w:cs="Arial"/>
                <w:sz w:val="16"/>
                <w:szCs w:val="16"/>
              </w:rPr>
            </w:pPr>
            <w:r w:rsidRPr="00D00722">
              <w:rPr>
                <w:rFonts w:ascii="Arial" w:hAnsi="Arial" w:cs="Arial"/>
                <w:sz w:val="16"/>
                <w:szCs w:val="16"/>
              </w:rPr>
              <w:t>- Vadesi geçmemiş (brüt defter değeri)</w:t>
            </w:r>
          </w:p>
        </w:tc>
        <w:tc>
          <w:tcPr>
            <w:tcW w:w="1074"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c>
          <w:tcPr>
            <w:tcW w:w="1131"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r w:rsidRPr="00D00722">
              <w:rPr>
                <w:rFonts w:ascii="Arial" w:hAnsi="Arial" w:cs="Arial"/>
                <w:b/>
                <w:color w:val="000000"/>
                <w:sz w:val="16"/>
                <w:szCs w:val="16"/>
              </w:rPr>
              <w:t>-</w:t>
            </w:r>
          </w:p>
        </w:tc>
        <w:tc>
          <w:tcPr>
            <w:tcW w:w="995"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c>
          <w:tcPr>
            <w:tcW w:w="993"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r w:rsidRPr="00D00722">
              <w:rPr>
                <w:rFonts w:ascii="Arial" w:hAnsi="Arial" w:cs="Arial"/>
                <w:b/>
                <w:color w:val="000000"/>
                <w:sz w:val="16"/>
                <w:szCs w:val="16"/>
              </w:rPr>
              <w:t>-</w:t>
            </w:r>
          </w:p>
        </w:tc>
        <w:tc>
          <w:tcPr>
            <w:tcW w:w="1213"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c>
          <w:tcPr>
            <w:tcW w:w="1456"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r w:rsidRPr="00D00722">
              <w:rPr>
                <w:rFonts w:ascii="Arial" w:hAnsi="Arial" w:cs="Arial"/>
                <w:b/>
                <w:color w:val="000000"/>
                <w:sz w:val="16"/>
                <w:szCs w:val="16"/>
              </w:rPr>
              <w:t>-</w:t>
            </w:r>
          </w:p>
        </w:tc>
        <w:tc>
          <w:tcPr>
            <w:tcW w:w="916"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r>
      <w:tr w:rsidR="00E2313A" w:rsidRPr="00D00722" w:rsidTr="004362C7">
        <w:trPr>
          <w:trHeight w:val="113"/>
        </w:trPr>
        <w:tc>
          <w:tcPr>
            <w:tcW w:w="6237" w:type="dxa"/>
            <w:tcBorders>
              <w:top w:val="nil"/>
              <w:left w:val="nil"/>
              <w:bottom w:val="nil"/>
              <w:right w:val="nil"/>
            </w:tcBorders>
            <w:shd w:val="clear" w:color="auto" w:fill="auto"/>
            <w:noWrap/>
            <w:vAlign w:val="bottom"/>
          </w:tcPr>
          <w:p w:rsidR="00E2313A" w:rsidRPr="00D00722" w:rsidRDefault="00E2313A" w:rsidP="006B2665">
            <w:pPr>
              <w:ind w:left="318" w:hanging="426"/>
              <w:rPr>
                <w:rFonts w:ascii="Arial" w:hAnsi="Arial" w:cs="Arial"/>
                <w:sz w:val="16"/>
                <w:szCs w:val="16"/>
              </w:rPr>
            </w:pPr>
            <w:r w:rsidRPr="00D00722">
              <w:rPr>
                <w:rFonts w:ascii="Arial" w:hAnsi="Arial" w:cs="Arial"/>
                <w:sz w:val="16"/>
                <w:szCs w:val="16"/>
              </w:rPr>
              <w:t>- Değer düşüklüğü (-)</w:t>
            </w:r>
          </w:p>
        </w:tc>
        <w:tc>
          <w:tcPr>
            <w:tcW w:w="1074"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c>
          <w:tcPr>
            <w:tcW w:w="1131"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r w:rsidRPr="00D00722">
              <w:rPr>
                <w:rFonts w:ascii="Arial" w:hAnsi="Arial" w:cs="Arial"/>
                <w:b/>
                <w:color w:val="000000"/>
                <w:sz w:val="16"/>
                <w:szCs w:val="16"/>
              </w:rPr>
              <w:t>-</w:t>
            </w:r>
          </w:p>
        </w:tc>
        <w:tc>
          <w:tcPr>
            <w:tcW w:w="995"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c>
          <w:tcPr>
            <w:tcW w:w="993"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r w:rsidRPr="00D00722">
              <w:rPr>
                <w:rFonts w:ascii="Arial" w:hAnsi="Arial" w:cs="Arial"/>
                <w:b/>
                <w:color w:val="000000"/>
                <w:sz w:val="16"/>
                <w:szCs w:val="16"/>
              </w:rPr>
              <w:t>-</w:t>
            </w:r>
          </w:p>
        </w:tc>
        <w:tc>
          <w:tcPr>
            <w:tcW w:w="1213"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c>
          <w:tcPr>
            <w:tcW w:w="1456"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r w:rsidRPr="00D00722">
              <w:rPr>
                <w:rFonts w:ascii="Arial" w:hAnsi="Arial" w:cs="Arial"/>
                <w:b/>
                <w:color w:val="000000"/>
                <w:sz w:val="16"/>
                <w:szCs w:val="16"/>
              </w:rPr>
              <w:t>-</w:t>
            </w:r>
          </w:p>
        </w:tc>
        <w:tc>
          <w:tcPr>
            <w:tcW w:w="916"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r>
      <w:tr w:rsidR="00E2313A" w:rsidRPr="00D00722" w:rsidTr="004362C7">
        <w:trPr>
          <w:trHeight w:val="113"/>
        </w:trPr>
        <w:tc>
          <w:tcPr>
            <w:tcW w:w="6237" w:type="dxa"/>
            <w:tcBorders>
              <w:top w:val="nil"/>
              <w:left w:val="nil"/>
              <w:bottom w:val="nil"/>
              <w:right w:val="nil"/>
            </w:tcBorders>
            <w:shd w:val="clear" w:color="auto" w:fill="auto"/>
            <w:noWrap/>
            <w:vAlign w:val="bottom"/>
          </w:tcPr>
          <w:p w:rsidR="00E2313A" w:rsidRPr="00D00722" w:rsidRDefault="00E2313A" w:rsidP="006B2665">
            <w:pPr>
              <w:ind w:left="318" w:hanging="426"/>
              <w:rPr>
                <w:rFonts w:ascii="Arial" w:hAnsi="Arial" w:cs="Arial"/>
                <w:sz w:val="16"/>
                <w:szCs w:val="16"/>
              </w:rPr>
            </w:pPr>
            <w:r w:rsidRPr="00D00722">
              <w:rPr>
                <w:rFonts w:ascii="Arial" w:hAnsi="Arial" w:cs="Arial"/>
                <w:sz w:val="16"/>
                <w:szCs w:val="16"/>
              </w:rPr>
              <w:t>- Net değerin teminat, vs ile güvence altına alınmış kısmı</w:t>
            </w:r>
          </w:p>
        </w:tc>
        <w:tc>
          <w:tcPr>
            <w:tcW w:w="1074"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c>
          <w:tcPr>
            <w:tcW w:w="1131"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r w:rsidRPr="00D00722">
              <w:rPr>
                <w:rFonts w:ascii="Arial" w:hAnsi="Arial" w:cs="Arial"/>
                <w:b/>
                <w:color w:val="000000"/>
                <w:sz w:val="16"/>
                <w:szCs w:val="16"/>
              </w:rPr>
              <w:t>-</w:t>
            </w:r>
          </w:p>
        </w:tc>
        <w:tc>
          <w:tcPr>
            <w:tcW w:w="995"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c>
          <w:tcPr>
            <w:tcW w:w="993"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r w:rsidRPr="00D00722">
              <w:rPr>
                <w:rFonts w:ascii="Arial" w:hAnsi="Arial" w:cs="Arial"/>
                <w:b/>
                <w:color w:val="000000"/>
                <w:sz w:val="16"/>
                <w:szCs w:val="16"/>
              </w:rPr>
              <w:t>-</w:t>
            </w:r>
          </w:p>
        </w:tc>
        <w:tc>
          <w:tcPr>
            <w:tcW w:w="1213"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c>
          <w:tcPr>
            <w:tcW w:w="1456"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color w:val="000000"/>
                <w:sz w:val="16"/>
                <w:szCs w:val="16"/>
              </w:rPr>
            </w:pPr>
            <w:r w:rsidRPr="00D00722">
              <w:rPr>
                <w:rFonts w:ascii="Arial" w:hAnsi="Arial" w:cs="Arial"/>
                <w:b/>
                <w:color w:val="000000"/>
                <w:sz w:val="16"/>
                <w:szCs w:val="16"/>
              </w:rPr>
              <w:t>-</w:t>
            </w:r>
          </w:p>
        </w:tc>
        <w:tc>
          <w:tcPr>
            <w:tcW w:w="916"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r>
      <w:tr w:rsidR="00E2313A" w:rsidRPr="00D00722" w:rsidTr="004362C7">
        <w:trPr>
          <w:trHeight w:val="113"/>
        </w:trPr>
        <w:tc>
          <w:tcPr>
            <w:tcW w:w="6237" w:type="dxa"/>
            <w:tcBorders>
              <w:top w:val="nil"/>
              <w:left w:val="nil"/>
              <w:bottom w:val="nil"/>
              <w:right w:val="nil"/>
            </w:tcBorders>
            <w:shd w:val="clear" w:color="auto" w:fill="auto"/>
            <w:noWrap/>
            <w:vAlign w:val="bottom"/>
          </w:tcPr>
          <w:p w:rsidR="00E2313A" w:rsidRPr="00D00722" w:rsidRDefault="00E2313A" w:rsidP="006B2665">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p>
        </w:tc>
        <w:tc>
          <w:tcPr>
            <w:tcW w:w="1131"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p>
        </w:tc>
        <w:tc>
          <w:tcPr>
            <w:tcW w:w="995"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p>
        </w:tc>
        <w:tc>
          <w:tcPr>
            <w:tcW w:w="993"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p>
        </w:tc>
        <w:tc>
          <w:tcPr>
            <w:tcW w:w="1213"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p>
        </w:tc>
        <w:tc>
          <w:tcPr>
            <w:tcW w:w="1456"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p>
        </w:tc>
        <w:tc>
          <w:tcPr>
            <w:tcW w:w="916"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p>
        </w:tc>
      </w:tr>
      <w:tr w:rsidR="00E2313A" w:rsidRPr="00D00722" w:rsidTr="004362C7">
        <w:trPr>
          <w:trHeight w:val="113"/>
        </w:trPr>
        <w:tc>
          <w:tcPr>
            <w:tcW w:w="6237" w:type="dxa"/>
            <w:tcBorders>
              <w:top w:val="nil"/>
              <w:left w:val="nil"/>
              <w:bottom w:val="nil"/>
              <w:right w:val="nil"/>
            </w:tcBorders>
            <w:shd w:val="clear" w:color="auto" w:fill="auto"/>
            <w:noWrap/>
            <w:vAlign w:val="bottom"/>
          </w:tcPr>
          <w:p w:rsidR="00E2313A" w:rsidRPr="00D00722" w:rsidRDefault="00E2313A" w:rsidP="006B2665">
            <w:pPr>
              <w:ind w:left="318" w:hanging="426"/>
              <w:rPr>
                <w:rFonts w:ascii="Arial" w:hAnsi="Arial" w:cs="Arial"/>
                <w:sz w:val="16"/>
                <w:szCs w:val="16"/>
              </w:rPr>
            </w:pPr>
            <w:r w:rsidRPr="00D00722">
              <w:rPr>
                <w:rFonts w:ascii="Arial" w:hAnsi="Arial" w:cs="Arial"/>
                <w:sz w:val="16"/>
                <w:szCs w:val="16"/>
              </w:rPr>
              <w:t>E. Bilanço dışı kredi riski içeren unsurlar</w:t>
            </w:r>
          </w:p>
        </w:tc>
        <w:tc>
          <w:tcPr>
            <w:tcW w:w="1074"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c>
          <w:tcPr>
            <w:tcW w:w="1131"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c>
          <w:tcPr>
            <w:tcW w:w="995"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c>
          <w:tcPr>
            <w:tcW w:w="993"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c>
          <w:tcPr>
            <w:tcW w:w="1213"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c>
          <w:tcPr>
            <w:tcW w:w="1456"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c>
          <w:tcPr>
            <w:tcW w:w="916" w:type="dxa"/>
            <w:tcBorders>
              <w:top w:val="nil"/>
              <w:left w:val="nil"/>
              <w:bottom w:val="nil"/>
              <w:right w:val="nil"/>
            </w:tcBorders>
            <w:shd w:val="clear" w:color="auto" w:fill="auto"/>
            <w:noWrap/>
            <w:vAlign w:val="bottom"/>
          </w:tcPr>
          <w:p w:rsidR="00E2313A" w:rsidRPr="00D00722" w:rsidRDefault="00E2313A" w:rsidP="00E83219">
            <w:pPr>
              <w:jc w:val="right"/>
              <w:rPr>
                <w:rFonts w:ascii="Arial" w:hAnsi="Arial" w:cs="Arial"/>
                <w:b/>
                <w:sz w:val="16"/>
                <w:szCs w:val="16"/>
              </w:rPr>
            </w:pPr>
            <w:r w:rsidRPr="00D00722">
              <w:rPr>
                <w:rFonts w:ascii="Arial" w:hAnsi="Arial" w:cs="Arial"/>
                <w:b/>
                <w:color w:val="000000"/>
                <w:sz w:val="16"/>
                <w:szCs w:val="16"/>
              </w:rPr>
              <w:t>-</w:t>
            </w:r>
          </w:p>
        </w:tc>
      </w:tr>
    </w:tbl>
    <w:p w:rsidR="00EE69AC" w:rsidRPr="00D00722" w:rsidRDefault="00EE69AC" w:rsidP="00AE0484">
      <w:pPr>
        <w:autoSpaceDE w:val="0"/>
        <w:autoSpaceDN w:val="0"/>
        <w:adjustRightInd w:val="0"/>
        <w:jc w:val="both"/>
        <w:rPr>
          <w:rFonts w:ascii="Arial" w:hAnsi="Arial" w:cs="Arial"/>
          <w:lang w:val="tr-TR"/>
        </w:rPr>
      </w:pPr>
    </w:p>
    <w:p w:rsidR="00DF39B4" w:rsidRPr="00D00722" w:rsidRDefault="008D47CB" w:rsidP="00EE69AC">
      <w:pPr>
        <w:autoSpaceDE w:val="0"/>
        <w:autoSpaceDN w:val="0"/>
        <w:adjustRightInd w:val="0"/>
        <w:ind w:left="567" w:hanging="567"/>
        <w:jc w:val="both"/>
        <w:rPr>
          <w:rFonts w:ascii="Arial" w:hAnsi="Arial" w:cs="Arial"/>
          <w:sz w:val="16"/>
          <w:lang w:val="tr-TR"/>
        </w:rPr>
      </w:pPr>
      <w:r w:rsidRPr="00D00722">
        <w:rPr>
          <w:rFonts w:ascii="Arial" w:hAnsi="Arial" w:cs="Arial"/>
          <w:sz w:val="16"/>
          <w:lang w:val="tr-TR"/>
        </w:rPr>
        <w:t xml:space="preserve">(*) </w:t>
      </w:r>
      <w:r w:rsidR="00BE4277" w:rsidRPr="00D00722">
        <w:rPr>
          <w:rFonts w:ascii="Arial" w:hAnsi="Arial" w:cs="Arial"/>
          <w:sz w:val="16"/>
          <w:lang w:val="tr-TR"/>
        </w:rPr>
        <w:t xml:space="preserve">  </w:t>
      </w:r>
      <w:r w:rsidR="00EE69AC" w:rsidRPr="00D00722">
        <w:rPr>
          <w:rFonts w:ascii="Arial" w:hAnsi="Arial" w:cs="Arial"/>
          <w:sz w:val="16"/>
          <w:lang w:val="tr-TR"/>
        </w:rPr>
        <w:tab/>
      </w:r>
      <w:r w:rsidR="00D23BD5" w:rsidRPr="00D00722">
        <w:rPr>
          <w:rFonts w:ascii="Arial" w:hAnsi="Arial" w:cs="Arial"/>
          <w:sz w:val="16"/>
          <w:lang w:val="tr-TR"/>
        </w:rPr>
        <w:t>Tutarın belirlenmesinde, alınan teminatlar gibi, kredi güvenilirliğinde artış sağlayan unsurlar dikkate alınmamıştır.</w:t>
      </w:r>
    </w:p>
    <w:p w:rsidR="00E025E0" w:rsidRPr="00D00722" w:rsidRDefault="00E025E0" w:rsidP="00EE69AC">
      <w:pPr>
        <w:pStyle w:val="body0"/>
        <w:spacing w:after="0" w:line="240" w:lineRule="auto"/>
        <w:ind w:left="567" w:hanging="567"/>
        <w:rPr>
          <w:rFonts w:ascii="Arial" w:hAnsi="Arial" w:cs="Arial"/>
          <w:sz w:val="16"/>
          <w:szCs w:val="20"/>
          <w:lang w:val="tr-TR"/>
        </w:rPr>
      </w:pPr>
      <w:r w:rsidRPr="00D00722">
        <w:rPr>
          <w:rFonts w:ascii="Arial" w:hAnsi="Arial" w:cs="Arial"/>
          <w:sz w:val="16"/>
          <w:szCs w:val="20"/>
          <w:lang w:val="tr-TR"/>
        </w:rPr>
        <w:t xml:space="preserve">(**)  </w:t>
      </w:r>
      <w:r w:rsidR="00EE69AC" w:rsidRPr="00D00722">
        <w:rPr>
          <w:rFonts w:ascii="Arial" w:hAnsi="Arial" w:cs="Arial"/>
          <w:sz w:val="16"/>
          <w:szCs w:val="20"/>
          <w:lang w:val="tr-TR"/>
        </w:rPr>
        <w:tab/>
      </w:r>
      <w:r w:rsidR="00066289" w:rsidRPr="00D00722">
        <w:rPr>
          <w:rFonts w:ascii="Arial" w:hAnsi="Arial" w:cs="Arial"/>
          <w:sz w:val="16"/>
          <w:szCs w:val="20"/>
          <w:lang w:val="tr-TR"/>
        </w:rPr>
        <w:t>96.054</w:t>
      </w:r>
      <w:r w:rsidR="006B2665" w:rsidRPr="00D00722">
        <w:rPr>
          <w:rFonts w:ascii="Arial" w:hAnsi="Arial" w:cs="Arial"/>
          <w:sz w:val="16"/>
          <w:szCs w:val="20"/>
          <w:lang w:val="tr-TR"/>
        </w:rPr>
        <w:t xml:space="preserve"> TL tutarının </w:t>
      </w:r>
      <w:r w:rsidR="00066289" w:rsidRPr="00D00722">
        <w:rPr>
          <w:rFonts w:ascii="Arial" w:hAnsi="Arial" w:cs="Arial"/>
          <w:sz w:val="16"/>
          <w:szCs w:val="20"/>
          <w:lang w:val="tr-TR"/>
        </w:rPr>
        <w:t>96.022</w:t>
      </w:r>
      <w:r w:rsidR="00E2313A" w:rsidRPr="00D00722">
        <w:rPr>
          <w:rFonts w:ascii="Arial" w:hAnsi="Arial" w:cs="Arial"/>
          <w:sz w:val="16"/>
          <w:szCs w:val="20"/>
          <w:lang w:val="tr-TR"/>
        </w:rPr>
        <w:t xml:space="preserve"> </w:t>
      </w:r>
      <w:r w:rsidR="001F4040" w:rsidRPr="00D00722">
        <w:rPr>
          <w:rFonts w:ascii="Arial" w:hAnsi="Arial" w:cs="Arial"/>
          <w:sz w:val="16"/>
          <w:szCs w:val="20"/>
          <w:lang w:val="tr-TR"/>
        </w:rPr>
        <w:t xml:space="preserve">TL tutarındaki kısmı </w:t>
      </w:r>
      <w:r w:rsidR="00D23BD5" w:rsidRPr="00D00722">
        <w:rPr>
          <w:rFonts w:ascii="Arial" w:hAnsi="Arial" w:cs="Arial"/>
          <w:sz w:val="16"/>
          <w:szCs w:val="20"/>
          <w:lang w:val="tr-TR"/>
        </w:rPr>
        <w:t xml:space="preserve">Borsa Para Piyasası’ndan alacaklardan ve </w:t>
      </w:r>
      <w:r w:rsidR="00066289" w:rsidRPr="00D00722">
        <w:rPr>
          <w:rFonts w:ascii="Arial" w:hAnsi="Arial" w:cs="Arial"/>
          <w:sz w:val="16"/>
          <w:szCs w:val="20"/>
          <w:lang w:val="tr-TR"/>
        </w:rPr>
        <w:t>32</w:t>
      </w:r>
      <w:r w:rsidR="00D23BD5" w:rsidRPr="00D00722">
        <w:rPr>
          <w:rFonts w:ascii="Arial" w:hAnsi="Arial" w:cs="Arial"/>
          <w:sz w:val="16"/>
          <w:szCs w:val="20"/>
          <w:lang w:val="tr-TR"/>
        </w:rPr>
        <w:t xml:space="preserve"> </w:t>
      </w:r>
      <w:r w:rsidR="001F4040" w:rsidRPr="00D00722">
        <w:rPr>
          <w:rFonts w:ascii="Arial" w:hAnsi="Arial" w:cs="Arial"/>
          <w:sz w:val="16"/>
          <w:szCs w:val="20"/>
          <w:lang w:val="tr-TR"/>
        </w:rPr>
        <w:t xml:space="preserve">TL tutarındaki kısmı </w:t>
      </w:r>
      <w:r w:rsidR="00D23BD5" w:rsidRPr="00D00722">
        <w:rPr>
          <w:rFonts w:ascii="Arial" w:hAnsi="Arial" w:cs="Arial"/>
          <w:sz w:val="16"/>
          <w:szCs w:val="20"/>
          <w:lang w:val="tr-TR"/>
        </w:rPr>
        <w:t>ise diğer hazır değerlerden oluşmaktadır.</w:t>
      </w:r>
    </w:p>
    <w:p w:rsidR="00334E78" w:rsidRPr="00D00722" w:rsidRDefault="008D47CB" w:rsidP="00E9771D">
      <w:pPr>
        <w:pStyle w:val="body0"/>
        <w:spacing w:after="0" w:line="240" w:lineRule="auto"/>
        <w:rPr>
          <w:rFonts w:ascii="Arial" w:hAnsi="Arial" w:cs="Arial"/>
          <w:lang w:val="tr-TR"/>
        </w:rPr>
      </w:pPr>
      <w:r w:rsidRPr="00D00722">
        <w:rPr>
          <w:rFonts w:ascii="Arial" w:hAnsi="Arial" w:cs="Arial"/>
          <w:sz w:val="20"/>
          <w:szCs w:val="20"/>
          <w:lang w:val="tr-TR"/>
        </w:rPr>
        <w:br w:type="page"/>
      </w:r>
    </w:p>
    <w:p w:rsidR="00334E78" w:rsidRPr="00D00722" w:rsidRDefault="00334E78" w:rsidP="0090567F">
      <w:pPr>
        <w:autoSpaceDE w:val="0"/>
        <w:autoSpaceDN w:val="0"/>
        <w:adjustRightInd w:val="0"/>
        <w:ind w:left="567" w:hanging="567"/>
        <w:rPr>
          <w:rFonts w:ascii="Arial" w:hAnsi="Arial" w:cs="Arial"/>
          <w:lang w:val="tr-TR"/>
        </w:rPr>
        <w:sectPr w:rsidR="00334E78" w:rsidRPr="00D00722" w:rsidSect="00EE69AC">
          <w:headerReference w:type="default" r:id="rId16"/>
          <w:pgSz w:w="16834" w:h="11907" w:orient="landscape" w:code="9"/>
          <w:pgMar w:top="1418" w:right="1418" w:bottom="1418" w:left="1418" w:header="709" w:footer="709" w:gutter="0"/>
          <w:cols w:space="708"/>
        </w:sectPr>
      </w:pPr>
    </w:p>
    <w:p w:rsidR="008D47CB" w:rsidRPr="00D00722" w:rsidRDefault="006D6214" w:rsidP="0090567F">
      <w:pPr>
        <w:pStyle w:val="body0"/>
        <w:spacing w:after="0" w:line="240" w:lineRule="auto"/>
        <w:ind w:left="567" w:hanging="567"/>
        <w:jc w:val="left"/>
        <w:rPr>
          <w:rFonts w:ascii="Arial" w:hAnsi="Arial" w:cs="Arial"/>
          <w:b/>
          <w:spacing w:val="-2"/>
          <w:sz w:val="20"/>
          <w:szCs w:val="20"/>
          <w:lang w:val="tr-TR"/>
        </w:rPr>
      </w:pPr>
      <w:r w:rsidRPr="00D00722">
        <w:rPr>
          <w:rFonts w:ascii="Arial" w:hAnsi="Arial" w:cs="Arial"/>
          <w:b/>
          <w:spacing w:val="-2"/>
          <w:sz w:val="20"/>
          <w:szCs w:val="20"/>
          <w:lang w:val="tr-TR"/>
        </w:rPr>
        <w:t>24</w:t>
      </w:r>
      <w:r w:rsidR="008D47CB" w:rsidRPr="00D00722">
        <w:rPr>
          <w:rFonts w:ascii="Arial" w:hAnsi="Arial" w:cs="Arial"/>
          <w:b/>
          <w:spacing w:val="-2"/>
          <w:sz w:val="20"/>
          <w:szCs w:val="20"/>
          <w:lang w:val="tr-TR"/>
        </w:rPr>
        <w:t>.</w:t>
      </w:r>
      <w:r w:rsidR="008D47CB" w:rsidRPr="00D00722">
        <w:rPr>
          <w:rFonts w:ascii="Arial" w:hAnsi="Arial" w:cs="Arial"/>
          <w:b/>
          <w:spacing w:val="-2"/>
          <w:sz w:val="20"/>
          <w:szCs w:val="20"/>
          <w:lang w:val="tr-TR"/>
        </w:rPr>
        <w:tab/>
      </w:r>
      <w:r w:rsidR="003C0653" w:rsidRPr="00D00722">
        <w:rPr>
          <w:rFonts w:ascii="Arial" w:hAnsi="Arial" w:cs="Arial"/>
          <w:b/>
          <w:spacing w:val="-2"/>
          <w:sz w:val="20"/>
          <w:szCs w:val="20"/>
          <w:lang w:val="tr-TR"/>
        </w:rPr>
        <w:t xml:space="preserve">Finansal araçlardan kaynaklanan risklerin niteliği ve düzeyi </w:t>
      </w:r>
      <w:r w:rsidR="008D47CB" w:rsidRPr="00D00722">
        <w:rPr>
          <w:rFonts w:ascii="Arial" w:hAnsi="Arial" w:cs="Arial"/>
          <w:b/>
          <w:spacing w:val="-2"/>
          <w:sz w:val="20"/>
          <w:szCs w:val="20"/>
          <w:lang w:val="tr-TR"/>
        </w:rPr>
        <w:t>(devamı)</w:t>
      </w:r>
    </w:p>
    <w:p w:rsidR="008D47CB" w:rsidRPr="00D00722" w:rsidRDefault="008D47CB" w:rsidP="0090567F">
      <w:pPr>
        <w:autoSpaceDE w:val="0"/>
        <w:autoSpaceDN w:val="0"/>
        <w:adjustRightInd w:val="0"/>
        <w:rPr>
          <w:rFonts w:ascii="Arial" w:hAnsi="Arial" w:cs="Arial"/>
          <w:lang w:val="tr-TR"/>
        </w:rPr>
      </w:pPr>
    </w:p>
    <w:p w:rsidR="005A2DE5" w:rsidRPr="00D00722" w:rsidRDefault="005A2DE5" w:rsidP="0090567F">
      <w:pPr>
        <w:widowControl w:val="0"/>
        <w:ind w:right="-23"/>
        <w:rPr>
          <w:rFonts w:ascii="Arial" w:hAnsi="Arial" w:cs="Arial"/>
          <w:u w:val="single"/>
          <w:lang w:val="tr-TR"/>
        </w:rPr>
      </w:pPr>
      <w:r w:rsidRPr="00D00722">
        <w:rPr>
          <w:rFonts w:ascii="Arial" w:hAnsi="Arial" w:cs="Arial"/>
          <w:u w:val="single"/>
          <w:lang w:val="tr-TR"/>
        </w:rPr>
        <w:t>Faiz oranı riski</w:t>
      </w:r>
    </w:p>
    <w:p w:rsidR="005A2DE5" w:rsidRPr="00D00722" w:rsidRDefault="005A2DE5" w:rsidP="0090567F">
      <w:pPr>
        <w:rPr>
          <w:rFonts w:ascii="Arial" w:hAnsi="Arial" w:cs="Arial"/>
          <w:lang w:val="tr-TR"/>
        </w:rPr>
      </w:pPr>
    </w:p>
    <w:p w:rsidR="00421478" w:rsidRPr="00D00722" w:rsidRDefault="00421478" w:rsidP="00421478">
      <w:pPr>
        <w:rPr>
          <w:rFonts w:ascii="Arial" w:hAnsi="Arial" w:cs="Arial"/>
          <w:lang w:val="tr-TR"/>
        </w:rPr>
      </w:pPr>
      <w:r w:rsidRPr="00D00722">
        <w:rPr>
          <w:rFonts w:ascii="Arial" w:hAnsi="Arial" w:cs="Arial"/>
          <w:lang w:val="tr-TR"/>
        </w:rPr>
        <w:t xml:space="preserve">Şirket’in faize duyarlı varlık ve yükümlülüğü ve dolayısıyla faiz oranı riski önemli sevide değildir. Faiz oranı riski, faiz oranı duyarlılığı olan varlık ve yükümlülüklerini dengelemek suretiyle oluşan doğal tedbirlerle yönetilmektedir. Şirket’in değişken faizli finansal varlık veya finansal yükümlülüğü bulunmamaktadır. </w:t>
      </w:r>
    </w:p>
    <w:p w:rsidR="00421478" w:rsidRPr="00D00722" w:rsidRDefault="00421478" w:rsidP="00421478">
      <w:pPr>
        <w:rPr>
          <w:rFonts w:ascii="Arial" w:hAnsi="Arial" w:cs="Arial"/>
          <w:lang w:val="tr-TR"/>
        </w:rPr>
      </w:pPr>
    </w:p>
    <w:p w:rsidR="00421478" w:rsidRPr="00D00722" w:rsidRDefault="00421478" w:rsidP="00421478">
      <w:pPr>
        <w:rPr>
          <w:rFonts w:ascii="Arial" w:hAnsi="Arial" w:cs="Arial"/>
          <w:lang w:val="tr-TR"/>
        </w:rPr>
      </w:pPr>
      <w:r w:rsidRPr="00D00722">
        <w:rPr>
          <w:rFonts w:ascii="Arial" w:hAnsi="Arial" w:cs="Arial"/>
          <w:lang w:val="tr-TR"/>
        </w:rPr>
        <w:t>Şirket, finansal araçların tahmini rayiç değerlerini hali hazırda mevcut piyasa bilgileri ve uygun değerleme yöntemlerini kullanarak belirlemiştir. Fakat piyasa bilgilerini değerlendirip rayiç değerleri tahmin edebilmek yorum ve muhakeme gerektirir. Sonuç olarak burada sunulan tahminler, Şirket’in cari bir piyasa işleminde elde edebileceği miktarların göstergesi olmayabilir. Rayiç değerleri tahmin edilebilir finansal enstrümanların, değerlerinin tahmini için aşağıdaki yöntem ve varsayımlar kullanılmıştır:</w:t>
      </w:r>
    </w:p>
    <w:p w:rsidR="00421478" w:rsidRPr="00D00722" w:rsidRDefault="00421478" w:rsidP="00421478">
      <w:pPr>
        <w:rPr>
          <w:rFonts w:ascii="Arial" w:hAnsi="Arial" w:cs="Arial"/>
          <w:lang w:val="tr-TR"/>
        </w:rPr>
      </w:pPr>
    </w:p>
    <w:p w:rsidR="00421478" w:rsidRPr="00D00722" w:rsidRDefault="00421478" w:rsidP="00421478">
      <w:pPr>
        <w:rPr>
          <w:rFonts w:ascii="Arial" w:hAnsi="Arial" w:cs="Arial"/>
          <w:lang w:val="tr-TR"/>
        </w:rPr>
      </w:pPr>
      <w:r w:rsidRPr="00D00722">
        <w:rPr>
          <w:rFonts w:ascii="Arial" w:hAnsi="Arial" w:cs="Arial"/>
          <w:lang w:val="tr-TR"/>
        </w:rPr>
        <w:t>Finansal varlıklar -- Finansal aktiflerin, kısa vadeli olmaları ve kredi kaybının önemsenmeyecek ölçüde olmasından dolayı, rayiç değerlerin taşınan değerlerine yakın olduğu kabul edilir.</w:t>
      </w:r>
    </w:p>
    <w:p w:rsidR="00421478" w:rsidRPr="00D00722" w:rsidRDefault="00421478" w:rsidP="00421478">
      <w:pPr>
        <w:rPr>
          <w:rFonts w:ascii="Arial" w:hAnsi="Arial" w:cs="Arial"/>
          <w:lang w:val="tr-TR"/>
        </w:rPr>
      </w:pPr>
    </w:p>
    <w:p w:rsidR="006332FA" w:rsidRPr="00D00722" w:rsidRDefault="00421478" w:rsidP="00421478">
      <w:pPr>
        <w:rPr>
          <w:rFonts w:ascii="Arial" w:hAnsi="Arial" w:cs="Arial"/>
          <w:lang w:val="tr-TR"/>
        </w:rPr>
      </w:pPr>
      <w:r w:rsidRPr="00D00722">
        <w:rPr>
          <w:rFonts w:ascii="Arial" w:hAnsi="Arial" w:cs="Arial"/>
          <w:lang w:val="tr-TR"/>
        </w:rPr>
        <w:t>Finansal yükümlülükler -- Ticari borçların ve diğer parasal yükümlülüklerin, kısa vadeli olmasından dolayı, rayiç değerlerin taşınan değerlerine yakın olduğu kabul edilir.</w:t>
      </w:r>
    </w:p>
    <w:p w:rsidR="00421478" w:rsidRPr="00D00722" w:rsidRDefault="00421478" w:rsidP="00421478">
      <w:pPr>
        <w:rPr>
          <w:rFonts w:ascii="Arial" w:hAnsi="Arial" w:cs="Arial"/>
          <w:lang w:val="tr-TR"/>
        </w:rPr>
      </w:pPr>
    </w:p>
    <w:p w:rsidR="006332FA" w:rsidRPr="00D00722" w:rsidRDefault="006332FA" w:rsidP="0090567F">
      <w:pPr>
        <w:rPr>
          <w:rFonts w:ascii="Arial" w:hAnsi="Arial" w:cs="Arial"/>
          <w:u w:val="single"/>
          <w:lang w:val="tr-TR"/>
        </w:rPr>
      </w:pPr>
      <w:r w:rsidRPr="00D00722">
        <w:rPr>
          <w:rFonts w:ascii="Arial" w:hAnsi="Arial" w:cs="Arial"/>
          <w:u w:val="single"/>
          <w:lang w:val="tr-TR"/>
        </w:rPr>
        <w:t>Hisse senedi fiyat riski</w:t>
      </w:r>
    </w:p>
    <w:p w:rsidR="006332FA" w:rsidRPr="00D00722" w:rsidRDefault="006332FA" w:rsidP="0090567F">
      <w:pPr>
        <w:pStyle w:val="Bodycopy"/>
        <w:spacing w:before="0" w:line="240" w:lineRule="auto"/>
        <w:ind w:right="-327"/>
        <w:rPr>
          <w:sz w:val="20"/>
          <w:szCs w:val="20"/>
          <w:lang w:val="tr-TR"/>
        </w:rPr>
      </w:pPr>
    </w:p>
    <w:p w:rsidR="006332FA" w:rsidRPr="00D00722" w:rsidRDefault="00152448" w:rsidP="0090567F">
      <w:pPr>
        <w:widowControl w:val="0"/>
        <w:ind w:right="-23"/>
        <w:rPr>
          <w:rFonts w:ascii="Arial" w:hAnsi="Arial" w:cs="Arial"/>
          <w:lang w:val="tr-TR"/>
        </w:rPr>
      </w:pPr>
      <w:r w:rsidRPr="00D00722">
        <w:rPr>
          <w:rFonts w:ascii="Arial" w:hAnsi="Arial" w:cs="Arial"/>
          <w:lang w:val="tr-TR"/>
        </w:rPr>
        <w:t xml:space="preserve">Şirket aynı zamanda, portföyünde bulunan hisse senetlerinde meydana gelebilecek fiyat değişimlerinin yol açacağı hisse senedi fiyat riskine maruz kalmaktadır. </w:t>
      </w:r>
      <w:r w:rsidR="00C73054" w:rsidRPr="00D00722">
        <w:rPr>
          <w:rFonts w:ascii="Arial" w:hAnsi="Arial" w:cs="Arial"/>
          <w:lang w:val="tr-TR"/>
        </w:rPr>
        <w:t xml:space="preserve">Bu risk </w:t>
      </w:r>
      <w:r w:rsidR="003972A7" w:rsidRPr="00D00722">
        <w:rPr>
          <w:rFonts w:ascii="Arial" w:hAnsi="Arial" w:cs="Arial"/>
          <w:lang w:val="tr-TR"/>
        </w:rPr>
        <w:t xml:space="preserve">31 </w:t>
      </w:r>
      <w:r w:rsidR="00BC2303" w:rsidRPr="00D00722">
        <w:rPr>
          <w:rFonts w:ascii="Arial" w:hAnsi="Arial" w:cs="Arial"/>
          <w:lang w:val="tr-TR"/>
        </w:rPr>
        <w:t>Mart</w:t>
      </w:r>
      <w:r w:rsidR="003972A7" w:rsidRPr="00D00722">
        <w:rPr>
          <w:rFonts w:ascii="Arial" w:hAnsi="Arial" w:cs="Arial"/>
          <w:lang w:val="tr-TR"/>
        </w:rPr>
        <w:t xml:space="preserve"> </w:t>
      </w:r>
      <w:r w:rsidR="00AA4A0B" w:rsidRPr="00D00722">
        <w:rPr>
          <w:rFonts w:ascii="Arial" w:hAnsi="Arial" w:cs="Arial"/>
          <w:lang w:val="tr-TR"/>
        </w:rPr>
        <w:t>201</w:t>
      </w:r>
      <w:r w:rsidR="00BC2303" w:rsidRPr="00D00722">
        <w:rPr>
          <w:rFonts w:ascii="Arial" w:hAnsi="Arial" w:cs="Arial"/>
          <w:lang w:val="tr-TR"/>
        </w:rPr>
        <w:t>4</w:t>
      </w:r>
      <w:r w:rsidR="00AF0165" w:rsidRPr="00D00722">
        <w:rPr>
          <w:rFonts w:ascii="Arial" w:hAnsi="Arial" w:cs="Arial"/>
          <w:lang w:val="tr-TR"/>
        </w:rPr>
        <w:t xml:space="preserve"> </w:t>
      </w:r>
      <w:r w:rsidR="00C73054" w:rsidRPr="00D00722">
        <w:rPr>
          <w:rFonts w:ascii="Arial" w:hAnsi="Arial" w:cs="Arial"/>
          <w:lang w:val="tr-TR"/>
        </w:rPr>
        <w:t xml:space="preserve">tarihi </w:t>
      </w:r>
      <w:r w:rsidR="00200AA8" w:rsidRPr="00D00722">
        <w:rPr>
          <w:rFonts w:ascii="Arial" w:hAnsi="Arial" w:cs="Arial"/>
          <w:lang w:val="tr-TR"/>
        </w:rPr>
        <w:t>itibariyle</w:t>
      </w:r>
      <w:r w:rsidR="008B57CB" w:rsidRPr="00D00722">
        <w:rPr>
          <w:rFonts w:ascii="Arial" w:hAnsi="Arial" w:cs="Arial"/>
          <w:lang w:val="tr-TR"/>
        </w:rPr>
        <w:t xml:space="preserve"> bulunmamaktadır</w:t>
      </w:r>
      <w:r w:rsidR="00C73054" w:rsidRPr="00D00722">
        <w:rPr>
          <w:rFonts w:ascii="Arial" w:hAnsi="Arial" w:cs="Arial"/>
          <w:lang w:val="tr-TR"/>
        </w:rPr>
        <w:t xml:space="preserve"> (31 </w:t>
      </w:r>
      <w:r w:rsidR="00BC2303" w:rsidRPr="00D00722">
        <w:rPr>
          <w:rFonts w:ascii="Arial" w:hAnsi="Arial" w:cs="Arial"/>
          <w:lang w:val="tr-TR"/>
        </w:rPr>
        <w:t>Mart</w:t>
      </w:r>
      <w:r w:rsidR="00C73054" w:rsidRPr="00D00722">
        <w:rPr>
          <w:rFonts w:ascii="Arial" w:hAnsi="Arial" w:cs="Arial"/>
          <w:lang w:val="tr-TR"/>
        </w:rPr>
        <w:t xml:space="preserve"> </w:t>
      </w:r>
      <w:r w:rsidR="00350F68" w:rsidRPr="00D00722">
        <w:rPr>
          <w:rFonts w:ascii="Arial" w:hAnsi="Arial" w:cs="Arial"/>
          <w:lang w:val="tr-TR"/>
        </w:rPr>
        <w:t>201</w:t>
      </w:r>
      <w:r w:rsidR="00BC2303" w:rsidRPr="00D00722">
        <w:rPr>
          <w:rFonts w:ascii="Arial" w:hAnsi="Arial" w:cs="Arial"/>
          <w:lang w:val="tr-TR"/>
        </w:rPr>
        <w:t>4</w:t>
      </w:r>
      <w:r w:rsidR="00C73054" w:rsidRPr="00D00722">
        <w:rPr>
          <w:rFonts w:ascii="Arial" w:hAnsi="Arial" w:cs="Arial"/>
          <w:lang w:val="tr-TR"/>
        </w:rPr>
        <w:t xml:space="preserve"> – Yoktur).</w:t>
      </w:r>
    </w:p>
    <w:p w:rsidR="00245BD3" w:rsidRPr="00D00722" w:rsidRDefault="00245BD3" w:rsidP="0090567F">
      <w:pPr>
        <w:rPr>
          <w:rFonts w:ascii="Arial" w:hAnsi="Arial" w:cs="Arial"/>
          <w:b/>
          <w:lang w:val="tr-TR"/>
        </w:rPr>
      </w:pPr>
    </w:p>
    <w:p w:rsidR="00FE7D29" w:rsidRPr="00D00722" w:rsidRDefault="00FE7D29" w:rsidP="0090567F">
      <w:pPr>
        <w:autoSpaceDE w:val="0"/>
        <w:autoSpaceDN w:val="0"/>
        <w:adjustRightInd w:val="0"/>
        <w:rPr>
          <w:rFonts w:ascii="Arial" w:hAnsi="Arial" w:cs="Arial"/>
          <w:u w:val="single"/>
          <w:lang w:val="tr-TR"/>
        </w:rPr>
      </w:pPr>
      <w:r w:rsidRPr="00D00722">
        <w:rPr>
          <w:rFonts w:ascii="Arial" w:hAnsi="Arial" w:cs="Arial"/>
          <w:u w:val="single"/>
          <w:lang w:val="tr-TR"/>
        </w:rPr>
        <w:t>Likidite riski</w:t>
      </w:r>
    </w:p>
    <w:p w:rsidR="00FE7D29" w:rsidRPr="00D00722" w:rsidRDefault="00FE7D29" w:rsidP="0090567F">
      <w:pPr>
        <w:rPr>
          <w:rFonts w:ascii="Arial" w:hAnsi="Arial" w:cs="Arial"/>
          <w:lang w:val="tr-TR"/>
        </w:rPr>
      </w:pPr>
    </w:p>
    <w:p w:rsidR="00FE7D29" w:rsidRPr="00D00722" w:rsidRDefault="00FE7D29" w:rsidP="0090567F">
      <w:pPr>
        <w:widowControl w:val="0"/>
        <w:ind w:right="-23"/>
        <w:rPr>
          <w:rFonts w:ascii="Arial" w:hAnsi="Arial" w:cs="Arial"/>
          <w:lang w:val="tr-TR"/>
        </w:rPr>
      </w:pPr>
      <w:r w:rsidRPr="00D00722">
        <w:rPr>
          <w:rFonts w:ascii="Arial" w:hAnsi="Arial" w:cs="Arial"/>
          <w:lang w:val="tr-TR"/>
        </w:rPr>
        <w:t xml:space="preserve">Likidite riski, uzun vadeli varlıkların kısa vadeli kaynaklarla fonlanmasının bir sonucu olarak ortaya çıkabilmektedir. Şirket’in faaliyeti gereği varlıklarının tamamına yakın kısmını nakit ve benzeri kalemler ile finansal yatırımlar oluşturmaktadır. Şirket yönetimi, varlıkları </w:t>
      </w:r>
      <w:r w:rsidR="00901803" w:rsidRPr="00D00722">
        <w:rPr>
          <w:rFonts w:ascii="Arial" w:hAnsi="Arial" w:cs="Arial"/>
          <w:lang w:val="tr-TR"/>
        </w:rPr>
        <w:t>özsermaye</w:t>
      </w:r>
      <w:r w:rsidRPr="00D00722">
        <w:rPr>
          <w:rFonts w:ascii="Arial" w:hAnsi="Arial" w:cs="Arial"/>
          <w:lang w:val="tr-TR"/>
        </w:rPr>
        <w:t xml:space="preserve"> ile finanse ederek, likidite riskini asgari seviyede tutmaktadır.</w:t>
      </w:r>
    </w:p>
    <w:p w:rsidR="00FE7D29" w:rsidRPr="00D00722" w:rsidRDefault="00FE7D29" w:rsidP="0090567F">
      <w:pPr>
        <w:widowControl w:val="0"/>
        <w:ind w:right="-23"/>
        <w:rPr>
          <w:rFonts w:ascii="Arial" w:hAnsi="Arial" w:cs="Arial"/>
          <w:lang w:val="tr-TR"/>
        </w:rPr>
      </w:pPr>
    </w:p>
    <w:p w:rsidR="00FE7D29" w:rsidRPr="00D00722" w:rsidRDefault="00FE7D29" w:rsidP="0090567F">
      <w:pPr>
        <w:widowControl w:val="0"/>
        <w:ind w:right="-23"/>
        <w:rPr>
          <w:rFonts w:ascii="Arial" w:hAnsi="Arial" w:cs="Arial"/>
          <w:lang w:val="tr-TR"/>
        </w:rPr>
      </w:pPr>
      <w:r w:rsidRPr="00D00722">
        <w:rPr>
          <w:rFonts w:ascii="Arial" w:hAnsi="Arial" w:cs="Arial"/>
          <w:lang w:val="tr-TR"/>
        </w:rPr>
        <w:t xml:space="preserve">Aşağıdaki tablo bilanço tarihi </w:t>
      </w:r>
      <w:r w:rsidR="00200AA8" w:rsidRPr="00D00722">
        <w:rPr>
          <w:rFonts w:ascii="Arial" w:hAnsi="Arial" w:cs="Arial"/>
          <w:lang w:val="tr-TR"/>
        </w:rPr>
        <w:t>itibariyle</w:t>
      </w:r>
      <w:r w:rsidRPr="00D00722">
        <w:rPr>
          <w:rFonts w:ascii="Arial" w:hAnsi="Arial" w:cs="Arial"/>
          <w:lang w:val="tr-TR"/>
        </w:rPr>
        <w:t xml:space="preserve"> Şirket’in varlık ve yükümlülüklerin bilanço tarihinde kalan vadeleri baz alınarak ilgili vade gruplamalarına göre dağılımını göstermektedir:</w:t>
      </w:r>
    </w:p>
    <w:p w:rsidR="00EE69AC" w:rsidRPr="00D00722" w:rsidRDefault="00EE69AC" w:rsidP="00EE69AC">
      <w:pPr>
        <w:pStyle w:val="BodyText2"/>
        <w:tabs>
          <w:tab w:val="clear" w:pos="-720"/>
          <w:tab w:val="clear" w:pos="0"/>
        </w:tabs>
        <w:rPr>
          <w:rFonts w:ascii="Arial" w:hAnsi="Arial" w:cs="Arial"/>
          <w:sz w:val="20"/>
          <w:lang w:val="tr-TR"/>
        </w:rPr>
      </w:pPr>
    </w:p>
    <w:p w:rsidR="004362C7" w:rsidRPr="00D00722" w:rsidRDefault="004362C7" w:rsidP="004362C7">
      <w:pPr>
        <w:pStyle w:val="BodyText2"/>
        <w:tabs>
          <w:tab w:val="clear" w:pos="-720"/>
          <w:tab w:val="clear" w:pos="0"/>
        </w:tabs>
        <w:rPr>
          <w:rFonts w:ascii="Arial" w:hAnsi="Arial" w:cs="Arial"/>
          <w:sz w:val="20"/>
          <w:lang w:val="tr-TR"/>
        </w:rPr>
      </w:pPr>
    </w:p>
    <w:tbl>
      <w:tblPr>
        <w:tblW w:w="4983" w:type="pct"/>
        <w:tblInd w:w="108" w:type="dxa"/>
        <w:tblBorders>
          <w:bottom w:val="single" w:sz="4" w:space="0" w:color="auto"/>
        </w:tblBorders>
        <w:tblLayout w:type="fixed"/>
        <w:tblLook w:val="0000"/>
      </w:tblPr>
      <w:tblGrid>
        <w:gridCol w:w="2553"/>
        <w:gridCol w:w="1135"/>
        <w:gridCol w:w="814"/>
        <w:gridCol w:w="798"/>
        <w:gridCol w:w="979"/>
        <w:gridCol w:w="746"/>
        <w:gridCol w:w="1099"/>
        <w:gridCol w:w="1131"/>
      </w:tblGrid>
      <w:tr w:rsidR="004362C7" w:rsidRPr="00D00722" w:rsidTr="00ED6F5D">
        <w:trPr>
          <w:trHeight w:val="113"/>
        </w:trPr>
        <w:tc>
          <w:tcPr>
            <w:tcW w:w="1379" w:type="pct"/>
            <w:tcBorders>
              <w:top w:val="single" w:sz="4" w:space="0" w:color="auto"/>
              <w:bottom w:val="single" w:sz="4" w:space="0" w:color="auto"/>
            </w:tcBorders>
            <w:vAlign w:val="bottom"/>
          </w:tcPr>
          <w:p w:rsidR="004362C7" w:rsidRPr="00D00722" w:rsidRDefault="004362C7" w:rsidP="00ED6F5D">
            <w:pPr>
              <w:pStyle w:val="Teknik4"/>
              <w:tabs>
                <w:tab w:val="clear" w:pos="-720"/>
              </w:tabs>
              <w:suppressAutoHyphens w:val="0"/>
              <w:ind w:left="34" w:hanging="142"/>
              <w:jc w:val="both"/>
              <w:rPr>
                <w:rFonts w:ascii="Arial" w:hAnsi="Arial" w:cs="Arial"/>
                <w:sz w:val="16"/>
                <w:szCs w:val="16"/>
                <w:lang w:val="tr-TR"/>
              </w:rPr>
            </w:pPr>
          </w:p>
        </w:tc>
        <w:tc>
          <w:tcPr>
            <w:tcW w:w="3621" w:type="pct"/>
            <w:gridSpan w:val="7"/>
            <w:tcBorders>
              <w:top w:val="single" w:sz="4" w:space="0" w:color="auto"/>
              <w:bottom w:val="single" w:sz="4" w:space="0" w:color="auto"/>
            </w:tcBorders>
            <w:vAlign w:val="bottom"/>
          </w:tcPr>
          <w:p w:rsidR="004362C7" w:rsidRPr="00D00722" w:rsidRDefault="004362C7" w:rsidP="004362C7">
            <w:pPr>
              <w:pStyle w:val="Teknik4"/>
              <w:tabs>
                <w:tab w:val="clear" w:pos="-720"/>
              </w:tabs>
              <w:suppressAutoHyphens w:val="0"/>
              <w:ind w:left="1634"/>
              <w:jc w:val="right"/>
              <w:rPr>
                <w:rFonts w:ascii="Arial" w:hAnsi="Arial" w:cs="Arial"/>
                <w:bCs/>
                <w:sz w:val="16"/>
                <w:szCs w:val="16"/>
                <w:lang w:val="tr-TR"/>
              </w:rPr>
            </w:pPr>
            <w:r w:rsidRPr="00D00722">
              <w:rPr>
                <w:rFonts w:ascii="Arial" w:hAnsi="Arial" w:cs="Arial"/>
                <w:bCs/>
                <w:sz w:val="16"/>
                <w:szCs w:val="16"/>
                <w:lang w:val="tr-TR"/>
              </w:rPr>
              <w:t>31 Mart 2014</w:t>
            </w:r>
          </w:p>
        </w:tc>
      </w:tr>
      <w:tr w:rsidR="004362C7" w:rsidRPr="00D00722" w:rsidTr="00ED6F5D">
        <w:trPr>
          <w:trHeight w:val="113"/>
        </w:trPr>
        <w:tc>
          <w:tcPr>
            <w:tcW w:w="1379" w:type="pct"/>
            <w:tcBorders>
              <w:top w:val="single" w:sz="4" w:space="0" w:color="auto"/>
              <w:bottom w:val="single" w:sz="4" w:space="0" w:color="auto"/>
            </w:tcBorders>
            <w:vAlign w:val="bottom"/>
          </w:tcPr>
          <w:p w:rsidR="004362C7" w:rsidRPr="00D00722" w:rsidRDefault="004362C7" w:rsidP="00ED6F5D">
            <w:pPr>
              <w:pStyle w:val="Teknik4"/>
              <w:tabs>
                <w:tab w:val="clear" w:pos="-720"/>
              </w:tabs>
              <w:suppressAutoHyphens w:val="0"/>
              <w:ind w:left="34" w:hanging="142"/>
              <w:jc w:val="both"/>
              <w:rPr>
                <w:rFonts w:ascii="Arial" w:hAnsi="Arial" w:cs="Arial"/>
                <w:sz w:val="16"/>
                <w:szCs w:val="16"/>
                <w:lang w:val="tr-TR"/>
              </w:rPr>
            </w:pPr>
          </w:p>
        </w:tc>
        <w:tc>
          <w:tcPr>
            <w:tcW w:w="613" w:type="pct"/>
            <w:tcBorders>
              <w:top w:val="single" w:sz="4" w:space="0" w:color="auto"/>
              <w:bottom w:val="single" w:sz="4" w:space="0" w:color="auto"/>
            </w:tcBorders>
            <w:vAlign w:val="bottom"/>
          </w:tcPr>
          <w:p w:rsidR="004362C7" w:rsidRPr="00D00722" w:rsidRDefault="004362C7" w:rsidP="00ED6F5D">
            <w:pPr>
              <w:pStyle w:val="Teknik4"/>
              <w:tabs>
                <w:tab w:val="clear" w:pos="-720"/>
              </w:tabs>
              <w:suppressAutoHyphens w:val="0"/>
              <w:jc w:val="right"/>
              <w:rPr>
                <w:rFonts w:ascii="Arial" w:hAnsi="Arial" w:cs="Arial"/>
                <w:sz w:val="16"/>
                <w:szCs w:val="16"/>
                <w:lang w:val="tr-TR"/>
              </w:rPr>
            </w:pPr>
          </w:p>
          <w:p w:rsidR="004362C7" w:rsidRPr="00D00722" w:rsidRDefault="004362C7" w:rsidP="00ED6F5D">
            <w:pPr>
              <w:pStyle w:val="Teknik4"/>
              <w:tabs>
                <w:tab w:val="clear" w:pos="-720"/>
              </w:tabs>
              <w:suppressAutoHyphens w:val="0"/>
              <w:jc w:val="right"/>
              <w:rPr>
                <w:rFonts w:ascii="Arial" w:hAnsi="Arial" w:cs="Arial"/>
                <w:sz w:val="16"/>
                <w:szCs w:val="16"/>
                <w:lang w:val="tr-TR"/>
              </w:rPr>
            </w:pPr>
            <w:r w:rsidRPr="00D00722">
              <w:rPr>
                <w:rFonts w:ascii="Arial" w:hAnsi="Arial" w:cs="Arial"/>
                <w:sz w:val="16"/>
                <w:szCs w:val="16"/>
                <w:lang w:val="tr-TR"/>
              </w:rPr>
              <w:t>1 aya kadar</w:t>
            </w:r>
          </w:p>
        </w:tc>
        <w:tc>
          <w:tcPr>
            <w:tcW w:w="440" w:type="pct"/>
            <w:tcBorders>
              <w:top w:val="single" w:sz="4" w:space="0" w:color="auto"/>
              <w:bottom w:val="single" w:sz="4" w:space="0" w:color="auto"/>
            </w:tcBorders>
            <w:vAlign w:val="bottom"/>
          </w:tcPr>
          <w:p w:rsidR="004362C7" w:rsidRPr="00D00722" w:rsidRDefault="004362C7" w:rsidP="00ED6F5D">
            <w:pPr>
              <w:pStyle w:val="Teknik4"/>
              <w:tabs>
                <w:tab w:val="clear" w:pos="-720"/>
              </w:tabs>
              <w:suppressAutoHyphens w:val="0"/>
              <w:jc w:val="right"/>
              <w:rPr>
                <w:rFonts w:ascii="Arial" w:hAnsi="Arial" w:cs="Arial"/>
                <w:sz w:val="16"/>
                <w:szCs w:val="16"/>
                <w:lang w:val="tr-TR"/>
              </w:rPr>
            </w:pPr>
            <w:r w:rsidRPr="00D00722">
              <w:rPr>
                <w:rFonts w:ascii="Arial" w:hAnsi="Arial" w:cs="Arial"/>
                <w:sz w:val="16"/>
                <w:szCs w:val="16"/>
                <w:lang w:val="tr-TR"/>
              </w:rPr>
              <w:t>1 ay-</w:t>
            </w:r>
          </w:p>
          <w:p w:rsidR="004362C7" w:rsidRPr="00D00722" w:rsidRDefault="004362C7" w:rsidP="00ED6F5D">
            <w:pPr>
              <w:pStyle w:val="Teknik4"/>
              <w:tabs>
                <w:tab w:val="clear" w:pos="-720"/>
              </w:tabs>
              <w:suppressAutoHyphens w:val="0"/>
              <w:jc w:val="right"/>
              <w:rPr>
                <w:rFonts w:ascii="Arial" w:hAnsi="Arial" w:cs="Arial"/>
                <w:sz w:val="16"/>
                <w:szCs w:val="16"/>
                <w:lang w:val="tr-TR"/>
              </w:rPr>
            </w:pPr>
            <w:r w:rsidRPr="00D00722">
              <w:rPr>
                <w:rFonts w:ascii="Arial" w:hAnsi="Arial" w:cs="Arial"/>
                <w:sz w:val="16"/>
                <w:szCs w:val="16"/>
                <w:lang w:val="tr-TR"/>
              </w:rPr>
              <w:t>3 ay</w:t>
            </w:r>
          </w:p>
        </w:tc>
        <w:tc>
          <w:tcPr>
            <w:tcW w:w="431" w:type="pct"/>
            <w:tcBorders>
              <w:top w:val="single" w:sz="4" w:space="0" w:color="auto"/>
              <w:bottom w:val="single" w:sz="4" w:space="0" w:color="auto"/>
            </w:tcBorders>
            <w:vAlign w:val="bottom"/>
          </w:tcPr>
          <w:p w:rsidR="004362C7" w:rsidRPr="00D00722" w:rsidRDefault="004362C7" w:rsidP="00ED6F5D">
            <w:pPr>
              <w:pStyle w:val="Teknik4"/>
              <w:tabs>
                <w:tab w:val="clear" w:pos="-720"/>
              </w:tabs>
              <w:suppressAutoHyphens w:val="0"/>
              <w:jc w:val="right"/>
              <w:rPr>
                <w:rFonts w:ascii="Arial" w:hAnsi="Arial" w:cs="Arial"/>
                <w:sz w:val="16"/>
                <w:szCs w:val="16"/>
                <w:lang w:val="tr-TR"/>
              </w:rPr>
            </w:pPr>
            <w:r w:rsidRPr="00D00722">
              <w:rPr>
                <w:rFonts w:ascii="Arial" w:hAnsi="Arial" w:cs="Arial"/>
                <w:sz w:val="16"/>
                <w:szCs w:val="16"/>
                <w:lang w:val="tr-TR"/>
              </w:rPr>
              <w:t>3 ay –</w:t>
            </w:r>
          </w:p>
          <w:p w:rsidR="004362C7" w:rsidRPr="00D00722" w:rsidRDefault="004362C7" w:rsidP="00ED6F5D">
            <w:pPr>
              <w:pStyle w:val="Teknik4"/>
              <w:tabs>
                <w:tab w:val="clear" w:pos="-720"/>
              </w:tabs>
              <w:suppressAutoHyphens w:val="0"/>
              <w:jc w:val="right"/>
              <w:rPr>
                <w:rFonts w:ascii="Arial" w:hAnsi="Arial" w:cs="Arial"/>
                <w:sz w:val="16"/>
                <w:szCs w:val="16"/>
                <w:lang w:val="tr-TR"/>
              </w:rPr>
            </w:pPr>
            <w:r w:rsidRPr="00D00722">
              <w:rPr>
                <w:rFonts w:ascii="Arial" w:hAnsi="Arial" w:cs="Arial"/>
                <w:sz w:val="16"/>
                <w:szCs w:val="16"/>
                <w:lang w:val="tr-TR"/>
              </w:rPr>
              <w:t>1 yıl</w:t>
            </w:r>
          </w:p>
        </w:tc>
        <w:tc>
          <w:tcPr>
            <w:tcW w:w="529" w:type="pct"/>
            <w:tcBorders>
              <w:top w:val="single" w:sz="4" w:space="0" w:color="auto"/>
              <w:bottom w:val="single" w:sz="4" w:space="0" w:color="auto"/>
            </w:tcBorders>
            <w:vAlign w:val="bottom"/>
          </w:tcPr>
          <w:p w:rsidR="004362C7" w:rsidRPr="00D00722" w:rsidRDefault="004362C7" w:rsidP="00ED6F5D">
            <w:pPr>
              <w:pStyle w:val="Teknik4"/>
              <w:tabs>
                <w:tab w:val="clear" w:pos="-720"/>
              </w:tabs>
              <w:suppressAutoHyphens w:val="0"/>
              <w:jc w:val="right"/>
              <w:rPr>
                <w:rFonts w:ascii="Arial" w:hAnsi="Arial" w:cs="Arial"/>
                <w:sz w:val="16"/>
                <w:szCs w:val="16"/>
                <w:lang w:val="tr-TR"/>
              </w:rPr>
            </w:pPr>
            <w:r w:rsidRPr="00D00722">
              <w:rPr>
                <w:rFonts w:ascii="Arial" w:hAnsi="Arial" w:cs="Arial"/>
                <w:sz w:val="16"/>
                <w:szCs w:val="16"/>
                <w:lang w:val="tr-TR"/>
              </w:rPr>
              <w:t>1 yıl-</w:t>
            </w:r>
          </w:p>
          <w:p w:rsidR="004362C7" w:rsidRPr="00D00722" w:rsidRDefault="004362C7" w:rsidP="00ED6F5D">
            <w:pPr>
              <w:pStyle w:val="Teknik4"/>
              <w:tabs>
                <w:tab w:val="clear" w:pos="-720"/>
              </w:tabs>
              <w:suppressAutoHyphens w:val="0"/>
              <w:jc w:val="right"/>
              <w:rPr>
                <w:rFonts w:ascii="Arial" w:hAnsi="Arial" w:cs="Arial"/>
                <w:sz w:val="16"/>
                <w:szCs w:val="16"/>
                <w:lang w:val="tr-TR"/>
              </w:rPr>
            </w:pPr>
            <w:r w:rsidRPr="00D00722">
              <w:rPr>
                <w:rFonts w:ascii="Arial" w:hAnsi="Arial" w:cs="Arial"/>
                <w:sz w:val="16"/>
                <w:szCs w:val="16"/>
                <w:lang w:val="tr-TR"/>
              </w:rPr>
              <w:t>5 yıl</w:t>
            </w:r>
          </w:p>
        </w:tc>
        <w:tc>
          <w:tcPr>
            <w:tcW w:w="403" w:type="pct"/>
            <w:tcBorders>
              <w:top w:val="single" w:sz="4" w:space="0" w:color="auto"/>
              <w:bottom w:val="single" w:sz="4" w:space="0" w:color="auto"/>
            </w:tcBorders>
            <w:vAlign w:val="bottom"/>
          </w:tcPr>
          <w:p w:rsidR="004362C7" w:rsidRPr="00D00722" w:rsidRDefault="004362C7" w:rsidP="00ED6F5D">
            <w:pPr>
              <w:pStyle w:val="Teknik4"/>
              <w:tabs>
                <w:tab w:val="clear" w:pos="-720"/>
              </w:tabs>
              <w:suppressAutoHyphens w:val="0"/>
              <w:jc w:val="right"/>
              <w:rPr>
                <w:rFonts w:ascii="Arial" w:hAnsi="Arial" w:cs="Arial"/>
                <w:sz w:val="16"/>
                <w:szCs w:val="16"/>
                <w:lang w:val="tr-TR"/>
              </w:rPr>
            </w:pPr>
            <w:r w:rsidRPr="00D00722">
              <w:rPr>
                <w:rFonts w:ascii="Arial" w:hAnsi="Arial" w:cs="Arial"/>
                <w:sz w:val="16"/>
                <w:szCs w:val="16"/>
                <w:lang w:val="tr-TR"/>
              </w:rPr>
              <w:t>5 yıl üzeri</w:t>
            </w:r>
          </w:p>
        </w:tc>
        <w:tc>
          <w:tcPr>
            <w:tcW w:w="594" w:type="pct"/>
            <w:tcBorders>
              <w:top w:val="single" w:sz="4" w:space="0" w:color="auto"/>
              <w:bottom w:val="single" w:sz="4" w:space="0" w:color="auto"/>
            </w:tcBorders>
            <w:vAlign w:val="bottom"/>
          </w:tcPr>
          <w:p w:rsidR="004362C7" w:rsidRPr="00D00722" w:rsidRDefault="004362C7" w:rsidP="00ED6F5D">
            <w:pPr>
              <w:pStyle w:val="Teknik4"/>
              <w:tabs>
                <w:tab w:val="clear" w:pos="-720"/>
              </w:tabs>
              <w:suppressAutoHyphens w:val="0"/>
              <w:jc w:val="right"/>
              <w:rPr>
                <w:rFonts w:ascii="Arial" w:hAnsi="Arial" w:cs="Arial"/>
                <w:bCs/>
                <w:sz w:val="16"/>
                <w:szCs w:val="16"/>
                <w:lang w:val="tr-TR"/>
              </w:rPr>
            </w:pPr>
            <w:r w:rsidRPr="00D00722">
              <w:rPr>
                <w:rFonts w:ascii="Arial" w:hAnsi="Arial" w:cs="Arial"/>
                <w:bCs/>
                <w:sz w:val="16"/>
                <w:szCs w:val="16"/>
                <w:lang w:val="tr-TR"/>
              </w:rPr>
              <w:t>Vadesiz</w:t>
            </w:r>
          </w:p>
        </w:tc>
        <w:tc>
          <w:tcPr>
            <w:tcW w:w="612" w:type="pct"/>
            <w:tcBorders>
              <w:top w:val="single" w:sz="4" w:space="0" w:color="auto"/>
              <w:bottom w:val="single" w:sz="4" w:space="0" w:color="auto"/>
            </w:tcBorders>
            <w:vAlign w:val="bottom"/>
          </w:tcPr>
          <w:p w:rsidR="004362C7" w:rsidRPr="00D00722" w:rsidRDefault="004362C7" w:rsidP="00ED6F5D">
            <w:pPr>
              <w:pStyle w:val="Teknik4"/>
              <w:tabs>
                <w:tab w:val="clear" w:pos="-720"/>
              </w:tabs>
              <w:suppressAutoHyphens w:val="0"/>
              <w:jc w:val="right"/>
              <w:rPr>
                <w:rFonts w:ascii="Arial" w:hAnsi="Arial" w:cs="Arial"/>
                <w:sz w:val="16"/>
                <w:szCs w:val="16"/>
                <w:lang w:val="tr-TR"/>
              </w:rPr>
            </w:pPr>
          </w:p>
          <w:p w:rsidR="004362C7" w:rsidRPr="00D00722" w:rsidRDefault="004362C7" w:rsidP="00ED6F5D">
            <w:pPr>
              <w:pStyle w:val="Teknik4"/>
              <w:tabs>
                <w:tab w:val="clear" w:pos="-720"/>
              </w:tabs>
              <w:suppressAutoHyphens w:val="0"/>
              <w:jc w:val="right"/>
              <w:rPr>
                <w:rFonts w:ascii="Arial" w:hAnsi="Arial" w:cs="Arial"/>
                <w:sz w:val="16"/>
                <w:szCs w:val="16"/>
                <w:lang w:val="tr-TR"/>
              </w:rPr>
            </w:pPr>
            <w:r w:rsidRPr="00D00722">
              <w:rPr>
                <w:rFonts w:ascii="Arial" w:hAnsi="Arial" w:cs="Arial"/>
                <w:sz w:val="16"/>
                <w:szCs w:val="16"/>
                <w:lang w:val="tr-TR"/>
              </w:rPr>
              <w:t>Toplam</w:t>
            </w:r>
          </w:p>
        </w:tc>
      </w:tr>
      <w:tr w:rsidR="004362C7" w:rsidRPr="00D00722" w:rsidTr="00ED6F5D">
        <w:trPr>
          <w:trHeight w:val="93"/>
        </w:trPr>
        <w:tc>
          <w:tcPr>
            <w:tcW w:w="1379" w:type="pct"/>
            <w:tcBorders>
              <w:top w:val="single" w:sz="4" w:space="0" w:color="auto"/>
            </w:tcBorders>
            <w:vAlign w:val="bottom"/>
          </w:tcPr>
          <w:p w:rsidR="004362C7" w:rsidRPr="00D00722" w:rsidRDefault="004362C7" w:rsidP="00ED6F5D">
            <w:pPr>
              <w:pStyle w:val="Teknik4"/>
              <w:tabs>
                <w:tab w:val="clear" w:pos="-720"/>
              </w:tabs>
              <w:suppressAutoHyphens w:val="0"/>
              <w:ind w:left="34" w:hanging="142"/>
              <w:jc w:val="both"/>
              <w:rPr>
                <w:rFonts w:ascii="Arial" w:hAnsi="Arial" w:cs="Arial"/>
                <w:b w:val="0"/>
                <w:sz w:val="16"/>
                <w:szCs w:val="16"/>
                <w:lang w:val="tr-TR"/>
              </w:rPr>
            </w:pPr>
          </w:p>
        </w:tc>
        <w:tc>
          <w:tcPr>
            <w:tcW w:w="613" w:type="pct"/>
            <w:tcBorders>
              <w:top w:val="single" w:sz="4" w:space="0" w:color="auto"/>
            </w:tcBorders>
            <w:vAlign w:val="bottom"/>
          </w:tcPr>
          <w:p w:rsidR="004362C7" w:rsidRPr="00D00722" w:rsidRDefault="004362C7" w:rsidP="00ED6F5D">
            <w:pPr>
              <w:pStyle w:val="Teknik4"/>
              <w:tabs>
                <w:tab w:val="clear" w:pos="-720"/>
              </w:tabs>
              <w:suppressAutoHyphens w:val="0"/>
              <w:jc w:val="right"/>
              <w:rPr>
                <w:rFonts w:ascii="Arial" w:hAnsi="Arial" w:cs="Arial"/>
                <w:b w:val="0"/>
                <w:sz w:val="16"/>
                <w:szCs w:val="16"/>
                <w:lang w:val="tr-TR"/>
              </w:rPr>
            </w:pPr>
          </w:p>
        </w:tc>
        <w:tc>
          <w:tcPr>
            <w:tcW w:w="440" w:type="pct"/>
            <w:tcBorders>
              <w:top w:val="single" w:sz="4" w:space="0" w:color="auto"/>
            </w:tcBorders>
            <w:vAlign w:val="bottom"/>
          </w:tcPr>
          <w:p w:rsidR="004362C7" w:rsidRPr="00D00722" w:rsidRDefault="004362C7" w:rsidP="00ED6F5D">
            <w:pPr>
              <w:pStyle w:val="Teknik4"/>
              <w:tabs>
                <w:tab w:val="clear" w:pos="-720"/>
              </w:tabs>
              <w:suppressAutoHyphens w:val="0"/>
              <w:jc w:val="right"/>
              <w:rPr>
                <w:rFonts w:ascii="Arial" w:hAnsi="Arial" w:cs="Arial"/>
                <w:b w:val="0"/>
                <w:sz w:val="16"/>
                <w:szCs w:val="16"/>
                <w:lang w:val="tr-TR"/>
              </w:rPr>
            </w:pPr>
          </w:p>
        </w:tc>
        <w:tc>
          <w:tcPr>
            <w:tcW w:w="431" w:type="pct"/>
            <w:tcBorders>
              <w:top w:val="single" w:sz="4" w:space="0" w:color="auto"/>
            </w:tcBorders>
            <w:vAlign w:val="bottom"/>
          </w:tcPr>
          <w:p w:rsidR="004362C7" w:rsidRPr="00D00722" w:rsidRDefault="004362C7" w:rsidP="00ED6F5D">
            <w:pPr>
              <w:pStyle w:val="Teknik4"/>
              <w:tabs>
                <w:tab w:val="clear" w:pos="-720"/>
              </w:tabs>
              <w:suppressAutoHyphens w:val="0"/>
              <w:jc w:val="right"/>
              <w:rPr>
                <w:rFonts w:ascii="Arial" w:hAnsi="Arial" w:cs="Arial"/>
                <w:b w:val="0"/>
                <w:sz w:val="16"/>
                <w:szCs w:val="16"/>
                <w:lang w:val="tr-TR"/>
              </w:rPr>
            </w:pPr>
          </w:p>
        </w:tc>
        <w:tc>
          <w:tcPr>
            <w:tcW w:w="529" w:type="pct"/>
            <w:tcBorders>
              <w:top w:val="single" w:sz="4" w:space="0" w:color="auto"/>
            </w:tcBorders>
            <w:vAlign w:val="bottom"/>
          </w:tcPr>
          <w:p w:rsidR="004362C7" w:rsidRPr="00D00722" w:rsidRDefault="004362C7" w:rsidP="00ED6F5D">
            <w:pPr>
              <w:pStyle w:val="Teknik4"/>
              <w:tabs>
                <w:tab w:val="clear" w:pos="-720"/>
              </w:tabs>
              <w:suppressAutoHyphens w:val="0"/>
              <w:jc w:val="right"/>
              <w:rPr>
                <w:rFonts w:ascii="Arial" w:hAnsi="Arial" w:cs="Arial"/>
                <w:b w:val="0"/>
                <w:sz w:val="16"/>
                <w:szCs w:val="16"/>
                <w:lang w:val="tr-TR"/>
              </w:rPr>
            </w:pPr>
          </w:p>
        </w:tc>
        <w:tc>
          <w:tcPr>
            <w:tcW w:w="403" w:type="pct"/>
            <w:tcBorders>
              <w:top w:val="single" w:sz="4" w:space="0" w:color="auto"/>
            </w:tcBorders>
            <w:vAlign w:val="bottom"/>
          </w:tcPr>
          <w:p w:rsidR="004362C7" w:rsidRPr="00D00722" w:rsidRDefault="004362C7" w:rsidP="00ED6F5D">
            <w:pPr>
              <w:pStyle w:val="Teknik4"/>
              <w:tabs>
                <w:tab w:val="clear" w:pos="-720"/>
              </w:tabs>
              <w:suppressAutoHyphens w:val="0"/>
              <w:jc w:val="right"/>
              <w:rPr>
                <w:rFonts w:ascii="Arial" w:hAnsi="Arial" w:cs="Arial"/>
                <w:b w:val="0"/>
                <w:sz w:val="16"/>
                <w:szCs w:val="16"/>
                <w:lang w:val="tr-TR"/>
              </w:rPr>
            </w:pPr>
          </w:p>
        </w:tc>
        <w:tc>
          <w:tcPr>
            <w:tcW w:w="594" w:type="pct"/>
            <w:tcBorders>
              <w:top w:val="single" w:sz="4" w:space="0" w:color="auto"/>
            </w:tcBorders>
            <w:vAlign w:val="bottom"/>
          </w:tcPr>
          <w:p w:rsidR="004362C7" w:rsidRPr="00D00722" w:rsidRDefault="004362C7" w:rsidP="00ED6F5D">
            <w:pPr>
              <w:pStyle w:val="Teknik4"/>
              <w:tabs>
                <w:tab w:val="clear" w:pos="-720"/>
              </w:tabs>
              <w:suppressAutoHyphens w:val="0"/>
              <w:jc w:val="right"/>
              <w:rPr>
                <w:rFonts w:ascii="Arial" w:hAnsi="Arial" w:cs="Arial"/>
                <w:b w:val="0"/>
                <w:sz w:val="16"/>
                <w:szCs w:val="16"/>
                <w:lang w:val="tr-TR"/>
              </w:rPr>
            </w:pPr>
          </w:p>
        </w:tc>
        <w:tc>
          <w:tcPr>
            <w:tcW w:w="612" w:type="pct"/>
            <w:tcBorders>
              <w:top w:val="single" w:sz="4" w:space="0" w:color="auto"/>
            </w:tcBorders>
            <w:vAlign w:val="bottom"/>
          </w:tcPr>
          <w:p w:rsidR="004362C7" w:rsidRPr="00D00722" w:rsidRDefault="004362C7" w:rsidP="00ED6F5D">
            <w:pPr>
              <w:pStyle w:val="Teknik4"/>
              <w:tabs>
                <w:tab w:val="clear" w:pos="-720"/>
              </w:tabs>
              <w:suppressAutoHyphens w:val="0"/>
              <w:jc w:val="right"/>
              <w:rPr>
                <w:rFonts w:ascii="Arial" w:hAnsi="Arial" w:cs="Arial"/>
                <w:b w:val="0"/>
                <w:sz w:val="16"/>
                <w:szCs w:val="16"/>
                <w:lang w:val="tr-TR"/>
              </w:rPr>
            </w:pPr>
          </w:p>
        </w:tc>
      </w:tr>
      <w:tr w:rsidR="004362C7" w:rsidRPr="00D00722" w:rsidTr="00ED6F5D">
        <w:trPr>
          <w:trHeight w:val="113"/>
        </w:trPr>
        <w:tc>
          <w:tcPr>
            <w:tcW w:w="1379" w:type="pct"/>
            <w:vAlign w:val="bottom"/>
          </w:tcPr>
          <w:p w:rsidR="004362C7" w:rsidRPr="00D00722" w:rsidRDefault="004362C7" w:rsidP="00ED6F5D">
            <w:pPr>
              <w:ind w:left="34" w:hanging="142"/>
              <w:rPr>
                <w:rFonts w:ascii="Arial" w:hAnsi="Arial" w:cs="Arial"/>
                <w:color w:val="000000"/>
                <w:sz w:val="16"/>
                <w:szCs w:val="16"/>
              </w:rPr>
            </w:pPr>
            <w:r w:rsidRPr="00D00722">
              <w:rPr>
                <w:rFonts w:ascii="Arial" w:hAnsi="Arial" w:cs="Arial"/>
                <w:color w:val="000000"/>
                <w:sz w:val="16"/>
                <w:szCs w:val="16"/>
              </w:rPr>
              <w:t>Nakit ve nakit benzerleri</w:t>
            </w:r>
          </w:p>
        </w:tc>
        <w:tc>
          <w:tcPr>
            <w:tcW w:w="613" w:type="pct"/>
            <w:vAlign w:val="bottom"/>
          </w:tcPr>
          <w:p w:rsidR="004362C7" w:rsidRPr="00D00722" w:rsidRDefault="009E2085" w:rsidP="00ED6F5D">
            <w:pPr>
              <w:jc w:val="right"/>
              <w:rPr>
                <w:rFonts w:ascii="Arial" w:hAnsi="Arial" w:cs="Arial"/>
                <w:b/>
                <w:color w:val="000000"/>
                <w:sz w:val="16"/>
                <w:szCs w:val="16"/>
              </w:rPr>
            </w:pPr>
            <w:r w:rsidRPr="00D00722">
              <w:rPr>
                <w:rFonts w:ascii="Arial" w:hAnsi="Arial" w:cs="Arial"/>
                <w:b/>
                <w:color w:val="000000"/>
                <w:sz w:val="16"/>
                <w:szCs w:val="16"/>
              </w:rPr>
              <w:t>980.225</w:t>
            </w:r>
          </w:p>
        </w:tc>
        <w:tc>
          <w:tcPr>
            <w:tcW w:w="440" w:type="pct"/>
            <w:vAlign w:val="bottom"/>
          </w:tcPr>
          <w:p w:rsidR="004362C7" w:rsidRPr="00D00722" w:rsidRDefault="004362C7" w:rsidP="00ED6F5D">
            <w:pPr>
              <w:jc w:val="right"/>
              <w:rPr>
                <w:rFonts w:ascii="Arial" w:hAnsi="Arial" w:cs="Arial"/>
                <w:b/>
                <w:color w:val="000000"/>
                <w:sz w:val="16"/>
                <w:szCs w:val="16"/>
              </w:rPr>
            </w:pPr>
          </w:p>
        </w:tc>
        <w:tc>
          <w:tcPr>
            <w:tcW w:w="431" w:type="pct"/>
            <w:vAlign w:val="bottom"/>
          </w:tcPr>
          <w:p w:rsidR="004362C7" w:rsidRPr="00D00722" w:rsidRDefault="004362C7" w:rsidP="00ED6F5D">
            <w:pPr>
              <w:jc w:val="right"/>
              <w:rPr>
                <w:rFonts w:ascii="Arial" w:hAnsi="Arial" w:cs="Arial"/>
                <w:b/>
                <w:color w:val="000000"/>
                <w:sz w:val="16"/>
                <w:szCs w:val="16"/>
              </w:rPr>
            </w:pPr>
          </w:p>
        </w:tc>
        <w:tc>
          <w:tcPr>
            <w:tcW w:w="529" w:type="pct"/>
            <w:vAlign w:val="bottom"/>
          </w:tcPr>
          <w:p w:rsidR="004362C7" w:rsidRPr="00D00722" w:rsidRDefault="004362C7" w:rsidP="00ED6F5D">
            <w:pPr>
              <w:jc w:val="right"/>
              <w:rPr>
                <w:rFonts w:ascii="Arial" w:hAnsi="Arial" w:cs="Arial"/>
                <w:b/>
                <w:color w:val="000000"/>
                <w:sz w:val="16"/>
                <w:szCs w:val="16"/>
              </w:rPr>
            </w:pPr>
          </w:p>
        </w:tc>
        <w:tc>
          <w:tcPr>
            <w:tcW w:w="403" w:type="pct"/>
          </w:tcPr>
          <w:p w:rsidR="004362C7" w:rsidRPr="00D00722" w:rsidRDefault="004362C7" w:rsidP="00ED6F5D">
            <w:pPr>
              <w:jc w:val="right"/>
              <w:rPr>
                <w:rFonts w:ascii="Arial" w:hAnsi="Arial" w:cs="Arial"/>
                <w:b/>
                <w:color w:val="000000"/>
                <w:sz w:val="16"/>
                <w:szCs w:val="16"/>
              </w:rPr>
            </w:pPr>
          </w:p>
        </w:tc>
        <w:tc>
          <w:tcPr>
            <w:tcW w:w="594" w:type="pct"/>
            <w:vAlign w:val="bottom"/>
          </w:tcPr>
          <w:p w:rsidR="004362C7" w:rsidRPr="00D00722" w:rsidRDefault="009E2085" w:rsidP="00ED6F5D">
            <w:pPr>
              <w:jc w:val="right"/>
              <w:rPr>
                <w:rFonts w:ascii="Arial" w:hAnsi="Arial" w:cs="Arial"/>
                <w:b/>
                <w:color w:val="000000"/>
                <w:sz w:val="16"/>
                <w:szCs w:val="16"/>
              </w:rPr>
            </w:pPr>
            <w:r w:rsidRPr="00D00722">
              <w:rPr>
                <w:rFonts w:ascii="Arial" w:hAnsi="Arial" w:cs="Arial"/>
                <w:b/>
                <w:color w:val="000000"/>
                <w:sz w:val="16"/>
                <w:szCs w:val="16"/>
              </w:rPr>
              <w:t>11.552</w:t>
            </w:r>
          </w:p>
        </w:tc>
        <w:tc>
          <w:tcPr>
            <w:tcW w:w="612" w:type="pct"/>
            <w:vAlign w:val="bottom"/>
          </w:tcPr>
          <w:p w:rsidR="004362C7" w:rsidRPr="00D00722" w:rsidRDefault="009E2085" w:rsidP="00ED6F5D">
            <w:pPr>
              <w:jc w:val="right"/>
              <w:rPr>
                <w:rFonts w:ascii="Arial" w:hAnsi="Arial" w:cs="Arial"/>
                <w:b/>
                <w:color w:val="000000"/>
                <w:sz w:val="16"/>
                <w:szCs w:val="16"/>
              </w:rPr>
            </w:pPr>
            <w:r w:rsidRPr="00D00722">
              <w:rPr>
                <w:rFonts w:ascii="Arial" w:hAnsi="Arial" w:cs="Arial"/>
                <w:b/>
                <w:color w:val="000000"/>
                <w:sz w:val="16"/>
                <w:szCs w:val="16"/>
              </w:rPr>
              <w:t>991.777</w:t>
            </w:r>
          </w:p>
        </w:tc>
      </w:tr>
      <w:tr w:rsidR="004362C7" w:rsidRPr="00D00722" w:rsidTr="00ED6F5D">
        <w:trPr>
          <w:trHeight w:val="113"/>
        </w:trPr>
        <w:tc>
          <w:tcPr>
            <w:tcW w:w="1379" w:type="pct"/>
            <w:vAlign w:val="bottom"/>
          </w:tcPr>
          <w:p w:rsidR="004362C7" w:rsidRPr="00D00722" w:rsidRDefault="004362C7" w:rsidP="00ED6F5D">
            <w:pPr>
              <w:ind w:left="34" w:hanging="142"/>
              <w:rPr>
                <w:rFonts w:ascii="Arial" w:hAnsi="Arial" w:cs="Arial"/>
                <w:color w:val="000000"/>
                <w:sz w:val="16"/>
                <w:szCs w:val="16"/>
              </w:rPr>
            </w:pPr>
            <w:r w:rsidRPr="00D00722">
              <w:rPr>
                <w:rFonts w:ascii="Arial" w:hAnsi="Arial" w:cs="Arial"/>
                <w:color w:val="000000"/>
                <w:sz w:val="16"/>
                <w:szCs w:val="16"/>
              </w:rPr>
              <w:t>Finansal yatırımlar</w:t>
            </w:r>
          </w:p>
        </w:tc>
        <w:tc>
          <w:tcPr>
            <w:tcW w:w="613" w:type="pct"/>
            <w:vAlign w:val="bottom"/>
          </w:tcPr>
          <w:p w:rsidR="004362C7" w:rsidRPr="00D00722" w:rsidRDefault="009E2085" w:rsidP="00ED6F5D">
            <w:pPr>
              <w:jc w:val="right"/>
              <w:rPr>
                <w:rFonts w:ascii="Arial" w:hAnsi="Arial" w:cs="Arial"/>
                <w:b/>
                <w:color w:val="000000"/>
                <w:sz w:val="16"/>
                <w:szCs w:val="16"/>
              </w:rPr>
            </w:pPr>
            <w:r w:rsidRPr="00D00722">
              <w:rPr>
                <w:rFonts w:ascii="Arial" w:hAnsi="Arial" w:cs="Arial"/>
                <w:b/>
                <w:color w:val="000000"/>
                <w:sz w:val="16"/>
                <w:szCs w:val="16"/>
              </w:rPr>
              <w:t>98.454</w:t>
            </w:r>
          </w:p>
        </w:tc>
        <w:tc>
          <w:tcPr>
            <w:tcW w:w="440" w:type="pct"/>
            <w:vAlign w:val="bottom"/>
          </w:tcPr>
          <w:p w:rsidR="004362C7" w:rsidRPr="00D00722" w:rsidRDefault="004362C7" w:rsidP="00ED6F5D">
            <w:pPr>
              <w:jc w:val="right"/>
              <w:rPr>
                <w:rFonts w:ascii="Arial" w:hAnsi="Arial" w:cs="Arial"/>
                <w:b/>
                <w:color w:val="000000"/>
                <w:sz w:val="16"/>
                <w:szCs w:val="16"/>
              </w:rPr>
            </w:pPr>
          </w:p>
        </w:tc>
        <w:tc>
          <w:tcPr>
            <w:tcW w:w="431" w:type="pct"/>
            <w:vAlign w:val="bottom"/>
          </w:tcPr>
          <w:p w:rsidR="004362C7" w:rsidRPr="00D00722" w:rsidRDefault="004362C7" w:rsidP="00ED6F5D">
            <w:pPr>
              <w:jc w:val="right"/>
              <w:rPr>
                <w:rFonts w:ascii="Arial" w:hAnsi="Arial" w:cs="Arial"/>
                <w:b/>
                <w:color w:val="000000"/>
                <w:sz w:val="16"/>
                <w:szCs w:val="16"/>
              </w:rPr>
            </w:pPr>
          </w:p>
        </w:tc>
        <w:tc>
          <w:tcPr>
            <w:tcW w:w="529" w:type="pct"/>
          </w:tcPr>
          <w:p w:rsidR="004362C7" w:rsidRPr="00D00722" w:rsidRDefault="004362C7" w:rsidP="00ED6F5D">
            <w:pPr>
              <w:jc w:val="right"/>
              <w:rPr>
                <w:rFonts w:ascii="Arial" w:hAnsi="Arial" w:cs="Arial"/>
                <w:b/>
                <w:color w:val="000000"/>
                <w:sz w:val="16"/>
                <w:szCs w:val="16"/>
              </w:rPr>
            </w:pPr>
          </w:p>
        </w:tc>
        <w:tc>
          <w:tcPr>
            <w:tcW w:w="403" w:type="pct"/>
          </w:tcPr>
          <w:p w:rsidR="004362C7" w:rsidRPr="00D00722" w:rsidRDefault="004362C7" w:rsidP="00ED6F5D">
            <w:pPr>
              <w:jc w:val="right"/>
              <w:rPr>
                <w:rFonts w:ascii="Arial" w:hAnsi="Arial" w:cs="Arial"/>
                <w:b/>
                <w:color w:val="000000"/>
                <w:sz w:val="16"/>
                <w:szCs w:val="16"/>
              </w:rPr>
            </w:pPr>
          </w:p>
        </w:tc>
        <w:tc>
          <w:tcPr>
            <w:tcW w:w="594" w:type="pct"/>
            <w:vAlign w:val="bottom"/>
          </w:tcPr>
          <w:p w:rsidR="004362C7" w:rsidRPr="00D00722" w:rsidRDefault="004362C7" w:rsidP="00ED6F5D">
            <w:pPr>
              <w:jc w:val="right"/>
              <w:rPr>
                <w:rFonts w:ascii="Arial" w:hAnsi="Arial" w:cs="Arial"/>
                <w:b/>
                <w:color w:val="000000"/>
                <w:sz w:val="16"/>
                <w:szCs w:val="16"/>
              </w:rPr>
            </w:pPr>
          </w:p>
        </w:tc>
        <w:tc>
          <w:tcPr>
            <w:tcW w:w="612" w:type="pct"/>
            <w:vAlign w:val="bottom"/>
          </w:tcPr>
          <w:p w:rsidR="004362C7" w:rsidRPr="00D00722" w:rsidRDefault="009E2085" w:rsidP="00ED6F5D">
            <w:pPr>
              <w:jc w:val="right"/>
              <w:rPr>
                <w:rFonts w:ascii="Arial" w:hAnsi="Arial" w:cs="Arial"/>
                <w:b/>
                <w:color w:val="000000"/>
                <w:sz w:val="16"/>
                <w:szCs w:val="16"/>
              </w:rPr>
            </w:pPr>
            <w:r w:rsidRPr="00D00722">
              <w:rPr>
                <w:rFonts w:ascii="Arial" w:hAnsi="Arial" w:cs="Arial"/>
                <w:b/>
                <w:color w:val="000000"/>
                <w:sz w:val="16"/>
                <w:szCs w:val="16"/>
              </w:rPr>
              <w:t>98.454</w:t>
            </w:r>
          </w:p>
        </w:tc>
      </w:tr>
      <w:tr w:rsidR="004362C7" w:rsidRPr="00D00722" w:rsidTr="00ED6F5D">
        <w:trPr>
          <w:trHeight w:val="113"/>
        </w:trPr>
        <w:tc>
          <w:tcPr>
            <w:tcW w:w="1379" w:type="pct"/>
            <w:vAlign w:val="bottom"/>
          </w:tcPr>
          <w:p w:rsidR="004362C7" w:rsidRPr="00D00722" w:rsidRDefault="004362C7" w:rsidP="00ED6F5D">
            <w:pPr>
              <w:ind w:left="34" w:hanging="142"/>
              <w:rPr>
                <w:rFonts w:ascii="Arial" w:hAnsi="Arial" w:cs="Arial"/>
                <w:color w:val="000000"/>
                <w:sz w:val="16"/>
                <w:szCs w:val="16"/>
              </w:rPr>
            </w:pPr>
            <w:r w:rsidRPr="00D00722">
              <w:rPr>
                <w:rFonts w:ascii="Arial" w:hAnsi="Arial" w:cs="Arial"/>
                <w:color w:val="000000"/>
                <w:sz w:val="16"/>
                <w:szCs w:val="16"/>
              </w:rPr>
              <w:t>Ticari alacaklar</w:t>
            </w:r>
          </w:p>
        </w:tc>
        <w:tc>
          <w:tcPr>
            <w:tcW w:w="613" w:type="pct"/>
          </w:tcPr>
          <w:p w:rsidR="004362C7" w:rsidRPr="00D00722" w:rsidRDefault="009E2085" w:rsidP="00ED6F5D">
            <w:pPr>
              <w:jc w:val="right"/>
              <w:rPr>
                <w:rFonts w:ascii="Arial" w:hAnsi="Arial" w:cs="Arial"/>
                <w:b/>
                <w:color w:val="000000"/>
                <w:sz w:val="16"/>
                <w:szCs w:val="16"/>
              </w:rPr>
            </w:pPr>
            <w:r w:rsidRPr="00D00722">
              <w:rPr>
                <w:rFonts w:ascii="Arial" w:hAnsi="Arial" w:cs="Arial"/>
                <w:b/>
                <w:color w:val="000000"/>
                <w:sz w:val="16"/>
                <w:szCs w:val="16"/>
              </w:rPr>
              <w:t>4.908</w:t>
            </w:r>
          </w:p>
        </w:tc>
        <w:tc>
          <w:tcPr>
            <w:tcW w:w="440" w:type="pct"/>
            <w:vAlign w:val="bottom"/>
          </w:tcPr>
          <w:p w:rsidR="004362C7" w:rsidRPr="00D00722" w:rsidRDefault="004362C7" w:rsidP="00ED6F5D">
            <w:pPr>
              <w:jc w:val="right"/>
              <w:rPr>
                <w:rFonts w:ascii="Arial" w:hAnsi="Arial" w:cs="Arial"/>
                <w:b/>
                <w:color w:val="000000"/>
                <w:sz w:val="16"/>
                <w:szCs w:val="16"/>
              </w:rPr>
            </w:pPr>
          </w:p>
        </w:tc>
        <w:tc>
          <w:tcPr>
            <w:tcW w:w="431" w:type="pct"/>
            <w:vAlign w:val="bottom"/>
          </w:tcPr>
          <w:p w:rsidR="004362C7" w:rsidRPr="00D00722" w:rsidRDefault="004362C7" w:rsidP="00ED6F5D">
            <w:pPr>
              <w:jc w:val="right"/>
              <w:rPr>
                <w:rFonts w:ascii="Arial" w:hAnsi="Arial" w:cs="Arial"/>
                <w:b/>
                <w:color w:val="000000"/>
                <w:sz w:val="16"/>
                <w:szCs w:val="16"/>
              </w:rPr>
            </w:pPr>
          </w:p>
        </w:tc>
        <w:tc>
          <w:tcPr>
            <w:tcW w:w="529" w:type="pct"/>
            <w:vAlign w:val="bottom"/>
          </w:tcPr>
          <w:p w:rsidR="004362C7" w:rsidRPr="00D00722" w:rsidRDefault="004362C7" w:rsidP="00ED6F5D">
            <w:pPr>
              <w:jc w:val="right"/>
              <w:rPr>
                <w:rFonts w:ascii="Arial" w:hAnsi="Arial" w:cs="Arial"/>
                <w:b/>
                <w:color w:val="000000"/>
                <w:sz w:val="16"/>
                <w:szCs w:val="16"/>
              </w:rPr>
            </w:pPr>
          </w:p>
        </w:tc>
        <w:tc>
          <w:tcPr>
            <w:tcW w:w="403" w:type="pct"/>
          </w:tcPr>
          <w:p w:rsidR="004362C7" w:rsidRPr="00D00722" w:rsidRDefault="004362C7" w:rsidP="00ED6F5D">
            <w:pPr>
              <w:jc w:val="right"/>
              <w:rPr>
                <w:rFonts w:ascii="Arial" w:hAnsi="Arial" w:cs="Arial"/>
                <w:b/>
                <w:color w:val="000000"/>
                <w:sz w:val="16"/>
                <w:szCs w:val="16"/>
              </w:rPr>
            </w:pPr>
          </w:p>
        </w:tc>
        <w:tc>
          <w:tcPr>
            <w:tcW w:w="594" w:type="pct"/>
            <w:vAlign w:val="bottom"/>
          </w:tcPr>
          <w:p w:rsidR="004362C7" w:rsidRPr="00D00722" w:rsidRDefault="004362C7" w:rsidP="00ED6F5D">
            <w:pPr>
              <w:jc w:val="right"/>
              <w:rPr>
                <w:rFonts w:ascii="Arial" w:hAnsi="Arial" w:cs="Arial"/>
                <w:b/>
                <w:color w:val="000000"/>
                <w:sz w:val="16"/>
                <w:szCs w:val="16"/>
              </w:rPr>
            </w:pPr>
          </w:p>
        </w:tc>
        <w:tc>
          <w:tcPr>
            <w:tcW w:w="612" w:type="pct"/>
            <w:vAlign w:val="bottom"/>
          </w:tcPr>
          <w:p w:rsidR="004362C7" w:rsidRPr="00D00722" w:rsidRDefault="009E2085" w:rsidP="00ED6F5D">
            <w:pPr>
              <w:jc w:val="right"/>
              <w:rPr>
                <w:rFonts w:ascii="Arial" w:hAnsi="Arial" w:cs="Arial"/>
                <w:b/>
                <w:color w:val="000000"/>
                <w:sz w:val="16"/>
                <w:szCs w:val="16"/>
              </w:rPr>
            </w:pPr>
            <w:r w:rsidRPr="00D00722">
              <w:rPr>
                <w:rFonts w:ascii="Arial" w:hAnsi="Arial" w:cs="Arial"/>
                <w:b/>
                <w:color w:val="000000"/>
                <w:sz w:val="16"/>
                <w:szCs w:val="16"/>
              </w:rPr>
              <w:t>4.908</w:t>
            </w:r>
          </w:p>
        </w:tc>
      </w:tr>
      <w:tr w:rsidR="004362C7" w:rsidRPr="00D00722" w:rsidTr="00ED6F5D">
        <w:trPr>
          <w:trHeight w:val="113"/>
        </w:trPr>
        <w:tc>
          <w:tcPr>
            <w:tcW w:w="1379" w:type="pct"/>
            <w:tcBorders>
              <w:bottom w:val="nil"/>
            </w:tcBorders>
            <w:vAlign w:val="bottom"/>
          </w:tcPr>
          <w:p w:rsidR="004362C7" w:rsidRPr="00D00722" w:rsidRDefault="004362C7" w:rsidP="00ED6F5D">
            <w:pPr>
              <w:ind w:left="34" w:hanging="142"/>
              <w:rPr>
                <w:rFonts w:ascii="Arial" w:hAnsi="Arial" w:cs="Arial"/>
                <w:color w:val="000000"/>
                <w:sz w:val="16"/>
                <w:szCs w:val="16"/>
              </w:rPr>
            </w:pPr>
          </w:p>
        </w:tc>
        <w:tc>
          <w:tcPr>
            <w:tcW w:w="613" w:type="pct"/>
          </w:tcPr>
          <w:p w:rsidR="004362C7" w:rsidRPr="00D00722" w:rsidRDefault="004362C7" w:rsidP="00ED6F5D">
            <w:pPr>
              <w:jc w:val="right"/>
              <w:rPr>
                <w:rFonts w:ascii="Arial" w:hAnsi="Arial" w:cs="Arial"/>
                <w:b/>
                <w:color w:val="000000"/>
                <w:sz w:val="16"/>
                <w:szCs w:val="16"/>
              </w:rPr>
            </w:pPr>
          </w:p>
        </w:tc>
        <w:tc>
          <w:tcPr>
            <w:tcW w:w="440" w:type="pct"/>
          </w:tcPr>
          <w:p w:rsidR="004362C7" w:rsidRPr="00D00722" w:rsidRDefault="004362C7" w:rsidP="00ED6F5D">
            <w:pPr>
              <w:jc w:val="right"/>
              <w:rPr>
                <w:rFonts w:ascii="Arial" w:hAnsi="Arial" w:cs="Arial"/>
                <w:b/>
                <w:color w:val="000000"/>
                <w:sz w:val="16"/>
                <w:szCs w:val="16"/>
              </w:rPr>
            </w:pPr>
          </w:p>
        </w:tc>
        <w:tc>
          <w:tcPr>
            <w:tcW w:w="431" w:type="pct"/>
          </w:tcPr>
          <w:p w:rsidR="004362C7" w:rsidRPr="00D00722" w:rsidRDefault="004362C7" w:rsidP="00ED6F5D">
            <w:pPr>
              <w:jc w:val="right"/>
              <w:rPr>
                <w:rFonts w:ascii="Arial" w:hAnsi="Arial" w:cs="Arial"/>
                <w:b/>
                <w:color w:val="000000"/>
                <w:sz w:val="16"/>
                <w:szCs w:val="16"/>
              </w:rPr>
            </w:pPr>
          </w:p>
        </w:tc>
        <w:tc>
          <w:tcPr>
            <w:tcW w:w="529" w:type="pct"/>
          </w:tcPr>
          <w:p w:rsidR="004362C7" w:rsidRPr="00D00722" w:rsidRDefault="004362C7" w:rsidP="00ED6F5D">
            <w:pPr>
              <w:jc w:val="right"/>
              <w:rPr>
                <w:rFonts w:ascii="Arial" w:hAnsi="Arial" w:cs="Arial"/>
                <w:b/>
                <w:color w:val="000000"/>
                <w:sz w:val="16"/>
                <w:szCs w:val="16"/>
              </w:rPr>
            </w:pPr>
          </w:p>
        </w:tc>
        <w:tc>
          <w:tcPr>
            <w:tcW w:w="403" w:type="pct"/>
          </w:tcPr>
          <w:p w:rsidR="004362C7" w:rsidRPr="00D00722" w:rsidRDefault="004362C7" w:rsidP="00ED6F5D">
            <w:pPr>
              <w:jc w:val="right"/>
              <w:rPr>
                <w:rFonts w:ascii="Arial" w:hAnsi="Arial" w:cs="Arial"/>
                <w:b/>
                <w:color w:val="000000"/>
                <w:sz w:val="16"/>
                <w:szCs w:val="16"/>
              </w:rPr>
            </w:pPr>
          </w:p>
        </w:tc>
        <w:tc>
          <w:tcPr>
            <w:tcW w:w="594" w:type="pct"/>
          </w:tcPr>
          <w:p w:rsidR="004362C7" w:rsidRPr="00D00722" w:rsidRDefault="004362C7" w:rsidP="00ED6F5D">
            <w:pPr>
              <w:jc w:val="right"/>
              <w:rPr>
                <w:rFonts w:ascii="Arial" w:hAnsi="Arial" w:cs="Arial"/>
                <w:b/>
                <w:color w:val="000000"/>
                <w:sz w:val="16"/>
                <w:szCs w:val="16"/>
              </w:rPr>
            </w:pPr>
          </w:p>
        </w:tc>
        <w:tc>
          <w:tcPr>
            <w:tcW w:w="612" w:type="pct"/>
            <w:vAlign w:val="bottom"/>
          </w:tcPr>
          <w:p w:rsidR="004362C7" w:rsidRPr="00D00722" w:rsidRDefault="004362C7" w:rsidP="00ED6F5D">
            <w:pPr>
              <w:jc w:val="right"/>
              <w:rPr>
                <w:rFonts w:ascii="Arial" w:hAnsi="Arial" w:cs="Arial"/>
                <w:b/>
                <w:color w:val="000000"/>
                <w:sz w:val="16"/>
                <w:szCs w:val="16"/>
              </w:rPr>
            </w:pPr>
          </w:p>
        </w:tc>
      </w:tr>
      <w:tr w:rsidR="004362C7" w:rsidRPr="00D00722" w:rsidTr="00ED6F5D">
        <w:trPr>
          <w:trHeight w:val="113"/>
        </w:trPr>
        <w:tc>
          <w:tcPr>
            <w:tcW w:w="1379" w:type="pct"/>
            <w:tcBorders>
              <w:top w:val="single" w:sz="4" w:space="0" w:color="auto"/>
              <w:bottom w:val="single" w:sz="4" w:space="0" w:color="auto"/>
            </w:tcBorders>
            <w:vAlign w:val="bottom"/>
          </w:tcPr>
          <w:p w:rsidR="004362C7" w:rsidRPr="00D00722" w:rsidRDefault="004362C7" w:rsidP="00ED6F5D">
            <w:pPr>
              <w:ind w:left="34" w:hanging="142"/>
              <w:rPr>
                <w:rFonts w:ascii="Arial" w:hAnsi="Arial" w:cs="Arial"/>
                <w:b/>
                <w:color w:val="000000"/>
                <w:sz w:val="16"/>
                <w:szCs w:val="16"/>
              </w:rPr>
            </w:pPr>
            <w:r w:rsidRPr="00D00722">
              <w:rPr>
                <w:rFonts w:ascii="Arial" w:hAnsi="Arial" w:cs="Arial"/>
                <w:b/>
                <w:color w:val="000000"/>
                <w:sz w:val="16"/>
                <w:szCs w:val="16"/>
              </w:rPr>
              <w:t>Toplam varlıklar</w:t>
            </w:r>
          </w:p>
        </w:tc>
        <w:tc>
          <w:tcPr>
            <w:tcW w:w="613" w:type="pct"/>
            <w:tcBorders>
              <w:top w:val="single" w:sz="4" w:space="0" w:color="auto"/>
              <w:bottom w:val="single" w:sz="4" w:space="0" w:color="auto"/>
            </w:tcBorders>
            <w:vAlign w:val="bottom"/>
          </w:tcPr>
          <w:p w:rsidR="004362C7" w:rsidRPr="00D00722" w:rsidRDefault="009E2085" w:rsidP="00ED6F5D">
            <w:pPr>
              <w:jc w:val="right"/>
              <w:rPr>
                <w:rFonts w:ascii="Arial" w:hAnsi="Arial" w:cs="Arial"/>
                <w:b/>
                <w:color w:val="000000"/>
                <w:sz w:val="16"/>
                <w:szCs w:val="16"/>
              </w:rPr>
            </w:pPr>
            <w:r w:rsidRPr="00D00722">
              <w:rPr>
                <w:rFonts w:ascii="Arial" w:hAnsi="Arial" w:cs="Arial"/>
                <w:b/>
                <w:color w:val="000000"/>
                <w:sz w:val="16"/>
                <w:szCs w:val="16"/>
              </w:rPr>
              <w:t>1.083.587</w:t>
            </w:r>
          </w:p>
        </w:tc>
        <w:tc>
          <w:tcPr>
            <w:tcW w:w="440" w:type="pct"/>
            <w:tcBorders>
              <w:top w:val="single" w:sz="4" w:space="0" w:color="auto"/>
              <w:bottom w:val="single" w:sz="4" w:space="0" w:color="auto"/>
            </w:tcBorders>
            <w:vAlign w:val="bottom"/>
          </w:tcPr>
          <w:p w:rsidR="004362C7" w:rsidRPr="00D00722" w:rsidRDefault="004362C7" w:rsidP="00ED6F5D">
            <w:pPr>
              <w:jc w:val="right"/>
              <w:rPr>
                <w:rFonts w:ascii="Arial" w:hAnsi="Arial" w:cs="Arial"/>
                <w:b/>
                <w:color w:val="000000"/>
                <w:sz w:val="16"/>
                <w:szCs w:val="16"/>
              </w:rPr>
            </w:pPr>
          </w:p>
        </w:tc>
        <w:tc>
          <w:tcPr>
            <w:tcW w:w="431" w:type="pct"/>
            <w:tcBorders>
              <w:top w:val="single" w:sz="4" w:space="0" w:color="auto"/>
              <w:bottom w:val="single" w:sz="4" w:space="0" w:color="auto"/>
            </w:tcBorders>
            <w:vAlign w:val="bottom"/>
          </w:tcPr>
          <w:p w:rsidR="004362C7" w:rsidRPr="00D00722" w:rsidRDefault="004362C7" w:rsidP="00ED6F5D">
            <w:pPr>
              <w:jc w:val="right"/>
              <w:rPr>
                <w:rFonts w:ascii="Arial" w:hAnsi="Arial" w:cs="Arial"/>
                <w:b/>
                <w:color w:val="000000"/>
                <w:sz w:val="16"/>
                <w:szCs w:val="16"/>
              </w:rPr>
            </w:pPr>
          </w:p>
        </w:tc>
        <w:tc>
          <w:tcPr>
            <w:tcW w:w="529" w:type="pct"/>
            <w:tcBorders>
              <w:top w:val="single" w:sz="4" w:space="0" w:color="auto"/>
              <w:bottom w:val="single" w:sz="4" w:space="0" w:color="auto"/>
            </w:tcBorders>
            <w:vAlign w:val="bottom"/>
          </w:tcPr>
          <w:p w:rsidR="004362C7" w:rsidRPr="00D00722" w:rsidRDefault="004362C7" w:rsidP="00ED6F5D">
            <w:pPr>
              <w:jc w:val="right"/>
              <w:rPr>
                <w:rFonts w:ascii="Arial" w:hAnsi="Arial" w:cs="Arial"/>
                <w:b/>
                <w:color w:val="000000"/>
                <w:sz w:val="16"/>
                <w:szCs w:val="16"/>
              </w:rPr>
            </w:pPr>
          </w:p>
        </w:tc>
        <w:tc>
          <w:tcPr>
            <w:tcW w:w="403" w:type="pct"/>
            <w:tcBorders>
              <w:top w:val="single" w:sz="4" w:space="0" w:color="auto"/>
              <w:bottom w:val="single" w:sz="4" w:space="0" w:color="auto"/>
            </w:tcBorders>
            <w:vAlign w:val="bottom"/>
          </w:tcPr>
          <w:p w:rsidR="004362C7" w:rsidRPr="00D00722" w:rsidRDefault="004362C7" w:rsidP="00ED6F5D">
            <w:pPr>
              <w:jc w:val="right"/>
              <w:rPr>
                <w:rFonts w:ascii="Arial" w:hAnsi="Arial" w:cs="Arial"/>
                <w:b/>
                <w:color w:val="000000"/>
                <w:sz w:val="16"/>
                <w:szCs w:val="16"/>
              </w:rPr>
            </w:pPr>
          </w:p>
        </w:tc>
        <w:tc>
          <w:tcPr>
            <w:tcW w:w="594" w:type="pct"/>
            <w:tcBorders>
              <w:top w:val="single" w:sz="4" w:space="0" w:color="auto"/>
              <w:bottom w:val="single" w:sz="4" w:space="0" w:color="auto"/>
            </w:tcBorders>
            <w:vAlign w:val="bottom"/>
          </w:tcPr>
          <w:p w:rsidR="004362C7" w:rsidRPr="00D00722" w:rsidRDefault="009E2085" w:rsidP="00ED6F5D">
            <w:pPr>
              <w:jc w:val="right"/>
              <w:rPr>
                <w:rFonts w:ascii="Arial" w:hAnsi="Arial" w:cs="Arial"/>
                <w:b/>
                <w:color w:val="000000"/>
                <w:sz w:val="16"/>
                <w:szCs w:val="16"/>
              </w:rPr>
            </w:pPr>
            <w:r w:rsidRPr="00D00722">
              <w:rPr>
                <w:rFonts w:ascii="Arial" w:hAnsi="Arial" w:cs="Arial"/>
                <w:b/>
                <w:color w:val="000000"/>
                <w:sz w:val="16"/>
                <w:szCs w:val="16"/>
              </w:rPr>
              <w:t>11.552</w:t>
            </w:r>
          </w:p>
        </w:tc>
        <w:tc>
          <w:tcPr>
            <w:tcW w:w="612" w:type="pct"/>
            <w:tcBorders>
              <w:top w:val="single" w:sz="4" w:space="0" w:color="auto"/>
              <w:bottom w:val="single" w:sz="4" w:space="0" w:color="auto"/>
            </w:tcBorders>
            <w:vAlign w:val="bottom"/>
          </w:tcPr>
          <w:p w:rsidR="004362C7" w:rsidRPr="00D00722" w:rsidRDefault="009E2085" w:rsidP="00ED6F5D">
            <w:pPr>
              <w:jc w:val="right"/>
              <w:rPr>
                <w:rFonts w:ascii="Arial" w:hAnsi="Arial" w:cs="Arial"/>
                <w:b/>
                <w:color w:val="000000"/>
                <w:sz w:val="16"/>
                <w:szCs w:val="16"/>
              </w:rPr>
            </w:pPr>
            <w:r w:rsidRPr="00D00722">
              <w:rPr>
                <w:rFonts w:ascii="Arial" w:hAnsi="Arial" w:cs="Arial"/>
                <w:b/>
                <w:color w:val="000000"/>
                <w:sz w:val="16"/>
                <w:szCs w:val="16"/>
              </w:rPr>
              <w:t>1.095.139</w:t>
            </w:r>
          </w:p>
        </w:tc>
      </w:tr>
      <w:tr w:rsidR="004362C7" w:rsidRPr="00D00722" w:rsidTr="00ED6F5D">
        <w:trPr>
          <w:trHeight w:val="113"/>
        </w:trPr>
        <w:tc>
          <w:tcPr>
            <w:tcW w:w="1379" w:type="pct"/>
            <w:tcBorders>
              <w:bottom w:val="nil"/>
            </w:tcBorders>
            <w:vAlign w:val="bottom"/>
          </w:tcPr>
          <w:p w:rsidR="004362C7" w:rsidRPr="00D00722" w:rsidRDefault="004362C7" w:rsidP="00ED6F5D">
            <w:pPr>
              <w:ind w:left="34" w:hanging="142"/>
              <w:rPr>
                <w:rFonts w:ascii="Arial" w:hAnsi="Arial" w:cs="Arial"/>
                <w:color w:val="FF0000"/>
                <w:sz w:val="16"/>
                <w:szCs w:val="16"/>
              </w:rPr>
            </w:pPr>
          </w:p>
        </w:tc>
        <w:tc>
          <w:tcPr>
            <w:tcW w:w="613" w:type="pct"/>
            <w:vAlign w:val="bottom"/>
          </w:tcPr>
          <w:p w:rsidR="004362C7" w:rsidRPr="00D00722" w:rsidRDefault="004362C7" w:rsidP="00ED6F5D">
            <w:pPr>
              <w:jc w:val="right"/>
              <w:rPr>
                <w:rFonts w:ascii="Arial" w:hAnsi="Arial" w:cs="Arial"/>
                <w:b/>
                <w:color w:val="FF0000"/>
                <w:sz w:val="16"/>
                <w:szCs w:val="16"/>
              </w:rPr>
            </w:pPr>
          </w:p>
        </w:tc>
        <w:tc>
          <w:tcPr>
            <w:tcW w:w="440" w:type="pct"/>
            <w:vAlign w:val="bottom"/>
          </w:tcPr>
          <w:p w:rsidR="004362C7" w:rsidRPr="00D00722" w:rsidRDefault="004362C7" w:rsidP="00ED6F5D">
            <w:pPr>
              <w:jc w:val="right"/>
              <w:rPr>
                <w:rFonts w:ascii="Arial" w:hAnsi="Arial" w:cs="Arial"/>
                <w:b/>
                <w:color w:val="FF0000"/>
                <w:sz w:val="16"/>
                <w:szCs w:val="16"/>
              </w:rPr>
            </w:pPr>
          </w:p>
        </w:tc>
        <w:tc>
          <w:tcPr>
            <w:tcW w:w="431" w:type="pct"/>
            <w:vAlign w:val="bottom"/>
          </w:tcPr>
          <w:p w:rsidR="004362C7" w:rsidRPr="00D00722" w:rsidRDefault="004362C7" w:rsidP="00ED6F5D">
            <w:pPr>
              <w:jc w:val="right"/>
              <w:rPr>
                <w:rFonts w:ascii="Arial" w:hAnsi="Arial" w:cs="Arial"/>
                <w:b/>
                <w:color w:val="FF0000"/>
                <w:sz w:val="16"/>
                <w:szCs w:val="16"/>
              </w:rPr>
            </w:pPr>
          </w:p>
        </w:tc>
        <w:tc>
          <w:tcPr>
            <w:tcW w:w="529" w:type="pct"/>
            <w:vAlign w:val="bottom"/>
          </w:tcPr>
          <w:p w:rsidR="004362C7" w:rsidRPr="00D00722" w:rsidRDefault="004362C7" w:rsidP="00ED6F5D">
            <w:pPr>
              <w:jc w:val="right"/>
              <w:rPr>
                <w:rFonts w:ascii="Arial" w:hAnsi="Arial" w:cs="Arial"/>
                <w:b/>
                <w:color w:val="FF0000"/>
                <w:sz w:val="16"/>
                <w:szCs w:val="16"/>
              </w:rPr>
            </w:pPr>
          </w:p>
        </w:tc>
        <w:tc>
          <w:tcPr>
            <w:tcW w:w="403" w:type="pct"/>
            <w:vAlign w:val="bottom"/>
          </w:tcPr>
          <w:p w:rsidR="004362C7" w:rsidRPr="00D00722" w:rsidRDefault="004362C7" w:rsidP="00ED6F5D">
            <w:pPr>
              <w:jc w:val="right"/>
              <w:rPr>
                <w:rFonts w:ascii="Arial" w:hAnsi="Arial" w:cs="Arial"/>
                <w:b/>
                <w:color w:val="FF0000"/>
                <w:sz w:val="16"/>
                <w:szCs w:val="16"/>
              </w:rPr>
            </w:pPr>
          </w:p>
        </w:tc>
        <w:tc>
          <w:tcPr>
            <w:tcW w:w="594" w:type="pct"/>
            <w:vAlign w:val="bottom"/>
          </w:tcPr>
          <w:p w:rsidR="004362C7" w:rsidRPr="00D00722" w:rsidRDefault="004362C7" w:rsidP="00ED6F5D">
            <w:pPr>
              <w:jc w:val="right"/>
              <w:rPr>
                <w:rFonts w:ascii="Arial" w:hAnsi="Arial" w:cs="Arial"/>
                <w:b/>
                <w:color w:val="FF0000"/>
                <w:sz w:val="16"/>
                <w:szCs w:val="16"/>
              </w:rPr>
            </w:pPr>
          </w:p>
        </w:tc>
        <w:tc>
          <w:tcPr>
            <w:tcW w:w="612" w:type="pct"/>
            <w:vAlign w:val="bottom"/>
          </w:tcPr>
          <w:p w:rsidR="004362C7" w:rsidRPr="00D00722" w:rsidRDefault="004362C7" w:rsidP="00ED6F5D">
            <w:pPr>
              <w:jc w:val="right"/>
              <w:rPr>
                <w:rFonts w:ascii="Arial" w:hAnsi="Arial" w:cs="Arial"/>
                <w:b/>
                <w:color w:val="FF0000"/>
                <w:sz w:val="16"/>
                <w:szCs w:val="16"/>
              </w:rPr>
            </w:pPr>
          </w:p>
        </w:tc>
      </w:tr>
      <w:tr w:rsidR="004362C7" w:rsidRPr="00D00722" w:rsidTr="00ED6F5D">
        <w:trPr>
          <w:trHeight w:val="113"/>
        </w:trPr>
        <w:tc>
          <w:tcPr>
            <w:tcW w:w="1379" w:type="pct"/>
            <w:vAlign w:val="bottom"/>
          </w:tcPr>
          <w:p w:rsidR="004362C7" w:rsidRPr="00D00722" w:rsidRDefault="004362C7" w:rsidP="00ED6F5D">
            <w:pPr>
              <w:ind w:left="34" w:hanging="142"/>
              <w:rPr>
                <w:rFonts w:ascii="Arial" w:hAnsi="Arial" w:cs="Arial"/>
                <w:color w:val="000000"/>
                <w:sz w:val="16"/>
                <w:szCs w:val="16"/>
              </w:rPr>
            </w:pPr>
            <w:r w:rsidRPr="00D00722">
              <w:rPr>
                <w:rFonts w:ascii="Arial" w:hAnsi="Arial" w:cs="Arial"/>
                <w:color w:val="000000"/>
                <w:sz w:val="16"/>
                <w:szCs w:val="16"/>
              </w:rPr>
              <w:t>Ticari borçlar</w:t>
            </w:r>
          </w:p>
        </w:tc>
        <w:tc>
          <w:tcPr>
            <w:tcW w:w="613" w:type="pct"/>
            <w:vAlign w:val="bottom"/>
          </w:tcPr>
          <w:p w:rsidR="004362C7" w:rsidRPr="00D00722" w:rsidRDefault="009E2085" w:rsidP="00ED6F5D">
            <w:pPr>
              <w:jc w:val="right"/>
              <w:rPr>
                <w:rFonts w:ascii="Arial" w:hAnsi="Arial" w:cs="Arial"/>
                <w:b/>
                <w:color w:val="000000"/>
                <w:sz w:val="16"/>
                <w:szCs w:val="16"/>
              </w:rPr>
            </w:pPr>
            <w:r w:rsidRPr="00D00722">
              <w:rPr>
                <w:rFonts w:ascii="Arial" w:hAnsi="Arial" w:cs="Arial"/>
                <w:b/>
                <w:color w:val="000000"/>
                <w:sz w:val="16"/>
                <w:szCs w:val="16"/>
              </w:rPr>
              <w:t>20.426</w:t>
            </w:r>
          </w:p>
        </w:tc>
        <w:tc>
          <w:tcPr>
            <w:tcW w:w="440" w:type="pct"/>
            <w:vAlign w:val="bottom"/>
          </w:tcPr>
          <w:p w:rsidR="004362C7" w:rsidRPr="00D00722" w:rsidRDefault="004362C7" w:rsidP="00ED6F5D">
            <w:pPr>
              <w:jc w:val="right"/>
              <w:rPr>
                <w:rFonts w:ascii="Arial" w:hAnsi="Arial" w:cs="Arial"/>
                <w:b/>
                <w:color w:val="000000"/>
                <w:sz w:val="16"/>
                <w:szCs w:val="16"/>
              </w:rPr>
            </w:pPr>
          </w:p>
        </w:tc>
        <w:tc>
          <w:tcPr>
            <w:tcW w:w="431" w:type="pct"/>
            <w:vAlign w:val="bottom"/>
          </w:tcPr>
          <w:p w:rsidR="004362C7" w:rsidRPr="00D00722" w:rsidRDefault="004362C7" w:rsidP="00ED6F5D">
            <w:pPr>
              <w:jc w:val="right"/>
              <w:rPr>
                <w:rFonts w:ascii="Arial" w:hAnsi="Arial" w:cs="Arial"/>
                <w:b/>
                <w:color w:val="000000"/>
                <w:sz w:val="16"/>
                <w:szCs w:val="16"/>
              </w:rPr>
            </w:pPr>
          </w:p>
        </w:tc>
        <w:tc>
          <w:tcPr>
            <w:tcW w:w="529" w:type="pct"/>
            <w:vAlign w:val="bottom"/>
          </w:tcPr>
          <w:p w:rsidR="004362C7" w:rsidRPr="00D00722" w:rsidRDefault="004362C7" w:rsidP="00ED6F5D">
            <w:pPr>
              <w:jc w:val="right"/>
              <w:rPr>
                <w:rFonts w:ascii="Arial" w:hAnsi="Arial" w:cs="Arial"/>
                <w:b/>
                <w:color w:val="000000"/>
                <w:sz w:val="16"/>
                <w:szCs w:val="16"/>
              </w:rPr>
            </w:pPr>
          </w:p>
        </w:tc>
        <w:tc>
          <w:tcPr>
            <w:tcW w:w="403" w:type="pct"/>
            <w:vAlign w:val="bottom"/>
          </w:tcPr>
          <w:p w:rsidR="004362C7" w:rsidRPr="00D00722" w:rsidRDefault="004362C7" w:rsidP="00ED6F5D">
            <w:pPr>
              <w:jc w:val="right"/>
              <w:rPr>
                <w:rFonts w:ascii="Arial" w:hAnsi="Arial" w:cs="Arial"/>
                <w:b/>
                <w:color w:val="000000"/>
                <w:sz w:val="16"/>
                <w:szCs w:val="16"/>
              </w:rPr>
            </w:pPr>
          </w:p>
        </w:tc>
        <w:tc>
          <w:tcPr>
            <w:tcW w:w="594" w:type="pct"/>
            <w:vAlign w:val="bottom"/>
          </w:tcPr>
          <w:p w:rsidR="004362C7" w:rsidRPr="00D00722" w:rsidRDefault="004362C7" w:rsidP="00ED6F5D">
            <w:pPr>
              <w:jc w:val="right"/>
              <w:rPr>
                <w:rFonts w:ascii="Arial" w:hAnsi="Arial" w:cs="Arial"/>
                <w:b/>
                <w:color w:val="000000"/>
                <w:sz w:val="16"/>
                <w:szCs w:val="16"/>
              </w:rPr>
            </w:pPr>
          </w:p>
        </w:tc>
        <w:tc>
          <w:tcPr>
            <w:tcW w:w="612" w:type="pct"/>
            <w:vAlign w:val="bottom"/>
          </w:tcPr>
          <w:p w:rsidR="004362C7" w:rsidRPr="00D00722" w:rsidRDefault="009E2085" w:rsidP="00ED6F5D">
            <w:pPr>
              <w:jc w:val="right"/>
              <w:rPr>
                <w:rFonts w:ascii="Arial" w:hAnsi="Arial" w:cs="Arial"/>
                <w:b/>
                <w:color w:val="000000"/>
                <w:sz w:val="16"/>
                <w:szCs w:val="16"/>
              </w:rPr>
            </w:pPr>
            <w:r w:rsidRPr="00D00722">
              <w:rPr>
                <w:rFonts w:ascii="Arial" w:hAnsi="Arial" w:cs="Arial"/>
                <w:b/>
                <w:color w:val="000000"/>
                <w:sz w:val="16"/>
                <w:szCs w:val="16"/>
              </w:rPr>
              <w:t>20.426</w:t>
            </w:r>
          </w:p>
        </w:tc>
      </w:tr>
      <w:tr w:rsidR="004362C7" w:rsidRPr="00D00722" w:rsidTr="00ED6F5D">
        <w:trPr>
          <w:trHeight w:val="113"/>
        </w:trPr>
        <w:tc>
          <w:tcPr>
            <w:tcW w:w="1379" w:type="pct"/>
            <w:vAlign w:val="bottom"/>
          </w:tcPr>
          <w:p w:rsidR="004362C7" w:rsidRPr="00D00722" w:rsidRDefault="004362C7" w:rsidP="00ED6F5D">
            <w:pPr>
              <w:ind w:left="34" w:hanging="142"/>
              <w:rPr>
                <w:rFonts w:ascii="Arial" w:hAnsi="Arial" w:cs="Arial"/>
                <w:color w:val="000000"/>
                <w:sz w:val="16"/>
                <w:szCs w:val="16"/>
              </w:rPr>
            </w:pPr>
            <w:r w:rsidRPr="00D00722">
              <w:rPr>
                <w:rFonts w:ascii="Arial" w:hAnsi="Arial" w:cs="Arial"/>
                <w:color w:val="000000"/>
                <w:sz w:val="16"/>
                <w:szCs w:val="16"/>
              </w:rPr>
              <w:t>Diğer borçlar</w:t>
            </w:r>
          </w:p>
        </w:tc>
        <w:tc>
          <w:tcPr>
            <w:tcW w:w="613" w:type="pct"/>
            <w:vAlign w:val="bottom"/>
          </w:tcPr>
          <w:p w:rsidR="004362C7" w:rsidRPr="00D00722" w:rsidRDefault="009E2085" w:rsidP="00ED6F5D">
            <w:pPr>
              <w:jc w:val="right"/>
              <w:rPr>
                <w:rFonts w:ascii="Arial" w:hAnsi="Arial" w:cs="Arial"/>
                <w:b/>
                <w:color w:val="000000"/>
                <w:sz w:val="16"/>
                <w:szCs w:val="16"/>
              </w:rPr>
            </w:pPr>
            <w:r w:rsidRPr="00D00722">
              <w:rPr>
                <w:rFonts w:ascii="Arial" w:hAnsi="Arial" w:cs="Arial"/>
                <w:b/>
                <w:color w:val="000000"/>
                <w:sz w:val="16"/>
                <w:szCs w:val="16"/>
              </w:rPr>
              <w:t>6.404</w:t>
            </w:r>
          </w:p>
        </w:tc>
        <w:tc>
          <w:tcPr>
            <w:tcW w:w="440" w:type="pct"/>
            <w:vAlign w:val="bottom"/>
          </w:tcPr>
          <w:p w:rsidR="004362C7" w:rsidRPr="00D00722" w:rsidRDefault="004362C7" w:rsidP="00ED6F5D">
            <w:pPr>
              <w:jc w:val="right"/>
              <w:rPr>
                <w:rFonts w:ascii="Arial" w:hAnsi="Arial" w:cs="Arial"/>
                <w:b/>
                <w:color w:val="000000"/>
                <w:sz w:val="16"/>
                <w:szCs w:val="16"/>
              </w:rPr>
            </w:pPr>
          </w:p>
        </w:tc>
        <w:tc>
          <w:tcPr>
            <w:tcW w:w="431" w:type="pct"/>
            <w:vAlign w:val="bottom"/>
          </w:tcPr>
          <w:p w:rsidR="004362C7" w:rsidRPr="00D00722" w:rsidRDefault="004362C7" w:rsidP="00ED6F5D">
            <w:pPr>
              <w:jc w:val="right"/>
              <w:rPr>
                <w:rFonts w:ascii="Arial" w:hAnsi="Arial" w:cs="Arial"/>
                <w:b/>
                <w:color w:val="000000"/>
                <w:sz w:val="16"/>
                <w:szCs w:val="16"/>
              </w:rPr>
            </w:pPr>
          </w:p>
        </w:tc>
        <w:tc>
          <w:tcPr>
            <w:tcW w:w="529" w:type="pct"/>
            <w:vAlign w:val="bottom"/>
          </w:tcPr>
          <w:p w:rsidR="004362C7" w:rsidRPr="00D00722" w:rsidRDefault="004362C7" w:rsidP="00ED6F5D">
            <w:pPr>
              <w:jc w:val="right"/>
              <w:rPr>
                <w:rFonts w:ascii="Arial" w:hAnsi="Arial" w:cs="Arial"/>
                <w:b/>
                <w:color w:val="000000"/>
                <w:sz w:val="16"/>
                <w:szCs w:val="16"/>
              </w:rPr>
            </w:pPr>
          </w:p>
        </w:tc>
        <w:tc>
          <w:tcPr>
            <w:tcW w:w="403" w:type="pct"/>
            <w:vAlign w:val="bottom"/>
          </w:tcPr>
          <w:p w:rsidR="004362C7" w:rsidRPr="00D00722" w:rsidRDefault="004362C7" w:rsidP="00ED6F5D">
            <w:pPr>
              <w:jc w:val="right"/>
              <w:rPr>
                <w:rFonts w:ascii="Arial" w:hAnsi="Arial" w:cs="Arial"/>
                <w:b/>
                <w:color w:val="000000"/>
                <w:sz w:val="16"/>
                <w:szCs w:val="16"/>
              </w:rPr>
            </w:pPr>
          </w:p>
        </w:tc>
        <w:tc>
          <w:tcPr>
            <w:tcW w:w="594" w:type="pct"/>
            <w:vAlign w:val="bottom"/>
          </w:tcPr>
          <w:p w:rsidR="004362C7" w:rsidRPr="00D00722" w:rsidRDefault="004362C7" w:rsidP="00ED6F5D">
            <w:pPr>
              <w:jc w:val="right"/>
              <w:rPr>
                <w:rFonts w:ascii="Arial" w:hAnsi="Arial" w:cs="Arial"/>
                <w:b/>
                <w:color w:val="000000"/>
                <w:sz w:val="16"/>
                <w:szCs w:val="16"/>
              </w:rPr>
            </w:pPr>
          </w:p>
        </w:tc>
        <w:tc>
          <w:tcPr>
            <w:tcW w:w="612" w:type="pct"/>
            <w:vAlign w:val="bottom"/>
          </w:tcPr>
          <w:p w:rsidR="004362C7" w:rsidRPr="00D00722" w:rsidRDefault="009E2085" w:rsidP="00ED6F5D">
            <w:pPr>
              <w:jc w:val="right"/>
              <w:rPr>
                <w:rFonts w:ascii="Arial" w:hAnsi="Arial" w:cs="Arial"/>
                <w:b/>
                <w:color w:val="000000"/>
                <w:sz w:val="16"/>
                <w:szCs w:val="16"/>
              </w:rPr>
            </w:pPr>
            <w:r w:rsidRPr="00D00722">
              <w:rPr>
                <w:rFonts w:ascii="Arial" w:hAnsi="Arial" w:cs="Arial"/>
                <w:b/>
                <w:color w:val="000000"/>
                <w:sz w:val="16"/>
                <w:szCs w:val="16"/>
              </w:rPr>
              <w:t>6.404</w:t>
            </w:r>
          </w:p>
        </w:tc>
      </w:tr>
      <w:tr w:rsidR="004362C7" w:rsidRPr="00D00722" w:rsidTr="00ED6F5D">
        <w:trPr>
          <w:trHeight w:val="113"/>
        </w:trPr>
        <w:tc>
          <w:tcPr>
            <w:tcW w:w="1379" w:type="pct"/>
            <w:tcBorders>
              <w:top w:val="nil"/>
              <w:bottom w:val="single" w:sz="4" w:space="0" w:color="auto"/>
            </w:tcBorders>
            <w:vAlign w:val="bottom"/>
          </w:tcPr>
          <w:p w:rsidR="004362C7" w:rsidRPr="00D00722" w:rsidRDefault="004362C7" w:rsidP="00ED6F5D">
            <w:pPr>
              <w:ind w:left="34" w:hanging="142"/>
              <w:rPr>
                <w:rFonts w:ascii="Arial" w:hAnsi="Arial" w:cs="Arial"/>
                <w:color w:val="000000"/>
                <w:sz w:val="16"/>
                <w:szCs w:val="16"/>
              </w:rPr>
            </w:pPr>
          </w:p>
        </w:tc>
        <w:tc>
          <w:tcPr>
            <w:tcW w:w="613" w:type="pct"/>
            <w:tcBorders>
              <w:top w:val="nil"/>
              <w:bottom w:val="single" w:sz="4" w:space="0" w:color="auto"/>
            </w:tcBorders>
            <w:vAlign w:val="bottom"/>
          </w:tcPr>
          <w:p w:rsidR="004362C7" w:rsidRPr="00D00722" w:rsidRDefault="004362C7" w:rsidP="00ED6F5D">
            <w:pPr>
              <w:jc w:val="right"/>
              <w:rPr>
                <w:rFonts w:ascii="Arial" w:hAnsi="Arial" w:cs="Arial"/>
                <w:b/>
                <w:color w:val="000000"/>
                <w:sz w:val="16"/>
                <w:szCs w:val="16"/>
              </w:rPr>
            </w:pPr>
          </w:p>
        </w:tc>
        <w:tc>
          <w:tcPr>
            <w:tcW w:w="440" w:type="pct"/>
            <w:tcBorders>
              <w:top w:val="nil"/>
              <w:bottom w:val="single" w:sz="4" w:space="0" w:color="auto"/>
            </w:tcBorders>
            <w:vAlign w:val="bottom"/>
          </w:tcPr>
          <w:p w:rsidR="004362C7" w:rsidRPr="00D00722" w:rsidRDefault="004362C7" w:rsidP="00ED6F5D">
            <w:pPr>
              <w:jc w:val="right"/>
              <w:rPr>
                <w:rFonts w:ascii="Arial" w:hAnsi="Arial" w:cs="Arial"/>
                <w:b/>
                <w:color w:val="000000"/>
                <w:sz w:val="16"/>
                <w:szCs w:val="16"/>
              </w:rPr>
            </w:pPr>
          </w:p>
        </w:tc>
        <w:tc>
          <w:tcPr>
            <w:tcW w:w="431" w:type="pct"/>
            <w:tcBorders>
              <w:top w:val="nil"/>
              <w:bottom w:val="single" w:sz="4" w:space="0" w:color="auto"/>
            </w:tcBorders>
            <w:vAlign w:val="bottom"/>
          </w:tcPr>
          <w:p w:rsidR="004362C7" w:rsidRPr="00D00722" w:rsidRDefault="004362C7" w:rsidP="00ED6F5D">
            <w:pPr>
              <w:jc w:val="right"/>
              <w:rPr>
                <w:rFonts w:ascii="Arial" w:hAnsi="Arial" w:cs="Arial"/>
                <w:b/>
                <w:color w:val="000000"/>
                <w:sz w:val="16"/>
                <w:szCs w:val="16"/>
              </w:rPr>
            </w:pPr>
          </w:p>
        </w:tc>
        <w:tc>
          <w:tcPr>
            <w:tcW w:w="529" w:type="pct"/>
            <w:tcBorders>
              <w:top w:val="nil"/>
              <w:bottom w:val="single" w:sz="4" w:space="0" w:color="auto"/>
            </w:tcBorders>
            <w:vAlign w:val="bottom"/>
          </w:tcPr>
          <w:p w:rsidR="004362C7" w:rsidRPr="00D00722" w:rsidRDefault="004362C7" w:rsidP="00ED6F5D">
            <w:pPr>
              <w:jc w:val="right"/>
              <w:rPr>
                <w:rFonts w:ascii="Arial" w:hAnsi="Arial" w:cs="Arial"/>
                <w:b/>
                <w:color w:val="000000"/>
                <w:sz w:val="16"/>
                <w:szCs w:val="16"/>
              </w:rPr>
            </w:pPr>
          </w:p>
        </w:tc>
        <w:tc>
          <w:tcPr>
            <w:tcW w:w="403" w:type="pct"/>
            <w:tcBorders>
              <w:top w:val="nil"/>
              <w:bottom w:val="single" w:sz="4" w:space="0" w:color="auto"/>
            </w:tcBorders>
            <w:vAlign w:val="bottom"/>
          </w:tcPr>
          <w:p w:rsidR="004362C7" w:rsidRPr="00D00722" w:rsidRDefault="004362C7" w:rsidP="00ED6F5D">
            <w:pPr>
              <w:jc w:val="right"/>
              <w:rPr>
                <w:rFonts w:ascii="Arial" w:hAnsi="Arial" w:cs="Arial"/>
                <w:b/>
                <w:color w:val="000000"/>
                <w:sz w:val="16"/>
                <w:szCs w:val="16"/>
              </w:rPr>
            </w:pPr>
          </w:p>
        </w:tc>
        <w:tc>
          <w:tcPr>
            <w:tcW w:w="594" w:type="pct"/>
            <w:tcBorders>
              <w:top w:val="nil"/>
              <w:bottom w:val="single" w:sz="4" w:space="0" w:color="auto"/>
            </w:tcBorders>
            <w:vAlign w:val="bottom"/>
          </w:tcPr>
          <w:p w:rsidR="004362C7" w:rsidRPr="00D00722" w:rsidRDefault="004362C7" w:rsidP="00ED6F5D">
            <w:pPr>
              <w:jc w:val="right"/>
              <w:rPr>
                <w:rFonts w:ascii="Arial" w:hAnsi="Arial" w:cs="Arial"/>
                <w:b/>
                <w:color w:val="000000"/>
                <w:sz w:val="16"/>
                <w:szCs w:val="16"/>
              </w:rPr>
            </w:pPr>
          </w:p>
        </w:tc>
        <w:tc>
          <w:tcPr>
            <w:tcW w:w="612" w:type="pct"/>
            <w:tcBorders>
              <w:top w:val="nil"/>
              <w:bottom w:val="single" w:sz="4" w:space="0" w:color="auto"/>
            </w:tcBorders>
            <w:vAlign w:val="bottom"/>
          </w:tcPr>
          <w:p w:rsidR="004362C7" w:rsidRPr="00D00722" w:rsidRDefault="004362C7" w:rsidP="00ED6F5D">
            <w:pPr>
              <w:jc w:val="right"/>
              <w:rPr>
                <w:rFonts w:ascii="Arial" w:hAnsi="Arial" w:cs="Arial"/>
                <w:b/>
                <w:color w:val="000000"/>
                <w:sz w:val="16"/>
                <w:szCs w:val="16"/>
              </w:rPr>
            </w:pPr>
          </w:p>
        </w:tc>
      </w:tr>
      <w:tr w:rsidR="004362C7" w:rsidRPr="00D00722" w:rsidTr="00ED6F5D">
        <w:trPr>
          <w:trHeight w:val="113"/>
        </w:trPr>
        <w:tc>
          <w:tcPr>
            <w:tcW w:w="1379" w:type="pct"/>
            <w:tcBorders>
              <w:top w:val="single" w:sz="4" w:space="0" w:color="auto"/>
              <w:bottom w:val="single" w:sz="4" w:space="0" w:color="auto"/>
            </w:tcBorders>
            <w:vAlign w:val="bottom"/>
          </w:tcPr>
          <w:p w:rsidR="004362C7" w:rsidRPr="00D00722" w:rsidRDefault="004362C7" w:rsidP="00ED6F5D">
            <w:pPr>
              <w:ind w:left="34" w:hanging="142"/>
              <w:rPr>
                <w:rFonts w:ascii="Arial" w:hAnsi="Arial" w:cs="Arial"/>
                <w:b/>
                <w:color w:val="000000"/>
                <w:sz w:val="16"/>
                <w:szCs w:val="16"/>
              </w:rPr>
            </w:pPr>
            <w:r w:rsidRPr="00D00722">
              <w:rPr>
                <w:rFonts w:ascii="Arial" w:hAnsi="Arial" w:cs="Arial"/>
                <w:b/>
                <w:color w:val="000000"/>
                <w:sz w:val="16"/>
                <w:szCs w:val="16"/>
              </w:rPr>
              <w:t>Toplam kaynaklar</w:t>
            </w:r>
          </w:p>
        </w:tc>
        <w:tc>
          <w:tcPr>
            <w:tcW w:w="613" w:type="pct"/>
            <w:tcBorders>
              <w:top w:val="single" w:sz="4" w:space="0" w:color="auto"/>
              <w:bottom w:val="single" w:sz="4" w:space="0" w:color="auto"/>
            </w:tcBorders>
            <w:vAlign w:val="bottom"/>
          </w:tcPr>
          <w:p w:rsidR="004362C7" w:rsidRPr="00D00722" w:rsidRDefault="009E2085" w:rsidP="00ED6F5D">
            <w:pPr>
              <w:jc w:val="right"/>
              <w:rPr>
                <w:rFonts w:ascii="Arial" w:hAnsi="Arial" w:cs="Arial"/>
                <w:b/>
                <w:color w:val="000000"/>
                <w:sz w:val="16"/>
                <w:szCs w:val="16"/>
              </w:rPr>
            </w:pPr>
            <w:r w:rsidRPr="00D00722">
              <w:rPr>
                <w:rFonts w:ascii="Arial" w:hAnsi="Arial" w:cs="Arial"/>
                <w:b/>
                <w:color w:val="000000"/>
                <w:sz w:val="16"/>
                <w:szCs w:val="16"/>
              </w:rPr>
              <w:t>26.830</w:t>
            </w:r>
          </w:p>
        </w:tc>
        <w:tc>
          <w:tcPr>
            <w:tcW w:w="440" w:type="pct"/>
            <w:tcBorders>
              <w:top w:val="single" w:sz="4" w:space="0" w:color="auto"/>
              <w:bottom w:val="single" w:sz="4" w:space="0" w:color="auto"/>
            </w:tcBorders>
            <w:vAlign w:val="bottom"/>
          </w:tcPr>
          <w:p w:rsidR="004362C7" w:rsidRPr="00D00722" w:rsidRDefault="004362C7" w:rsidP="00ED6F5D">
            <w:pPr>
              <w:jc w:val="right"/>
              <w:rPr>
                <w:rFonts w:ascii="Arial" w:hAnsi="Arial" w:cs="Arial"/>
                <w:b/>
                <w:color w:val="000000"/>
                <w:sz w:val="16"/>
                <w:szCs w:val="16"/>
              </w:rPr>
            </w:pPr>
          </w:p>
        </w:tc>
        <w:tc>
          <w:tcPr>
            <w:tcW w:w="431" w:type="pct"/>
            <w:tcBorders>
              <w:top w:val="single" w:sz="4" w:space="0" w:color="auto"/>
              <w:bottom w:val="single" w:sz="4" w:space="0" w:color="auto"/>
            </w:tcBorders>
            <w:vAlign w:val="bottom"/>
          </w:tcPr>
          <w:p w:rsidR="004362C7" w:rsidRPr="00D00722" w:rsidRDefault="004362C7" w:rsidP="00ED6F5D">
            <w:pPr>
              <w:jc w:val="right"/>
              <w:rPr>
                <w:rFonts w:ascii="Arial" w:hAnsi="Arial" w:cs="Arial"/>
                <w:b/>
                <w:color w:val="000000"/>
                <w:sz w:val="16"/>
                <w:szCs w:val="16"/>
              </w:rPr>
            </w:pPr>
          </w:p>
        </w:tc>
        <w:tc>
          <w:tcPr>
            <w:tcW w:w="529" w:type="pct"/>
            <w:tcBorders>
              <w:top w:val="single" w:sz="4" w:space="0" w:color="auto"/>
              <w:bottom w:val="single" w:sz="4" w:space="0" w:color="auto"/>
            </w:tcBorders>
            <w:vAlign w:val="bottom"/>
          </w:tcPr>
          <w:p w:rsidR="004362C7" w:rsidRPr="00D00722" w:rsidRDefault="004362C7" w:rsidP="00ED6F5D">
            <w:pPr>
              <w:jc w:val="right"/>
              <w:rPr>
                <w:rFonts w:ascii="Arial" w:hAnsi="Arial" w:cs="Arial"/>
                <w:b/>
                <w:color w:val="000000"/>
                <w:sz w:val="16"/>
                <w:szCs w:val="16"/>
              </w:rPr>
            </w:pPr>
          </w:p>
        </w:tc>
        <w:tc>
          <w:tcPr>
            <w:tcW w:w="403" w:type="pct"/>
            <w:tcBorders>
              <w:top w:val="single" w:sz="4" w:space="0" w:color="auto"/>
              <w:bottom w:val="single" w:sz="4" w:space="0" w:color="auto"/>
            </w:tcBorders>
            <w:vAlign w:val="bottom"/>
          </w:tcPr>
          <w:p w:rsidR="004362C7" w:rsidRPr="00D00722" w:rsidRDefault="004362C7" w:rsidP="00ED6F5D">
            <w:pPr>
              <w:jc w:val="right"/>
              <w:rPr>
                <w:rFonts w:ascii="Arial" w:hAnsi="Arial" w:cs="Arial"/>
                <w:b/>
                <w:color w:val="000000"/>
                <w:sz w:val="16"/>
                <w:szCs w:val="16"/>
              </w:rPr>
            </w:pPr>
          </w:p>
        </w:tc>
        <w:tc>
          <w:tcPr>
            <w:tcW w:w="594" w:type="pct"/>
            <w:tcBorders>
              <w:top w:val="single" w:sz="4" w:space="0" w:color="auto"/>
              <w:bottom w:val="single" w:sz="4" w:space="0" w:color="auto"/>
            </w:tcBorders>
            <w:vAlign w:val="bottom"/>
          </w:tcPr>
          <w:p w:rsidR="004362C7" w:rsidRPr="00D00722" w:rsidRDefault="004362C7" w:rsidP="00ED6F5D">
            <w:pPr>
              <w:jc w:val="right"/>
              <w:rPr>
                <w:rFonts w:ascii="Arial" w:hAnsi="Arial" w:cs="Arial"/>
                <w:b/>
                <w:color w:val="000000"/>
                <w:sz w:val="16"/>
                <w:szCs w:val="16"/>
              </w:rPr>
            </w:pPr>
          </w:p>
        </w:tc>
        <w:tc>
          <w:tcPr>
            <w:tcW w:w="612" w:type="pct"/>
            <w:tcBorders>
              <w:top w:val="single" w:sz="4" w:space="0" w:color="auto"/>
              <w:bottom w:val="single" w:sz="4" w:space="0" w:color="auto"/>
            </w:tcBorders>
            <w:vAlign w:val="bottom"/>
          </w:tcPr>
          <w:p w:rsidR="004362C7" w:rsidRPr="00D00722" w:rsidRDefault="009E2085" w:rsidP="00ED6F5D">
            <w:pPr>
              <w:jc w:val="right"/>
              <w:rPr>
                <w:rFonts w:ascii="Arial" w:hAnsi="Arial" w:cs="Arial"/>
                <w:b/>
                <w:color w:val="000000"/>
                <w:sz w:val="16"/>
                <w:szCs w:val="16"/>
              </w:rPr>
            </w:pPr>
            <w:r w:rsidRPr="00D00722">
              <w:rPr>
                <w:rFonts w:ascii="Arial" w:hAnsi="Arial" w:cs="Arial"/>
                <w:b/>
                <w:color w:val="000000"/>
                <w:sz w:val="16"/>
                <w:szCs w:val="16"/>
              </w:rPr>
              <w:t>26.830</w:t>
            </w:r>
          </w:p>
        </w:tc>
      </w:tr>
      <w:tr w:rsidR="004362C7" w:rsidRPr="00D00722" w:rsidTr="00ED6F5D">
        <w:trPr>
          <w:trHeight w:val="113"/>
        </w:trPr>
        <w:tc>
          <w:tcPr>
            <w:tcW w:w="1379" w:type="pct"/>
            <w:tcBorders>
              <w:top w:val="single" w:sz="4" w:space="0" w:color="auto"/>
              <w:bottom w:val="single" w:sz="4" w:space="0" w:color="auto"/>
            </w:tcBorders>
            <w:vAlign w:val="bottom"/>
          </w:tcPr>
          <w:p w:rsidR="004362C7" w:rsidRPr="00D00722" w:rsidRDefault="004362C7" w:rsidP="00ED6F5D">
            <w:pPr>
              <w:ind w:left="34" w:hanging="142"/>
              <w:rPr>
                <w:rFonts w:ascii="Arial" w:hAnsi="Arial" w:cs="Arial"/>
                <w:b/>
                <w:color w:val="000000"/>
                <w:sz w:val="16"/>
                <w:szCs w:val="16"/>
              </w:rPr>
            </w:pPr>
          </w:p>
        </w:tc>
        <w:tc>
          <w:tcPr>
            <w:tcW w:w="613" w:type="pct"/>
            <w:tcBorders>
              <w:top w:val="single" w:sz="4" w:space="0" w:color="auto"/>
              <w:bottom w:val="single" w:sz="4" w:space="0" w:color="auto"/>
            </w:tcBorders>
            <w:vAlign w:val="bottom"/>
          </w:tcPr>
          <w:p w:rsidR="004362C7" w:rsidRPr="00D00722" w:rsidRDefault="004362C7" w:rsidP="00ED6F5D">
            <w:pPr>
              <w:jc w:val="right"/>
              <w:rPr>
                <w:rFonts w:ascii="Arial" w:hAnsi="Arial" w:cs="Arial"/>
                <w:b/>
                <w:color w:val="000000"/>
                <w:sz w:val="16"/>
                <w:szCs w:val="16"/>
              </w:rPr>
            </w:pPr>
          </w:p>
        </w:tc>
        <w:tc>
          <w:tcPr>
            <w:tcW w:w="440" w:type="pct"/>
            <w:tcBorders>
              <w:top w:val="single" w:sz="4" w:space="0" w:color="auto"/>
              <w:bottom w:val="single" w:sz="4" w:space="0" w:color="auto"/>
            </w:tcBorders>
            <w:vAlign w:val="bottom"/>
          </w:tcPr>
          <w:p w:rsidR="004362C7" w:rsidRPr="00D00722" w:rsidRDefault="004362C7" w:rsidP="00ED6F5D">
            <w:pPr>
              <w:jc w:val="right"/>
              <w:rPr>
                <w:rFonts w:ascii="Arial" w:hAnsi="Arial" w:cs="Arial"/>
                <w:b/>
                <w:color w:val="000000"/>
                <w:sz w:val="16"/>
                <w:szCs w:val="16"/>
              </w:rPr>
            </w:pPr>
          </w:p>
        </w:tc>
        <w:tc>
          <w:tcPr>
            <w:tcW w:w="431" w:type="pct"/>
            <w:tcBorders>
              <w:top w:val="single" w:sz="4" w:space="0" w:color="auto"/>
              <w:bottom w:val="single" w:sz="4" w:space="0" w:color="auto"/>
            </w:tcBorders>
            <w:vAlign w:val="bottom"/>
          </w:tcPr>
          <w:p w:rsidR="004362C7" w:rsidRPr="00D00722" w:rsidRDefault="004362C7" w:rsidP="00ED6F5D">
            <w:pPr>
              <w:jc w:val="right"/>
              <w:rPr>
                <w:rFonts w:ascii="Arial" w:hAnsi="Arial" w:cs="Arial"/>
                <w:b/>
                <w:color w:val="000000"/>
                <w:sz w:val="16"/>
                <w:szCs w:val="16"/>
              </w:rPr>
            </w:pPr>
          </w:p>
        </w:tc>
        <w:tc>
          <w:tcPr>
            <w:tcW w:w="529" w:type="pct"/>
            <w:tcBorders>
              <w:top w:val="single" w:sz="4" w:space="0" w:color="auto"/>
              <w:bottom w:val="single" w:sz="4" w:space="0" w:color="auto"/>
            </w:tcBorders>
            <w:vAlign w:val="bottom"/>
          </w:tcPr>
          <w:p w:rsidR="004362C7" w:rsidRPr="00D00722" w:rsidRDefault="004362C7" w:rsidP="00ED6F5D">
            <w:pPr>
              <w:jc w:val="right"/>
              <w:rPr>
                <w:rFonts w:ascii="Arial" w:hAnsi="Arial" w:cs="Arial"/>
                <w:b/>
                <w:color w:val="000000"/>
                <w:sz w:val="16"/>
                <w:szCs w:val="16"/>
              </w:rPr>
            </w:pPr>
          </w:p>
        </w:tc>
        <w:tc>
          <w:tcPr>
            <w:tcW w:w="403" w:type="pct"/>
            <w:tcBorders>
              <w:top w:val="single" w:sz="4" w:space="0" w:color="auto"/>
              <w:bottom w:val="single" w:sz="4" w:space="0" w:color="auto"/>
            </w:tcBorders>
            <w:vAlign w:val="bottom"/>
          </w:tcPr>
          <w:p w:rsidR="004362C7" w:rsidRPr="00D00722" w:rsidRDefault="004362C7" w:rsidP="00ED6F5D">
            <w:pPr>
              <w:jc w:val="right"/>
              <w:rPr>
                <w:rFonts w:ascii="Arial" w:hAnsi="Arial" w:cs="Arial"/>
                <w:b/>
                <w:color w:val="000000"/>
                <w:sz w:val="16"/>
                <w:szCs w:val="16"/>
              </w:rPr>
            </w:pPr>
          </w:p>
        </w:tc>
        <w:tc>
          <w:tcPr>
            <w:tcW w:w="594" w:type="pct"/>
            <w:tcBorders>
              <w:top w:val="single" w:sz="4" w:space="0" w:color="auto"/>
              <w:bottom w:val="single" w:sz="4" w:space="0" w:color="auto"/>
            </w:tcBorders>
            <w:vAlign w:val="bottom"/>
          </w:tcPr>
          <w:p w:rsidR="004362C7" w:rsidRPr="00D00722" w:rsidRDefault="004362C7" w:rsidP="00ED6F5D">
            <w:pPr>
              <w:jc w:val="right"/>
              <w:rPr>
                <w:rFonts w:ascii="Arial" w:hAnsi="Arial" w:cs="Arial"/>
                <w:b/>
                <w:color w:val="000000"/>
                <w:sz w:val="16"/>
                <w:szCs w:val="16"/>
              </w:rPr>
            </w:pPr>
          </w:p>
        </w:tc>
        <w:tc>
          <w:tcPr>
            <w:tcW w:w="612" w:type="pct"/>
            <w:tcBorders>
              <w:top w:val="single" w:sz="4" w:space="0" w:color="auto"/>
              <w:bottom w:val="single" w:sz="4" w:space="0" w:color="auto"/>
            </w:tcBorders>
            <w:vAlign w:val="bottom"/>
          </w:tcPr>
          <w:p w:rsidR="004362C7" w:rsidRPr="00D00722" w:rsidRDefault="004362C7" w:rsidP="00ED6F5D">
            <w:pPr>
              <w:jc w:val="right"/>
              <w:rPr>
                <w:rFonts w:ascii="Arial" w:hAnsi="Arial" w:cs="Arial"/>
                <w:b/>
                <w:color w:val="000000"/>
                <w:sz w:val="16"/>
                <w:szCs w:val="16"/>
              </w:rPr>
            </w:pPr>
          </w:p>
        </w:tc>
      </w:tr>
      <w:tr w:rsidR="004362C7" w:rsidRPr="00D00722" w:rsidTr="00ED6F5D">
        <w:trPr>
          <w:trHeight w:val="113"/>
        </w:trPr>
        <w:tc>
          <w:tcPr>
            <w:tcW w:w="1379" w:type="pct"/>
            <w:tcBorders>
              <w:top w:val="single" w:sz="4" w:space="0" w:color="auto"/>
              <w:bottom w:val="double" w:sz="4" w:space="0" w:color="auto"/>
            </w:tcBorders>
            <w:vAlign w:val="bottom"/>
          </w:tcPr>
          <w:p w:rsidR="004362C7" w:rsidRPr="00D00722" w:rsidRDefault="004362C7" w:rsidP="00ED6F5D">
            <w:pPr>
              <w:ind w:left="34" w:hanging="142"/>
              <w:rPr>
                <w:rFonts w:ascii="Arial" w:hAnsi="Arial" w:cs="Arial"/>
                <w:b/>
                <w:color w:val="000000"/>
                <w:sz w:val="16"/>
                <w:szCs w:val="16"/>
              </w:rPr>
            </w:pPr>
            <w:r w:rsidRPr="00D00722">
              <w:rPr>
                <w:rFonts w:ascii="Arial" w:hAnsi="Arial" w:cs="Arial"/>
                <w:b/>
                <w:color w:val="000000"/>
                <w:sz w:val="16"/>
                <w:szCs w:val="16"/>
              </w:rPr>
              <w:t>Net likidite fazlası / (açığı)</w:t>
            </w:r>
          </w:p>
        </w:tc>
        <w:tc>
          <w:tcPr>
            <w:tcW w:w="613" w:type="pct"/>
            <w:tcBorders>
              <w:top w:val="single" w:sz="4" w:space="0" w:color="auto"/>
              <w:bottom w:val="double" w:sz="4" w:space="0" w:color="auto"/>
            </w:tcBorders>
            <w:vAlign w:val="bottom"/>
          </w:tcPr>
          <w:p w:rsidR="004362C7" w:rsidRPr="00D00722" w:rsidRDefault="009E2085" w:rsidP="00ED6F5D">
            <w:pPr>
              <w:jc w:val="right"/>
              <w:rPr>
                <w:rFonts w:ascii="Arial" w:hAnsi="Arial" w:cs="Arial"/>
                <w:b/>
                <w:color w:val="000000"/>
                <w:sz w:val="16"/>
                <w:szCs w:val="16"/>
              </w:rPr>
            </w:pPr>
            <w:r w:rsidRPr="00D00722">
              <w:rPr>
                <w:rFonts w:ascii="Arial" w:hAnsi="Arial" w:cs="Arial"/>
                <w:b/>
                <w:color w:val="000000"/>
                <w:sz w:val="16"/>
                <w:szCs w:val="16"/>
              </w:rPr>
              <w:t>1.056.757</w:t>
            </w:r>
          </w:p>
        </w:tc>
        <w:tc>
          <w:tcPr>
            <w:tcW w:w="440" w:type="pct"/>
            <w:tcBorders>
              <w:top w:val="single" w:sz="4" w:space="0" w:color="auto"/>
              <w:bottom w:val="double" w:sz="4" w:space="0" w:color="auto"/>
            </w:tcBorders>
            <w:vAlign w:val="bottom"/>
          </w:tcPr>
          <w:p w:rsidR="004362C7" w:rsidRPr="00D00722" w:rsidRDefault="004362C7" w:rsidP="00ED6F5D">
            <w:pPr>
              <w:jc w:val="right"/>
              <w:rPr>
                <w:rFonts w:ascii="Arial" w:hAnsi="Arial" w:cs="Arial"/>
                <w:b/>
                <w:color w:val="000000"/>
                <w:sz w:val="16"/>
                <w:szCs w:val="16"/>
              </w:rPr>
            </w:pPr>
          </w:p>
        </w:tc>
        <w:tc>
          <w:tcPr>
            <w:tcW w:w="431" w:type="pct"/>
            <w:tcBorders>
              <w:top w:val="single" w:sz="4" w:space="0" w:color="auto"/>
              <w:bottom w:val="double" w:sz="4" w:space="0" w:color="auto"/>
            </w:tcBorders>
            <w:vAlign w:val="bottom"/>
          </w:tcPr>
          <w:p w:rsidR="004362C7" w:rsidRPr="00D00722" w:rsidRDefault="004362C7" w:rsidP="00ED6F5D">
            <w:pPr>
              <w:jc w:val="right"/>
              <w:rPr>
                <w:rFonts w:ascii="Arial" w:hAnsi="Arial" w:cs="Arial"/>
                <w:b/>
                <w:color w:val="000000"/>
                <w:sz w:val="16"/>
                <w:szCs w:val="16"/>
              </w:rPr>
            </w:pPr>
          </w:p>
        </w:tc>
        <w:tc>
          <w:tcPr>
            <w:tcW w:w="529" w:type="pct"/>
            <w:tcBorders>
              <w:top w:val="single" w:sz="4" w:space="0" w:color="auto"/>
              <w:bottom w:val="double" w:sz="4" w:space="0" w:color="auto"/>
            </w:tcBorders>
            <w:vAlign w:val="bottom"/>
          </w:tcPr>
          <w:p w:rsidR="004362C7" w:rsidRPr="00D00722" w:rsidRDefault="004362C7" w:rsidP="00ED6F5D">
            <w:pPr>
              <w:jc w:val="right"/>
              <w:rPr>
                <w:rFonts w:ascii="Arial" w:hAnsi="Arial" w:cs="Arial"/>
                <w:b/>
                <w:color w:val="000000"/>
                <w:sz w:val="16"/>
                <w:szCs w:val="16"/>
              </w:rPr>
            </w:pPr>
          </w:p>
        </w:tc>
        <w:tc>
          <w:tcPr>
            <w:tcW w:w="403" w:type="pct"/>
            <w:tcBorders>
              <w:top w:val="single" w:sz="4" w:space="0" w:color="auto"/>
              <w:bottom w:val="double" w:sz="4" w:space="0" w:color="auto"/>
            </w:tcBorders>
            <w:vAlign w:val="bottom"/>
          </w:tcPr>
          <w:p w:rsidR="004362C7" w:rsidRPr="00D00722" w:rsidRDefault="004362C7" w:rsidP="00ED6F5D">
            <w:pPr>
              <w:jc w:val="right"/>
              <w:rPr>
                <w:rFonts w:ascii="Arial" w:hAnsi="Arial" w:cs="Arial"/>
                <w:b/>
                <w:color w:val="000000"/>
                <w:sz w:val="16"/>
                <w:szCs w:val="16"/>
              </w:rPr>
            </w:pPr>
          </w:p>
        </w:tc>
        <w:tc>
          <w:tcPr>
            <w:tcW w:w="594" w:type="pct"/>
            <w:tcBorders>
              <w:top w:val="single" w:sz="4" w:space="0" w:color="auto"/>
              <w:bottom w:val="double" w:sz="4" w:space="0" w:color="auto"/>
            </w:tcBorders>
            <w:vAlign w:val="bottom"/>
          </w:tcPr>
          <w:p w:rsidR="004362C7" w:rsidRPr="00D00722" w:rsidRDefault="004362C7" w:rsidP="00ED6F5D">
            <w:pPr>
              <w:jc w:val="right"/>
              <w:rPr>
                <w:rFonts w:ascii="Arial" w:hAnsi="Arial" w:cs="Arial"/>
                <w:b/>
                <w:color w:val="000000"/>
                <w:sz w:val="16"/>
                <w:szCs w:val="16"/>
              </w:rPr>
            </w:pPr>
          </w:p>
        </w:tc>
        <w:tc>
          <w:tcPr>
            <w:tcW w:w="612" w:type="pct"/>
            <w:tcBorders>
              <w:top w:val="single" w:sz="4" w:space="0" w:color="auto"/>
              <w:bottom w:val="double" w:sz="4" w:space="0" w:color="auto"/>
            </w:tcBorders>
            <w:vAlign w:val="bottom"/>
          </w:tcPr>
          <w:p w:rsidR="004362C7" w:rsidRPr="00D00722" w:rsidRDefault="009E2085" w:rsidP="00ED6F5D">
            <w:pPr>
              <w:jc w:val="right"/>
              <w:rPr>
                <w:rFonts w:ascii="Arial" w:hAnsi="Arial" w:cs="Arial"/>
                <w:b/>
                <w:color w:val="000000"/>
                <w:sz w:val="16"/>
                <w:szCs w:val="16"/>
              </w:rPr>
            </w:pPr>
            <w:r w:rsidRPr="00D00722">
              <w:rPr>
                <w:rFonts w:ascii="Arial" w:hAnsi="Arial" w:cs="Arial"/>
                <w:b/>
                <w:color w:val="000000"/>
                <w:sz w:val="16"/>
                <w:szCs w:val="16"/>
              </w:rPr>
              <w:t>1.068.309</w:t>
            </w:r>
          </w:p>
        </w:tc>
      </w:tr>
    </w:tbl>
    <w:p w:rsidR="004362C7" w:rsidRPr="00D00722" w:rsidRDefault="004362C7" w:rsidP="004362C7">
      <w:pPr>
        <w:pStyle w:val="body0"/>
        <w:spacing w:after="0" w:line="240" w:lineRule="auto"/>
        <w:jc w:val="left"/>
        <w:rPr>
          <w:rFonts w:ascii="Arial" w:hAnsi="Arial" w:cs="Arial"/>
          <w:lang w:val="nl-BE"/>
        </w:rPr>
      </w:pPr>
    </w:p>
    <w:p w:rsidR="004362C7" w:rsidRPr="00D00722" w:rsidRDefault="004362C7" w:rsidP="004362C7">
      <w:pPr>
        <w:rPr>
          <w:rFonts w:ascii="Arial" w:hAnsi="Arial" w:cs="Arial"/>
          <w:b/>
          <w:spacing w:val="-2"/>
          <w:lang w:val="tr-TR"/>
        </w:rPr>
      </w:pPr>
      <w:r w:rsidRPr="00D00722">
        <w:rPr>
          <w:rFonts w:ascii="Arial" w:hAnsi="Arial" w:cs="Arial"/>
          <w:b/>
          <w:spacing w:val="-2"/>
          <w:lang w:val="tr-TR"/>
        </w:rPr>
        <w:br w:type="page"/>
      </w:r>
    </w:p>
    <w:tbl>
      <w:tblPr>
        <w:tblW w:w="4983" w:type="pct"/>
        <w:tblInd w:w="108" w:type="dxa"/>
        <w:tblBorders>
          <w:bottom w:val="single" w:sz="4" w:space="0" w:color="auto"/>
        </w:tblBorders>
        <w:tblLayout w:type="fixed"/>
        <w:tblLook w:val="0000"/>
      </w:tblPr>
      <w:tblGrid>
        <w:gridCol w:w="2553"/>
        <w:gridCol w:w="1135"/>
        <w:gridCol w:w="814"/>
        <w:gridCol w:w="798"/>
        <w:gridCol w:w="979"/>
        <w:gridCol w:w="746"/>
        <w:gridCol w:w="1099"/>
        <w:gridCol w:w="1131"/>
      </w:tblGrid>
      <w:tr w:rsidR="00FA725F" w:rsidRPr="00D00722" w:rsidTr="001A4572">
        <w:trPr>
          <w:trHeight w:val="113"/>
        </w:trPr>
        <w:tc>
          <w:tcPr>
            <w:tcW w:w="1379" w:type="pct"/>
            <w:tcBorders>
              <w:top w:val="single" w:sz="4" w:space="0" w:color="auto"/>
              <w:bottom w:val="single" w:sz="4" w:space="0" w:color="auto"/>
            </w:tcBorders>
            <w:vAlign w:val="bottom"/>
          </w:tcPr>
          <w:p w:rsidR="00245BD3" w:rsidRPr="00D00722" w:rsidRDefault="00245BD3" w:rsidP="00B109E9">
            <w:pPr>
              <w:pStyle w:val="Teknik4"/>
              <w:tabs>
                <w:tab w:val="clear" w:pos="-720"/>
              </w:tabs>
              <w:suppressAutoHyphens w:val="0"/>
              <w:ind w:left="34" w:hanging="142"/>
              <w:jc w:val="both"/>
              <w:rPr>
                <w:rFonts w:ascii="Arial" w:hAnsi="Arial" w:cs="Arial"/>
                <w:b w:val="0"/>
                <w:sz w:val="16"/>
                <w:szCs w:val="16"/>
                <w:lang w:val="tr-TR"/>
              </w:rPr>
            </w:pPr>
          </w:p>
        </w:tc>
        <w:tc>
          <w:tcPr>
            <w:tcW w:w="3621" w:type="pct"/>
            <w:gridSpan w:val="7"/>
            <w:tcBorders>
              <w:top w:val="single" w:sz="4" w:space="0" w:color="auto"/>
              <w:bottom w:val="single" w:sz="4" w:space="0" w:color="auto"/>
            </w:tcBorders>
            <w:vAlign w:val="bottom"/>
          </w:tcPr>
          <w:p w:rsidR="00245BD3" w:rsidRPr="00D00722" w:rsidRDefault="003972A7" w:rsidP="00E018FB">
            <w:pPr>
              <w:pStyle w:val="Teknik4"/>
              <w:tabs>
                <w:tab w:val="clear" w:pos="-720"/>
              </w:tabs>
              <w:suppressAutoHyphens w:val="0"/>
              <w:ind w:left="1634"/>
              <w:jc w:val="right"/>
              <w:rPr>
                <w:rFonts w:ascii="Arial" w:hAnsi="Arial" w:cs="Arial"/>
                <w:b w:val="0"/>
                <w:bCs/>
                <w:sz w:val="16"/>
                <w:szCs w:val="16"/>
                <w:lang w:val="tr-TR"/>
              </w:rPr>
            </w:pPr>
            <w:r w:rsidRPr="00D00722">
              <w:rPr>
                <w:rFonts w:ascii="Arial" w:hAnsi="Arial" w:cs="Arial"/>
                <w:b w:val="0"/>
                <w:bCs/>
                <w:sz w:val="16"/>
                <w:szCs w:val="16"/>
                <w:lang w:val="tr-TR"/>
              </w:rPr>
              <w:t xml:space="preserve">31 Aralık </w:t>
            </w:r>
            <w:r w:rsidR="00350F68" w:rsidRPr="00D00722">
              <w:rPr>
                <w:rFonts w:ascii="Arial" w:hAnsi="Arial" w:cs="Arial"/>
                <w:b w:val="0"/>
                <w:bCs/>
                <w:sz w:val="16"/>
                <w:szCs w:val="16"/>
                <w:lang w:val="tr-TR"/>
              </w:rPr>
              <w:t>201</w:t>
            </w:r>
            <w:r w:rsidR="00253519" w:rsidRPr="00D00722">
              <w:rPr>
                <w:rFonts w:ascii="Arial" w:hAnsi="Arial" w:cs="Arial"/>
                <w:b w:val="0"/>
                <w:bCs/>
                <w:sz w:val="16"/>
                <w:szCs w:val="16"/>
                <w:lang w:val="tr-TR"/>
              </w:rPr>
              <w:t>3</w:t>
            </w:r>
          </w:p>
        </w:tc>
      </w:tr>
      <w:tr w:rsidR="00C15A73" w:rsidRPr="00D00722" w:rsidTr="004362C7">
        <w:trPr>
          <w:trHeight w:val="113"/>
        </w:trPr>
        <w:tc>
          <w:tcPr>
            <w:tcW w:w="1379" w:type="pct"/>
            <w:tcBorders>
              <w:top w:val="single" w:sz="4" w:space="0" w:color="auto"/>
              <w:bottom w:val="single" w:sz="4" w:space="0" w:color="auto"/>
            </w:tcBorders>
            <w:vAlign w:val="bottom"/>
          </w:tcPr>
          <w:p w:rsidR="00245BD3" w:rsidRPr="00D00722" w:rsidRDefault="00245BD3" w:rsidP="00B109E9">
            <w:pPr>
              <w:pStyle w:val="Teknik4"/>
              <w:tabs>
                <w:tab w:val="clear" w:pos="-720"/>
              </w:tabs>
              <w:suppressAutoHyphens w:val="0"/>
              <w:ind w:left="34" w:hanging="142"/>
              <w:jc w:val="both"/>
              <w:rPr>
                <w:rFonts w:ascii="Arial" w:hAnsi="Arial" w:cs="Arial"/>
                <w:b w:val="0"/>
                <w:sz w:val="16"/>
                <w:szCs w:val="16"/>
                <w:lang w:val="tr-TR"/>
              </w:rPr>
            </w:pPr>
          </w:p>
        </w:tc>
        <w:tc>
          <w:tcPr>
            <w:tcW w:w="613" w:type="pct"/>
            <w:tcBorders>
              <w:top w:val="single" w:sz="4" w:space="0" w:color="auto"/>
              <w:bottom w:val="single" w:sz="4" w:space="0" w:color="auto"/>
            </w:tcBorders>
            <w:vAlign w:val="bottom"/>
          </w:tcPr>
          <w:p w:rsidR="00245BD3" w:rsidRPr="00D00722" w:rsidRDefault="00245BD3" w:rsidP="004B5888">
            <w:pPr>
              <w:pStyle w:val="Teknik4"/>
              <w:tabs>
                <w:tab w:val="clear" w:pos="-720"/>
              </w:tabs>
              <w:suppressAutoHyphens w:val="0"/>
              <w:jc w:val="right"/>
              <w:rPr>
                <w:rFonts w:ascii="Arial" w:hAnsi="Arial" w:cs="Arial"/>
                <w:b w:val="0"/>
                <w:sz w:val="16"/>
                <w:szCs w:val="16"/>
                <w:lang w:val="tr-TR"/>
              </w:rPr>
            </w:pPr>
          </w:p>
          <w:p w:rsidR="00245BD3" w:rsidRPr="00D00722" w:rsidRDefault="00245BD3" w:rsidP="004B5888">
            <w:pPr>
              <w:pStyle w:val="Teknik4"/>
              <w:tabs>
                <w:tab w:val="clear" w:pos="-720"/>
              </w:tabs>
              <w:suppressAutoHyphens w:val="0"/>
              <w:jc w:val="right"/>
              <w:rPr>
                <w:rFonts w:ascii="Arial" w:hAnsi="Arial" w:cs="Arial"/>
                <w:b w:val="0"/>
                <w:sz w:val="16"/>
                <w:szCs w:val="16"/>
                <w:lang w:val="tr-TR"/>
              </w:rPr>
            </w:pPr>
            <w:r w:rsidRPr="00D00722">
              <w:rPr>
                <w:rFonts w:ascii="Arial" w:hAnsi="Arial" w:cs="Arial"/>
                <w:b w:val="0"/>
                <w:sz w:val="16"/>
                <w:szCs w:val="16"/>
                <w:lang w:val="tr-TR"/>
              </w:rPr>
              <w:t>1 aya kadar</w:t>
            </w:r>
          </w:p>
        </w:tc>
        <w:tc>
          <w:tcPr>
            <w:tcW w:w="440" w:type="pct"/>
            <w:tcBorders>
              <w:top w:val="single" w:sz="4" w:space="0" w:color="auto"/>
              <w:bottom w:val="single" w:sz="4" w:space="0" w:color="auto"/>
            </w:tcBorders>
            <w:vAlign w:val="bottom"/>
          </w:tcPr>
          <w:p w:rsidR="001D4557" w:rsidRPr="00D00722" w:rsidRDefault="00245BD3" w:rsidP="004B5888">
            <w:pPr>
              <w:pStyle w:val="Teknik4"/>
              <w:tabs>
                <w:tab w:val="clear" w:pos="-720"/>
              </w:tabs>
              <w:suppressAutoHyphens w:val="0"/>
              <w:jc w:val="right"/>
              <w:rPr>
                <w:rFonts w:ascii="Arial" w:hAnsi="Arial" w:cs="Arial"/>
                <w:b w:val="0"/>
                <w:sz w:val="16"/>
                <w:szCs w:val="16"/>
                <w:lang w:val="tr-TR"/>
              </w:rPr>
            </w:pPr>
            <w:r w:rsidRPr="00D00722">
              <w:rPr>
                <w:rFonts w:ascii="Arial" w:hAnsi="Arial" w:cs="Arial"/>
                <w:b w:val="0"/>
                <w:sz w:val="16"/>
                <w:szCs w:val="16"/>
                <w:lang w:val="tr-TR"/>
              </w:rPr>
              <w:t>1</w:t>
            </w:r>
            <w:r w:rsidR="006D5AFC" w:rsidRPr="00D00722">
              <w:rPr>
                <w:rFonts w:ascii="Arial" w:hAnsi="Arial" w:cs="Arial"/>
                <w:b w:val="0"/>
                <w:sz w:val="16"/>
                <w:szCs w:val="16"/>
                <w:lang w:val="tr-TR"/>
              </w:rPr>
              <w:t xml:space="preserve"> ay</w:t>
            </w:r>
            <w:r w:rsidRPr="00D00722">
              <w:rPr>
                <w:rFonts w:ascii="Arial" w:hAnsi="Arial" w:cs="Arial"/>
                <w:b w:val="0"/>
                <w:sz w:val="16"/>
                <w:szCs w:val="16"/>
                <w:lang w:val="tr-TR"/>
              </w:rPr>
              <w:t>-</w:t>
            </w:r>
          </w:p>
          <w:p w:rsidR="00245BD3" w:rsidRPr="00D00722" w:rsidRDefault="00245BD3" w:rsidP="004B5888">
            <w:pPr>
              <w:pStyle w:val="Teknik4"/>
              <w:tabs>
                <w:tab w:val="clear" w:pos="-720"/>
              </w:tabs>
              <w:suppressAutoHyphens w:val="0"/>
              <w:jc w:val="right"/>
              <w:rPr>
                <w:rFonts w:ascii="Arial" w:hAnsi="Arial" w:cs="Arial"/>
                <w:b w:val="0"/>
                <w:sz w:val="16"/>
                <w:szCs w:val="16"/>
                <w:lang w:val="tr-TR"/>
              </w:rPr>
            </w:pPr>
            <w:r w:rsidRPr="00D00722">
              <w:rPr>
                <w:rFonts w:ascii="Arial" w:hAnsi="Arial" w:cs="Arial"/>
                <w:b w:val="0"/>
                <w:sz w:val="16"/>
                <w:szCs w:val="16"/>
                <w:lang w:val="tr-TR"/>
              </w:rPr>
              <w:t>3 ay</w:t>
            </w:r>
          </w:p>
        </w:tc>
        <w:tc>
          <w:tcPr>
            <w:tcW w:w="431" w:type="pct"/>
            <w:tcBorders>
              <w:top w:val="single" w:sz="4" w:space="0" w:color="auto"/>
              <w:bottom w:val="single" w:sz="4" w:space="0" w:color="auto"/>
            </w:tcBorders>
            <w:vAlign w:val="bottom"/>
          </w:tcPr>
          <w:p w:rsidR="00043C36" w:rsidRPr="00D00722" w:rsidRDefault="00043C36" w:rsidP="004B5888">
            <w:pPr>
              <w:pStyle w:val="Teknik4"/>
              <w:tabs>
                <w:tab w:val="clear" w:pos="-720"/>
              </w:tabs>
              <w:suppressAutoHyphens w:val="0"/>
              <w:jc w:val="right"/>
              <w:rPr>
                <w:rFonts w:ascii="Arial" w:hAnsi="Arial" w:cs="Arial"/>
                <w:b w:val="0"/>
                <w:sz w:val="16"/>
                <w:szCs w:val="16"/>
                <w:lang w:val="tr-TR"/>
              </w:rPr>
            </w:pPr>
            <w:r w:rsidRPr="00D00722">
              <w:rPr>
                <w:rFonts w:ascii="Arial" w:hAnsi="Arial" w:cs="Arial"/>
                <w:b w:val="0"/>
                <w:sz w:val="16"/>
                <w:szCs w:val="16"/>
                <w:lang w:val="tr-TR"/>
              </w:rPr>
              <w:t>3 ay –</w:t>
            </w:r>
          </w:p>
          <w:p w:rsidR="00245BD3" w:rsidRPr="00D00722" w:rsidRDefault="00043C36" w:rsidP="004B5888">
            <w:pPr>
              <w:pStyle w:val="Teknik4"/>
              <w:tabs>
                <w:tab w:val="clear" w:pos="-720"/>
              </w:tabs>
              <w:suppressAutoHyphens w:val="0"/>
              <w:jc w:val="right"/>
              <w:rPr>
                <w:rFonts w:ascii="Arial" w:hAnsi="Arial" w:cs="Arial"/>
                <w:b w:val="0"/>
                <w:sz w:val="16"/>
                <w:szCs w:val="16"/>
                <w:lang w:val="tr-TR"/>
              </w:rPr>
            </w:pPr>
            <w:r w:rsidRPr="00D00722">
              <w:rPr>
                <w:rFonts w:ascii="Arial" w:hAnsi="Arial" w:cs="Arial"/>
                <w:b w:val="0"/>
                <w:sz w:val="16"/>
                <w:szCs w:val="16"/>
                <w:lang w:val="tr-TR"/>
              </w:rPr>
              <w:t>1 yıl</w:t>
            </w:r>
          </w:p>
        </w:tc>
        <w:tc>
          <w:tcPr>
            <w:tcW w:w="529" w:type="pct"/>
            <w:tcBorders>
              <w:top w:val="single" w:sz="4" w:space="0" w:color="auto"/>
              <w:bottom w:val="single" w:sz="4" w:space="0" w:color="auto"/>
            </w:tcBorders>
            <w:vAlign w:val="bottom"/>
          </w:tcPr>
          <w:p w:rsidR="001F151C" w:rsidRPr="00D00722" w:rsidRDefault="00245BD3" w:rsidP="004B5888">
            <w:pPr>
              <w:pStyle w:val="Teknik4"/>
              <w:tabs>
                <w:tab w:val="clear" w:pos="-720"/>
              </w:tabs>
              <w:suppressAutoHyphens w:val="0"/>
              <w:jc w:val="right"/>
              <w:rPr>
                <w:rFonts w:ascii="Arial" w:hAnsi="Arial" w:cs="Arial"/>
                <w:b w:val="0"/>
                <w:sz w:val="16"/>
                <w:szCs w:val="16"/>
                <w:lang w:val="tr-TR"/>
              </w:rPr>
            </w:pPr>
            <w:r w:rsidRPr="00D00722">
              <w:rPr>
                <w:rFonts w:ascii="Arial" w:hAnsi="Arial" w:cs="Arial"/>
                <w:b w:val="0"/>
                <w:sz w:val="16"/>
                <w:szCs w:val="16"/>
                <w:lang w:val="tr-TR"/>
              </w:rPr>
              <w:t>1 yıl-</w:t>
            </w:r>
          </w:p>
          <w:p w:rsidR="00245BD3" w:rsidRPr="00D00722" w:rsidRDefault="00245BD3" w:rsidP="004B5888">
            <w:pPr>
              <w:pStyle w:val="Teknik4"/>
              <w:tabs>
                <w:tab w:val="clear" w:pos="-720"/>
              </w:tabs>
              <w:suppressAutoHyphens w:val="0"/>
              <w:jc w:val="right"/>
              <w:rPr>
                <w:rFonts w:ascii="Arial" w:hAnsi="Arial" w:cs="Arial"/>
                <w:b w:val="0"/>
                <w:sz w:val="16"/>
                <w:szCs w:val="16"/>
                <w:lang w:val="tr-TR"/>
              </w:rPr>
            </w:pPr>
            <w:r w:rsidRPr="00D00722">
              <w:rPr>
                <w:rFonts w:ascii="Arial" w:hAnsi="Arial" w:cs="Arial"/>
                <w:b w:val="0"/>
                <w:sz w:val="16"/>
                <w:szCs w:val="16"/>
                <w:lang w:val="tr-TR"/>
              </w:rPr>
              <w:t>5 yıl</w:t>
            </w:r>
          </w:p>
        </w:tc>
        <w:tc>
          <w:tcPr>
            <w:tcW w:w="403" w:type="pct"/>
            <w:tcBorders>
              <w:top w:val="single" w:sz="4" w:space="0" w:color="auto"/>
              <w:bottom w:val="single" w:sz="4" w:space="0" w:color="auto"/>
            </w:tcBorders>
            <w:vAlign w:val="bottom"/>
          </w:tcPr>
          <w:p w:rsidR="00245BD3" w:rsidRPr="00D00722" w:rsidRDefault="00245BD3" w:rsidP="004B5888">
            <w:pPr>
              <w:pStyle w:val="Teknik4"/>
              <w:tabs>
                <w:tab w:val="clear" w:pos="-720"/>
              </w:tabs>
              <w:suppressAutoHyphens w:val="0"/>
              <w:jc w:val="right"/>
              <w:rPr>
                <w:rFonts w:ascii="Arial" w:hAnsi="Arial" w:cs="Arial"/>
                <w:b w:val="0"/>
                <w:sz w:val="16"/>
                <w:szCs w:val="16"/>
                <w:lang w:val="tr-TR"/>
              </w:rPr>
            </w:pPr>
            <w:r w:rsidRPr="00D00722">
              <w:rPr>
                <w:rFonts w:ascii="Arial" w:hAnsi="Arial" w:cs="Arial"/>
                <w:b w:val="0"/>
                <w:sz w:val="16"/>
                <w:szCs w:val="16"/>
                <w:lang w:val="tr-TR"/>
              </w:rPr>
              <w:t>5 yıl üzeri</w:t>
            </w:r>
          </w:p>
        </w:tc>
        <w:tc>
          <w:tcPr>
            <w:tcW w:w="594" w:type="pct"/>
            <w:tcBorders>
              <w:top w:val="single" w:sz="4" w:space="0" w:color="auto"/>
              <w:bottom w:val="single" w:sz="4" w:space="0" w:color="auto"/>
            </w:tcBorders>
            <w:vAlign w:val="bottom"/>
          </w:tcPr>
          <w:p w:rsidR="00245BD3" w:rsidRPr="00D00722" w:rsidRDefault="00245BD3" w:rsidP="004B5888">
            <w:pPr>
              <w:pStyle w:val="Teknik4"/>
              <w:tabs>
                <w:tab w:val="clear" w:pos="-720"/>
              </w:tabs>
              <w:suppressAutoHyphens w:val="0"/>
              <w:jc w:val="right"/>
              <w:rPr>
                <w:rFonts w:ascii="Arial" w:hAnsi="Arial" w:cs="Arial"/>
                <w:b w:val="0"/>
                <w:bCs/>
                <w:sz w:val="16"/>
                <w:szCs w:val="16"/>
                <w:lang w:val="tr-TR"/>
              </w:rPr>
            </w:pPr>
            <w:r w:rsidRPr="00D00722">
              <w:rPr>
                <w:rFonts w:ascii="Arial" w:hAnsi="Arial" w:cs="Arial"/>
                <w:b w:val="0"/>
                <w:bCs/>
                <w:sz w:val="16"/>
                <w:szCs w:val="16"/>
                <w:lang w:val="tr-TR"/>
              </w:rPr>
              <w:t>Vadesiz</w:t>
            </w:r>
          </w:p>
        </w:tc>
        <w:tc>
          <w:tcPr>
            <w:tcW w:w="611" w:type="pct"/>
            <w:tcBorders>
              <w:top w:val="single" w:sz="4" w:space="0" w:color="auto"/>
              <w:bottom w:val="single" w:sz="4" w:space="0" w:color="auto"/>
            </w:tcBorders>
            <w:vAlign w:val="bottom"/>
          </w:tcPr>
          <w:p w:rsidR="00245BD3" w:rsidRPr="00D00722" w:rsidRDefault="00245BD3" w:rsidP="004B5888">
            <w:pPr>
              <w:pStyle w:val="Teknik4"/>
              <w:tabs>
                <w:tab w:val="clear" w:pos="-720"/>
              </w:tabs>
              <w:suppressAutoHyphens w:val="0"/>
              <w:jc w:val="right"/>
              <w:rPr>
                <w:rFonts w:ascii="Arial" w:hAnsi="Arial" w:cs="Arial"/>
                <w:b w:val="0"/>
                <w:sz w:val="16"/>
                <w:szCs w:val="16"/>
                <w:lang w:val="tr-TR"/>
              </w:rPr>
            </w:pPr>
          </w:p>
          <w:p w:rsidR="00245BD3" w:rsidRPr="00D00722" w:rsidRDefault="00245BD3" w:rsidP="004B5888">
            <w:pPr>
              <w:pStyle w:val="Teknik4"/>
              <w:tabs>
                <w:tab w:val="clear" w:pos="-720"/>
              </w:tabs>
              <w:suppressAutoHyphens w:val="0"/>
              <w:jc w:val="right"/>
              <w:rPr>
                <w:rFonts w:ascii="Arial" w:hAnsi="Arial" w:cs="Arial"/>
                <w:b w:val="0"/>
                <w:sz w:val="16"/>
                <w:szCs w:val="16"/>
                <w:lang w:val="tr-TR"/>
              </w:rPr>
            </w:pPr>
            <w:r w:rsidRPr="00D00722">
              <w:rPr>
                <w:rFonts w:ascii="Arial" w:hAnsi="Arial" w:cs="Arial"/>
                <w:b w:val="0"/>
                <w:sz w:val="16"/>
                <w:szCs w:val="16"/>
                <w:lang w:val="tr-TR"/>
              </w:rPr>
              <w:t>Toplam</w:t>
            </w:r>
          </w:p>
        </w:tc>
      </w:tr>
      <w:tr w:rsidR="00C15A73" w:rsidRPr="00D00722" w:rsidTr="004362C7">
        <w:trPr>
          <w:trHeight w:val="93"/>
        </w:trPr>
        <w:tc>
          <w:tcPr>
            <w:tcW w:w="1379" w:type="pct"/>
            <w:tcBorders>
              <w:top w:val="single" w:sz="4" w:space="0" w:color="auto"/>
            </w:tcBorders>
            <w:vAlign w:val="bottom"/>
          </w:tcPr>
          <w:p w:rsidR="00245BD3" w:rsidRPr="00D00722" w:rsidRDefault="00245BD3" w:rsidP="00B109E9">
            <w:pPr>
              <w:pStyle w:val="Teknik4"/>
              <w:tabs>
                <w:tab w:val="clear" w:pos="-720"/>
              </w:tabs>
              <w:suppressAutoHyphens w:val="0"/>
              <w:ind w:left="34" w:hanging="142"/>
              <w:jc w:val="both"/>
              <w:rPr>
                <w:rFonts w:ascii="Arial" w:hAnsi="Arial" w:cs="Arial"/>
                <w:b w:val="0"/>
                <w:sz w:val="16"/>
                <w:szCs w:val="16"/>
                <w:lang w:val="tr-TR"/>
              </w:rPr>
            </w:pPr>
          </w:p>
        </w:tc>
        <w:tc>
          <w:tcPr>
            <w:tcW w:w="613" w:type="pct"/>
            <w:tcBorders>
              <w:top w:val="single" w:sz="4" w:space="0" w:color="auto"/>
            </w:tcBorders>
            <w:vAlign w:val="bottom"/>
          </w:tcPr>
          <w:p w:rsidR="00245BD3" w:rsidRPr="00D00722" w:rsidRDefault="00245BD3" w:rsidP="004B5888">
            <w:pPr>
              <w:pStyle w:val="Teknik4"/>
              <w:tabs>
                <w:tab w:val="clear" w:pos="-720"/>
              </w:tabs>
              <w:suppressAutoHyphens w:val="0"/>
              <w:jc w:val="right"/>
              <w:rPr>
                <w:rFonts w:ascii="Arial" w:hAnsi="Arial" w:cs="Arial"/>
                <w:b w:val="0"/>
                <w:sz w:val="16"/>
                <w:szCs w:val="16"/>
                <w:lang w:val="tr-TR"/>
              </w:rPr>
            </w:pPr>
          </w:p>
        </w:tc>
        <w:tc>
          <w:tcPr>
            <w:tcW w:w="440" w:type="pct"/>
            <w:tcBorders>
              <w:top w:val="single" w:sz="4" w:space="0" w:color="auto"/>
            </w:tcBorders>
            <w:vAlign w:val="bottom"/>
          </w:tcPr>
          <w:p w:rsidR="00245BD3" w:rsidRPr="00D00722" w:rsidRDefault="00245BD3" w:rsidP="004B5888">
            <w:pPr>
              <w:pStyle w:val="Teknik4"/>
              <w:tabs>
                <w:tab w:val="clear" w:pos="-720"/>
              </w:tabs>
              <w:suppressAutoHyphens w:val="0"/>
              <w:jc w:val="right"/>
              <w:rPr>
                <w:rFonts w:ascii="Arial" w:hAnsi="Arial" w:cs="Arial"/>
                <w:b w:val="0"/>
                <w:sz w:val="16"/>
                <w:szCs w:val="16"/>
                <w:lang w:val="tr-TR"/>
              </w:rPr>
            </w:pPr>
          </w:p>
        </w:tc>
        <w:tc>
          <w:tcPr>
            <w:tcW w:w="431" w:type="pct"/>
            <w:tcBorders>
              <w:top w:val="single" w:sz="4" w:space="0" w:color="auto"/>
            </w:tcBorders>
            <w:vAlign w:val="bottom"/>
          </w:tcPr>
          <w:p w:rsidR="00245BD3" w:rsidRPr="00D00722" w:rsidRDefault="00245BD3" w:rsidP="004B5888">
            <w:pPr>
              <w:pStyle w:val="Teknik4"/>
              <w:tabs>
                <w:tab w:val="clear" w:pos="-720"/>
              </w:tabs>
              <w:suppressAutoHyphens w:val="0"/>
              <w:jc w:val="right"/>
              <w:rPr>
                <w:rFonts w:ascii="Arial" w:hAnsi="Arial" w:cs="Arial"/>
                <w:b w:val="0"/>
                <w:sz w:val="16"/>
                <w:szCs w:val="16"/>
                <w:lang w:val="tr-TR"/>
              </w:rPr>
            </w:pPr>
          </w:p>
        </w:tc>
        <w:tc>
          <w:tcPr>
            <w:tcW w:w="529" w:type="pct"/>
            <w:tcBorders>
              <w:top w:val="single" w:sz="4" w:space="0" w:color="auto"/>
            </w:tcBorders>
            <w:vAlign w:val="bottom"/>
          </w:tcPr>
          <w:p w:rsidR="00245BD3" w:rsidRPr="00D00722" w:rsidRDefault="00245BD3" w:rsidP="004B5888">
            <w:pPr>
              <w:pStyle w:val="Teknik4"/>
              <w:tabs>
                <w:tab w:val="clear" w:pos="-720"/>
              </w:tabs>
              <w:suppressAutoHyphens w:val="0"/>
              <w:jc w:val="right"/>
              <w:rPr>
                <w:rFonts w:ascii="Arial" w:hAnsi="Arial" w:cs="Arial"/>
                <w:b w:val="0"/>
                <w:sz w:val="16"/>
                <w:szCs w:val="16"/>
                <w:lang w:val="tr-TR"/>
              </w:rPr>
            </w:pPr>
          </w:p>
        </w:tc>
        <w:tc>
          <w:tcPr>
            <w:tcW w:w="403" w:type="pct"/>
            <w:tcBorders>
              <w:top w:val="single" w:sz="4" w:space="0" w:color="auto"/>
            </w:tcBorders>
            <w:vAlign w:val="bottom"/>
          </w:tcPr>
          <w:p w:rsidR="00245BD3" w:rsidRPr="00D00722" w:rsidRDefault="00245BD3" w:rsidP="004B5888">
            <w:pPr>
              <w:pStyle w:val="Teknik4"/>
              <w:tabs>
                <w:tab w:val="clear" w:pos="-720"/>
              </w:tabs>
              <w:suppressAutoHyphens w:val="0"/>
              <w:jc w:val="right"/>
              <w:rPr>
                <w:rFonts w:ascii="Arial" w:hAnsi="Arial" w:cs="Arial"/>
                <w:b w:val="0"/>
                <w:sz w:val="16"/>
                <w:szCs w:val="16"/>
                <w:lang w:val="tr-TR"/>
              </w:rPr>
            </w:pPr>
          </w:p>
        </w:tc>
        <w:tc>
          <w:tcPr>
            <w:tcW w:w="594" w:type="pct"/>
            <w:tcBorders>
              <w:top w:val="single" w:sz="4" w:space="0" w:color="auto"/>
            </w:tcBorders>
            <w:vAlign w:val="bottom"/>
          </w:tcPr>
          <w:p w:rsidR="00245BD3" w:rsidRPr="00D00722" w:rsidRDefault="00245BD3" w:rsidP="004B5888">
            <w:pPr>
              <w:pStyle w:val="Teknik4"/>
              <w:tabs>
                <w:tab w:val="clear" w:pos="-720"/>
              </w:tabs>
              <w:suppressAutoHyphens w:val="0"/>
              <w:jc w:val="right"/>
              <w:rPr>
                <w:rFonts w:ascii="Arial" w:hAnsi="Arial" w:cs="Arial"/>
                <w:b w:val="0"/>
                <w:sz w:val="16"/>
                <w:szCs w:val="16"/>
                <w:lang w:val="tr-TR"/>
              </w:rPr>
            </w:pPr>
          </w:p>
        </w:tc>
        <w:tc>
          <w:tcPr>
            <w:tcW w:w="611" w:type="pct"/>
            <w:tcBorders>
              <w:top w:val="single" w:sz="4" w:space="0" w:color="auto"/>
            </w:tcBorders>
            <w:vAlign w:val="bottom"/>
          </w:tcPr>
          <w:p w:rsidR="00245BD3" w:rsidRPr="00D00722" w:rsidRDefault="00245BD3" w:rsidP="004B5888">
            <w:pPr>
              <w:pStyle w:val="Teknik4"/>
              <w:tabs>
                <w:tab w:val="clear" w:pos="-720"/>
              </w:tabs>
              <w:suppressAutoHyphens w:val="0"/>
              <w:jc w:val="right"/>
              <w:rPr>
                <w:rFonts w:ascii="Arial" w:hAnsi="Arial" w:cs="Arial"/>
                <w:b w:val="0"/>
                <w:sz w:val="16"/>
                <w:szCs w:val="16"/>
                <w:lang w:val="tr-TR"/>
              </w:rPr>
            </w:pPr>
          </w:p>
        </w:tc>
      </w:tr>
      <w:tr w:rsidR="001A6ACB" w:rsidRPr="00D00722" w:rsidTr="004362C7">
        <w:trPr>
          <w:trHeight w:val="113"/>
        </w:trPr>
        <w:tc>
          <w:tcPr>
            <w:tcW w:w="1379" w:type="pct"/>
            <w:vAlign w:val="bottom"/>
          </w:tcPr>
          <w:p w:rsidR="001A6ACB" w:rsidRPr="00D00722" w:rsidRDefault="001A6ACB" w:rsidP="00B109E9">
            <w:pPr>
              <w:ind w:left="34" w:hanging="142"/>
              <w:rPr>
                <w:rFonts w:ascii="Arial" w:hAnsi="Arial" w:cs="Arial"/>
                <w:color w:val="000000"/>
                <w:sz w:val="16"/>
                <w:szCs w:val="16"/>
              </w:rPr>
            </w:pPr>
            <w:r w:rsidRPr="00D00722">
              <w:rPr>
                <w:rFonts w:ascii="Arial" w:hAnsi="Arial" w:cs="Arial"/>
                <w:color w:val="000000"/>
                <w:sz w:val="16"/>
                <w:szCs w:val="16"/>
              </w:rPr>
              <w:t>Nakit ve nakit benzerleri</w:t>
            </w:r>
          </w:p>
        </w:tc>
        <w:tc>
          <w:tcPr>
            <w:tcW w:w="613" w:type="pct"/>
            <w:vAlign w:val="bottom"/>
          </w:tcPr>
          <w:p w:rsidR="001A6ACB" w:rsidRPr="00D00722" w:rsidRDefault="00A94F24" w:rsidP="004B5888">
            <w:pPr>
              <w:jc w:val="right"/>
              <w:rPr>
                <w:rFonts w:ascii="Arial" w:hAnsi="Arial" w:cs="Arial"/>
                <w:color w:val="000000"/>
                <w:sz w:val="16"/>
                <w:szCs w:val="16"/>
              </w:rPr>
            </w:pPr>
            <w:r w:rsidRPr="00D00722">
              <w:rPr>
                <w:rFonts w:ascii="Arial" w:hAnsi="Arial" w:cs="Arial"/>
                <w:color w:val="000000"/>
                <w:sz w:val="16"/>
                <w:szCs w:val="16"/>
              </w:rPr>
              <w:t>673.721</w:t>
            </w:r>
          </w:p>
        </w:tc>
        <w:tc>
          <w:tcPr>
            <w:tcW w:w="440" w:type="pct"/>
            <w:vAlign w:val="bottom"/>
          </w:tcPr>
          <w:p w:rsidR="001A6ACB" w:rsidRPr="00D00722" w:rsidRDefault="00A94F24" w:rsidP="000C0FD0">
            <w:pPr>
              <w:jc w:val="right"/>
              <w:rPr>
                <w:rFonts w:ascii="Arial" w:hAnsi="Arial" w:cs="Arial"/>
                <w:color w:val="000000"/>
                <w:sz w:val="16"/>
                <w:szCs w:val="16"/>
              </w:rPr>
            </w:pPr>
            <w:r w:rsidRPr="00D00722">
              <w:rPr>
                <w:rFonts w:ascii="Arial" w:hAnsi="Arial" w:cs="Arial"/>
                <w:color w:val="000000"/>
                <w:sz w:val="16"/>
                <w:szCs w:val="16"/>
              </w:rPr>
              <w:t>-</w:t>
            </w:r>
          </w:p>
        </w:tc>
        <w:tc>
          <w:tcPr>
            <w:tcW w:w="431" w:type="pct"/>
            <w:vAlign w:val="bottom"/>
          </w:tcPr>
          <w:p w:rsidR="001A6ACB" w:rsidRPr="00D00722" w:rsidRDefault="00A94F24" w:rsidP="000C0FD0">
            <w:pPr>
              <w:jc w:val="right"/>
              <w:rPr>
                <w:rFonts w:ascii="Arial" w:hAnsi="Arial" w:cs="Arial"/>
                <w:color w:val="000000"/>
                <w:sz w:val="16"/>
                <w:szCs w:val="16"/>
              </w:rPr>
            </w:pPr>
            <w:r w:rsidRPr="00D00722">
              <w:rPr>
                <w:rFonts w:ascii="Arial" w:hAnsi="Arial" w:cs="Arial"/>
                <w:color w:val="000000"/>
                <w:sz w:val="16"/>
                <w:szCs w:val="16"/>
              </w:rPr>
              <w:t>-</w:t>
            </w:r>
          </w:p>
        </w:tc>
        <w:tc>
          <w:tcPr>
            <w:tcW w:w="529" w:type="pct"/>
            <w:vAlign w:val="bottom"/>
          </w:tcPr>
          <w:p w:rsidR="001A6ACB" w:rsidRPr="00D00722" w:rsidRDefault="00A94F24" w:rsidP="000C0FD0">
            <w:pPr>
              <w:jc w:val="right"/>
              <w:rPr>
                <w:rFonts w:ascii="Arial" w:hAnsi="Arial" w:cs="Arial"/>
                <w:color w:val="000000"/>
                <w:sz w:val="16"/>
                <w:szCs w:val="16"/>
              </w:rPr>
            </w:pPr>
            <w:r w:rsidRPr="00D00722">
              <w:rPr>
                <w:rFonts w:ascii="Arial" w:hAnsi="Arial" w:cs="Arial"/>
                <w:color w:val="000000"/>
                <w:sz w:val="16"/>
                <w:szCs w:val="16"/>
              </w:rPr>
              <w:t>-</w:t>
            </w:r>
          </w:p>
        </w:tc>
        <w:tc>
          <w:tcPr>
            <w:tcW w:w="403" w:type="pct"/>
          </w:tcPr>
          <w:p w:rsidR="001A6ACB" w:rsidRPr="00D00722" w:rsidRDefault="00A94F24" w:rsidP="000C0FD0">
            <w:pPr>
              <w:jc w:val="right"/>
              <w:rPr>
                <w:rFonts w:ascii="Arial" w:hAnsi="Arial" w:cs="Arial"/>
                <w:color w:val="000000"/>
                <w:sz w:val="16"/>
                <w:szCs w:val="16"/>
              </w:rPr>
            </w:pPr>
            <w:r w:rsidRPr="00D00722">
              <w:rPr>
                <w:rFonts w:ascii="Arial" w:hAnsi="Arial" w:cs="Arial"/>
                <w:color w:val="000000"/>
                <w:sz w:val="16"/>
                <w:szCs w:val="16"/>
              </w:rPr>
              <w:t>-</w:t>
            </w:r>
          </w:p>
        </w:tc>
        <w:tc>
          <w:tcPr>
            <w:tcW w:w="594" w:type="pct"/>
            <w:vAlign w:val="bottom"/>
          </w:tcPr>
          <w:p w:rsidR="001A6ACB" w:rsidRPr="00D00722" w:rsidRDefault="00A94F24" w:rsidP="004B5888">
            <w:pPr>
              <w:jc w:val="right"/>
              <w:rPr>
                <w:rFonts w:ascii="Arial" w:hAnsi="Arial" w:cs="Arial"/>
                <w:color w:val="000000"/>
                <w:sz w:val="16"/>
                <w:szCs w:val="16"/>
              </w:rPr>
            </w:pPr>
            <w:r w:rsidRPr="00D00722">
              <w:rPr>
                <w:rFonts w:ascii="Arial" w:hAnsi="Arial" w:cs="Arial"/>
                <w:color w:val="000000"/>
                <w:sz w:val="16"/>
                <w:szCs w:val="16"/>
              </w:rPr>
              <w:t>291.219</w:t>
            </w:r>
          </w:p>
        </w:tc>
        <w:tc>
          <w:tcPr>
            <w:tcW w:w="611" w:type="pct"/>
            <w:vAlign w:val="bottom"/>
          </w:tcPr>
          <w:p w:rsidR="001A6ACB" w:rsidRPr="00D00722" w:rsidRDefault="00D31983" w:rsidP="004B5888">
            <w:pPr>
              <w:jc w:val="right"/>
              <w:rPr>
                <w:rFonts w:ascii="Arial" w:hAnsi="Arial" w:cs="Arial"/>
                <w:color w:val="000000"/>
                <w:sz w:val="16"/>
                <w:szCs w:val="16"/>
              </w:rPr>
            </w:pPr>
            <w:r w:rsidRPr="00D00722">
              <w:rPr>
                <w:rFonts w:ascii="Arial" w:hAnsi="Arial" w:cs="Arial"/>
                <w:color w:val="000000"/>
                <w:sz w:val="16"/>
                <w:szCs w:val="16"/>
              </w:rPr>
              <w:t>964.940</w:t>
            </w:r>
          </w:p>
        </w:tc>
      </w:tr>
      <w:tr w:rsidR="001A6ACB" w:rsidRPr="00D00722" w:rsidTr="004362C7">
        <w:trPr>
          <w:trHeight w:val="113"/>
        </w:trPr>
        <w:tc>
          <w:tcPr>
            <w:tcW w:w="1379" w:type="pct"/>
            <w:vAlign w:val="bottom"/>
          </w:tcPr>
          <w:p w:rsidR="001A6ACB" w:rsidRPr="00D00722" w:rsidRDefault="001A6ACB" w:rsidP="00B109E9">
            <w:pPr>
              <w:ind w:left="34" w:hanging="142"/>
              <w:rPr>
                <w:rFonts w:ascii="Arial" w:hAnsi="Arial" w:cs="Arial"/>
                <w:color w:val="000000"/>
                <w:sz w:val="16"/>
                <w:szCs w:val="16"/>
              </w:rPr>
            </w:pPr>
            <w:r w:rsidRPr="00D00722">
              <w:rPr>
                <w:rFonts w:ascii="Arial" w:hAnsi="Arial" w:cs="Arial"/>
                <w:color w:val="000000"/>
                <w:sz w:val="16"/>
                <w:szCs w:val="16"/>
              </w:rPr>
              <w:t>Finansal yatırımlar</w:t>
            </w:r>
          </w:p>
        </w:tc>
        <w:tc>
          <w:tcPr>
            <w:tcW w:w="613" w:type="pct"/>
            <w:vAlign w:val="bottom"/>
          </w:tcPr>
          <w:p w:rsidR="001A6ACB" w:rsidRPr="00D00722" w:rsidRDefault="00A94F24" w:rsidP="004B5888">
            <w:pPr>
              <w:jc w:val="right"/>
              <w:rPr>
                <w:rFonts w:ascii="Arial" w:hAnsi="Arial" w:cs="Arial"/>
                <w:color w:val="000000"/>
                <w:sz w:val="16"/>
                <w:szCs w:val="16"/>
              </w:rPr>
            </w:pPr>
            <w:r w:rsidRPr="00D00722">
              <w:rPr>
                <w:rFonts w:ascii="Arial" w:hAnsi="Arial" w:cs="Arial"/>
                <w:color w:val="000000"/>
                <w:sz w:val="16"/>
                <w:szCs w:val="16"/>
              </w:rPr>
              <w:t>-</w:t>
            </w:r>
          </w:p>
        </w:tc>
        <w:tc>
          <w:tcPr>
            <w:tcW w:w="440" w:type="pct"/>
            <w:vAlign w:val="bottom"/>
          </w:tcPr>
          <w:p w:rsidR="001A6ACB" w:rsidRPr="00D00722" w:rsidRDefault="001A4572" w:rsidP="000C0FD0">
            <w:pPr>
              <w:jc w:val="right"/>
              <w:rPr>
                <w:rFonts w:ascii="Arial" w:hAnsi="Arial" w:cs="Arial"/>
                <w:color w:val="000000"/>
                <w:sz w:val="16"/>
                <w:szCs w:val="16"/>
              </w:rPr>
            </w:pPr>
            <w:r w:rsidRPr="00D00722">
              <w:rPr>
                <w:rFonts w:ascii="Arial" w:hAnsi="Arial" w:cs="Arial"/>
                <w:color w:val="000000"/>
                <w:sz w:val="16"/>
                <w:szCs w:val="16"/>
              </w:rPr>
              <w:t>103.038</w:t>
            </w:r>
          </w:p>
        </w:tc>
        <w:tc>
          <w:tcPr>
            <w:tcW w:w="431" w:type="pct"/>
            <w:vAlign w:val="bottom"/>
          </w:tcPr>
          <w:p w:rsidR="001A6ACB" w:rsidRPr="00D00722" w:rsidRDefault="00A94F24" w:rsidP="000C0FD0">
            <w:pPr>
              <w:jc w:val="right"/>
              <w:rPr>
                <w:rFonts w:ascii="Arial" w:hAnsi="Arial" w:cs="Arial"/>
                <w:color w:val="000000"/>
                <w:sz w:val="16"/>
                <w:szCs w:val="16"/>
              </w:rPr>
            </w:pPr>
            <w:r w:rsidRPr="00D00722">
              <w:rPr>
                <w:rFonts w:ascii="Arial" w:hAnsi="Arial" w:cs="Arial"/>
                <w:color w:val="000000"/>
                <w:sz w:val="16"/>
                <w:szCs w:val="16"/>
              </w:rPr>
              <w:t>-</w:t>
            </w:r>
          </w:p>
        </w:tc>
        <w:tc>
          <w:tcPr>
            <w:tcW w:w="529" w:type="pct"/>
          </w:tcPr>
          <w:p w:rsidR="001A6ACB" w:rsidRPr="00D00722" w:rsidRDefault="001A4572" w:rsidP="004B5888">
            <w:pPr>
              <w:jc w:val="right"/>
              <w:rPr>
                <w:rFonts w:ascii="Arial" w:hAnsi="Arial" w:cs="Arial"/>
                <w:color w:val="000000"/>
                <w:sz w:val="16"/>
                <w:szCs w:val="16"/>
              </w:rPr>
            </w:pPr>
            <w:r w:rsidRPr="00D00722">
              <w:rPr>
                <w:rFonts w:ascii="Arial" w:hAnsi="Arial" w:cs="Arial"/>
                <w:color w:val="000000"/>
                <w:sz w:val="16"/>
                <w:szCs w:val="16"/>
              </w:rPr>
              <w:t>-</w:t>
            </w:r>
          </w:p>
        </w:tc>
        <w:tc>
          <w:tcPr>
            <w:tcW w:w="403" w:type="pct"/>
          </w:tcPr>
          <w:p w:rsidR="001A6ACB" w:rsidRPr="00D00722" w:rsidRDefault="00A94F24" w:rsidP="000C0FD0">
            <w:pPr>
              <w:jc w:val="right"/>
              <w:rPr>
                <w:rFonts w:ascii="Arial" w:hAnsi="Arial" w:cs="Arial"/>
                <w:color w:val="000000"/>
                <w:sz w:val="16"/>
                <w:szCs w:val="16"/>
              </w:rPr>
            </w:pPr>
            <w:r w:rsidRPr="00D00722">
              <w:rPr>
                <w:rFonts w:ascii="Arial" w:hAnsi="Arial" w:cs="Arial"/>
                <w:color w:val="000000"/>
                <w:sz w:val="16"/>
                <w:szCs w:val="16"/>
              </w:rPr>
              <w:t>-</w:t>
            </w:r>
          </w:p>
        </w:tc>
        <w:tc>
          <w:tcPr>
            <w:tcW w:w="594" w:type="pct"/>
            <w:vAlign w:val="bottom"/>
          </w:tcPr>
          <w:p w:rsidR="001A6ACB" w:rsidRPr="00D00722" w:rsidRDefault="00A94F24" w:rsidP="000C0FD0">
            <w:pPr>
              <w:jc w:val="right"/>
              <w:rPr>
                <w:rFonts w:ascii="Arial" w:hAnsi="Arial" w:cs="Arial"/>
                <w:color w:val="000000"/>
                <w:sz w:val="16"/>
                <w:szCs w:val="16"/>
              </w:rPr>
            </w:pPr>
            <w:r w:rsidRPr="00D00722">
              <w:rPr>
                <w:rFonts w:ascii="Arial" w:hAnsi="Arial" w:cs="Arial"/>
                <w:color w:val="000000"/>
                <w:sz w:val="16"/>
                <w:szCs w:val="16"/>
              </w:rPr>
              <w:t>-</w:t>
            </w:r>
          </w:p>
        </w:tc>
        <w:tc>
          <w:tcPr>
            <w:tcW w:w="611" w:type="pct"/>
            <w:vAlign w:val="bottom"/>
          </w:tcPr>
          <w:p w:rsidR="001A6ACB" w:rsidRPr="00D00722" w:rsidRDefault="00D31983" w:rsidP="00C03AC2">
            <w:pPr>
              <w:jc w:val="right"/>
              <w:rPr>
                <w:rFonts w:ascii="Arial" w:hAnsi="Arial" w:cs="Arial"/>
                <w:color w:val="000000"/>
                <w:sz w:val="16"/>
                <w:szCs w:val="16"/>
              </w:rPr>
            </w:pPr>
            <w:r w:rsidRPr="00D00722">
              <w:rPr>
                <w:rFonts w:ascii="Arial" w:hAnsi="Arial" w:cs="Arial"/>
                <w:color w:val="000000"/>
                <w:sz w:val="16"/>
                <w:szCs w:val="16"/>
              </w:rPr>
              <w:t>103.038</w:t>
            </w:r>
          </w:p>
        </w:tc>
      </w:tr>
      <w:tr w:rsidR="001A6ACB" w:rsidRPr="00D00722" w:rsidTr="004362C7">
        <w:trPr>
          <w:trHeight w:val="113"/>
        </w:trPr>
        <w:tc>
          <w:tcPr>
            <w:tcW w:w="1379" w:type="pct"/>
            <w:vAlign w:val="bottom"/>
          </w:tcPr>
          <w:p w:rsidR="001A6ACB" w:rsidRPr="00D00722" w:rsidRDefault="001A6ACB" w:rsidP="00B109E9">
            <w:pPr>
              <w:ind w:left="34" w:hanging="142"/>
              <w:rPr>
                <w:rFonts w:ascii="Arial" w:hAnsi="Arial" w:cs="Arial"/>
                <w:color w:val="000000"/>
                <w:sz w:val="16"/>
                <w:szCs w:val="16"/>
              </w:rPr>
            </w:pPr>
            <w:r w:rsidRPr="00D00722">
              <w:rPr>
                <w:rFonts w:ascii="Arial" w:hAnsi="Arial" w:cs="Arial"/>
                <w:color w:val="000000"/>
                <w:sz w:val="16"/>
                <w:szCs w:val="16"/>
              </w:rPr>
              <w:t>Ticari alacaklar</w:t>
            </w:r>
          </w:p>
        </w:tc>
        <w:tc>
          <w:tcPr>
            <w:tcW w:w="613" w:type="pct"/>
          </w:tcPr>
          <w:p w:rsidR="001A6ACB" w:rsidRPr="00D00722" w:rsidRDefault="00A94F24" w:rsidP="004B5888">
            <w:pPr>
              <w:jc w:val="right"/>
              <w:rPr>
                <w:rFonts w:ascii="Arial" w:hAnsi="Arial" w:cs="Arial"/>
                <w:color w:val="000000"/>
                <w:sz w:val="16"/>
                <w:szCs w:val="16"/>
              </w:rPr>
            </w:pPr>
            <w:r w:rsidRPr="00D00722">
              <w:rPr>
                <w:rFonts w:ascii="Arial" w:hAnsi="Arial" w:cs="Arial"/>
                <w:color w:val="000000"/>
                <w:sz w:val="16"/>
                <w:szCs w:val="16"/>
              </w:rPr>
              <w:t>1.408</w:t>
            </w:r>
          </w:p>
        </w:tc>
        <w:tc>
          <w:tcPr>
            <w:tcW w:w="440" w:type="pct"/>
            <w:vAlign w:val="bottom"/>
          </w:tcPr>
          <w:p w:rsidR="001A6ACB" w:rsidRPr="00D00722" w:rsidRDefault="00A94F24" w:rsidP="000C0FD0">
            <w:pPr>
              <w:jc w:val="right"/>
              <w:rPr>
                <w:rFonts w:ascii="Arial" w:hAnsi="Arial" w:cs="Arial"/>
                <w:color w:val="000000"/>
                <w:sz w:val="16"/>
                <w:szCs w:val="16"/>
              </w:rPr>
            </w:pPr>
            <w:r w:rsidRPr="00D00722">
              <w:rPr>
                <w:rFonts w:ascii="Arial" w:hAnsi="Arial" w:cs="Arial"/>
                <w:color w:val="000000"/>
                <w:sz w:val="16"/>
                <w:szCs w:val="16"/>
              </w:rPr>
              <w:t>-</w:t>
            </w:r>
          </w:p>
        </w:tc>
        <w:tc>
          <w:tcPr>
            <w:tcW w:w="431" w:type="pct"/>
            <w:vAlign w:val="bottom"/>
          </w:tcPr>
          <w:p w:rsidR="001A6ACB" w:rsidRPr="00D00722" w:rsidRDefault="00A94F24" w:rsidP="000C0FD0">
            <w:pPr>
              <w:jc w:val="right"/>
              <w:rPr>
                <w:rFonts w:ascii="Arial" w:hAnsi="Arial" w:cs="Arial"/>
                <w:color w:val="000000"/>
                <w:sz w:val="16"/>
                <w:szCs w:val="16"/>
              </w:rPr>
            </w:pPr>
            <w:r w:rsidRPr="00D00722">
              <w:rPr>
                <w:rFonts w:ascii="Arial" w:hAnsi="Arial" w:cs="Arial"/>
                <w:color w:val="000000"/>
                <w:sz w:val="16"/>
                <w:szCs w:val="16"/>
              </w:rPr>
              <w:t>-</w:t>
            </w:r>
          </w:p>
        </w:tc>
        <w:tc>
          <w:tcPr>
            <w:tcW w:w="529" w:type="pct"/>
            <w:vAlign w:val="bottom"/>
          </w:tcPr>
          <w:p w:rsidR="001A6ACB" w:rsidRPr="00D00722" w:rsidRDefault="00A94F24" w:rsidP="000C0FD0">
            <w:pPr>
              <w:jc w:val="right"/>
              <w:rPr>
                <w:rFonts w:ascii="Arial" w:hAnsi="Arial" w:cs="Arial"/>
                <w:color w:val="000000"/>
                <w:sz w:val="16"/>
                <w:szCs w:val="16"/>
              </w:rPr>
            </w:pPr>
            <w:r w:rsidRPr="00D00722">
              <w:rPr>
                <w:rFonts w:ascii="Arial" w:hAnsi="Arial" w:cs="Arial"/>
                <w:color w:val="000000"/>
                <w:sz w:val="16"/>
                <w:szCs w:val="16"/>
              </w:rPr>
              <w:t>-</w:t>
            </w:r>
          </w:p>
        </w:tc>
        <w:tc>
          <w:tcPr>
            <w:tcW w:w="403" w:type="pct"/>
          </w:tcPr>
          <w:p w:rsidR="001A6ACB" w:rsidRPr="00D00722" w:rsidRDefault="00A94F24" w:rsidP="000C0FD0">
            <w:pPr>
              <w:jc w:val="right"/>
              <w:rPr>
                <w:rFonts w:ascii="Arial" w:hAnsi="Arial" w:cs="Arial"/>
                <w:color w:val="000000"/>
                <w:sz w:val="16"/>
                <w:szCs w:val="16"/>
              </w:rPr>
            </w:pPr>
            <w:r w:rsidRPr="00D00722">
              <w:rPr>
                <w:rFonts w:ascii="Arial" w:hAnsi="Arial" w:cs="Arial"/>
                <w:color w:val="000000"/>
                <w:sz w:val="16"/>
                <w:szCs w:val="16"/>
              </w:rPr>
              <w:t>-</w:t>
            </w:r>
          </w:p>
        </w:tc>
        <w:tc>
          <w:tcPr>
            <w:tcW w:w="594" w:type="pct"/>
            <w:vAlign w:val="bottom"/>
          </w:tcPr>
          <w:p w:rsidR="001A6ACB" w:rsidRPr="00D00722" w:rsidRDefault="00A94F24" w:rsidP="000C0FD0">
            <w:pPr>
              <w:jc w:val="right"/>
              <w:rPr>
                <w:rFonts w:ascii="Arial" w:hAnsi="Arial" w:cs="Arial"/>
                <w:color w:val="000000"/>
                <w:sz w:val="16"/>
                <w:szCs w:val="16"/>
              </w:rPr>
            </w:pPr>
            <w:r w:rsidRPr="00D00722">
              <w:rPr>
                <w:rFonts w:ascii="Arial" w:hAnsi="Arial" w:cs="Arial"/>
                <w:color w:val="000000"/>
                <w:sz w:val="16"/>
                <w:szCs w:val="16"/>
              </w:rPr>
              <w:t>-</w:t>
            </w:r>
          </w:p>
        </w:tc>
        <w:tc>
          <w:tcPr>
            <w:tcW w:w="611" w:type="pct"/>
            <w:vAlign w:val="bottom"/>
          </w:tcPr>
          <w:p w:rsidR="001A6ACB" w:rsidRPr="00D00722" w:rsidRDefault="00D31983" w:rsidP="004B5888">
            <w:pPr>
              <w:jc w:val="right"/>
              <w:rPr>
                <w:rFonts w:ascii="Arial" w:hAnsi="Arial" w:cs="Arial"/>
                <w:color w:val="000000"/>
                <w:sz w:val="16"/>
                <w:szCs w:val="16"/>
              </w:rPr>
            </w:pPr>
            <w:r w:rsidRPr="00D00722">
              <w:rPr>
                <w:rFonts w:ascii="Arial" w:hAnsi="Arial" w:cs="Arial"/>
                <w:color w:val="000000"/>
                <w:sz w:val="16"/>
                <w:szCs w:val="16"/>
              </w:rPr>
              <w:t>1.408</w:t>
            </w:r>
          </w:p>
        </w:tc>
      </w:tr>
      <w:tr w:rsidR="00703977" w:rsidRPr="00D00722" w:rsidTr="004362C7">
        <w:trPr>
          <w:trHeight w:val="113"/>
        </w:trPr>
        <w:tc>
          <w:tcPr>
            <w:tcW w:w="1379" w:type="pct"/>
            <w:tcBorders>
              <w:bottom w:val="nil"/>
            </w:tcBorders>
            <w:vAlign w:val="bottom"/>
          </w:tcPr>
          <w:p w:rsidR="00703977" w:rsidRPr="00D00722" w:rsidRDefault="00703977" w:rsidP="00B109E9">
            <w:pPr>
              <w:ind w:left="34" w:hanging="142"/>
              <w:rPr>
                <w:rFonts w:ascii="Arial" w:hAnsi="Arial" w:cs="Arial"/>
                <w:color w:val="000000"/>
                <w:sz w:val="16"/>
                <w:szCs w:val="16"/>
              </w:rPr>
            </w:pPr>
          </w:p>
        </w:tc>
        <w:tc>
          <w:tcPr>
            <w:tcW w:w="613" w:type="pct"/>
          </w:tcPr>
          <w:p w:rsidR="00703977" w:rsidRPr="00D00722" w:rsidRDefault="00703977" w:rsidP="004B5888">
            <w:pPr>
              <w:jc w:val="right"/>
              <w:rPr>
                <w:rFonts w:ascii="Arial" w:hAnsi="Arial" w:cs="Arial"/>
                <w:color w:val="000000"/>
                <w:sz w:val="16"/>
                <w:szCs w:val="16"/>
              </w:rPr>
            </w:pPr>
          </w:p>
        </w:tc>
        <w:tc>
          <w:tcPr>
            <w:tcW w:w="440" w:type="pct"/>
          </w:tcPr>
          <w:p w:rsidR="00703977" w:rsidRPr="00D00722" w:rsidRDefault="00703977" w:rsidP="004B5888">
            <w:pPr>
              <w:jc w:val="right"/>
              <w:rPr>
                <w:rFonts w:ascii="Arial" w:hAnsi="Arial" w:cs="Arial"/>
                <w:color w:val="000000"/>
                <w:sz w:val="16"/>
                <w:szCs w:val="16"/>
              </w:rPr>
            </w:pPr>
          </w:p>
        </w:tc>
        <w:tc>
          <w:tcPr>
            <w:tcW w:w="431" w:type="pct"/>
          </w:tcPr>
          <w:p w:rsidR="00703977" w:rsidRPr="00D00722" w:rsidRDefault="00703977" w:rsidP="004B5888">
            <w:pPr>
              <w:jc w:val="right"/>
              <w:rPr>
                <w:rFonts w:ascii="Arial" w:hAnsi="Arial" w:cs="Arial"/>
                <w:color w:val="000000"/>
                <w:sz w:val="16"/>
                <w:szCs w:val="16"/>
              </w:rPr>
            </w:pPr>
          </w:p>
        </w:tc>
        <w:tc>
          <w:tcPr>
            <w:tcW w:w="529" w:type="pct"/>
          </w:tcPr>
          <w:p w:rsidR="00703977" w:rsidRPr="00D00722" w:rsidRDefault="00703977" w:rsidP="004B5888">
            <w:pPr>
              <w:jc w:val="right"/>
              <w:rPr>
                <w:rFonts w:ascii="Arial" w:hAnsi="Arial" w:cs="Arial"/>
                <w:color w:val="000000"/>
                <w:sz w:val="16"/>
                <w:szCs w:val="16"/>
              </w:rPr>
            </w:pPr>
          </w:p>
        </w:tc>
        <w:tc>
          <w:tcPr>
            <w:tcW w:w="403" w:type="pct"/>
          </w:tcPr>
          <w:p w:rsidR="00703977" w:rsidRPr="00D00722" w:rsidRDefault="00703977" w:rsidP="004B5888">
            <w:pPr>
              <w:jc w:val="right"/>
              <w:rPr>
                <w:rFonts w:ascii="Arial" w:hAnsi="Arial" w:cs="Arial"/>
                <w:color w:val="000000"/>
                <w:sz w:val="16"/>
                <w:szCs w:val="16"/>
              </w:rPr>
            </w:pPr>
          </w:p>
        </w:tc>
        <w:tc>
          <w:tcPr>
            <w:tcW w:w="594" w:type="pct"/>
          </w:tcPr>
          <w:p w:rsidR="00703977" w:rsidRPr="00D00722" w:rsidRDefault="00703977" w:rsidP="004B5888">
            <w:pPr>
              <w:jc w:val="right"/>
              <w:rPr>
                <w:rFonts w:ascii="Arial" w:hAnsi="Arial" w:cs="Arial"/>
                <w:color w:val="000000"/>
                <w:sz w:val="16"/>
                <w:szCs w:val="16"/>
              </w:rPr>
            </w:pPr>
          </w:p>
        </w:tc>
        <w:tc>
          <w:tcPr>
            <w:tcW w:w="611" w:type="pct"/>
            <w:vAlign w:val="bottom"/>
          </w:tcPr>
          <w:p w:rsidR="00703977" w:rsidRPr="00D00722" w:rsidRDefault="00703977" w:rsidP="004B5888">
            <w:pPr>
              <w:jc w:val="right"/>
              <w:rPr>
                <w:rFonts w:ascii="Arial" w:hAnsi="Arial" w:cs="Arial"/>
                <w:color w:val="000000"/>
                <w:sz w:val="16"/>
                <w:szCs w:val="16"/>
              </w:rPr>
            </w:pPr>
          </w:p>
        </w:tc>
      </w:tr>
      <w:tr w:rsidR="005F78F6" w:rsidRPr="00D00722" w:rsidTr="004362C7">
        <w:trPr>
          <w:trHeight w:val="113"/>
        </w:trPr>
        <w:tc>
          <w:tcPr>
            <w:tcW w:w="1379" w:type="pct"/>
            <w:tcBorders>
              <w:top w:val="single" w:sz="4" w:space="0" w:color="auto"/>
              <w:bottom w:val="single" w:sz="4" w:space="0" w:color="auto"/>
            </w:tcBorders>
            <w:vAlign w:val="bottom"/>
          </w:tcPr>
          <w:p w:rsidR="005F78F6" w:rsidRPr="00D00722" w:rsidRDefault="005F78F6" w:rsidP="00B109E9">
            <w:pPr>
              <w:ind w:left="34" w:hanging="142"/>
              <w:rPr>
                <w:rFonts w:ascii="Arial" w:hAnsi="Arial" w:cs="Arial"/>
                <w:color w:val="000000"/>
                <w:sz w:val="16"/>
                <w:szCs w:val="16"/>
              </w:rPr>
            </w:pPr>
            <w:r w:rsidRPr="00D00722">
              <w:rPr>
                <w:rFonts w:ascii="Arial" w:hAnsi="Arial" w:cs="Arial"/>
                <w:color w:val="000000"/>
                <w:sz w:val="16"/>
                <w:szCs w:val="16"/>
              </w:rPr>
              <w:t>Toplam varlıklar</w:t>
            </w:r>
          </w:p>
        </w:tc>
        <w:tc>
          <w:tcPr>
            <w:tcW w:w="613" w:type="pct"/>
            <w:tcBorders>
              <w:top w:val="single" w:sz="4" w:space="0" w:color="auto"/>
              <w:bottom w:val="single" w:sz="4" w:space="0" w:color="auto"/>
            </w:tcBorders>
            <w:vAlign w:val="bottom"/>
          </w:tcPr>
          <w:p w:rsidR="005F78F6" w:rsidRPr="00D00722" w:rsidRDefault="00A94F24" w:rsidP="004B5888">
            <w:pPr>
              <w:jc w:val="right"/>
              <w:rPr>
                <w:rFonts w:ascii="Arial" w:hAnsi="Arial" w:cs="Arial"/>
                <w:color w:val="000000"/>
                <w:sz w:val="16"/>
                <w:szCs w:val="16"/>
              </w:rPr>
            </w:pPr>
            <w:r w:rsidRPr="00D00722">
              <w:rPr>
                <w:rFonts w:ascii="Arial" w:hAnsi="Arial" w:cs="Arial"/>
                <w:color w:val="000000"/>
                <w:sz w:val="16"/>
                <w:szCs w:val="16"/>
              </w:rPr>
              <w:t>675.129</w:t>
            </w:r>
          </w:p>
        </w:tc>
        <w:tc>
          <w:tcPr>
            <w:tcW w:w="440" w:type="pct"/>
            <w:tcBorders>
              <w:top w:val="single" w:sz="4" w:space="0" w:color="auto"/>
              <w:bottom w:val="single" w:sz="4" w:space="0" w:color="auto"/>
            </w:tcBorders>
            <w:vAlign w:val="bottom"/>
          </w:tcPr>
          <w:p w:rsidR="005F78F6" w:rsidRPr="00D00722" w:rsidRDefault="001A4572" w:rsidP="004B5888">
            <w:pPr>
              <w:jc w:val="right"/>
              <w:rPr>
                <w:rFonts w:ascii="Arial" w:hAnsi="Arial" w:cs="Arial"/>
                <w:color w:val="000000"/>
                <w:sz w:val="16"/>
                <w:szCs w:val="16"/>
              </w:rPr>
            </w:pPr>
            <w:r w:rsidRPr="00D00722">
              <w:rPr>
                <w:rFonts w:ascii="Arial" w:hAnsi="Arial" w:cs="Arial"/>
                <w:color w:val="000000"/>
                <w:sz w:val="16"/>
                <w:szCs w:val="16"/>
              </w:rPr>
              <w:t>103.038</w:t>
            </w:r>
          </w:p>
        </w:tc>
        <w:tc>
          <w:tcPr>
            <w:tcW w:w="431" w:type="pct"/>
            <w:tcBorders>
              <w:top w:val="single" w:sz="4" w:space="0" w:color="auto"/>
              <w:bottom w:val="single" w:sz="4" w:space="0" w:color="auto"/>
            </w:tcBorders>
            <w:vAlign w:val="bottom"/>
          </w:tcPr>
          <w:p w:rsidR="005F78F6" w:rsidRPr="00D00722" w:rsidRDefault="00A94F24" w:rsidP="004B5888">
            <w:pPr>
              <w:jc w:val="right"/>
              <w:rPr>
                <w:rFonts w:ascii="Arial" w:hAnsi="Arial" w:cs="Arial"/>
                <w:color w:val="000000"/>
                <w:sz w:val="16"/>
                <w:szCs w:val="16"/>
              </w:rPr>
            </w:pPr>
            <w:r w:rsidRPr="00D00722">
              <w:rPr>
                <w:rFonts w:ascii="Arial" w:hAnsi="Arial" w:cs="Arial"/>
                <w:color w:val="000000"/>
                <w:sz w:val="16"/>
                <w:szCs w:val="16"/>
              </w:rPr>
              <w:t>-</w:t>
            </w:r>
          </w:p>
        </w:tc>
        <w:tc>
          <w:tcPr>
            <w:tcW w:w="529" w:type="pct"/>
            <w:tcBorders>
              <w:top w:val="single" w:sz="4" w:space="0" w:color="auto"/>
              <w:bottom w:val="single" w:sz="4" w:space="0" w:color="auto"/>
            </w:tcBorders>
            <w:vAlign w:val="bottom"/>
          </w:tcPr>
          <w:p w:rsidR="005F78F6" w:rsidRPr="00D00722" w:rsidRDefault="001A4572" w:rsidP="004B5888">
            <w:pPr>
              <w:jc w:val="right"/>
              <w:rPr>
                <w:rFonts w:ascii="Arial" w:hAnsi="Arial" w:cs="Arial"/>
                <w:color w:val="000000"/>
                <w:sz w:val="16"/>
                <w:szCs w:val="16"/>
              </w:rPr>
            </w:pPr>
            <w:r w:rsidRPr="00D00722">
              <w:rPr>
                <w:rFonts w:ascii="Arial" w:hAnsi="Arial" w:cs="Arial"/>
                <w:color w:val="000000"/>
                <w:sz w:val="16"/>
                <w:szCs w:val="16"/>
              </w:rPr>
              <w:t>-</w:t>
            </w:r>
          </w:p>
        </w:tc>
        <w:tc>
          <w:tcPr>
            <w:tcW w:w="403" w:type="pct"/>
            <w:tcBorders>
              <w:top w:val="single" w:sz="4" w:space="0" w:color="auto"/>
              <w:bottom w:val="single" w:sz="4" w:space="0" w:color="auto"/>
            </w:tcBorders>
            <w:vAlign w:val="bottom"/>
          </w:tcPr>
          <w:p w:rsidR="005F78F6" w:rsidRPr="00D00722" w:rsidRDefault="00A94F24" w:rsidP="004B5888">
            <w:pPr>
              <w:jc w:val="right"/>
              <w:rPr>
                <w:rFonts w:ascii="Arial" w:hAnsi="Arial" w:cs="Arial"/>
                <w:color w:val="000000"/>
                <w:sz w:val="16"/>
                <w:szCs w:val="16"/>
              </w:rPr>
            </w:pPr>
            <w:r w:rsidRPr="00D00722">
              <w:rPr>
                <w:rFonts w:ascii="Arial" w:hAnsi="Arial" w:cs="Arial"/>
                <w:color w:val="000000"/>
                <w:sz w:val="16"/>
                <w:szCs w:val="16"/>
              </w:rPr>
              <w:t>-</w:t>
            </w:r>
          </w:p>
        </w:tc>
        <w:tc>
          <w:tcPr>
            <w:tcW w:w="594" w:type="pct"/>
            <w:tcBorders>
              <w:top w:val="single" w:sz="4" w:space="0" w:color="auto"/>
              <w:bottom w:val="single" w:sz="4" w:space="0" w:color="auto"/>
            </w:tcBorders>
            <w:vAlign w:val="bottom"/>
          </w:tcPr>
          <w:p w:rsidR="005F78F6" w:rsidRPr="00D00722" w:rsidRDefault="00A94F24" w:rsidP="00596271">
            <w:pPr>
              <w:jc w:val="right"/>
              <w:rPr>
                <w:rFonts w:ascii="Arial" w:hAnsi="Arial" w:cs="Arial"/>
                <w:color w:val="000000"/>
                <w:sz w:val="16"/>
                <w:szCs w:val="16"/>
              </w:rPr>
            </w:pPr>
            <w:r w:rsidRPr="00D00722">
              <w:rPr>
                <w:rFonts w:ascii="Arial" w:hAnsi="Arial" w:cs="Arial"/>
                <w:color w:val="000000"/>
                <w:sz w:val="16"/>
                <w:szCs w:val="16"/>
              </w:rPr>
              <w:t>291.219</w:t>
            </w:r>
          </w:p>
        </w:tc>
        <w:tc>
          <w:tcPr>
            <w:tcW w:w="611" w:type="pct"/>
            <w:tcBorders>
              <w:top w:val="single" w:sz="4" w:space="0" w:color="auto"/>
              <w:bottom w:val="single" w:sz="4" w:space="0" w:color="auto"/>
            </w:tcBorders>
            <w:vAlign w:val="bottom"/>
          </w:tcPr>
          <w:p w:rsidR="005F78F6" w:rsidRPr="00D00722" w:rsidRDefault="00D31983" w:rsidP="004B5888">
            <w:pPr>
              <w:jc w:val="right"/>
              <w:rPr>
                <w:rFonts w:ascii="Arial" w:hAnsi="Arial" w:cs="Arial"/>
                <w:color w:val="000000"/>
                <w:sz w:val="16"/>
                <w:szCs w:val="16"/>
              </w:rPr>
            </w:pPr>
            <w:r w:rsidRPr="00D00722">
              <w:rPr>
                <w:rFonts w:ascii="Arial" w:hAnsi="Arial" w:cs="Arial"/>
                <w:color w:val="000000"/>
                <w:sz w:val="16"/>
                <w:szCs w:val="16"/>
              </w:rPr>
              <w:t>1.069.386</w:t>
            </w:r>
          </w:p>
        </w:tc>
      </w:tr>
      <w:tr w:rsidR="00365936" w:rsidRPr="00D00722" w:rsidTr="004362C7">
        <w:trPr>
          <w:trHeight w:val="113"/>
        </w:trPr>
        <w:tc>
          <w:tcPr>
            <w:tcW w:w="1379" w:type="pct"/>
            <w:tcBorders>
              <w:bottom w:val="nil"/>
            </w:tcBorders>
            <w:vAlign w:val="bottom"/>
          </w:tcPr>
          <w:p w:rsidR="00365936" w:rsidRPr="00D00722" w:rsidRDefault="00365936" w:rsidP="00B109E9">
            <w:pPr>
              <w:ind w:left="34" w:hanging="142"/>
              <w:rPr>
                <w:rFonts w:ascii="Arial" w:hAnsi="Arial" w:cs="Arial"/>
                <w:color w:val="FF0000"/>
                <w:sz w:val="16"/>
                <w:szCs w:val="16"/>
              </w:rPr>
            </w:pPr>
          </w:p>
        </w:tc>
        <w:tc>
          <w:tcPr>
            <w:tcW w:w="613" w:type="pct"/>
            <w:vAlign w:val="bottom"/>
          </w:tcPr>
          <w:p w:rsidR="00365936" w:rsidRPr="00D00722" w:rsidRDefault="00365936" w:rsidP="004B5888">
            <w:pPr>
              <w:jc w:val="right"/>
              <w:rPr>
                <w:rFonts w:ascii="Arial" w:hAnsi="Arial" w:cs="Arial"/>
                <w:color w:val="FF0000"/>
                <w:sz w:val="16"/>
                <w:szCs w:val="16"/>
              </w:rPr>
            </w:pPr>
          </w:p>
        </w:tc>
        <w:tc>
          <w:tcPr>
            <w:tcW w:w="440" w:type="pct"/>
            <w:vAlign w:val="bottom"/>
          </w:tcPr>
          <w:p w:rsidR="00365936" w:rsidRPr="00D00722" w:rsidRDefault="00365936" w:rsidP="004B5888">
            <w:pPr>
              <w:jc w:val="right"/>
              <w:rPr>
                <w:rFonts w:ascii="Arial" w:hAnsi="Arial" w:cs="Arial"/>
                <w:color w:val="FF0000"/>
                <w:sz w:val="16"/>
                <w:szCs w:val="16"/>
              </w:rPr>
            </w:pPr>
          </w:p>
        </w:tc>
        <w:tc>
          <w:tcPr>
            <w:tcW w:w="431" w:type="pct"/>
            <w:vAlign w:val="bottom"/>
          </w:tcPr>
          <w:p w:rsidR="00365936" w:rsidRPr="00D00722" w:rsidRDefault="00365936" w:rsidP="004B5888">
            <w:pPr>
              <w:jc w:val="right"/>
              <w:rPr>
                <w:rFonts w:ascii="Arial" w:hAnsi="Arial" w:cs="Arial"/>
                <w:color w:val="FF0000"/>
                <w:sz w:val="16"/>
                <w:szCs w:val="16"/>
              </w:rPr>
            </w:pPr>
          </w:p>
        </w:tc>
        <w:tc>
          <w:tcPr>
            <w:tcW w:w="529" w:type="pct"/>
            <w:vAlign w:val="bottom"/>
          </w:tcPr>
          <w:p w:rsidR="00365936" w:rsidRPr="00D00722" w:rsidRDefault="00365936" w:rsidP="004B5888">
            <w:pPr>
              <w:jc w:val="right"/>
              <w:rPr>
                <w:rFonts w:ascii="Arial" w:hAnsi="Arial" w:cs="Arial"/>
                <w:color w:val="FF0000"/>
                <w:sz w:val="16"/>
                <w:szCs w:val="16"/>
              </w:rPr>
            </w:pPr>
          </w:p>
        </w:tc>
        <w:tc>
          <w:tcPr>
            <w:tcW w:w="403" w:type="pct"/>
            <w:vAlign w:val="bottom"/>
          </w:tcPr>
          <w:p w:rsidR="00365936" w:rsidRPr="00D00722" w:rsidRDefault="00365936" w:rsidP="004B5888">
            <w:pPr>
              <w:jc w:val="right"/>
              <w:rPr>
                <w:rFonts w:ascii="Arial" w:hAnsi="Arial" w:cs="Arial"/>
                <w:color w:val="FF0000"/>
                <w:sz w:val="16"/>
                <w:szCs w:val="16"/>
              </w:rPr>
            </w:pPr>
          </w:p>
        </w:tc>
        <w:tc>
          <w:tcPr>
            <w:tcW w:w="594" w:type="pct"/>
            <w:vAlign w:val="bottom"/>
          </w:tcPr>
          <w:p w:rsidR="00365936" w:rsidRPr="00D00722" w:rsidRDefault="00365936" w:rsidP="004B5888">
            <w:pPr>
              <w:jc w:val="right"/>
              <w:rPr>
                <w:rFonts w:ascii="Arial" w:hAnsi="Arial" w:cs="Arial"/>
                <w:color w:val="FF0000"/>
                <w:sz w:val="16"/>
                <w:szCs w:val="16"/>
              </w:rPr>
            </w:pPr>
          </w:p>
        </w:tc>
        <w:tc>
          <w:tcPr>
            <w:tcW w:w="611" w:type="pct"/>
            <w:vAlign w:val="bottom"/>
          </w:tcPr>
          <w:p w:rsidR="00365936" w:rsidRPr="00D00722" w:rsidRDefault="00365936" w:rsidP="004B5888">
            <w:pPr>
              <w:jc w:val="right"/>
              <w:rPr>
                <w:rFonts w:ascii="Arial" w:hAnsi="Arial" w:cs="Arial"/>
                <w:color w:val="FF0000"/>
                <w:sz w:val="16"/>
                <w:szCs w:val="16"/>
              </w:rPr>
            </w:pPr>
          </w:p>
        </w:tc>
      </w:tr>
      <w:tr w:rsidR="00525D79" w:rsidRPr="00D00722" w:rsidTr="004362C7">
        <w:trPr>
          <w:trHeight w:val="113"/>
        </w:trPr>
        <w:tc>
          <w:tcPr>
            <w:tcW w:w="1379" w:type="pct"/>
            <w:vAlign w:val="bottom"/>
          </w:tcPr>
          <w:p w:rsidR="00525D79" w:rsidRPr="00D00722" w:rsidRDefault="00525D79" w:rsidP="00B109E9">
            <w:pPr>
              <w:ind w:left="34" w:hanging="142"/>
              <w:rPr>
                <w:rFonts w:ascii="Arial" w:hAnsi="Arial" w:cs="Arial"/>
                <w:color w:val="000000"/>
                <w:sz w:val="16"/>
                <w:szCs w:val="16"/>
              </w:rPr>
            </w:pPr>
            <w:r w:rsidRPr="00D00722">
              <w:rPr>
                <w:rFonts w:ascii="Arial" w:hAnsi="Arial" w:cs="Arial"/>
                <w:color w:val="000000"/>
                <w:sz w:val="16"/>
                <w:szCs w:val="16"/>
              </w:rPr>
              <w:t>Ticari borçlar</w:t>
            </w:r>
          </w:p>
        </w:tc>
        <w:tc>
          <w:tcPr>
            <w:tcW w:w="613" w:type="pct"/>
            <w:vAlign w:val="bottom"/>
          </w:tcPr>
          <w:p w:rsidR="00525D79" w:rsidRPr="00D00722" w:rsidRDefault="00D31983" w:rsidP="00716A79">
            <w:pPr>
              <w:jc w:val="right"/>
              <w:rPr>
                <w:rFonts w:ascii="Arial" w:hAnsi="Arial" w:cs="Arial"/>
                <w:color w:val="000000"/>
                <w:sz w:val="16"/>
                <w:szCs w:val="16"/>
              </w:rPr>
            </w:pPr>
            <w:r w:rsidRPr="00D00722">
              <w:rPr>
                <w:rFonts w:ascii="Arial" w:hAnsi="Arial" w:cs="Arial"/>
                <w:color w:val="000000"/>
                <w:sz w:val="16"/>
                <w:szCs w:val="16"/>
              </w:rPr>
              <w:t>50.373</w:t>
            </w:r>
          </w:p>
        </w:tc>
        <w:tc>
          <w:tcPr>
            <w:tcW w:w="440" w:type="pct"/>
            <w:vAlign w:val="bottom"/>
          </w:tcPr>
          <w:p w:rsidR="00525D79" w:rsidRPr="00D00722" w:rsidRDefault="00D31983" w:rsidP="000C0FD0">
            <w:pPr>
              <w:jc w:val="right"/>
              <w:rPr>
                <w:rFonts w:ascii="Arial" w:hAnsi="Arial" w:cs="Arial"/>
                <w:color w:val="000000"/>
                <w:sz w:val="16"/>
                <w:szCs w:val="16"/>
              </w:rPr>
            </w:pPr>
            <w:r w:rsidRPr="00D00722">
              <w:rPr>
                <w:rFonts w:ascii="Arial" w:hAnsi="Arial" w:cs="Arial"/>
                <w:color w:val="000000"/>
                <w:sz w:val="16"/>
                <w:szCs w:val="16"/>
              </w:rPr>
              <w:t>-</w:t>
            </w:r>
          </w:p>
        </w:tc>
        <w:tc>
          <w:tcPr>
            <w:tcW w:w="431" w:type="pct"/>
            <w:vAlign w:val="bottom"/>
          </w:tcPr>
          <w:p w:rsidR="00525D79" w:rsidRPr="00D00722" w:rsidRDefault="00D31983" w:rsidP="000C0FD0">
            <w:pPr>
              <w:jc w:val="right"/>
              <w:rPr>
                <w:rFonts w:ascii="Arial" w:hAnsi="Arial" w:cs="Arial"/>
                <w:color w:val="000000"/>
                <w:sz w:val="16"/>
                <w:szCs w:val="16"/>
              </w:rPr>
            </w:pPr>
            <w:r w:rsidRPr="00D00722">
              <w:rPr>
                <w:rFonts w:ascii="Arial" w:hAnsi="Arial" w:cs="Arial"/>
                <w:color w:val="000000"/>
                <w:sz w:val="16"/>
                <w:szCs w:val="16"/>
              </w:rPr>
              <w:t>-</w:t>
            </w:r>
          </w:p>
        </w:tc>
        <w:tc>
          <w:tcPr>
            <w:tcW w:w="529" w:type="pct"/>
            <w:vAlign w:val="bottom"/>
          </w:tcPr>
          <w:p w:rsidR="00525D79" w:rsidRPr="00D00722" w:rsidRDefault="00D31983" w:rsidP="000C0FD0">
            <w:pPr>
              <w:jc w:val="right"/>
              <w:rPr>
                <w:rFonts w:ascii="Arial" w:hAnsi="Arial" w:cs="Arial"/>
                <w:color w:val="000000"/>
                <w:sz w:val="16"/>
                <w:szCs w:val="16"/>
              </w:rPr>
            </w:pPr>
            <w:r w:rsidRPr="00D00722">
              <w:rPr>
                <w:rFonts w:ascii="Arial" w:hAnsi="Arial" w:cs="Arial"/>
                <w:color w:val="000000"/>
                <w:sz w:val="16"/>
                <w:szCs w:val="16"/>
              </w:rPr>
              <w:t>-</w:t>
            </w:r>
          </w:p>
        </w:tc>
        <w:tc>
          <w:tcPr>
            <w:tcW w:w="403" w:type="pct"/>
            <w:vAlign w:val="bottom"/>
          </w:tcPr>
          <w:p w:rsidR="00525D79" w:rsidRPr="00D00722" w:rsidRDefault="00D31983" w:rsidP="000C0FD0">
            <w:pPr>
              <w:jc w:val="right"/>
              <w:rPr>
                <w:rFonts w:ascii="Arial" w:hAnsi="Arial" w:cs="Arial"/>
                <w:color w:val="000000"/>
                <w:sz w:val="16"/>
                <w:szCs w:val="16"/>
              </w:rPr>
            </w:pPr>
            <w:r w:rsidRPr="00D00722">
              <w:rPr>
                <w:rFonts w:ascii="Arial" w:hAnsi="Arial" w:cs="Arial"/>
                <w:color w:val="000000"/>
                <w:sz w:val="16"/>
                <w:szCs w:val="16"/>
              </w:rPr>
              <w:t>-</w:t>
            </w:r>
          </w:p>
        </w:tc>
        <w:tc>
          <w:tcPr>
            <w:tcW w:w="594" w:type="pct"/>
            <w:vAlign w:val="bottom"/>
          </w:tcPr>
          <w:p w:rsidR="00525D79" w:rsidRPr="00D00722" w:rsidRDefault="00D31983" w:rsidP="000C0FD0">
            <w:pPr>
              <w:jc w:val="right"/>
              <w:rPr>
                <w:rFonts w:ascii="Arial" w:hAnsi="Arial" w:cs="Arial"/>
                <w:color w:val="000000"/>
                <w:sz w:val="16"/>
                <w:szCs w:val="16"/>
              </w:rPr>
            </w:pPr>
            <w:r w:rsidRPr="00D00722">
              <w:rPr>
                <w:rFonts w:ascii="Arial" w:hAnsi="Arial" w:cs="Arial"/>
                <w:color w:val="000000"/>
                <w:sz w:val="16"/>
                <w:szCs w:val="16"/>
              </w:rPr>
              <w:t>-</w:t>
            </w:r>
          </w:p>
        </w:tc>
        <w:tc>
          <w:tcPr>
            <w:tcW w:w="611" w:type="pct"/>
            <w:vAlign w:val="bottom"/>
          </w:tcPr>
          <w:p w:rsidR="00525D79" w:rsidRPr="00D00722" w:rsidRDefault="00D31983" w:rsidP="00A27292">
            <w:pPr>
              <w:jc w:val="right"/>
              <w:rPr>
                <w:rFonts w:ascii="Arial" w:hAnsi="Arial" w:cs="Arial"/>
                <w:color w:val="000000"/>
                <w:sz w:val="16"/>
                <w:szCs w:val="16"/>
              </w:rPr>
            </w:pPr>
            <w:r w:rsidRPr="00D00722">
              <w:rPr>
                <w:rFonts w:ascii="Arial" w:hAnsi="Arial" w:cs="Arial"/>
                <w:color w:val="000000"/>
                <w:sz w:val="16"/>
                <w:szCs w:val="16"/>
              </w:rPr>
              <w:t>50.373</w:t>
            </w:r>
          </w:p>
        </w:tc>
      </w:tr>
      <w:tr w:rsidR="00525D79" w:rsidRPr="00D00722" w:rsidTr="004362C7">
        <w:trPr>
          <w:trHeight w:val="113"/>
        </w:trPr>
        <w:tc>
          <w:tcPr>
            <w:tcW w:w="1379" w:type="pct"/>
            <w:vAlign w:val="bottom"/>
          </w:tcPr>
          <w:p w:rsidR="00525D79" w:rsidRPr="00D00722" w:rsidRDefault="00525D79" w:rsidP="00B109E9">
            <w:pPr>
              <w:ind w:left="34" w:hanging="142"/>
              <w:rPr>
                <w:rFonts w:ascii="Arial" w:hAnsi="Arial" w:cs="Arial"/>
                <w:color w:val="000000"/>
                <w:sz w:val="16"/>
                <w:szCs w:val="16"/>
              </w:rPr>
            </w:pPr>
            <w:r w:rsidRPr="00D00722">
              <w:rPr>
                <w:rFonts w:ascii="Arial" w:hAnsi="Arial" w:cs="Arial"/>
                <w:color w:val="000000"/>
                <w:sz w:val="16"/>
                <w:szCs w:val="16"/>
              </w:rPr>
              <w:t>Diğer borçlar</w:t>
            </w:r>
          </w:p>
        </w:tc>
        <w:tc>
          <w:tcPr>
            <w:tcW w:w="613" w:type="pct"/>
            <w:vAlign w:val="bottom"/>
          </w:tcPr>
          <w:p w:rsidR="00525D79" w:rsidRPr="00D00722" w:rsidRDefault="00D31983" w:rsidP="004B5888">
            <w:pPr>
              <w:jc w:val="right"/>
              <w:rPr>
                <w:rFonts w:ascii="Arial" w:hAnsi="Arial" w:cs="Arial"/>
                <w:color w:val="000000"/>
                <w:sz w:val="16"/>
                <w:szCs w:val="16"/>
              </w:rPr>
            </w:pPr>
            <w:r w:rsidRPr="00D00722">
              <w:rPr>
                <w:rFonts w:ascii="Arial" w:hAnsi="Arial" w:cs="Arial"/>
                <w:color w:val="000000"/>
                <w:sz w:val="16"/>
                <w:szCs w:val="16"/>
              </w:rPr>
              <w:t>9.343</w:t>
            </w:r>
          </w:p>
        </w:tc>
        <w:tc>
          <w:tcPr>
            <w:tcW w:w="440" w:type="pct"/>
            <w:vAlign w:val="bottom"/>
          </w:tcPr>
          <w:p w:rsidR="00525D79" w:rsidRPr="00D00722" w:rsidRDefault="00D31983" w:rsidP="000C0FD0">
            <w:pPr>
              <w:jc w:val="right"/>
              <w:rPr>
                <w:rFonts w:ascii="Arial" w:hAnsi="Arial" w:cs="Arial"/>
                <w:color w:val="000000"/>
                <w:sz w:val="16"/>
                <w:szCs w:val="16"/>
              </w:rPr>
            </w:pPr>
            <w:r w:rsidRPr="00D00722">
              <w:rPr>
                <w:rFonts w:ascii="Arial" w:hAnsi="Arial" w:cs="Arial"/>
                <w:color w:val="000000"/>
                <w:sz w:val="16"/>
                <w:szCs w:val="16"/>
              </w:rPr>
              <w:t>-</w:t>
            </w:r>
          </w:p>
        </w:tc>
        <w:tc>
          <w:tcPr>
            <w:tcW w:w="431" w:type="pct"/>
            <w:vAlign w:val="bottom"/>
          </w:tcPr>
          <w:p w:rsidR="00525D79" w:rsidRPr="00D00722" w:rsidRDefault="00D31983" w:rsidP="000C0FD0">
            <w:pPr>
              <w:jc w:val="right"/>
              <w:rPr>
                <w:rFonts w:ascii="Arial" w:hAnsi="Arial" w:cs="Arial"/>
                <w:color w:val="000000"/>
                <w:sz w:val="16"/>
                <w:szCs w:val="16"/>
              </w:rPr>
            </w:pPr>
            <w:r w:rsidRPr="00D00722">
              <w:rPr>
                <w:rFonts w:ascii="Arial" w:hAnsi="Arial" w:cs="Arial"/>
                <w:color w:val="000000"/>
                <w:sz w:val="16"/>
                <w:szCs w:val="16"/>
              </w:rPr>
              <w:t>-</w:t>
            </w:r>
          </w:p>
        </w:tc>
        <w:tc>
          <w:tcPr>
            <w:tcW w:w="529" w:type="pct"/>
            <w:vAlign w:val="bottom"/>
          </w:tcPr>
          <w:p w:rsidR="00525D79" w:rsidRPr="00D00722" w:rsidRDefault="00D31983" w:rsidP="000C0FD0">
            <w:pPr>
              <w:jc w:val="right"/>
              <w:rPr>
                <w:rFonts w:ascii="Arial" w:hAnsi="Arial" w:cs="Arial"/>
                <w:color w:val="000000"/>
                <w:sz w:val="16"/>
                <w:szCs w:val="16"/>
              </w:rPr>
            </w:pPr>
            <w:r w:rsidRPr="00D00722">
              <w:rPr>
                <w:rFonts w:ascii="Arial" w:hAnsi="Arial" w:cs="Arial"/>
                <w:color w:val="000000"/>
                <w:sz w:val="16"/>
                <w:szCs w:val="16"/>
              </w:rPr>
              <w:t>-</w:t>
            </w:r>
          </w:p>
        </w:tc>
        <w:tc>
          <w:tcPr>
            <w:tcW w:w="403" w:type="pct"/>
            <w:vAlign w:val="bottom"/>
          </w:tcPr>
          <w:p w:rsidR="00525D79" w:rsidRPr="00D00722" w:rsidRDefault="00D31983" w:rsidP="000C0FD0">
            <w:pPr>
              <w:jc w:val="right"/>
              <w:rPr>
                <w:rFonts w:ascii="Arial" w:hAnsi="Arial" w:cs="Arial"/>
                <w:color w:val="000000"/>
                <w:sz w:val="16"/>
                <w:szCs w:val="16"/>
              </w:rPr>
            </w:pPr>
            <w:r w:rsidRPr="00D00722">
              <w:rPr>
                <w:rFonts w:ascii="Arial" w:hAnsi="Arial" w:cs="Arial"/>
                <w:color w:val="000000"/>
                <w:sz w:val="16"/>
                <w:szCs w:val="16"/>
              </w:rPr>
              <w:t>-</w:t>
            </w:r>
          </w:p>
        </w:tc>
        <w:tc>
          <w:tcPr>
            <w:tcW w:w="594" w:type="pct"/>
            <w:vAlign w:val="bottom"/>
          </w:tcPr>
          <w:p w:rsidR="00525D79" w:rsidRPr="00D00722" w:rsidRDefault="00D31983" w:rsidP="000C0FD0">
            <w:pPr>
              <w:jc w:val="right"/>
              <w:rPr>
                <w:rFonts w:ascii="Arial" w:hAnsi="Arial" w:cs="Arial"/>
                <w:color w:val="000000"/>
                <w:sz w:val="16"/>
                <w:szCs w:val="16"/>
              </w:rPr>
            </w:pPr>
            <w:r w:rsidRPr="00D00722">
              <w:rPr>
                <w:rFonts w:ascii="Arial" w:hAnsi="Arial" w:cs="Arial"/>
                <w:color w:val="000000"/>
                <w:sz w:val="16"/>
                <w:szCs w:val="16"/>
              </w:rPr>
              <w:t>-</w:t>
            </w:r>
          </w:p>
        </w:tc>
        <w:tc>
          <w:tcPr>
            <w:tcW w:w="611" w:type="pct"/>
            <w:vAlign w:val="bottom"/>
          </w:tcPr>
          <w:p w:rsidR="00525D79" w:rsidRPr="00D00722" w:rsidRDefault="00D31983" w:rsidP="00A27292">
            <w:pPr>
              <w:jc w:val="right"/>
              <w:rPr>
                <w:rFonts w:ascii="Arial" w:hAnsi="Arial" w:cs="Arial"/>
                <w:color w:val="000000"/>
                <w:sz w:val="16"/>
                <w:szCs w:val="16"/>
              </w:rPr>
            </w:pPr>
            <w:r w:rsidRPr="00D00722">
              <w:rPr>
                <w:rFonts w:ascii="Arial" w:hAnsi="Arial" w:cs="Arial"/>
                <w:color w:val="000000"/>
                <w:sz w:val="16"/>
                <w:szCs w:val="16"/>
              </w:rPr>
              <w:t>9.343</w:t>
            </w:r>
          </w:p>
        </w:tc>
      </w:tr>
      <w:tr w:rsidR="00703977" w:rsidRPr="00D00722" w:rsidTr="004362C7">
        <w:trPr>
          <w:trHeight w:val="113"/>
        </w:trPr>
        <w:tc>
          <w:tcPr>
            <w:tcW w:w="1379" w:type="pct"/>
            <w:tcBorders>
              <w:top w:val="nil"/>
              <w:bottom w:val="single" w:sz="4" w:space="0" w:color="auto"/>
            </w:tcBorders>
            <w:vAlign w:val="bottom"/>
          </w:tcPr>
          <w:p w:rsidR="00703977" w:rsidRPr="00D00722" w:rsidRDefault="00703977" w:rsidP="00B109E9">
            <w:pPr>
              <w:ind w:left="34" w:hanging="142"/>
              <w:rPr>
                <w:rFonts w:ascii="Arial" w:hAnsi="Arial" w:cs="Arial"/>
                <w:color w:val="000000"/>
                <w:sz w:val="16"/>
                <w:szCs w:val="16"/>
              </w:rPr>
            </w:pPr>
          </w:p>
        </w:tc>
        <w:tc>
          <w:tcPr>
            <w:tcW w:w="613" w:type="pct"/>
            <w:tcBorders>
              <w:top w:val="nil"/>
              <w:bottom w:val="single" w:sz="4" w:space="0" w:color="auto"/>
            </w:tcBorders>
            <w:vAlign w:val="bottom"/>
          </w:tcPr>
          <w:p w:rsidR="00703977" w:rsidRPr="00D00722" w:rsidRDefault="00703977" w:rsidP="004B5888">
            <w:pPr>
              <w:jc w:val="right"/>
              <w:rPr>
                <w:rFonts w:ascii="Arial" w:hAnsi="Arial" w:cs="Arial"/>
                <w:color w:val="000000"/>
                <w:sz w:val="16"/>
                <w:szCs w:val="16"/>
              </w:rPr>
            </w:pPr>
          </w:p>
        </w:tc>
        <w:tc>
          <w:tcPr>
            <w:tcW w:w="440" w:type="pct"/>
            <w:tcBorders>
              <w:top w:val="nil"/>
              <w:bottom w:val="single" w:sz="4" w:space="0" w:color="auto"/>
            </w:tcBorders>
            <w:vAlign w:val="bottom"/>
          </w:tcPr>
          <w:p w:rsidR="00703977" w:rsidRPr="00D00722" w:rsidRDefault="00703977" w:rsidP="004B5888">
            <w:pPr>
              <w:jc w:val="right"/>
              <w:rPr>
                <w:rFonts w:ascii="Arial" w:hAnsi="Arial" w:cs="Arial"/>
                <w:color w:val="000000"/>
                <w:sz w:val="16"/>
                <w:szCs w:val="16"/>
              </w:rPr>
            </w:pPr>
          </w:p>
        </w:tc>
        <w:tc>
          <w:tcPr>
            <w:tcW w:w="431" w:type="pct"/>
            <w:tcBorders>
              <w:top w:val="nil"/>
              <w:bottom w:val="single" w:sz="4" w:space="0" w:color="auto"/>
            </w:tcBorders>
            <w:vAlign w:val="bottom"/>
          </w:tcPr>
          <w:p w:rsidR="00703977" w:rsidRPr="00D00722" w:rsidRDefault="00703977" w:rsidP="004B5888">
            <w:pPr>
              <w:jc w:val="right"/>
              <w:rPr>
                <w:rFonts w:ascii="Arial" w:hAnsi="Arial" w:cs="Arial"/>
                <w:color w:val="000000"/>
                <w:sz w:val="16"/>
                <w:szCs w:val="16"/>
              </w:rPr>
            </w:pPr>
          </w:p>
        </w:tc>
        <w:tc>
          <w:tcPr>
            <w:tcW w:w="529" w:type="pct"/>
            <w:tcBorders>
              <w:top w:val="nil"/>
              <w:bottom w:val="single" w:sz="4" w:space="0" w:color="auto"/>
            </w:tcBorders>
            <w:vAlign w:val="bottom"/>
          </w:tcPr>
          <w:p w:rsidR="00703977" w:rsidRPr="00D00722" w:rsidRDefault="00703977" w:rsidP="004B5888">
            <w:pPr>
              <w:jc w:val="right"/>
              <w:rPr>
                <w:rFonts w:ascii="Arial" w:hAnsi="Arial" w:cs="Arial"/>
                <w:color w:val="000000"/>
                <w:sz w:val="16"/>
                <w:szCs w:val="16"/>
              </w:rPr>
            </w:pPr>
          </w:p>
        </w:tc>
        <w:tc>
          <w:tcPr>
            <w:tcW w:w="403" w:type="pct"/>
            <w:tcBorders>
              <w:top w:val="nil"/>
              <w:bottom w:val="single" w:sz="4" w:space="0" w:color="auto"/>
            </w:tcBorders>
            <w:vAlign w:val="bottom"/>
          </w:tcPr>
          <w:p w:rsidR="00703977" w:rsidRPr="00D00722" w:rsidRDefault="00703977" w:rsidP="004B5888">
            <w:pPr>
              <w:jc w:val="right"/>
              <w:rPr>
                <w:rFonts w:ascii="Arial" w:hAnsi="Arial" w:cs="Arial"/>
                <w:color w:val="000000"/>
                <w:sz w:val="16"/>
                <w:szCs w:val="16"/>
              </w:rPr>
            </w:pPr>
          </w:p>
        </w:tc>
        <w:tc>
          <w:tcPr>
            <w:tcW w:w="594" w:type="pct"/>
            <w:tcBorders>
              <w:top w:val="nil"/>
              <w:bottom w:val="single" w:sz="4" w:space="0" w:color="auto"/>
            </w:tcBorders>
            <w:vAlign w:val="bottom"/>
          </w:tcPr>
          <w:p w:rsidR="00703977" w:rsidRPr="00D00722" w:rsidRDefault="00703977" w:rsidP="004B5888">
            <w:pPr>
              <w:jc w:val="right"/>
              <w:rPr>
                <w:rFonts w:ascii="Arial" w:hAnsi="Arial" w:cs="Arial"/>
                <w:color w:val="000000"/>
                <w:sz w:val="16"/>
                <w:szCs w:val="16"/>
              </w:rPr>
            </w:pPr>
          </w:p>
        </w:tc>
        <w:tc>
          <w:tcPr>
            <w:tcW w:w="611" w:type="pct"/>
            <w:tcBorders>
              <w:top w:val="nil"/>
              <w:bottom w:val="single" w:sz="4" w:space="0" w:color="auto"/>
            </w:tcBorders>
            <w:vAlign w:val="bottom"/>
          </w:tcPr>
          <w:p w:rsidR="00703977" w:rsidRPr="00D00722" w:rsidRDefault="00703977" w:rsidP="004B5888">
            <w:pPr>
              <w:jc w:val="right"/>
              <w:rPr>
                <w:rFonts w:ascii="Arial" w:hAnsi="Arial" w:cs="Arial"/>
                <w:color w:val="000000"/>
                <w:sz w:val="16"/>
                <w:szCs w:val="16"/>
              </w:rPr>
            </w:pPr>
          </w:p>
        </w:tc>
      </w:tr>
      <w:tr w:rsidR="005F78F6" w:rsidRPr="00D00722" w:rsidTr="004362C7">
        <w:trPr>
          <w:trHeight w:val="113"/>
        </w:trPr>
        <w:tc>
          <w:tcPr>
            <w:tcW w:w="1379" w:type="pct"/>
            <w:tcBorders>
              <w:top w:val="single" w:sz="4" w:space="0" w:color="auto"/>
              <w:bottom w:val="single" w:sz="4" w:space="0" w:color="auto"/>
            </w:tcBorders>
            <w:vAlign w:val="bottom"/>
          </w:tcPr>
          <w:p w:rsidR="005F78F6" w:rsidRPr="00D00722" w:rsidRDefault="005F78F6" w:rsidP="00B109E9">
            <w:pPr>
              <w:ind w:left="34" w:hanging="142"/>
              <w:rPr>
                <w:rFonts w:ascii="Arial" w:hAnsi="Arial" w:cs="Arial"/>
                <w:color w:val="000000"/>
                <w:sz w:val="16"/>
                <w:szCs w:val="16"/>
              </w:rPr>
            </w:pPr>
            <w:r w:rsidRPr="00D00722">
              <w:rPr>
                <w:rFonts w:ascii="Arial" w:hAnsi="Arial" w:cs="Arial"/>
                <w:color w:val="000000"/>
                <w:sz w:val="16"/>
                <w:szCs w:val="16"/>
              </w:rPr>
              <w:t>Toplam kaynaklar</w:t>
            </w:r>
          </w:p>
        </w:tc>
        <w:tc>
          <w:tcPr>
            <w:tcW w:w="613" w:type="pct"/>
            <w:tcBorders>
              <w:top w:val="single" w:sz="4" w:space="0" w:color="auto"/>
              <w:bottom w:val="single" w:sz="4" w:space="0" w:color="auto"/>
            </w:tcBorders>
            <w:vAlign w:val="bottom"/>
          </w:tcPr>
          <w:p w:rsidR="005F78F6" w:rsidRPr="00D00722" w:rsidRDefault="00D31983" w:rsidP="004B5888">
            <w:pPr>
              <w:jc w:val="right"/>
              <w:rPr>
                <w:rFonts w:ascii="Arial" w:hAnsi="Arial" w:cs="Arial"/>
                <w:color w:val="000000"/>
                <w:sz w:val="16"/>
                <w:szCs w:val="16"/>
              </w:rPr>
            </w:pPr>
            <w:r w:rsidRPr="00D00722">
              <w:rPr>
                <w:rFonts w:ascii="Arial" w:hAnsi="Arial" w:cs="Arial"/>
                <w:color w:val="000000"/>
                <w:sz w:val="16"/>
                <w:szCs w:val="16"/>
              </w:rPr>
              <w:t>59.716</w:t>
            </w:r>
          </w:p>
        </w:tc>
        <w:tc>
          <w:tcPr>
            <w:tcW w:w="440" w:type="pct"/>
            <w:tcBorders>
              <w:top w:val="single" w:sz="4" w:space="0" w:color="auto"/>
              <w:bottom w:val="single" w:sz="4" w:space="0" w:color="auto"/>
            </w:tcBorders>
            <w:vAlign w:val="bottom"/>
          </w:tcPr>
          <w:p w:rsidR="005F78F6" w:rsidRPr="00D00722" w:rsidRDefault="00D31983" w:rsidP="000C0FD0">
            <w:pPr>
              <w:jc w:val="right"/>
              <w:rPr>
                <w:rFonts w:ascii="Arial" w:hAnsi="Arial" w:cs="Arial"/>
                <w:color w:val="000000"/>
                <w:sz w:val="16"/>
                <w:szCs w:val="16"/>
              </w:rPr>
            </w:pPr>
            <w:r w:rsidRPr="00D00722">
              <w:rPr>
                <w:rFonts w:ascii="Arial" w:hAnsi="Arial" w:cs="Arial"/>
                <w:color w:val="000000"/>
                <w:sz w:val="16"/>
                <w:szCs w:val="16"/>
              </w:rPr>
              <w:t>-</w:t>
            </w:r>
          </w:p>
        </w:tc>
        <w:tc>
          <w:tcPr>
            <w:tcW w:w="431" w:type="pct"/>
            <w:tcBorders>
              <w:top w:val="single" w:sz="4" w:space="0" w:color="auto"/>
              <w:bottom w:val="single" w:sz="4" w:space="0" w:color="auto"/>
            </w:tcBorders>
            <w:vAlign w:val="bottom"/>
          </w:tcPr>
          <w:p w:rsidR="005F78F6" w:rsidRPr="00D00722" w:rsidRDefault="00D31983" w:rsidP="000C0FD0">
            <w:pPr>
              <w:jc w:val="right"/>
              <w:rPr>
                <w:rFonts w:ascii="Arial" w:hAnsi="Arial" w:cs="Arial"/>
                <w:color w:val="000000"/>
                <w:sz w:val="16"/>
                <w:szCs w:val="16"/>
              </w:rPr>
            </w:pPr>
            <w:r w:rsidRPr="00D00722">
              <w:rPr>
                <w:rFonts w:ascii="Arial" w:hAnsi="Arial" w:cs="Arial"/>
                <w:color w:val="000000"/>
                <w:sz w:val="16"/>
                <w:szCs w:val="16"/>
              </w:rPr>
              <w:t>-</w:t>
            </w:r>
          </w:p>
        </w:tc>
        <w:tc>
          <w:tcPr>
            <w:tcW w:w="529" w:type="pct"/>
            <w:tcBorders>
              <w:top w:val="single" w:sz="4" w:space="0" w:color="auto"/>
              <w:bottom w:val="single" w:sz="4" w:space="0" w:color="auto"/>
            </w:tcBorders>
            <w:vAlign w:val="bottom"/>
          </w:tcPr>
          <w:p w:rsidR="005F78F6" w:rsidRPr="00D00722" w:rsidRDefault="00D31983" w:rsidP="000C0FD0">
            <w:pPr>
              <w:jc w:val="right"/>
              <w:rPr>
                <w:rFonts w:ascii="Arial" w:hAnsi="Arial" w:cs="Arial"/>
                <w:color w:val="000000"/>
                <w:sz w:val="16"/>
                <w:szCs w:val="16"/>
              </w:rPr>
            </w:pPr>
            <w:r w:rsidRPr="00D00722">
              <w:rPr>
                <w:rFonts w:ascii="Arial" w:hAnsi="Arial" w:cs="Arial"/>
                <w:color w:val="000000"/>
                <w:sz w:val="16"/>
                <w:szCs w:val="16"/>
              </w:rPr>
              <w:t>-</w:t>
            </w:r>
          </w:p>
        </w:tc>
        <w:tc>
          <w:tcPr>
            <w:tcW w:w="403" w:type="pct"/>
            <w:tcBorders>
              <w:top w:val="single" w:sz="4" w:space="0" w:color="auto"/>
              <w:bottom w:val="single" w:sz="4" w:space="0" w:color="auto"/>
            </w:tcBorders>
            <w:vAlign w:val="bottom"/>
          </w:tcPr>
          <w:p w:rsidR="005F78F6" w:rsidRPr="00D00722" w:rsidRDefault="00D31983" w:rsidP="000C0FD0">
            <w:pPr>
              <w:jc w:val="right"/>
              <w:rPr>
                <w:rFonts w:ascii="Arial" w:hAnsi="Arial" w:cs="Arial"/>
                <w:color w:val="000000"/>
                <w:sz w:val="16"/>
                <w:szCs w:val="16"/>
              </w:rPr>
            </w:pPr>
            <w:r w:rsidRPr="00D00722">
              <w:rPr>
                <w:rFonts w:ascii="Arial" w:hAnsi="Arial" w:cs="Arial"/>
                <w:color w:val="000000"/>
                <w:sz w:val="16"/>
                <w:szCs w:val="16"/>
              </w:rPr>
              <w:t>-</w:t>
            </w:r>
          </w:p>
        </w:tc>
        <w:tc>
          <w:tcPr>
            <w:tcW w:w="594" w:type="pct"/>
            <w:tcBorders>
              <w:top w:val="single" w:sz="4" w:space="0" w:color="auto"/>
              <w:bottom w:val="single" w:sz="4" w:space="0" w:color="auto"/>
            </w:tcBorders>
            <w:vAlign w:val="bottom"/>
          </w:tcPr>
          <w:p w:rsidR="005F78F6" w:rsidRPr="00D00722" w:rsidRDefault="00D31983" w:rsidP="000C0FD0">
            <w:pPr>
              <w:jc w:val="right"/>
              <w:rPr>
                <w:rFonts w:ascii="Arial" w:hAnsi="Arial" w:cs="Arial"/>
                <w:color w:val="000000"/>
                <w:sz w:val="16"/>
                <w:szCs w:val="16"/>
              </w:rPr>
            </w:pPr>
            <w:r w:rsidRPr="00D00722">
              <w:rPr>
                <w:rFonts w:ascii="Arial" w:hAnsi="Arial" w:cs="Arial"/>
                <w:color w:val="000000"/>
                <w:sz w:val="16"/>
                <w:szCs w:val="16"/>
              </w:rPr>
              <w:t>-</w:t>
            </w:r>
          </w:p>
        </w:tc>
        <w:tc>
          <w:tcPr>
            <w:tcW w:w="611" w:type="pct"/>
            <w:tcBorders>
              <w:top w:val="single" w:sz="4" w:space="0" w:color="auto"/>
              <w:bottom w:val="single" w:sz="4" w:space="0" w:color="auto"/>
            </w:tcBorders>
            <w:vAlign w:val="bottom"/>
          </w:tcPr>
          <w:p w:rsidR="005F78F6" w:rsidRPr="00D00722" w:rsidRDefault="00D31983" w:rsidP="00DD5874">
            <w:pPr>
              <w:jc w:val="right"/>
              <w:rPr>
                <w:rFonts w:ascii="Arial" w:hAnsi="Arial" w:cs="Arial"/>
                <w:color w:val="000000"/>
                <w:sz w:val="16"/>
                <w:szCs w:val="16"/>
              </w:rPr>
            </w:pPr>
            <w:r w:rsidRPr="00D00722">
              <w:rPr>
                <w:rFonts w:ascii="Arial" w:hAnsi="Arial" w:cs="Arial"/>
                <w:color w:val="000000"/>
                <w:sz w:val="16"/>
                <w:szCs w:val="16"/>
              </w:rPr>
              <w:t>59.716</w:t>
            </w:r>
          </w:p>
        </w:tc>
      </w:tr>
      <w:tr w:rsidR="005F78F6" w:rsidRPr="00D00722" w:rsidTr="004362C7">
        <w:trPr>
          <w:trHeight w:val="113"/>
        </w:trPr>
        <w:tc>
          <w:tcPr>
            <w:tcW w:w="1379" w:type="pct"/>
            <w:tcBorders>
              <w:top w:val="single" w:sz="4" w:space="0" w:color="auto"/>
              <w:bottom w:val="single" w:sz="4" w:space="0" w:color="auto"/>
            </w:tcBorders>
            <w:vAlign w:val="bottom"/>
          </w:tcPr>
          <w:p w:rsidR="005F78F6" w:rsidRPr="00D00722" w:rsidRDefault="005F78F6" w:rsidP="00B109E9">
            <w:pPr>
              <w:ind w:left="34" w:hanging="142"/>
              <w:rPr>
                <w:rFonts w:ascii="Arial" w:hAnsi="Arial" w:cs="Arial"/>
                <w:color w:val="000000"/>
                <w:sz w:val="16"/>
                <w:szCs w:val="16"/>
              </w:rPr>
            </w:pPr>
          </w:p>
        </w:tc>
        <w:tc>
          <w:tcPr>
            <w:tcW w:w="613" w:type="pct"/>
            <w:tcBorders>
              <w:top w:val="single" w:sz="4" w:space="0" w:color="auto"/>
              <w:bottom w:val="single" w:sz="4" w:space="0" w:color="auto"/>
            </w:tcBorders>
            <w:vAlign w:val="bottom"/>
          </w:tcPr>
          <w:p w:rsidR="005F78F6" w:rsidRPr="00D00722" w:rsidRDefault="005F78F6" w:rsidP="004B5888">
            <w:pPr>
              <w:jc w:val="right"/>
              <w:rPr>
                <w:rFonts w:ascii="Arial" w:hAnsi="Arial" w:cs="Arial"/>
                <w:color w:val="000000"/>
                <w:sz w:val="16"/>
                <w:szCs w:val="16"/>
              </w:rPr>
            </w:pPr>
          </w:p>
        </w:tc>
        <w:tc>
          <w:tcPr>
            <w:tcW w:w="440" w:type="pct"/>
            <w:tcBorders>
              <w:top w:val="single" w:sz="4" w:space="0" w:color="auto"/>
              <w:bottom w:val="single" w:sz="4" w:space="0" w:color="auto"/>
            </w:tcBorders>
            <w:vAlign w:val="bottom"/>
          </w:tcPr>
          <w:p w:rsidR="005F78F6" w:rsidRPr="00D00722" w:rsidRDefault="005F78F6" w:rsidP="004B5888">
            <w:pPr>
              <w:jc w:val="right"/>
              <w:rPr>
                <w:rFonts w:ascii="Arial" w:hAnsi="Arial" w:cs="Arial"/>
                <w:color w:val="000000"/>
                <w:sz w:val="16"/>
                <w:szCs w:val="16"/>
              </w:rPr>
            </w:pPr>
          </w:p>
        </w:tc>
        <w:tc>
          <w:tcPr>
            <w:tcW w:w="431" w:type="pct"/>
            <w:tcBorders>
              <w:top w:val="single" w:sz="4" w:space="0" w:color="auto"/>
              <w:bottom w:val="single" w:sz="4" w:space="0" w:color="auto"/>
            </w:tcBorders>
            <w:vAlign w:val="bottom"/>
          </w:tcPr>
          <w:p w:rsidR="005F78F6" w:rsidRPr="00D00722" w:rsidRDefault="005F78F6" w:rsidP="004B5888">
            <w:pPr>
              <w:jc w:val="right"/>
              <w:rPr>
                <w:rFonts w:ascii="Arial" w:hAnsi="Arial" w:cs="Arial"/>
                <w:color w:val="000000"/>
                <w:sz w:val="16"/>
                <w:szCs w:val="16"/>
              </w:rPr>
            </w:pPr>
          </w:p>
        </w:tc>
        <w:tc>
          <w:tcPr>
            <w:tcW w:w="529" w:type="pct"/>
            <w:tcBorders>
              <w:top w:val="single" w:sz="4" w:space="0" w:color="auto"/>
              <w:bottom w:val="single" w:sz="4" w:space="0" w:color="auto"/>
            </w:tcBorders>
            <w:vAlign w:val="bottom"/>
          </w:tcPr>
          <w:p w:rsidR="005F78F6" w:rsidRPr="00D00722" w:rsidRDefault="005F78F6" w:rsidP="004B5888">
            <w:pPr>
              <w:jc w:val="right"/>
              <w:rPr>
                <w:rFonts w:ascii="Arial" w:hAnsi="Arial" w:cs="Arial"/>
                <w:color w:val="000000"/>
                <w:sz w:val="16"/>
                <w:szCs w:val="16"/>
              </w:rPr>
            </w:pPr>
          </w:p>
        </w:tc>
        <w:tc>
          <w:tcPr>
            <w:tcW w:w="403" w:type="pct"/>
            <w:tcBorders>
              <w:top w:val="single" w:sz="4" w:space="0" w:color="auto"/>
              <w:bottom w:val="single" w:sz="4" w:space="0" w:color="auto"/>
            </w:tcBorders>
            <w:vAlign w:val="bottom"/>
          </w:tcPr>
          <w:p w:rsidR="005F78F6" w:rsidRPr="00D00722" w:rsidRDefault="005F78F6" w:rsidP="004B5888">
            <w:pPr>
              <w:jc w:val="right"/>
              <w:rPr>
                <w:rFonts w:ascii="Arial" w:hAnsi="Arial" w:cs="Arial"/>
                <w:color w:val="000000"/>
                <w:sz w:val="16"/>
                <w:szCs w:val="16"/>
              </w:rPr>
            </w:pPr>
          </w:p>
        </w:tc>
        <w:tc>
          <w:tcPr>
            <w:tcW w:w="594" w:type="pct"/>
            <w:tcBorders>
              <w:top w:val="single" w:sz="4" w:space="0" w:color="auto"/>
              <w:bottom w:val="single" w:sz="4" w:space="0" w:color="auto"/>
            </w:tcBorders>
            <w:vAlign w:val="bottom"/>
          </w:tcPr>
          <w:p w:rsidR="005F78F6" w:rsidRPr="00D00722" w:rsidRDefault="005F78F6" w:rsidP="004B5888">
            <w:pPr>
              <w:jc w:val="right"/>
              <w:rPr>
                <w:rFonts w:ascii="Arial" w:hAnsi="Arial" w:cs="Arial"/>
                <w:color w:val="000000"/>
                <w:sz w:val="16"/>
                <w:szCs w:val="16"/>
              </w:rPr>
            </w:pPr>
          </w:p>
        </w:tc>
        <w:tc>
          <w:tcPr>
            <w:tcW w:w="611" w:type="pct"/>
            <w:tcBorders>
              <w:top w:val="single" w:sz="4" w:space="0" w:color="auto"/>
              <w:bottom w:val="single" w:sz="4" w:space="0" w:color="auto"/>
            </w:tcBorders>
            <w:vAlign w:val="bottom"/>
          </w:tcPr>
          <w:p w:rsidR="005F78F6" w:rsidRPr="00D00722" w:rsidRDefault="005F78F6" w:rsidP="004B5888">
            <w:pPr>
              <w:jc w:val="right"/>
              <w:rPr>
                <w:rFonts w:ascii="Arial" w:hAnsi="Arial" w:cs="Arial"/>
                <w:color w:val="000000"/>
                <w:sz w:val="16"/>
                <w:szCs w:val="16"/>
              </w:rPr>
            </w:pPr>
          </w:p>
        </w:tc>
      </w:tr>
      <w:tr w:rsidR="005F78F6" w:rsidRPr="00D00722" w:rsidTr="004362C7">
        <w:trPr>
          <w:trHeight w:val="113"/>
        </w:trPr>
        <w:tc>
          <w:tcPr>
            <w:tcW w:w="1379" w:type="pct"/>
            <w:tcBorders>
              <w:top w:val="single" w:sz="4" w:space="0" w:color="auto"/>
              <w:bottom w:val="double" w:sz="4" w:space="0" w:color="auto"/>
            </w:tcBorders>
            <w:vAlign w:val="bottom"/>
          </w:tcPr>
          <w:p w:rsidR="005F78F6" w:rsidRPr="00D00722" w:rsidRDefault="005F78F6" w:rsidP="00B109E9">
            <w:pPr>
              <w:ind w:left="34" w:hanging="142"/>
              <w:rPr>
                <w:rFonts w:ascii="Arial" w:hAnsi="Arial" w:cs="Arial"/>
                <w:color w:val="000000"/>
                <w:sz w:val="16"/>
                <w:szCs w:val="16"/>
              </w:rPr>
            </w:pPr>
            <w:r w:rsidRPr="00D00722">
              <w:rPr>
                <w:rFonts w:ascii="Arial" w:hAnsi="Arial" w:cs="Arial"/>
                <w:color w:val="000000"/>
                <w:sz w:val="16"/>
                <w:szCs w:val="16"/>
              </w:rPr>
              <w:t>Net likidite fazlası / (açığı)</w:t>
            </w:r>
          </w:p>
        </w:tc>
        <w:tc>
          <w:tcPr>
            <w:tcW w:w="613" w:type="pct"/>
            <w:tcBorders>
              <w:top w:val="single" w:sz="4" w:space="0" w:color="auto"/>
              <w:bottom w:val="double" w:sz="4" w:space="0" w:color="auto"/>
            </w:tcBorders>
            <w:vAlign w:val="bottom"/>
          </w:tcPr>
          <w:p w:rsidR="005F78F6" w:rsidRPr="00D00722" w:rsidRDefault="00D31983" w:rsidP="00AC5D33">
            <w:pPr>
              <w:jc w:val="right"/>
              <w:rPr>
                <w:rFonts w:ascii="Arial" w:hAnsi="Arial" w:cs="Arial"/>
                <w:color w:val="000000"/>
                <w:sz w:val="16"/>
                <w:szCs w:val="16"/>
              </w:rPr>
            </w:pPr>
            <w:r w:rsidRPr="00D00722">
              <w:rPr>
                <w:rFonts w:ascii="Arial" w:hAnsi="Arial" w:cs="Arial"/>
                <w:color w:val="000000"/>
                <w:sz w:val="16"/>
                <w:szCs w:val="16"/>
              </w:rPr>
              <w:t>615.413</w:t>
            </w:r>
          </w:p>
        </w:tc>
        <w:tc>
          <w:tcPr>
            <w:tcW w:w="440" w:type="pct"/>
            <w:tcBorders>
              <w:top w:val="single" w:sz="4" w:space="0" w:color="auto"/>
              <w:bottom w:val="double" w:sz="4" w:space="0" w:color="auto"/>
            </w:tcBorders>
            <w:vAlign w:val="bottom"/>
          </w:tcPr>
          <w:p w:rsidR="005F78F6" w:rsidRPr="00D00722" w:rsidRDefault="00D31983" w:rsidP="000C0FD0">
            <w:pPr>
              <w:jc w:val="right"/>
              <w:rPr>
                <w:rFonts w:ascii="Arial" w:hAnsi="Arial" w:cs="Arial"/>
                <w:color w:val="000000"/>
                <w:sz w:val="16"/>
                <w:szCs w:val="16"/>
              </w:rPr>
            </w:pPr>
            <w:r w:rsidRPr="00D00722">
              <w:rPr>
                <w:rFonts w:ascii="Arial" w:hAnsi="Arial" w:cs="Arial"/>
                <w:color w:val="000000"/>
                <w:sz w:val="16"/>
                <w:szCs w:val="16"/>
              </w:rPr>
              <w:t>-</w:t>
            </w:r>
          </w:p>
        </w:tc>
        <w:tc>
          <w:tcPr>
            <w:tcW w:w="431" w:type="pct"/>
            <w:tcBorders>
              <w:top w:val="single" w:sz="4" w:space="0" w:color="auto"/>
              <w:bottom w:val="double" w:sz="4" w:space="0" w:color="auto"/>
            </w:tcBorders>
            <w:vAlign w:val="bottom"/>
          </w:tcPr>
          <w:p w:rsidR="005F78F6" w:rsidRPr="00D00722" w:rsidRDefault="00D31983" w:rsidP="007648E5">
            <w:pPr>
              <w:jc w:val="right"/>
              <w:rPr>
                <w:rFonts w:ascii="Arial" w:hAnsi="Arial" w:cs="Arial"/>
                <w:color w:val="000000"/>
                <w:sz w:val="16"/>
                <w:szCs w:val="16"/>
              </w:rPr>
            </w:pPr>
            <w:r w:rsidRPr="00D00722">
              <w:rPr>
                <w:rFonts w:ascii="Arial" w:hAnsi="Arial" w:cs="Arial"/>
                <w:color w:val="000000"/>
                <w:sz w:val="16"/>
                <w:szCs w:val="16"/>
              </w:rPr>
              <w:t>-</w:t>
            </w:r>
          </w:p>
        </w:tc>
        <w:tc>
          <w:tcPr>
            <w:tcW w:w="529" w:type="pct"/>
            <w:tcBorders>
              <w:top w:val="single" w:sz="4" w:space="0" w:color="auto"/>
              <w:bottom w:val="double" w:sz="4" w:space="0" w:color="auto"/>
            </w:tcBorders>
            <w:vAlign w:val="bottom"/>
          </w:tcPr>
          <w:p w:rsidR="005F78F6" w:rsidRPr="00D00722" w:rsidRDefault="00D31983" w:rsidP="000C0FD0">
            <w:pPr>
              <w:jc w:val="right"/>
              <w:rPr>
                <w:rFonts w:ascii="Arial" w:hAnsi="Arial" w:cs="Arial"/>
                <w:color w:val="000000"/>
                <w:sz w:val="16"/>
                <w:szCs w:val="16"/>
              </w:rPr>
            </w:pPr>
            <w:r w:rsidRPr="00D00722">
              <w:rPr>
                <w:rFonts w:ascii="Arial" w:hAnsi="Arial" w:cs="Arial"/>
                <w:color w:val="000000"/>
                <w:sz w:val="16"/>
                <w:szCs w:val="16"/>
              </w:rPr>
              <w:t>103.038</w:t>
            </w:r>
          </w:p>
        </w:tc>
        <w:tc>
          <w:tcPr>
            <w:tcW w:w="403" w:type="pct"/>
            <w:tcBorders>
              <w:top w:val="single" w:sz="4" w:space="0" w:color="auto"/>
              <w:bottom w:val="double" w:sz="4" w:space="0" w:color="auto"/>
            </w:tcBorders>
            <w:vAlign w:val="bottom"/>
          </w:tcPr>
          <w:p w:rsidR="005F78F6" w:rsidRPr="00D00722" w:rsidRDefault="00D31983" w:rsidP="00A1438E">
            <w:pPr>
              <w:jc w:val="right"/>
              <w:rPr>
                <w:rFonts w:ascii="Arial" w:hAnsi="Arial" w:cs="Arial"/>
                <w:color w:val="000000"/>
                <w:sz w:val="16"/>
                <w:szCs w:val="16"/>
              </w:rPr>
            </w:pPr>
            <w:r w:rsidRPr="00D00722">
              <w:rPr>
                <w:rFonts w:ascii="Arial" w:hAnsi="Arial" w:cs="Arial"/>
                <w:color w:val="000000"/>
                <w:sz w:val="16"/>
                <w:szCs w:val="16"/>
              </w:rPr>
              <w:t>-</w:t>
            </w:r>
          </w:p>
        </w:tc>
        <w:tc>
          <w:tcPr>
            <w:tcW w:w="594" w:type="pct"/>
            <w:tcBorders>
              <w:top w:val="single" w:sz="4" w:space="0" w:color="auto"/>
              <w:bottom w:val="double" w:sz="4" w:space="0" w:color="auto"/>
            </w:tcBorders>
            <w:vAlign w:val="bottom"/>
          </w:tcPr>
          <w:p w:rsidR="005F78F6" w:rsidRPr="00D00722" w:rsidRDefault="00D31983" w:rsidP="000F2E58">
            <w:pPr>
              <w:jc w:val="right"/>
              <w:rPr>
                <w:rFonts w:ascii="Arial" w:hAnsi="Arial" w:cs="Arial"/>
                <w:color w:val="000000"/>
                <w:sz w:val="16"/>
                <w:szCs w:val="16"/>
              </w:rPr>
            </w:pPr>
            <w:r w:rsidRPr="00D00722">
              <w:rPr>
                <w:rFonts w:ascii="Arial" w:hAnsi="Arial" w:cs="Arial"/>
                <w:color w:val="000000"/>
                <w:sz w:val="16"/>
                <w:szCs w:val="16"/>
              </w:rPr>
              <w:t>291.219</w:t>
            </w:r>
          </w:p>
        </w:tc>
        <w:tc>
          <w:tcPr>
            <w:tcW w:w="611" w:type="pct"/>
            <w:tcBorders>
              <w:top w:val="single" w:sz="4" w:space="0" w:color="auto"/>
              <w:bottom w:val="double" w:sz="4" w:space="0" w:color="auto"/>
            </w:tcBorders>
            <w:vAlign w:val="bottom"/>
          </w:tcPr>
          <w:p w:rsidR="005F78F6" w:rsidRPr="00D00722" w:rsidRDefault="00D31983" w:rsidP="004B5888">
            <w:pPr>
              <w:jc w:val="right"/>
              <w:rPr>
                <w:rFonts w:ascii="Arial" w:hAnsi="Arial" w:cs="Arial"/>
                <w:color w:val="000000"/>
                <w:sz w:val="16"/>
                <w:szCs w:val="16"/>
              </w:rPr>
            </w:pPr>
            <w:r w:rsidRPr="00D00722">
              <w:rPr>
                <w:rFonts w:ascii="Arial" w:hAnsi="Arial" w:cs="Arial"/>
                <w:color w:val="000000"/>
                <w:sz w:val="16"/>
                <w:szCs w:val="16"/>
              </w:rPr>
              <w:t>1.009.670</w:t>
            </w:r>
          </w:p>
        </w:tc>
      </w:tr>
    </w:tbl>
    <w:p w:rsidR="00DA4D2D" w:rsidRPr="00D00722" w:rsidRDefault="00DA4D2D" w:rsidP="00DA4D2D">
      <w:pPr>
        <w:pStyle w:val="body0"/>
        <w:spacing w:after="0" w:line="240" w:lineRule="auto"/>
        <w:jc w:val="left"/>
        <w:rPr>
          <w:rFonts w:ascii="Arial" w:hAnsi="Arial" w:cs="Arial"/>
          <w:lang w:val="nl-BE"/>
        </w:rPr>
      </w:pPr>
    </w:p>
    <w:p w:rsidR="003B42C2" w:rsidRPr="00D00722" w:rsidRDefault="003B42C2">
      <w:pPr>
        <w:rPr>
          <w:rFonts w:ascii="Arial" w:hAnsi="Arial" w:cs="Arial"/>
          <w:b/>
          <w:spacing w:val="-2"/>
          <w:lang w:val="tr-TR"/>
        </w:rPr>
      </w:pPr>
    </w:p>
    <w:p w:rsidR="00703977" w:rsidRPr="00D00722" w:rsidRDefault="006D6214" w:rsidP="00DA4D2D">
      <w:pPr>
        <w:pStyle w:val="body0"/>
        <w:spacing w:after="0" w:line="240" w:lineRule="auto"/>
        <w:jc w:val="left"/>
        <w:rPr>
          <w:rFonts w:ascii="Arial" w:hAnsi="Arial" w:cs="Arial"/>
          <w:lang w:val="nl-BE"/>
        </w:rPr>
      </w:pPr>
      <w:r w:rsidRPr="00D00722">
        <w:rPr>
          <w:rFonts w:ascii="Arial" w:hAnsi="Arial" w:cs="Arial"/>
          <w:b/>
          <w:spacing w:val="-2"/>
          <w:sz w:val="20"/>
          <w:szCs w:val="20"/>
          <w:lang w:val="tr-TR"/>
        </w:rPr>
        <w:t>24</w:t>
      </w:r>
      <w:r w:rsidR="00703977" w:rsidRPr="00D00722">
        <w:rPr>
          <w:rFonts w:ascii="Arial" w:hAnsi="Arial" w:cs="Arial"/>
          <w:b/>
          <w:spacing w:val="-2"/>
          <w:sz w:val="20"/>
          <w:szCs w:val="20"/>
          <w:lang w:val="tr-TR"/>
        </w:rPr>
        <w:t>.</w:t>
      </w:r>
      <w:r w:rsidR="00703977" w:rsidRPr="00D00722">
        <w:rPr>
          <w:rFonts w:ascii="Arial" w:hAnsi="Arial" w:cs="Arial"/>
          <w:b/>
          <w:spacing w:val="-2"/>
          <w:sz w:val="20"/>
          <w:szCs w:val="20"/>
          <w:lang w:val="tr-TR"/>
        </w:rPr>
        <w:tab/>
        <w:t>Finansal araçlardan kaynaklanan risklerin niteliği ve düzeyi (devamı)</w:t>
      </w:r>
    </w:p>
    <w:p w:rsidR="004362C7" w:rsidRPr="00D00722" w:rsidRDefault="004362C7" w:rsidP="0090567F">
      <w:pPr>
        <w:widowControl w:val="0"/>
        <w:ind w:right="-23"/>
        <w:rPr>
          <w:rFonts w:ascii="Arial" w:hAnsi="Arial" w:cs="Arial"/>
          <w:lang w:val="tr-TR"/>
        </w:rPr>
      </w:pPr>
    </w:p>
    <w:p w:rsidR="00FC3E6E" w:rsidRPr="00D00722" w:rsidRDefault="00FC3E6E" w:rsidP="0090567F">
      <w:pPr>
        <w:widowControl w:val="0"/>
        <w:ind w:right="-23"/>
        <w:rPr>
          <w:rFonts w:ascii="Arial" w:hAnsi="Arial" w:cs="Arial"/>
          <w:lang w:val="tr-TR"/>
        </w:rPr>
      </w:pPr>
      <w:r w:rsidRPr="00D00722">
        <w:rPr>
          <w:rFonts w:ascii="Arial" w:hAnsi="Arial" w:cs="Arial"/>
          <w:lang w:val="tr-TR"/>
        </w:rPr>
        <w:t xml:space="preserve">Aşağıdaki tablo, Şirket’in türev niteliğinde </w:t>
      </w:r>
      <w:r w:rsidR="003F7898" w:rsidRPr="00D00722">
        <w:rPr>
          <w:rFonts w:ascii="Arial" w:hAnsi="Arial" w:cs="Arial"/>
          <w:lang w:val="tr-TR"/>
        </w:rPr>
        <w:t>olan ve olmayan</w:t>
      </w:r>
      <w:r w:rsidRPr="00D00722">
        <w:rPr>
          <w:rFonts w:ascii="Arial" w:hAnsi="Arial" w:cs="Arial"/>
          <w:lang w:val="tr-TR"/>
        </w:rPr>
        <w:t xml:space="preserve"> finansal yükümlülüklerinin vade </w:t>
      </w:r>
      <w:r w:rsidR="003F7898" w:rsidRPr="00D00722">
        <w:rPr>
          <w:rFonts w:ascii="Arial" w:hAnsi="Arial" w:cs="Arial"/>
          <w:lang w:val="tr-TR"/>
        </w:rPr>
        <w:t>d</w:t>
      </w:r>
      <w:r w:rsidRPr="00D00722">
        <w:rPr>
          <w:rFonts w:ascii="Arial" w:hAnsi="Arial" w:cs="Arial"/>
          <w:lang w:val="tr-TR"/>
        </w:rPr>
        <w:t>ağılımını göstermektedir. Türev olmayan finansal yükümlülükler iskonto edilmeden ve öde</w:t>
      </w:r>
      <w:r w:rsidR="006D1C11" w:rsidRPr="00D00722">
        <w:rPr>
          <w:rFonts w:ascii="Arial" w:hAnsi="Arial" w:cs="Arial"/>
          <w:lang w:val="tr-TR"/>
        </w:rPr>
        <w:t>n</w:t>
      </w:r>
      <w:r w:rsidRPr="00D00722">
        <w:rPr>
          <w:rFonts w:ascii="Arial" w:hAnsi="Arial" w:cs="Arial"/>
          <w:lang w:val="tr-TR"/>
        </w:rPr>
        <w:t>mesi gereken en erken tarihler esas alınarak hazırlanmıştır.</w:t>
      </w:r>
    </w:p>
    <w:p w:rsidR="004362C7" w:rsidRPr="00D00722" w:rsidRDefault="004362C7" w:rsidP="0090567F">
      <w:pPr>
        <w:widowControl w:val="0"/>
        <w:ind w:right="-23"/>
        <w:rPr>
          <w:rFonts w:ascii="Arial" w:hAnsi="Arial" w:cs="Arial"/>
          <w:lang w:val="tr-TR"/>
        </w:rPr>
      </w:pPr>
    </w:p>
    <w:tbl>
      <w:tblPr>
        <w:tblW w:w="9073" w:type="dxa"/>
        <w:tblInd w:w="108" w:type="dxa"/>
        <w:tblLayout w:type="fixed"/>
        <w:tblLook w:val="0000"/>
      </w:tblPr>
      <w:tblGrid>
        <w:gridCol w:w="2410"/>
        <w:gridCol w:w="1276"/>
        <w:gridCol w:w="1418"/>
        <w:gridCol w:w="1100"/>
        <w:gridCol w:w="1026"/>
        <w:gridCol w:w="850"/>
        <w:gridCol w:w="993"/>
      </w:tblGrid>
      <w:tr w:rsidR="004362C7" w:rsidRPr="00D00722" w:rsidTr="00ED6F5D">
        <w:trPr>
          <w:trHeight w:val="113"/>
        </w:trPr>
        <w:tc>
          <w:tcPr>
            <w:tcW w:w="2410" w:type="dxa"/>
            <w:tcBorders>
              <w:top w:val="nil"/>
              <w:left w:val="nil"/>
              <w:right w:val="nil"/>
            </w:tcBorders>
          </w:tcPr>
          <w:p w:rsidR="004362C7" w:rsidRPr="00D00722" w:rsidRDefault="004362C7" w:rsidP="004362C7">
            <w:pPr>
              <w:autoSpaceDE w:val="0"/>
              <w:autoSpaceDN w:val="0"/>
              <w:adjustRightInd w:val="0"/>
              <w:ind w:left="-108"/>
              <w:rPr>
                <w:rFonts w:ascii="Arial" w:hAnsi="Arial" w:cs="Arial"/>
                <w:b/>
                <w:bCs/>
                <w:color w:val="000000"/>
                <w:sz w:val="18"/>
                <w:szCs w:val="18"/>
                <w:u w:val="single"/>
              </w:rPr>
            </w:pPr>
            <w:r w:rsidRPr="00D00722">
              <w:rPr>
                <w:rFonts w:ascii="Arial" w:hAnsi="Arial" w:cs="Arial"/>
                <w:b/>
                <w:bCs/>
                <w:color w:val="000000"/>
                <w:sz w:val="18"/>
                <w:szCs w:val="18"/>
                <w:u w:val="single"/>
              </w:rPr>
              <w:t>31 Mart 2014</w:t>
            </w:r>
          </w:p>
        </w:tc>
        <w:tc>
          <w:tcPr>
            <w:tcW w:w="1276" w:type="dxa"/>
            <w:tcBorders>
              <w:top w:val="nil"/>
              <w:left w:val="nil"/>
              <w:right w:val="nil"/>
            </w:tcBorders>
          </w:tcPr>
          <w:p w:rsidR="004362C7" w:rsidRPr="00D00722" w:rsidRDefault="004362C7" w:rsidP="00ED6F5D">
            <w:pPr>
              <w:autoSpaceDE w:val="0"/>
              <w:autoSpaceDN w:val="0"/>
              <w:adjustRightInd w:val="0"/>
              <w:jc w:val="right"/>
              <w:rPr>
                <w:rFonts w:ascii="Arial" w:hAnsi="Arial" w:cs="Arial"/>
                <w:color w:val="000000"/>
              </w:rPr>
            </w:pPr>
          </w:p>
        </w:tc>
        <w:tc>
          <w:tcPr>
            <w:tcW w:w="1418" w:type="dxa"/>
            <w:tcBorders>
              <w:top w:val="nil"/>
              <w:left w:val="nil"/>
              <w:right w:val="nil"/>
            </w:tcBorders>
          </w:tcPr>
          <w:p w:rsidR="004362C7" w:rsidRPr="00D00722" w:rsidRDefault="004362C7" w:rsidP="00ED6F5D">
            <w:pPr>
              <w:autoSpaceDE w:val="0"/>
              <w:autoSpaceDN w:val="0"/>
              <w:adjustRightInd w:val="0"/>
              <w:jc w:val="right"/>
              <w:rPr>
                <w:rFonts w:ascii="Arial" w:hAnsi="Arial" w:cs="Arial"/>
                <w:color w:val="000000"/>
              </w:rPr>
            </w:pPr>
          </w:p>
        </w:tc>
        <w:tc>
          <w:tcPr>
            <w:tcW w:w="1100" w:type="dxa"/>
            <w:tcBorders>
              <w:top w:val="nil"/>
              <w:left w:val="nil"/>
              <w:right w:val="nil"/>
            </w:tcBorders>
          </w:tcPr>
          <w:p w:rsidR="004362C7" w:rsidRPr="00D00722" w:rsidRDefault="004362C7" w:rsidP="00ED6F5D">
            <w:pPr>
              <w:autoSpaceDE w:val="0"/>
              <w:autoSpaceDN w:val="0"/>
              <w:adjustRightInd w:val="0"/>
              <w:jc w:val="right"/>
              <w:rPr>
                <w:rFonts w:ascii="Arial" w:hAnsi="Arial" w:cs="Arial"/>
                <w:color w:val="000000"/>
              </w:rPr>
            </w:pPr>
          </w:p>
        </w:tc>
        <w:tc>
          <w:tcPr>
            <w:tcW w:w="1026" w:type="dxa"/>
            <w:tcBorders>
              <w:top w:val="nil"/>
              <w:left w:val="nil"/>
              <w:right w:val="nil"/>
            </w:tcBorders>
          </w:tcPr>
          <w:p w:rsidR="004362C7" w:rsidRPr="00D00722" w:rsidRDefault="004362C7" w:rsidP="00ED6F5D">
            <w:pPr>
              <w:autoSpaceDE w:val="0"/>
              <w:autoSpaceDN w:val="0"/>
              <w:adjustRightInd w:val="0"/>
              <w:jc w:val="right"/>
              <w:rPr>
                <w:rFonts w:ascii="Arial" w:hAnsi="Arial" w:cs="Arial"/>
                <w:color w:val="000000"/>
              </w:rPr>
            </w:pPr>
          </w:p>
        </w:tc>
        <w:tc>
          <w:tcPr>
            <w:tcW w:w="850" w:type="dxa"/>
            <w:tcBorders>
              <w:top w:val="nil"/>
              <w:left w:val="nil"/>
              <w:right w:val="nil"/>
            </w:tcBorders>
          </w:tcPr>
          <w:p w:rsidR="004362C7" w:rsidRPr="00D00722" w:rsidRDefault="004362C7" w:rsidP="00ED6F5D">
            <w:pPr>
              <w:autoSpaceDE w:val="0"/>
              <w:autoSpaceDN w:val="0"/>
              <w:adjustRightInd w:val="0"/>
              <w:jc w:val="right"/>
              <w:rPr>
                <w:rFonts w:ascii="Arial" w:hAnsi="Arial" w:cs="Arial"/>
                <w:color w:val="000000"/>
              </w:rPr>
            </w:pPr>
          </w:p>
        </w:tc>
        <w:tc>
          <w:tcPr>
            <w:tcW w:w="993" w:type="dxa"/>
            <w:tcBorders>
              <w:top w:val="nil"/>
              <w:left w:val="nil"/>
              <w:right w:val="nil"/>
            </w:tcBorders>
          </w:tcPr>
          <w:p w:rsidR="004362C7" w:rsidRPr="00D00722" w:rsidRDefault="004362C7" w:rsidP="00ED6F5D">
            <w:pPr>
              <w:autoSpaceDE w:val="0"/>
              <w:autoSpaceDN w:val="0"/>
              <w:adjustRightInd w:val="0"/>
              <w:jc w:val="right"/>
              <w:rPr>
                <w:rFonts w:ascii="Arial" w:hAnsi="Arial" w:cs="Arial"/>
                <w:color w:val="000000"/>
              </w:rPr>
            </w:pPr>
          </w:p>
        </w:tc>
      </w:tr>
      <w:tr w:rsidR="004362C7" w:rsidRPr="00D00722" w:rsidTr="00ED6F5D">
        <w:trPr>
          <w:trHeight w:val="113"/>
        </w:trPr>
        <w:tc>
          <w:tcPr>
            <w:tcW w:w="2410" w:type="dxa"/>
            <w:tcBorders>
              <w:top w:val="nil"/>
              <w:left w:val="nil"/>
              <w:bottom w:val="single" w:sz="4" w:space="0" w:color="auto"/>
              <w:right w:val="nil"/>
            </w:tcBorders>
          </w:tcPr>
          <w:p w:rsidR="004362C7" w:rsidRPr="00D00722" w:rsidRDefault="004362C7" w:rsidP="00ED6F5D">
            <w:pPr>
              <w:autoSpaceDE w:val="0"/>
              <w:autoSpaceDN w:val="0"/>
              <w:adjustRightInd w:val="0"/>
              <w:ind w:left="-108"/>
              <w:jc w:val="right"/>
              <w:rPr>
                <w:rFonts w:ascii="Arial" w:hAnsi="Arial" w:cs="Arial"/>
                <w:color w:val="000000"/>
              </w:rPr>
            </w:pPr>
          </w:p>
        </w:tc>
        <w:tc>
          <w:tcPr>
            <w:tcW w:w="1276" w:type="dxa"/>
            <w:tcBorders>
              <w:top w:val="nil"/>
              <w:left w:val="nil"/>
              <w:bottom w:val="single" w:sz="4" w:space="0" w:color="auto"/>
              <w:right w:val="nil"/>
            </w:tcBorders>
          </w:tcPr>
          <w:p w:rsidR="004362C7" w:rsidRPr="00D00722" w:rsidRDefault="004362C7" w:rsidP="00ED6F5D">
            <w:pPr>
              <w:autoSpaceDE w:val="0"/>
              <w:autoSpaceDN w:val="0"/>
              <w:adjustRightInd w:val="0"/>
              <w:jc w:val="right"/>
              <w:rPr>
                <w:rFonts w:ascii="Arial" w:hAnsi="Arial" w:cs="Arial"/>
                <w:color w:val="000000"/>
              </w:rPr>
            </w:pPr>
          </w:p>
        </w:tc>
        <w:tc>
          <w:tcPr>
            <w:tcW w:w="1418" w:type="dxa"/>
            <w:tcBorders>
              <w:top w:val="nil"/>
              <w:left w:val="nil"/>
              <w:bottom w:val="single" w:sz="4" w:space="0" w:color="auto"/>
              <w:right w:val="nil"/>
            </w:tcBorders>
          </w:tcPr>
          <w:p w:rsidR="004362C7" w:rsidRPr="00D00722" w:rsidRDefault="004362C7" w:rsidP="00ED6F5D">
            <w:pPr>
              <w:autoSpaceDE w:val="0"/>
              <w:autoSpaceDN w:val="0"/>
              <w:adjustRightInd w:val="0"/>
              <w:jc w:val="right"/>
              <w:rPr>
                <w:rFonts w:ascii="Arial" w:hAnsi="Arial" w:cs="Arial"/>
                <w:color w:val="000000"/>
              </w:rPr>
            </w:pPr>
          </w:p>
        </w:tc>
        <w:tc>
          <w:tcPr>
            <w:tcW w:w="1100" w:type="dxa"/>
            <w:tcBorders>
              <w:top w:val="nil"/>
              <w:left w:val="nil"/>
              <w:bottom w:val="single" w:sz="4" w:space="0" w:color="auto"/>
              <w:right w:val="nil"/>
            </w:tcBorders>
          </w:tcPr>
          <w:p w:rsidR="004362C7" w:rsidRPr="00D00722" w:rsidRDefault="004362C7" w:rsidP="00ED6F5D">
            <w:pPr>
              <w:autoSpaceDE w:val="0"/>
              <w:autoSpaceDN w:val="0"/>
              <w:adjustRightInd w:val="0"/>
              <w:jc w:val="right"/>
              <w:rPr>
                <w:rFonts w:ascii="Arial" w:hAnsi="Arial" w:cs="Arial"/>
                <w:color w:val="000000"/>
              </w:rPr>
            </w:pPr>
          </w:p>
        </w:tc>
        <w:tc>
          <w:tcPr>
            <w:tcW w:w="1026" w:type="dxa"/>
            <w:tcBorders>
              <w:top w:val="nil"/>
              <w:left w:val="nil"/>
              <w:bottom w:val="single" w:sz="4" w:space="0" w:color="auto"/>
              <w:right w:val="nil"/>
            </w:tcBorders>
          </w:tcPr>
          <w:p w:rsidR="004362C7" w:rsidRPr="00D00722" w:rsidRDefault="004362C7" w:rsidP="00ED6F5D">
            <w:pPr>
              <w:autoSpaceDE w:val="0"/>
              <w:autoSpaceDN w:val="0"/>
              <w:adjustRightInd w:val="0"/>
              <w:jc w:val="right"/>
              <w:rPr>
                <w:rFonts w:ascii="Arial" w:hAnsi="Arial" w:cs="Arial"/>
                <w:color w:val="000000"/>
              </w:rPr>
            </w:pPr>
          </w:p>
        </w:tc>
        <w:tc>
          <w:tcPr>
            <w:tcW w:w="850" w:type="dxa"/>
            <w:tcBorders>
              <w:top w:val="nil"/>
              <w:left w:val="nil"/>
              <w:bottom w:val="single" w:sz="4" w:space="0" w:color="auto"/>
              <w:right w:val="nil"/>
            </w:tcBorders>
          </w:tcPr>
          <w:p w:rsidR="004362C7" w:rsidRPr="00D00722" w:rsidRDefault="004362C7" w:rsidP="00ED6F5D">
            <w:pPr>
              <w:autoSpaceDE w:val="0"/>
              <w:autoSpaceDN w:val="0"/>
              <w:adjustRightInd w:val="0"/>
              <w:jc w:val="right"/>
              <w:rPr>
                <w:rFonts w:ascii="Arial" w:hAnsi="Arial" w:cs="Arial"/>
                <w:color w:val="000000"/>
              </w:rPr>
            </w:pPr>
          </w:p>
        </w:tc>
        <w:tc>
          <w:tcPr>
            <w:tcW w:w="993" w:type="dxa"/>
            <w:tcBorders>
              <w:top w:val="nil"/>
              <w:left w:val="nil"/>
              <w:bottom w:val="single" w:sz="4" w:space="0" w:color="auto"/>
              <w:right w:val="nil"/>
            </w:tcBorders>
          </w:tcPr>
          <w:p w:rsidR="004362C7" w:rsidRPr="00D00722" w:rsidRDefault="004362C7" w:rsidP="00ED6F5D">
            <w:pPr>
              <w:autoSpaceDE w:val="0"/>
              <w:autoSpaceDN w:val="0"/>
              <w:adjustRightInd w:val="0"/>
              <w:jc w:val="right"/>
              <w:rPr>
                <w:rFonts w:ascii="Arial" w:hAnsi="Arial" w:cs="Arial"/>
                <w:color w:val="000000"/>
              </w:rPr>
            </w:pPr>
          </w:p>
        </w:tc>
      </w:tr>
      <w:tr w:rsidR="004362C7" w:rsidRPr="00D00722" w:rsidTr="00ED6F5D">
        <w:trPr>
          <w:trHeight w:val="113"/>
        </w:trPr>
        <w:tc>
          <w:tcPr>
            <w:tcW w:w="2410" w:type="dxa"/>
            <w:tcBorders>
              <w:top w:val="single" w:sz="4" w:space="0" w:color="auto"/>
              <w:left w:val="nil"/>
              <w:bottom w:val="single" w:sz="4" w:space="0" w:color="auto"/>
              <w:right w:val="nil"/>
            </w:tcBorders>
          </w:tcPr>
          <w:p w:rsidR="004362C7" w:rsidRPr="00D00722" w:rsidRDefault="004362C7" w:rsidP="00ED6F5D">
            <w:pPr>
              <w:autoSpaceDE w:val="0"/>
              <w:autoSpaceDN w:val="0"/>
              <w:adjustRightInd w:val="0"/>
              <w:ind w:left="-108"/>
              <w:rPr>
                <w:rFonts w:ascii="Arial" w:hAnsi="Arial" w:cs="Arial"/>
                <w:bCs/>
                <w:sz w:val="16"/>
                <w:szCs w:val="16"/>
              </w:rPr>
            </w:pPr>
          </w:p>
          <w:p w:rsidR="004362C7" w:rsidRPr="00D00722" w:rsidRDefault="004362C7" w:rsidP="00ED6F5D">
            <w:pPr>
              <w:autoSpaceDE w:val="0"/>
              <w:autoSpaceDN w:val="0"/>
              <w:adjustRightInd w:val="0"/>
              <w:ind w:left="-108"/>
              <w:rPr>
                <w:rFonts w:ascii="Arial" w:hAnsi="Arial" w:cs="Arial"/>
                <w:bCs/>
                <w:sz w:val="16"/>
                <w:szCs w:val="16"/>
              </w:rPr>
            </w:pPr>
          </w:p>
          <w:p w:rsidR="004362C7" w:rsidRPr="00D00722" w:rsidRDefault="004362C7" w:rsidP="00ED6F5D">
            <w:pPr>
              <w:autoSpaceDE w:val="0"/>
              <w:autoSpaceDN w:val="0"/>
              <w:adjustRightInd w:val="0"/>
              <w:ind w:left="-108"/>
              <w:rPr>
                <w:rFonts w:ascii="Arial" w:hAnsi="Arial" w:cs="Arial"/>
                <w:bCs/>
                <w:sz w:val="16"/>
                <w:szCs w:val="16"/>
              </w:rPr>
            </w:pPr>
          </w:p>
          <w:p w:rsidR="004362C7" w:rsidRPr="00D00722" w:rsidRDefault="004362C7" w:rsidP="00ED6F5D">
            <w:pPr>
              <w:autoSpaceDE w:val="0"/>
              <w:autoSpaceDN w:val="0"/>
              <w:adjustRightInd w:val="0"/>
              <w:ind w:left="-108"/>
              <w:rPr>
                <w:rFonts w:ascii="Arial" w:hAnsi="Arial" w:cs="Arial"/>
                <w:bCs/>
                <w:sz w:val="16"/>
                <w:szCs w:val="16"/>
                <w:u w:val="single"/>
              </w:rPr>
            </w:pPr>
            <w:r w:rsidRPr="00D00722">
              <w:rPr>
                <w:rFonts w:ascii="Arial" w:hAnsi="Arial" w:cs="Arial"/>
                <w:bCs/>
                <w:sz w:val="16"/>
                <w:szCs w:val="16"/>
              </w:rPr>
              <w:t>Sözleşme uyarınca vadeler</w:t>
            </w:r>
          </w:p>
        </w:tc>
        <w:tc>
          <w:tcPr>
            <w:tcW w:w="1276" w:type="dxa"/>
            <w:tcBorders>
              <w:top w:val="single" w:sz="4" w:space="0" w:color="auto"/>
              <w:left w:val="nil"/>
              <w:bottom w:val="single" w:sz="4" w:space="0" w:color="auto"/>
              <w:right w:val="nil"/>
            </w:tcBorders>
          </w:tcPr>
          <w:p w:rsidR="004362C7" w:rsidRPr="00D00722" w:rsidRDefault="004362C7" w:rsidP="00ED6F5D">
            <w:pPr>
              <w:autoSpaceDE w:val="0"/>
              <w:autoSpaceDN w:val="0"/>
              <w:adjustRightInd w:val="0"/>
              <w:jc w:val="right"/>
              <w:rPr>
                <w:rFonts w:ascii="Arial" w:hAnsi="Arial" w:cs="Arial"/>
                <w:b/>
                <w:bCs/>
                <w:sz w:val="16"/>
                <w:szCs w:val="16"/>
              </w:rPr>
            </w:pPr>
          </w:p>
          <w:p w:rsidR="004362C7" w:rsidRPr="00D00722" w:rsidRDefault="004362C7" w:rsidP="00ED6F5D">
            <w:pPr>
              <w:autoSpaceDE w:val="0"/>
              <w:autoSpaceDN w:val="0"/>
              <w:adjustRightInd w:val="0"/>
              <w:jc w:val="right"/>
              <w:rPr>
                <w:rFonts w:ascii="Arial" w:hAnsi="Arial" w:cs="Arial"/>
                <w:b/>
                <w:bCs/>
                <w:sz w:val="16"/>
                <w:szCs w:val="16"/>
              </w:rPr>
            </w:pPr>
          </w:p>
          <w:p w:rsidR="004362C7" w:rsidRPr="00D00722" w:rsidRDefault="004362C7" w:rsidP="00ED6F5D">
            <w:pPr>
              <w:autoSpaceDE w:val="0"/>
              <w:autoSpaceDN w:val="0"/>
              <w:adjustRightInd w:val="0"/>
              <w:jc w:val="right"/>
              <w:rPr>
                <w:rFonts w:ascii="Arial" w:hAnsi="Arial" w:cs="Arial"/>
                <w:b/>
                <w:bCs/>
                <w:sz w:val="16"/>
                <w:szCs w:val="16"/>
              </w:rPr>
            </w:pPr>
          </w:p>
          <w:p w:rsidR="004362C7" w:rsidRPr="00D00722" w:rsidRDefault="004362C7" w:rsidP="00ED6F5D">
            <w:pPr>
              <w:autoSpaceDE w:val="0"/>
              <w:autoSpaceDN w:val="0"/>
              <w:adjustRightInd w:val="0"/>
              <w:jc w:val="right"/>
              <w:rPr>
                <w:rFonts w:ascii="Arial" w:hAnsi="Arial" w:cs="Arial"/>
                <w:b/>
                <w:bCs/>
                <w:sz w:val="16"/>
                <w:szCs w:val="16"/>
              </w:rPr>
            </w:pPr>
            <w:r w:rsidRPr="00D00722">
              <w:rPr>
                <w:rFonts w:ascii="Arial" w:hAnsi="Arial" w:cs="Arial"/>
                <w:b/>
                <w:bCs/>
                <w:sz w:val="16"/>
                <w:szCs w:val="16"/>
              </w:rPr>
              <w:t>Defter değeri</w:t>
            </w:r>
          </w:p>
        </w:tc>
        <w:tc>
          <w:tcPr>
            <w:tcW w:w="1418" w:type="dxa"/>
            <w:tcBorders>
              <w:top w:val="single" w:sz="4" w:space="0" w:color="auto"/>
              <w:left w:val="nil"/>
              <w:bottom w:val="single" w:sz="4" w:space="0" w:color="auto"/>
              <w:right w:val="nil"/>
            </w:tcBorders>
          </w:tcPr>
          <w:p w:rsidR="004362C7" w:rsidRPr="00D00722" w:rsidRDefault="004362C7" w:rsidP="00ED6F5D">
            <w:pPr>
              <w:autoSpaceDE w:val="0"/>
              <w:autoSpaceDN w:val="0"/>
              <w:adjustRightInd w:val="0"/>
              <w:jc w:val="right"/>
              <w:rPr>
                <w:rFonts w:ascii="Arial" w:hAnsi="Arial" w:cs="Arial"/>
                <w:b/>
                <w:bCs/>
                <w:sz w:val="16"/>
                <w:szCs w:val="16"/>
              </w:rPr>
            </w:pPr>
            <w:r w:rsidRPr="00D00722">
              <w:rPr>
                <w:rFonts w:ascii="Arial" w:hAnsi="Arial" w:cs="Arial"/>
                <w:b/>
                <w:bCs/>
                <w:sz w:val="16"/>
                <w:szCs w:val="16"/>
              </w:rPr>
              <w:t>Sözleşme uyarınca nakit çıkışlar toplamı (I+II+III+IV)</w:t>
            </w:r>
          </w:p>
        </w:tc>
        <w:tc>
          <w:tcPr>
            <w:tcW w:w="1100" w:type="dxa"/>
            <w:tcBorders>
              <w:top w:val="single" w:sz="4" w:space="0" w:color="auto"/>
              <w:left w:val="nil"/>
              <w:bottom w:val="single" w:sz="4" w:space="0" w:color="auto"/>
              <w:right w:val="nil"/>
            </w:tcBorders>
          </w:tcPr>
          <w:p w:rsidR="004362C7" w:rsidRPr="00D00722" w:rsidRDefault="004362C7" w:rsidP="00ED6F5D">
            <w:pPr>
              <w:autoSpaceDE w:val="0"/>
              <w:autoSpaceDN w:val="0"/>
              <w:adjustRightInd w:val="0"/>
              <w:jc w:val="right"/>
              <w:rPr>
                <w:rFonts w:ascii="Arial" w:hAnsi="Arial" w:cs="Arial"/>
                <w:b/>
                <w:bCs/>
                <w:sz w:val="16"/>
                <w:szCs w:val="16"/>
              </w:rPr>
            </w:pPr>
          </w:p>
          <w:p w:rsidR="004362C7" w:rsidRPr="00D00722" w:rsidRDefault="004362C7" w:rsidP="00ED6F5D">
            <w:pPr>
              <w:autoSpaceDE w:val="0"/>
              <w:autoSpaceDN w:val="0"/>
              <w:adjustRightInd w:val="0"/>
              <w:jc w:val="right"/>
              <w:rPr>
                <w:rFonts w:ascii="Arial" w:hAnsi="Arial" w:cs="Arial"/>
                <w:b/>
                <w:bCs/>
                <w:sz w:val="16"/>
                <w:szCs w:val="16"/>
              </w:rPr>
            </w:pPr>
          </w:p>
          <w:p w:rsidR="004362C7" w:rsidRPr="00D00722" w:rsidRDefault="004362C7" w:rsidP="00ED6F5D">
            <w:pPr>
              <w:autoSpaceDE w:val="0"/>
              <w:autoSpaceDN w:val="0"/>
              <w:adjustRightInd w:val="0"/>
              <w:jc w:val="right"/>
              <w:rPr>
                <w:rFonts w:ascii="Arial" w:hAnsi="Arial" w:cs="Arial"/>
                <w:b/>
                <w:bCs/>
                <w:sz w:val="16"/>
                <w:szCs w:val="16"/>
              </w:rPr>
            </w:pPr>
            <w:r w:rsidRPr="00D00722">
              <w:rPr>
                <w:rFonts w:ascii="Arial" w:hAnsi="Arial" w:cs="Arial"/>
                <w:b/>
                <w:bCs/>
                <w:sz w:val="16"/>
                <w:szCs w:val="16"/>
              </w:rPr>
              <w:t>3 aydan kısa (I)</w:t>
            </w:r>
          </w:p>
        </w:tc>
        <w:tc>
          <w:tcPr>
            <w:tcW w:w="1026" w:type="dxa"/>
            <w:tcBorders>
              <w:top w:val="single" w:sz="4" w:space="0" w:color="auto"/>
              <w:left w:val="nil"/>
              <w:bottom w:val="single" w:sz="4" w:space="0" w:color="auto"/>
              <w:right w:val="nil"/>
            </w:tcBorders>
          </w:tcPr>
          <w:p w:rsidR="004362C7" w:rsidRPr="00D00722" w:rsidRDefault="004362C7" w:rsidP="00ED6F5D">
            <w:pPr>
              <w:autoSpaceDE w:val="0"/>
              <w:autoSpaceDN w:val="0"/>
              <w:adjustRightInd w:val="0"/>
              <w:jc w:val="right"/>
              <w:rPr>
                <w:rFonts w:ascii="Arial" w:hAnsi="Arial" w:cs="Arial"/>
                <w:b/>
                <w:bCs/>
                <w:sz w:val="16"/>
                <w:szCs w:val="16"/>
              </w:rPr>
            </w:pPr>
          </w:p>
          <w:p w:rsidR="004362C7" w:rsidRPr="00D00722" w:rsidRDefault="004362C7" w:rsidP="00ED6F5D">
            <w:pPr>
              <w:autoSpaceDE w:val="0"/>
              <w:autoSpaceDN w:val="0"/>
              <w:adjustRightInd w:val="0"/>
              <w:jc w:val="right"/>
              <w:rPr>
                <w:rFonts w:ascii="Arial" w:hAnsi="Arial" w:cs="Arial"/>
                <w:b/>
                <w:bCs/>
                <w:sz w:val="16"/>
                <w:szCs w:val="16"/>
              </w:rPr>
            </w:pPr>
          </w:p>
          <w:p w:rsidR="004362C7" w:rsidRPr="00D00722" w:rsidRDefault="004362C7" w:rsidP="00ED6F5D">
            <w:pPr>
              <w:autoSpaceDE w:val="0"/>
              <w:autoSpaceDN w:val="0"/>
              <w:adjustRightInd w:val="0"/>
              <w:jc w:val="right"/>
              <w:rPr>
                <w:rFonts w:ascii="Arial" w:hAnsi="Arial" w:cs="Arial"/>
                <w:b/>
                <w:bCs/>
                <w:sz w:val="16"/>
                <w:szCs w:val="16"/>
              </w:rPr>
            </w:pPr>
            <w:r w:rsidRPr="00D00722">
              <w:rPr>
                <w:rFonts w:ascii="Arial" w:hAnsi="Arial" w:cs="Arial"/>
                <w:b/>
                <w:bCs/>
                <w:sz w:val="16"/>
                <w:szCs w:val="16"/>
              </w:rPr>
              <w:t>3 ay - 1 yıl arası (II)</w:t>
            </w:r>
          </w:p>
        </w:tc>
        <w:tc>
          <w:tcPr>
            <w:tcW w:w="850" w:type="dxa"/>
            <w:tcBorders>
              <w:top w:val="single" w:sz="4" w:space="0" w:color="auto"/>
              <w:left w:val="nil"/>
              <w:bottom w:val="single" w:sz="4" w:space="0" w:color="auto"/>
              <w:right w:val="nil"/>
            </w:tcBorders>
          </w:tcPr>
          <w:p w:rsidR="004362C7" w:rsidRPr="00D00722" w:rsidRDefault="004362C7" w:rsidP="00ED6F5D">
            <w:pPr>
              <w:autoSpaceDE w:val="0"/>
              <w:autoSpaceDN w:val="0"/>
              <w:adjustRightInd w:val="0"/>
              <w:jc w:val="right"/>
              <w:rPr>
                <w:rFonts w:ascii="Arial" w:hAnsi="Arial" w:cs="Arial"/>
                <w:b/>
                <w:bCs/>
                <w:sz w:val="16"/>
                <w:szCs w:val="16"/>
              </w:rPr>
            </w:pPr>
          </w:p>
          <w:p w:rsidR="004362C7" w:rsidRPr="00D00722" w:rsidRDefault="004362C7" w:rsidP="00ED6F5D">
            <w:pPr>
              <w:autoSpaceDE w:val="0"/>
              <w:autoSpaceDN w:val="0"/>
              <w:adjustRightInd w:val="0"/>
              <w:jc w:val="right"/>
              <w:rPr>
                <w:rFonts w:ascii="Arial" w:hAnsi="Arial" w:cs="Arial"/>
                <w:b/>
                <w:bCs/>
                <w:sz w:val="16"/>
                <w:szCs w:val="16"/>
              </w:rPr>
            </w:pPr>
            <w:r w:rsidRPr="00D00722">
              <w:rPr>
                <w:rFonts w:ascii="Arial" w:hAnsi="Arial" w:cs="Arial"/>
                <w:b/>
                <w:bCs/>
                <w:sz w:val="16"/>
                <w:szCs w:val="16"/>
              </w:rPr>
              <w:t>1-5 yıl arası (III)</w:t>
            </w:r>
          </w:p>
        </w:tc>
        <w:tc>
          <w:tcPr>
            <w:tcW w:w="993" w:type="dxa"/>
            <w:tcBorders>
              <w:top w:val="single" w:sz="4" w:space="0" w:color="auto"/>
              <w:left w:val="nil"/>
              <w:bottom w:val="single" w:sz="4" w:space="0" w:color="auto"/>
              <w:right w:val="nil"/>
            </w:tcBorders>
          </w:tcPr>
          <w:p w:rsidR="004362C7" w:rsidRPr="00D00722" w:rsidRDefault="004362C7" w:rsidP="00ED6F5D">
            <w:pPr>
              <w:autoSpaceDE w:val="0"/>
              <w:autoSpaceDN w:val="0"/>
              <w:adjustRightInd w:val="0"/>
              <w:jc w:val="right"/>
              <w:rPr>
                <w:rFonts w:ascii="Arial" w:hAnsi="Arial" w:cs="Arial"/>
                <w:b/>
                <w:bCs/>
                <w:sz w:val="16"/>
                <w:szCs w:val="16"/>
              </w:rPr>
            </w:pPr>
          </w:p>
          <w:p w:rsidR="004362C7" w:rsidRPr="00D00722" w:rsidRDefault="004362C7" w:rsidP="00ED6F5D">
            <w:pPr>
              <w:autoSpaceDE w:val="0"/>
              <w:autoSpaceDN w:val="0"/>
              <w:adjustRightInd w:val="0"/>
              <w:jc w:val="right"/>
              <w:rPr>
                <w:rFonts w:ascii="Arial" w:hAnsi="Arial" w:cs="Arial"/>
                <w:b/>
                <w:bCs/>
                <w:sz w:val="16"/>
                <w:szCs w:val="16"/>
              </w:rPr>
            </w:pPr>
          </w:p>
          <w:p w:rsidR="004362C7" w:rsidRPr="00D00722" w:rsidRDefault="004362C7" w:rsidP="00ED6F5D">
            <w:pPr>
              <w:autoSpaceDE w:val="0"/>
              <w:autoSpaceDN w:val="0"/>
              <w:adjustRightInd w:val="0"/>
              <w:jc w:val="right"/>
              <w:rPr>
                <w:rFonts w:ascii="Arial" w:hAnsi="Arial" w:cs="Arial"/>
                <w:b/>
                <w:bCs/>
                <w:sz w:val="16"/>
                <w:szCs w:val="16"/>
              </w:rPr>
            </w:pPr>
            <w:r w:rsidRPr="00D00722">
              <w:rPr>
                <w:rFonts w:ascii="Arial" w:hAnsi="Arial" w:cs="Arial"/>
                <w:b/>
                <w:bCs/>
                <w:sz w:val="16"/>
                <w:szCs w:val="16"/>
              </w:rPr>
              <w:t>5 yıldan uzun (IV)</w:t>
            </w:r>
          </w:p>
        </w:tc>
      </w:tr>
      <w:tr w:rsidR="004362C7" w:rsidRPr="00D00722" w:rsidTr="00ED6F5D">
        <w:trPr>
          <w:trHeight w:val="113"/>
        </w:trPr>
        <w:tc>
          <w:tcPr>
            <w:tcW w:w="2410" w:type="dxa"/>
            <w:tcBorders>
              <w:top w:val="single" w:sz="4" w:space="0" w:color="auto"/>
              <w:left w:val="nil"/>
              <w:bottom w:val="nil"/>
              <w:right w:val="nil"/>
            </w:tcBorders>
          </w:tcPr>
          <w:p w:rsidR="004362C7" w:rsidRPr="00D00722" w:rsidRDefault="004362C7" w:rsidP="00ED6F5D">
            <w:pPr>
              <w:autoSpaceDE w:val="0"/>
              <w:autoSpaceDN w:val="0"/>
              <w:adjustRightInd w:val="0"/>
              <w:ind w:left="-108"/>
              <w:jc w:val="right"/>
              <w:rPr>
                <w:rFonts w:ascii="Arial" w:hAnsi="Arial" w:cs="Arial"/>
                <w:color w:val="000000"/>
              </w:rPr>
            </w:pPr>
          </w:p>
        </w:tc>
        <w:tc>
          <w:tcPr>
            <w:tcW w:w="1276" w:type="dxa"/>
            <w:tcBorders>
              <w:top w:val="single" w:sz="4" w:space="0" w:color="auto"/>
              <w:left w:val="nil"/>
              <w:bottom w:val="nil"/>
              <w:right w:val="nil"/>
            </w:tcBorders>
          </w:tcPr>
          <w:p w:rsidR="004362C7" w:rsidRPr="00D00722" w:rsidRDefault="004362C7" w:rsidP="00ED6F5D">
            <w:pPr>
              <w:autoSpaceDE w:val="0"/>
              <w:autoSpaceDN w:val="0"/>
              <w:adjustRightInd w:val="0"/>
              <w:jc w:val="right"/>
              <w:rPr>
                <w:rFonts w:ascii="Arial" w:hAnsi="Arial" w:cs="Arial"/>
                <w:color w:val="000000"/>
              </w:rPr>
            </w:pPr>
          </w:p>
        </w:tc>
        <w:tc>
          <w:tcPr>
            <w:tcW w:w="1418" w:type="dxa"/>
            <w:tcBorders>
              <w:top w:val="single" w:sz="4" w:space="0" w:color="auto"/>
              <w:left w:val="nil"/>
              <w:bottom w:val="nil"/>
              <w:right w:val="nil"/>
            </w:tcBorders>
          </w:tcPr>
          <w:p w:rsidR="004362C7" w:rsidRPr="00D00722" w:rsidRDefault="004362C7" w:rsidP="00ED6F5D">
            <w:pPr>
              <w:autoSpaceDE w:val="0"/>
              <w:autoSpaceDN w:val="0"/>
              <w:adjustRightInd w:val="0"/>
              <w:jc w:val="right"/>
              <w:rPr>
                <w:rFonts w:ascii="Arial" w:hAnsi="Arial" w:cs="Arial"/>
                <w:color w:val="000000"/>
              </w:rPr>
            </w:pPr>
          </w:p>
        </w:tc>
        <w:tc>
          <w:tcPr>
            <w:tcW w:w="1100" w:type="dxa"/>
            <w:tcBorders>
              <w:top w:val="single" w:sz="4" w:space="0" w:color="auto"/>
              <w:left w:val="nil"/>
              <w:bottom w:val="nil"/>
              <w:right w:val="nil"/>
            </w:tcBorders>
          </w:tcPr>
          <w:p w:rsidR="004362C7" w:rsidRPr="00D00722" w:rsidRDefault="004362C7" w:rsidP="00ED6F5D">
            <w:pPr>
              <w:autoSpaceDE w:val="0"/>
              <w:autoSpaceDN w:val="0"/>
              <w:adjustRightInd w:val="0"/>
              <w:jc w:val="right"/>
              <w:rPr>
                <w:rFonts w:ascii="Arial" w:hAnsi="Arial" w:cs="Arial"/>
                <w:color w:val="000000"/>
              </w:rPr>
            </w:pPr>
          </w:p>
        </w:tc>
        <w:tc>
          <w:tcPr>
            <w:tcW w:w="1026" w:type="dxa"/>
            <w:tcBorders>
              <w:top w:val="single" w:sz="4" w:space="0" w:color="auto"/>
              <w:left w:val="nil"/>
              <w:bottom w:val="nil"/>
              <w:right w:val="nil"/>
            </w:tcBorders>
          </w:tcPr>
          <w:p w:rsidR="004362C7" w:rsidRPr="00D00722" w:rsidRDefault="004362C7" w:rsidP="00ED6F5D">
            <w:pPr>
              <w:autoSpaceDE w:val="0"/>
              <w:autoSpaceDN w:val="0"/>
              <w:adjustRightInd w:val="0"/>
              <w:jc w:val="right"/>
              <w:rPr>
                <w:rFonts w:ascii="Arial" w:hAnsi="Arial" w:cs="Arial"/>
                <w:color w:val="000000"/>
              </w:rPr>
            </w:pPr>
          </w:p>
        </w:tc>
        <w:tc>
          <w:tcPr>
            <w:tcW w:w="850" w:type="dxa"/>
            <w:tcBorders>
              <w:top w:val="single" w:sz="4" w:space="0" w:color="auto"/>
              <w:left w:val="nil"/>
              <w:bottom w:val="nil"/>
              <w:right w:val="nil"/>
            </w:tcBorders>
          </w:tcPr>
          <w:p w:rsidR="004362C7" w:rsidRPr="00D00722" w:rsidRDefault="004362C7" w:rsidP="00ED6F5D">
            <w:pPr>
              <w:autoSpaceDE w:val="0"/>
              <w:autoSpaceDN w:val="0"/>
              <w:adjustRightInd w:val="0"/>
              <w:jc w:val="right"/>
              <w:rPr>
                <w:rFonts w:ascii="Arial" w:hAnsi="Arial" w:cs="Arial"/>
                <w:color w:val="000000"/>
              </w:rPr>
            </w:pPr>
          </w:p>
        </w:tc>
        <w:tc>
          <w:tcPr>
            <w:tcW w:w="993" w:type="dxa"/>
            <w:tcBorders>
              <w:top w:val="single" w:sz="4" w:space="0" w:color="auto"/>
              <w:left w:val="nil"/>
              <w:bottom w:val="nil"/>
              <w:right w:val="nil"/>
            </w:tcBorders>
          </w:tcPr>
          <w:p w:rsidR="004362C7" w:rsidRPr="00D00722" w:rsidRDefault="004362C7" w:rsidP="00ED6F5D">
            <w:pPr>
              <w:autoSpaceDE w:val="0"/>
              <w:autoSpaceDN w:val="0"/>
              <w:adjustRightInd w:val="0"/>
              <w:jc w:val="right"/>
              <w:rPr>
                <w:rFonts w:ascii="Arial" w:hAnsi="Arial" w:cs="Arial"/>
                <w:color w:val="000000"/>
              </w:rPr>
            </w:pPr>
          </w:p>
        </w:tc>
      </w:tr>
      <w:tr w:rsidR="004362C7" w:rsidRPr="00D00722" w:rsidTr="00ED6F5D">
        <w:trPr>
          <w:trHeight w:val="113"/>
        </w:trPr>
        <w:tc>
          <w:tcPr>
            <w:tcW w:w="2410" w:type="dxa"/>
            <w:tcBorders>
              <w:top w:val="nil"/>
              <w:left w:val="nil"/>
              <w:bottom w:val="nil"/>
              <w:right w:val="nil"/>
            </w:tcBorders>
            <w:vAlign w:val="bottom"/>
          </w:tcPr>
          <w:p w:rsidR="004362C7" w:rsidRPr="00D00722" w:rsidRDefault="004362C7" w:rsidP="00ED6F5D">
            <w:pPr>
              <w:autoSpaceDE w:val="0"/>
              <w:autoSpaceDN w:val="0"/>
              <w:adjustRightInd w:val="0"/>
              <w:ind w:left="34" w:hanging="142"/>
              <w:rPr>
                <w:rFonts w:ascii="Arial" w:hAnsi="Arial" w:cs="Arial"/>
                <w:color w:val="000000"/>
                <w:sz w:val="16"/>
                <w:szCs w:val="16"/>
              </w:rPr>
            </w:pPr>
            <w:r w:rsidRPr="00D00722">
              <w:rPr>
                <w:rFonts w:ascii="Arial" w:hAnsi="Arial" w:cs="Arial"/>
                <w:color w:val="000000"/>
                <w:sz w:val="16"/>
                <w:szCs w:val="16"/>
              </w:rPr>
              <w:t>Türev olmayan finansal yükümlülükler</w:t>
            </w:r>
          </w:p>
        </w:tc>
        <w:tc>
          <w:tcPr>
            <w:tcW w:w="1276" w:type="dxa"/>
            <w:tcBorders>
              <w:top w:val="nil"/>
              <w:left w:val="nil"/>
              <w:bottom w:val="nil"/>
              <w:right w:val="nil"/>
            </w:tcBorders>
            <w:vAlign w:val="bottom"/>
          </w:tcPr>
          <w:p w:rsidR="004362C7" w:rsidRPr="00D00722" w:rsidRDefault="004362C7" w:rsidP="00ED6F5D">
            <w:pPr>
              <w:autoSpaceDE w:val="0"/>
              <w:autoSpaceDN w:val="0"/>
              <w:adjustRightInd w:val="0"/>
              <w:rPr>
                <w:rFonts w:ascii="Arial" w:hAnsi="Arial" w:cs="Arial"/>
                <w:color w:val="000000"/>
              </w:rPr>
            </w:pPr>
          </w:p>
        </w:tc>
        <w:tc>
          <w:tcPr>
            <w:tcW w:w="1418" w:type="dxa"/>
            <w:tcBorders>
              <w:top w:val="nil"/>
              <w:left w:val="nil"/>
              <w:bottom w:val="nil"/>
              <w:right w:val="nil"/>
            </w:tcBorders>
            <w:vAlign w:val="bottom"/>
          </w:tcPr>
          <w:p w:rsidR="004362C7" w:rsidRPr="00D00722" w:rsidRDefault="004362C7" w:rsidP="00ED6F5D">
            <w:pPr>
              <w:autoSpaceDE w:val="0"/>
              <w:autoSpaceDN w:val="0"/>
              <w:adjustRightInd w:val="0"/>
              <w:rPr>
                <w:rFonts w:ascii="Arial" w:hAnsi="Arial" w:cs="Arial"/>
                <w:color w:val="000000"/>
              </w:rPr>
            </w:pPr>
          </w:p>
        </w:tc>
        <w:tc>
          <w:tcPr>
            <w:tcW w:w="1100" w:type="dxa"/>
            <w:tcBorders>
              <w:top w:val="nil"/>
              <w:left w:val="nil"/>
              <w:bottom w:val="nil"/>
              <w:right w:val="nil"/>
            </w:tcBorders>
            <w:vAlign w:val="bottom"/>
          </w:tcPr>
          <w:p w:rsidR="004362C7" w:rsidRPr="00D00722" w:rsidRDefault="004362C7" w:rsidP="00ED6F5D">
            <w:pPr>
              <w:autoSpaceDE w:val="0"/>
              <w:autoSpaceDN w:val="0"/>
              <w:adjustRightInd w:val="0"/>
              <w:rPr>
                <w:rFonts w:ascii="Arial" w:hAnsi="Arial" w:cs="Arial"/>
                <w:color w:val="000000"/>
              </w:rPr>
            </w:pPr>
          </w:p>
        </w:tc>
        <w:tc>
          <w:tcPr>
            <w:tcW w:w="1026" w:type="dxa"/>
            <w:tcBorders>
              <w:top w:val="nil"/>
              <w:left w:val="nil"/>
              <w:bottom w:val="nil"/>
              <w:right w:val="nil"/>
            </w:tcBorders>
            <w:vAlign w:val="bottom"/>
          </w:tcPr>
          <w:p w:rsidR="004362C7" w:rsidRPr="00D00722" w:rsidRDefault="004362C7" w:rsidP="00ED6F5D">
            <w:pPr>
              <w:autoSpaceDE w:val="0"/>
              <w:autoSpaceDN w:val="0"/>
              <w:adjustRightInd w:val="0"/>
              <w:rPr>
                <w:rFonts w:ascii="Arial" w:hAnsi="Arial" w:cs="Arial"/>
                <w:color w:val="000000"/>
              </w:rPr>
            </w:pPr>
          </w:p>
        </w:tc>
        <w:tc>
          <w:tcPr>
            <w:tcW w:w="850" w:type="dxa"/>
            <w:tcBorders>
              <w:top w:val="nil"/>
              <w:left w:val="nil"/>
              <w:bottom w:val="nil"/>
              <w:right w:val="nil"/>
            </w:tcBorders>
            <w:vAlign w:val="bottom"/>
          </w:tcPr>
          <w:p w:rsidR="004362C7" w:rsidRPr="00D00722" w:rsidRDefault="004362C7" w:rsidP="00ED6F5D">
            <w:pPr>
              <w:autoSpaceDE w:val="0"/>
              <w:autoSpaceDN w:val="0"/>
              <w:adjustRightInd w:val="0"/>
              <w:rPr>
                <w:rFonts w:ascii="Arial" w:hAnsi="Arial" w:cs="Arial"/>
                <w:color w:val="000000"/>
              </w:rPr>
            </w:pPr>
          </w:p>
        </w:tc>
        <w:tc>
          <w:tcPr>
            <w:tcW w:w="993" w:type="dxa"/>
            <w:tcBorders>
              <w:top w:val="nil"/>
              <w:left w:val="nil"/>
              <w:bottom w:val="nil"/>
              <w:right w:val="nil"/>
            </w:tcBorders>
            <w:vAlign w:val="bottom"/>
          </w:tcPr>
          <w:p w:rsidR="004362C7" w:rsidRPr="00D00722" w:rsidRDefault="004362C7" w:rsidP="00ED6F5D">
            <w:pPr>
              <w:autoSpaceDE w:val="0"/>
              <w:autoSpaceDN w:val="0"/>
              <w:adjustRightInd w:val="0"/>
              <w:rPr>
                <w:rFonts w:ascii="Arial" w:hAnsi="Arial" w:cs="Arial"/>
                <w:color w:val="000000"/>
              </w:rPr>
            </w:pPr>
          </w:p>
        </w:tc>
      </w:tr>
      <w:tr w:rsidR="004362C7" w:rsidRPr="00D00722" w:rsidTr="00ED6F5D">
        <w:trPr>
          <w:trHeight w:val="113"/>
        </w:trPr>
        <w:tc>
          <w:tcPr>
            <w:tcW w:w="2410" w:type="dxa"/>
            <w:tcBorders>
              <w:top w:val="nil"/>
              <w:left w:val="nil"/>
              <w:bottom w:val="nil"/>
              <w:right w:val="nil"/>
            </w:tcBorders>
          </w:tcPr>
          <w:p w:rsidR="004362C7" w:rsidRPr="00D00722" w:rsidRDefault="004362C7" w:rsidP="00ED6F5D">
            <w:pPr>
              <w:autoSpaceDE w:val="0"/>
              <w:autoSpaceDN w:val="0"/>
              <w:adjustRightInd w:val="0"/>
              <w:ind w:left="-108"/>
              <w:rPr>
                <w:rFonts w:ascii="Arial" w:hAnsi="Arial" w:cs="Arial"/>
                <w:color w:val="000000"/>
                <w:sz w:val="16"/>
                <w:szCs w:val="16"/>
              </w:rPr>
            </w:pPr>
            <w:r w:rsidRPr="00D00722">
              <w:rPr>
                <w:rFonts w:ascii="Arial" w:hAnsi="Arial" w:cs="Arial"/>
                <w:color w:val="000000"/>
                <w:sz w:val="16"/>
                <w:szCs w:val="16"/>
              </w:rPr>
              <w:t>Ticari borçlar</w:t>
            </w:r>
          </w:p>
        </w:tc>
        <w:tc>
          <w:tcPr>
            <w:tcW w:w="1276" w:type="dxa"/>
            <w:tcBorders>
              <w:top w:val="nil"/>
              <w:left w:val="nil"/>
              <w:bottom w:val="nil"/>
              <w:right w:val="nil"/>
            </w:tcBorders>
          </w:tcPr>
          <w:p w:rsidR="004362C7" w:rsidRPr="00D00722" w:rsidRDefault="00955904" w:rsidP="00ED6F5D">
            <w:pPr>
              <w:jc w:val="right"/>
              <w:rPr>
                <w:rFonts w:ascii="Arial" w:hAnsi="Arial" w:cs="Arial"/>
                <w:b/>
                <w:sz w:val="16"/>
                <w:szCs w:val="16"/>
                <w:lang w:val="tr-TR" w:eastAsia="tr-TR"/>
              </w:rPr>
            </w:pPr>
            <w:r w:rsidRPr="00D00722">
              <w:rPr>
                <w:rFonts w:ascii="Arial" w:hAnsi="Arial" w:cs="Arial"/>
                <w:b/>
                <w:sz w:val="16"/>
                <w:szCs w:val="16"/>
                <w:lang w:val="tr-TR" w:eastAsia="tr-TR"/>
              </w:rPr>
              <w:t>20.426</w:t>
            </w:r>
          </w:p>
        </w:tc>
        <w:tc>
          <w:tcPr>
            <w:tcW w:w="1418" w:type="dxa"/>
            <w:tcBorders>
              <w:top w:val="nil"/>
              <w:left w:val="nil"/>
              <w:bottom w:val="nil"/>
              <w:right w:val="nil"/>
            </w:tcBorders>
          </w:tcPr>
          <w:p w:rsidR="004362C7" w:rsidRPr="00D00722" w:rsidRDefault="00955904" w:rsidP="00ED6F5D">
            <w:pPr>
              <w:jc w:val="right"/>
              <w:rPr>
                <w:rFonts w:ascii="Arial" w:hAnsi="Arial" w:cs="Arial"/>
                <w:b/>
                <w:sz w:val="16"/>
                <w:szCs w:val="16"/>
                <w:lang w:val="tr-TR" w:eastAsia="tr-TR"/>
              </w:rPr>
            </w:pPr>
            <w:r w:rsidRPr="00D00722">
              <w:rPr>
                <w:rFonts w:ascii="Arial" w:hAnsi="Arial" w:cs="Arial"/>
                <w:b/>
                <w:sz w:val="16"/>
                <w:szCs w:val="16"/>
                <w:lang w:val="tr-TR" w:eastAsia="tr-TR"/>
              </w:rPr>
              <w:t>20.426</w:t>
            </w:r>
          </w:p>
        </w:tc>
        <w:tc>
          <w:tcPr>
            <w:tcW w:w="1100" w:type="dxa"/>
            <w:tcBorders>
              <w:top w:val="nil"/>
              <w:left w:val="nil"/>
              <w:bottom w:val="nil"/>
              <w:right w:val="nil"/>
            </w:tcBorders>
          </w:tcPr>
          <w:p w:rsidR="004362C7" w:rsidRPr="00D00722" w:rsidRDefault="00955904" w:rsidP="00ED6F5D">
            <w:pPr>
              <w:jc w:val="right"/>
              <w:rPr>
                <w:rFonts w:ascii="Arial" w:hAnsi="Arial" w:cs="Arial"/>
                <w:b/>
                <w:sz w:val="16"/>
                <w:szCs w:val="16"/>
                <w:lang w:val="tr-TR" w:eastAsia="tr-TR"/>
              </w:rPr>
            </w:pPr>
            <w:r w:rsidRPr="00D00722">
              <w:rPr>
                <w:rFonts w:ascii="Arial" w:hAnsi="Arial" w:cs="Arial"/>
                <w:b/>
                <w:sz w:val="16"/>
                <w:szCs w:val="16"/>
                <w:lang w:val="tr-TR" w:eastAsia="tr-TR"/>
              </w:rPr>
              <w:t>20.426</w:t>
            </w:r>
          </w:p>
        </w:tc>
        <w:tc>
          <w:tcPr>
            <w:tcW w:w="1026" w:type="dxa"/>
            <w:tcBorders>
              <w:top w:val="nil"/>
              <w:left w:val="nil"/>
              <w:bottom w:val="nil"/>
              <w:right w:val="nil"/>
            </w:tcBorders>
          </w:tcPr>
          <w:p w:rsidR="004362C7" w:rsidRPr="00D00722" w:rsidRDefault="004362C7" w:rsidP="00ED6F5D">
            <w:pPr>
              <w:jc w:val="right"/>
              <w:rPr>
                <w:rFonts w:ascii="Arial" w:hAnsi="Arial" w:cs="Arial"/>
                <w:sz w:val="16"/>
                <w:szCs w:val="16"/>
                <w:lang w:val="tr-TR" w:eastAsia="tr-TR"/>
              </w:rPr>
            </w:pPr>
          </w:p>
        </w:tc>
        <w:tc>
          <w:tcPr>
            <w:tcW w:w="850" w:type="dxa"/>
            <w:tcBorders>
              <w:top w:val="nil"/>
              <w:left w:val="nil"/>
              <w:bottom w:val="nil"/>
              <w:right w:val="nil"/>
            </w:tcBorders>
          </w:tcPr>
          <w:p w:rsidR="004362C7" w:rsidRPr="00D00722" w:rsidRDefault="004362C7" w:rsidP="00ED6F5D">
            <w:pPr>
              <w:jc w:val="right"/>
              <w:rPr>
                <w:rFonts w:ascii="Arial" w:hAnsi="Arial" w:cs="Arial"/>
                <w:sz w:val="16"/>
                <w:szCs w:val="16"/>
                <w:lang w:val="tr-TR" w:eastAsia="tr-TR"/>
              </w:rPr>
            </w:pPr>
          </w:p>
        </w:tc>
        <w:tc>
          <w:tcPr>
            <w:tcW w:w="993" w:type="dxa"/>
            <w:tcBorders>
              <w:top w:val="nil"/>
              <w:left w:val="nil"/>
              <w:bottom w:val="nil"/>
              <w:right w:val="nil"/>
            </w:tcBorders>
          </w:tcPr>
          <w:p w:rsidR="004362C7" w:rsidRPr="00D00722" w:rsidRDefault="004362C7" w:rsidP="00ED6F5D">
            <w:pPr>
              <w:jc w:val="right"/>
              <w:rPr>
                <w:rFonts w:ascii="Arial" w:hAnsi="Arial" w:cs="Arial"/>
                <w:sz w:val="16"/>
                <w:szCs w:val="16"/>
                <w:lang w:val="tr-TR" w:eastAsia="tr-TR"/>
              </w:rPr>
            </w:pPr>
          </w:p>
        </w:tc>
      </w:tr>
      <w:tr w:rsidR="004362C7" w:rsidRPr="00D00722" w:rsidTr="00ED6F5D">
        <w:trPr>
          <w:trHeight w:val="113"/>
        </w:trPr>
        <w:tc>
          <w:tcPr>
            <w:tcW w:w="2410" w:type="dxa"/>
            <w:tcBorders>
              <w:top w:val="nil"/>
              <w:left w:val="nil"/>
              <w:bottom w:val="nil"/>
              <w:right w:val="nil"/>
            </w:tcBorders>
          </w:tcPr>
          <w:p w:rsidR="004362C7" w:rsidRPr="00D00722" w:rsidRDefault="004362C7" w:rsidP="00ED6F5D">
            <w:pPr>
              <w:autoSpaceDE w:val="0"/>
              <w:autoSpaceDN w:val="0"/>
              <w:adjustRightInd w:val="0"/>
              <w:ind w:left="-108"/>
              <w:rPr>
                <w:rFonts w:ascii="Arial" w:hAnsi="Arial" w:cs="Arial"/>
                <w:color w:val="000000"/>
                <w:sz w:val="16"/>
                <w:szCs w:val="16"/>
              </w:rPr>
            </w:pPr>
            <w:r w:rsidRPr="00D00722">
              <w:rPr>
                <w:rFonts w:ascii="Arial" w:hAnsi="Arial" w:cs="Arial"/>
                <w:color w:val="000000"/>
                <w:sz w:val="16"/>
                <w:szCs w:val="16"/>
              </w:rPr>
              <w:t xml:space="preserve">Diğer borçlar </w:t>
            </w:r>
          </w:p>
        </w:tc>
        <w:tc>
          <w:tcPr>
            <w:tcW w:w="1276" w:type="dxa"/>
            <w:tcBorders>
              <w:top w:val="nil"/>
              <w:left w:val="nil"/>
              <w:bottom w:val="nil"/>
              <w:right w:val="nil"/>
            </w:tcBorders>
          </w:tcPr>
          <w:p w:rsidR="004362C7" w:rsidRPr="00D00722" w:rsidRDefault="00955904" w:rsidP="00ED6F5D">
            <w:pPr>
              <w:jc w:val="right"/>
              <w:rPr>
                <w:rFonts w:ascii="Arial" w:hAnsi="Arial" w:cs="Arial"/>
                <w:b/>
                <w:sz w:val="16"/>
                <w:szCs w:val="16"/>
                <w:lang w:val="tr-TR" w:eastAsia="tr-TR"/>
              </w:rPr>
            </w:pPr>
            <w:r w:rsidRPr="00D00722">
              <w:rPr>
                <w:rFonts w:ascii="Arial" w:hAnsi="Arial" w:cs="Arial"/>
                <w:b/>
                <w:sz w:val="16"/>
                <w:szCs w:val="16"/>
                <w:lang w:val="tr-TR" w:eastAsia="tr-TR"/>
              </w:rPr>
              <w:t>6.404</w:t>
            </w:r>
          </w:p>
        </w:tc>
        <w:tc>
          <w:tcPr>
            <w:tcW w:w="1418" w:type="dxa"/>
            <w:tcBorders>
              <w:top w:val="nil"/>
              <w:left w:val="nil"/>
              <w:bottom w:val="nil"/>
              <w:right w:val="nil"/>
            </w:tcBorders>
          </w:tcPr>
          <w:p w:rsidR="004362C7" w:rsidRPr="00D00722" w:rsidRDefault="00955904" w:rsidP="00ED6F5D">
            <w:pPr>
              <w:jc w:val="right"/>
              <w:rPr>
                <w:rFonts w:ascii="Arial" w:hAnsi="Arial" w:cs="Arial"/>
                <w:b/>
                <w:sz w:val="16"/>
                <w:szCs w:val="16"/>
                <w:lang w:val="tr-TR" w:eastAsia="tr-TR"/>
              </w:rPr>
            </w:pPr>
            <w:r w:rsidRPr="00D00722">
              <w:rPr>
                <w:rFonts w:ascii="Arial" w:hAnsi="Arial" w:cs="Arial"/>
                <w:b/>
                <w:sz w:val="16"/>
                <w:szCs w:val="16"/>
                <w:lang w:val="tr-TR" w:eastAsia="tr-TR"/>
              </w:rPr>
              <w:t>6.404</w:t>
            </w:r>
          </w:p>
        </w:tc>
        <w:tc>
          <w:tcPr>
            <w:tcW w:w="1100" w:type="dxa"/>
            <w:tcBorders>
              <w:top w:val="nil"/>
              <w:left w:val="nil"/>
              <w:bottom w:val="nil"/>
              <w:right w:val="nil"/>
            </w:tcBorders>
          </w:tcPr>
          <w:p w:rsidR="004362C7" w:rsidRPr="00D00722" w:rsidRDefault="00955904" w:rsidP="00ED6F5D">
            <w:pPr>
              <w:jc w:val="right"/>
              <w:rPr>
                <w:rFonts w:ascii="Arial" w:hAnsi="Arial" w:cs="Arial"/>
                <w:b/>
                <w:sz w:val="16"/>
                <w:szCs w:val="16"/>
                <w:lang w:val="tr-TR" w:eastAsia="tr-TR"/>
              </w:rPr>
            </w:pPr>
            <w:r w:rsidRPr="00D00722">
              <w:rPr>
                <w:rFonts w:ascii="Arial" w:hAnsi="Arial" w:cs="Arial"/>
                <w:b/>
                <w:sz w:val="16"/>
                <w:szCs w:val="16"/>
                <w:lang w:val="tr-TR" w:eastAsia="tr-TR"/>
              </w:rPr>
              <w:t>6.404</w:t>
            </w:r>
          </w:p>
        </w:tc>
        <w:tc>
          <w:tcPr>
            <w:tcW w:w="1026" w:type="dxa"/>
            <w:tcBorders>
              <w:top w:val="nil"/>
              <w:left w:val="nil"/>
              <w:bottom w:val="nil"/>
              <w:right w:val="nil"/>
            </w:tcBorders>
          </w:tcPr>
          <w:p w:rsidR="004362C7" w:rsidRPr="00D00722" w:rsidRDefault="004362C7" w:rsidP="00ED6F5D">
            <w:pPr>
              <w:jc w:val="right"/>
              <w:rPr>
                <w:rFonts w:ascii="Arial" w:hAnsi="Arial" w:cs="Arial"/>
                <w:sz w:val="16"/>
                <w:szCs w:val="16"/>
                <w:lang w:val="tr-TR" w:eastAsia="tr-TR"/>
              </w:rPr>
            </w:pPr>
          </w:p>
        </w:tc>
        <w:tc>
          <w:tcPr>
            <w:tcW w:w="850" w:type="dxa"/>
            <w:tcBorders>
              <w:top w:val="nil"/>
              <w:left w:val="nil"/>
              <w:bottom w:val="nil"/>
              <w:right w:val="nil"/>
            </w:tcBorders>
          </w:tcPr>
          <w:p w:rsidR="004362C7" w:rsidRPr="00D00722" w:rsidRDefault="004362C7" w:rsidP="00ED6F5D">
            <w:pPr>
              <w:jc w:val="right"/>
              <w:rPr>
                <w:rFonts w:ascii="Arial" w:hAnsi="Arial" w:cs="Arial"/>
                <w:sz w:val="16"/>
                <w:szCs w:val="16"/>
                <w:lang w:val="tr-TR" w:eastAsia="tr-TR"/>
              </w:rPr>
            </w:pPr>
          </w:p>
        </w:tc>
        <w:tc>
          <w:tcPr>
            <w:tcW w:w="993" w:type="dxa"/>
            <w:tcBorders>
              <w:top w:val="nil"/>
              <w:left w:val="nil"/>
              <w:bottom w:val="nil"/>
              <w:right w:val="nil"/>
            </w:tcBorders>
          </w:tcPr>
          <w:p w:rsidR="004362C7" w:rsidRPr="00D00722" w:rsidRDefault="004362C7" w:rsidP="00ED6F5D">
            <w:pPr>
              <w:jc w:val="right"/>
              <w:rPr>
                <w:rFonts w:ascii="Arial" w:hAnsi="Arial" w:cs="Arial"/>
                <w:sz w:val="16"/>
                <w:szCs w:val="16"/>
                <w:lang w:val="tr-TR" w:eastAsia="tr-TR"/>
              </w:rPr>
            </w:pPr>
          </w:p>
        </w:tc>
      </w:tr>
      <w:tr w:rsidR="004362C7" w:rsidRPr="00D00722" w:rsidTr="00ED6F5D">
        <w:trPr>
          <w:trHeight w:val="113"/>
        </w:trPr>
        <w:tc>
          <w:tcPr>
            <w:tcW w:w="2410" w:type="dxa"/>
            <w:tcBorders>
              <w:top w:val="nil"/>
              <w:left w:val="nil"/>
              <w:bottom w:val="single" w:sz="6" w:space="0" w:color="auto"/>
              <w:right w:val="nil"/>
            </w:tcBorders>
          </w:tcPr>
          <w:p w:rsidR="004362C7" w:rsidRPr="00D00722" w:rsidRDefault="004362C7" w:rsidP="00ED6F5D">
            <w:pPr>
              <w:autoSpaceDE w:val="0"/>
              <w:autoSpaceDN w:val="0"/>
              <w:adjustRightInd w:val="0"/>
              <w:ind w:left="-108"/>
              <w:jc w:val="right"/>
              <w:rPr>
                <w:rFonts w:ascii="Arial" w:hAnsi="Arial" w:cs="Arial"/>
                <w:color w:val="000000"/>
              </w:rPr>
            </w:pPr>
          </w:p>
        </w:tc>
        <w:tc>
          <w:tcPr>
            <w:tcW w:w="1276" w:type="dxa"/>
            <w:tcBorders>
              <w:top w:val="nil"/>
              <w:left w:val="nil"/>
              <w:bottom w:val="single" w:sz="6" w:space="0" w:color="auto"/>
              <w:right w:val="nil"/>
            </w:tcBorders>
          </w:tcPr>
          <w:p w:rsidR="004362C7" w:rsidRPr="00D00722" w:rsidRDefault="004362C7" w:rsidP="00ED6F5D">
            <w:pPr>
              <w:autoSpaceDE w:val="0"/>
              <w:autoSpaceDN w:val="0"/>
              <w:adjustRightInd w:val="0"/>
              <w:jc w:val="right"/>
              <w:rPr>
                <w:rFonts w:ascii="Arial" w:hAnsi="Arial" w:cs="Arial"/>
                <w:b/>
                <w:color w:val="000000"/>
              </w:rPr>
            </w:pPr>
          </w:p>
        </w:tc>
        <w:tc>
          <w:tcPr>
            <w:tcW w:w="1418" w:type="dxa"/>
            <w:tcBorders>
              <w:top w:val="nil"/>
              <w:left w:val="nil"/>
              <w:bottom w:val="single" w:sz="6" w:space="0" w:color="auto"/>
              <w:right w:val="nil"/>
            </w:tcBorders>
          </w:tcPr>
          <w:p w:rsidR="004362C7" w:rsidRPr="00D00722" w:rsidRDefault="004362C7" w:rsidP="00ED6F5D">
            <w:pPr>
              <w:autoSpaceDE w:val="0"/>
              <w:autoSpaceDN w:val="0"/>
              <w:adjustRightInd w:val="0"/>
              <w:jc w:val="right"/>
              <w:rPr>
                <w:rFonts w:ascii="Arial" w:hAnsi="Arial" w:cs="Arial"/>
                <w:b/>
                <w:color w:val="000000"/>
              </w:rPr>
            </w:pPr>
          </w:p>
        </w:tc>
        <w:tc>
          <w:tcPr>
            <w:tcW w:w="1100" w:type="dxa"/>
            <w:tcBorders>
              <w:top w:val="nil"/>
              <w:left w:val="nil"/>
              <w:bottom w:val="single" w:sz="6" w:space="0" w:color="auto"/>
              <w:right w:val="nil"/>
            </w:tcBorders>
          </w:tcPr>
          <w:p w:rsidR="004362C7" w:rsidRPr="00D00722" w:rsidRDefault="004362C7" w:rsidP="00ED6F5D">
            <w:pPr>
              <w:autoSpaceDE w:val="0"/>
              <w:autoSpaceDN w:val="0"/>
              <w:adjustRightInd w:val="0"/>
              <w:jc w:val="right"/>
              <w:rPr>
                <w:rFonts w:ascii="Arial" w:hAnsi="Arial" w:cs="Arial"/>
                <w:b/>
                <w:color w:val="000000"/>
              </w:rPr>
            </w:pPr>
          </w:p>
        </w:tc>
        <w:tc>
          <w:tcPr>
            <w:tcW w:w="1026" w:type="dxa"/>
            <w:tcBorders>
              <w:top w:val="nil"/>
              <w:left w:val="nil"/>
              <w:bottom w:val="single" w:sz="6" w:space="0" w:color="auto"/>
              <w:right w:val="nil"/>
            </w:tcBorders>
          </w:tcPr>
          <w:p w:rsidR="004362C7" w:rsidRPr="00D00722" w:rsidRDefault="004362C7" w:rsidP="00ED6F5D">
            <w:pPr>
              <w:autoSpaceDE w:val="0"/>
              <w:autoSpaceDN w:val="0"/>
              <w:adjustRightInd w:val="0"/>
              <w:jc w:val="right"/>
              <w:rPr>
                <w:rFonts w:ascii="Arial" w:hAnsi="Arial" w:cs="Arial"/>
                <w:color w:val="000000"/>
              </w:rPr>
            </w:pPr>
          </w:p>
        </w:tc>
        <w:tc>
          <w:tcPr>
            <w:tcW w:w="850" w:type="dxa"/>
            <w:tcBorders>
              <w:top w:val="nil"/>
              <w:left w:val="nil"/>
              <w:bottom w:val="single" w:sz="6" w:space="0" w:color="auto"/>
              <w:right w:val="nil"/>
            </w:tcBorders>
          </w:tcPr>
          <w:p w:rsidR="004362C7" w:rsidRPr="00D00722" w:rsidRDefault="004362C7" w:rsidP="00ED6F5D">
            <w:pPr>
              <w:autoSpaceDE w:val="0"/>
              <w:autoSpaceDN w:val="0"/>
              <w:adjustRightInd w:val="0"/>
              <w:jc w:val="right"/>
              <w:rPr>
                <w:rFonts w:ascii="Arial" w:hAnsi="Arial" w:cs="Arial"/>
                <w:color w:val="000000"/>
              </w:rPr>
            </w:pPr>
          </w:p>
        </w:tc>
        <w:tc>
          <w:tcPr>
            <w:tcW w:w="993" w:type="dxa"/>
            <w:tcBorders>
              <w:top w:val="nil"/>
              <w:left w:val="nil"/>
              <w:bottom w:val="single" w:sz="6" w:space="0" w:color="auto"/>
              <w:right w:val="nil"/>
            </w:tcBorders>
          </w:tcPr>
          <w:p w:rsidR="004362C7" w:rsidRPr="00D00722" w:rsidRDefault="004362C7" w:rsidP="00ED6F5D">
            <w:pPr>
              <w:autoSpaceDE w:val="0"/>
              <w:autoSpaceDN w:val="0"/>
              <w:adjustRightInd w:val="0"/>
              <w:jc w:val="right"/>
              <w:rPr>
                <w:rFonts w:ascii="Arial" w:hAnsi="Arial" w:cs="Arial"/>
                <w:color w:val="000000"/>
              </w:rPr>
            </w:pPr>
          </w:p>
        </w:tc>
      </w:tr>
      <w:tr w:rsidR="004362C7" w:rsidRPr="00D00722" w:rsidTr="00ED6F5D">
        <w:trPr>
          <w:trHeight w:val="113"/>
        </w:trPr>
        <w:tc>
          <w:tcPr>
            <w:tcW w:w="2410" w:type="dxa"/>
            <w:tcBorders>
              <w:top w:val="single" w:sz="6" w:space="0" w:color="auto"/>
              <w:left w:val="nil"/>
              <w:bottom w:val="double" w:sz="4" w:space="0" w:color="auto"/>
              <w:right w:val="nil"/>
            </w:tcBorders>
          </w:tcPr>
          <w:p w:rsidR="004362C7" w:rsidRPr="00D00722" w:rsidRDefault="004362C7" w:rsidP="00ED6F5D">
            <w:pPr>
              <w:autoSpaceDE w:val="0"/>
              <w:autoSpaceDN w:val="0"/>
              <w:adjustRightInd w:val="0"/>
              <w:ind w:left="-108"/>
              <w:rPr>
                <w:rFonts w:ascii="Arial" w:hAnsi="Arial" w:cs="Arial"/>
                <w:b/>
                <w:bCs/>
                <w:color w:val="000000"/>
                <w:sz w:val="16"/>
                <w:szCs w:val="16"/>
              </w:rPr>
            </w:pPr>
            <w:r w:rsidRPr="00D00722">
              <w:rPr>
                <w:rFonts w:ascii="Arial" w:hAnsi="Arial" w:cs="Arial"/>
                <w:b/>
                <w:bCs/>
                <w:color w:val="000000"/>
                <w:sz w:val="16"/>
                <w:szCs w:val="16"/>
              </w:rPr>
              <w:t>Toplam</w:t>
            </w:r>
          </w:p>
        </w:tc>
        <w:tc>
          <w:tcPr>
            <w:tcW w:w="1276" w:type="dxa"/>
            <w:tcBorders>
              <w:top w:val="single" w:sz="6" w:space="0" w:color="auto"/>
              <w:left w:val="nil"/>
              <w:bottom w:val="double" w:sz="4" w:space="0" w:color="auto"/>
              <w:right w:val="nil"/>
            </w:tcBorders>
          </w:tcPr>
          <w:p w:rsidR="004362C7" w:rsidRPr="00D00722" w:rsidRDefault="00955904" w:rsidP="00ED6F5D">
            <w:pPr>
              <w:autoSpaceDE w:val="0"/>
              <w:autoSpaceDN w:val="0"/>
              <w:adjustRightInd w:val="0"/>
              <w:jc w:val="right"/>
              <w:rPr>
                <w:rFonts w:ascii="Arial" w:hAnsi="Arial" w:cs="Arial"/>
                <w:b/>
                <w:bCs/>
                <w:color w:val="000000"/>
                <w:sz w:val="16"/>
                <w:szCs w:val="16"/>
              </w:rPr>
            </w:pPr>
            <w:r w:rsidRPr="00D00722">
              <w:rPr>
                <w:rFonts w:ascii="Arial" w:hAnsi="Arial" w:cs="Arial"/>
                <w:b/>
                <w:bCs/>
                <w:color w:val="000000"/>
                <w:sz w:val="16"/>
                <w:szCs w:val="16"/>
              </w:rPr>
              <w:t>26.830</w:t>
            </w:r>
          </w:p>
        </w:tc>
        <w:tc>
          <w:tcPr>
            <w:tcW w:w="1418" w:type="dxa"/>
            <w:tcBorders>
              <w:top w:val="single" w:sz="6" w:space="0" w:color="auto"/>
              <w:left w:val="nil"/>
              <w:bottom w:val="double" w:sz="4" w:space="0" w:color="auto"/>
              <w:right w:val="nil"/>
            </w:tcBorders>
          </w:tcPr>
          <w:p w:rsidR="004362C7" w:rsidRPr="00D00722" w:rsidRDefault="00955904" w:rsidP="00ED6F5D">
            <w:pPr>
              <w:autoSpaceDE w:val="0"/>
              <w:autoSpaceDN w:val="0"/>
              <w:adjustRightInd w:val="0"/>
              <w:jc w:val="right"/>
              <w:rPr>
                <w:rFonts w:ascii="Arial" w:hAnsi="Arial" w:cs="Arial"/>
                <w:b/>
                <w:bCs/>
                <w:color w:val="000000"/>
                <w:sz w:val="16"/>
                <w:szCs w:val="16"/>
              </w:rPr>
            </w:pPr>
            <w:r w:rsidRPr="00D00722">
              <w:rPr>
                <w:rFonts w:ascii="Arial" w:hAnsi="Arial" w:cs="Arial"/>
                <w:b/>
                <w:bCs/>
                <w:color w:val="000000"/>
                <w:sz w:val="16"/>
                <w:szCs w:val="16"/>
              </w:rPr>
              <w:t>26.830</w:t>
            </w:r>
          </w:p>
        </w:tc>
        <w:tc>
          <w:tcPr>
            <w:tcW w:w="1100" w:type="dxa"/>
            <w:tcBorders>
              <w:top w:val="single" w:sz="6" w:space="0" w:color="auto"/>
              <w:left w:val="nil"/>
              <w:bottom w:val="double" w:sz="4" w:space="0" w:color="auto"/>
              <w:right w:val="nil"/>
            </w:tcBorders>
          </w:tcPr>
          <w:p w:rsidR="004362C7" w:rsidRPr="00D00722" w:rsidRDefault="00955904" w:rsidP="00ED6F5D">
            <w:pPr>
              <w:autoSpaceDE w:val="0"/>
              <w:autoSpaceDN w:val="0"/>
              <w:adjustRightInd w:val="0"/>
              <w:jc w:val="right"/>
              <w:rPr>
                <w:rFonts w:ascii="Arial" w:hAnsi="Arial" w:cs="Arial"/>
                <w:b/>
                <w:bCs/>
                <w:color w:val="000000"/>
                <w:sz w:val="16"/>
                <w:szCs w:val="16"/>
              </w:rPr>
            </w:pPr>
            <w:r w:rsidRPr="00D00722">
              <w:rPr>
                <w:rFonts w:ascii="Arial" w:hAnsi="Arial" w:cs="Arial"/>
                <w:b/>
                <w:bCs/>
                <w:color w:val="000000"/>
                <w:sz w:val="16"/>
                <w:szCs w:val="16"/>
              </w:rPr>
              <w:t>26.830</w:t>
            </w:r>
          </w:p>
        </w:tc>
        <w:tc>
          <w:tcPr>
            <w:tcW w:w="1026" w:type="dxa"/>
            <w:tcBorders>
              <w:top w:val="single" w:sz="6" w:space="0" w:color="auto"/>
              <w:left w:val="nil"/>
              <w:bottom w:val="double" w:sz="4" w:space="0" w:color="auto"/>
              <w:right w:val="nil"/>
            </w:tcBorders>
          </w:tcPr>
          <w:p w:rsidR="004362C7" w:rsidRPr="00D00722" w:rsidRDefault="004362C7" w:rsidP="00ED6F5D">
            <w:pPr>
              <w:autoSpaceDE w:val="0"/>
              <w:autoSpaceDN w:val="0"/>
              <w:adjustRightInd w:val="0"/>
              <w:jc w:val="right"/>
              <w:rPr>
                <w:rFonts w:ascii="Arial" w:hAnsi="Arial" w:cs="Arial"/>
                <w:b/>
                <w:bCs/>
                <w:color w:val="000000"/>
                <w:sz w:val="16"/>
                <w:szCs w:val="16"/>
              </w:rPr>
            </w:pPr>
          </w:p>
        </w:tc>
        <w:tc>
          <w:tcPr>
            <w:tcW w:w="850" w:type="dxa"/>
            <w:tcBorders>
              <w:top w:val="single" w:sz="6" w:space="0" w:color="auto"/>
              <w:left w:val="nil"/>
              <w:bottom w:val="double" w:sz="4" w:space="0" w:color="auto"/>
              <w:right w:val="nil"/>
            </w:tcBorders>
          </w:tcPr>
          <w:p w:rsidR="004362C7" w:rsidRPr="00D00722" w:rsidRDefault="004362C7" w:rsidP="00ED6F5D">
            <w:pPr>
              <w:autoSpaceDE w:val="0"/>
              <w:autoSpaceDN w:val="0"/>
              <w:adjustRightInd w:val="0"/>
              <w:jc w:val="right"/>
              <w:rPr>
                <w:rFonts w:ascii="Arial" w:hAnsi="Arial" w:cs="Arial"/>
                <w:b/>
                <w:bCs/>
                <w:color w:val="000000"/>
                <w:sz w:val="16"/>
                <w:szCs w:val="16"/>
              </w:rPr>
            </w:pPr>
          </w:p>
        </w:tc>
        <w:tc>
          <w:tcPr>
            <w:tcW w:w="993" w:type="dxa"/>
            <w:tcBorders>
              <w:top w:val="single" w:sz="6" w:space="0" w:color="auto"/>
              <w:left w:val="nil"/>
              <w:bottom w:val="double" w:sz="4" w:space="0" w:color="auto"/>
              <w:right w:val="nil"/>
            </w:tcBorders>
          </w:tcPr>
          <w:p w:rsidR="004362C7" w:rsidRPr="00D00722" w:rsidRDefault="004362C7" w:rsidP="00ED6F5D">
            <w:pPr>
              <w:autoSpaceDE w:val="0"/>
              <w:autoSpaceDN w:val="0"/>
              <w:adjustRightInd w:val="0"/>
              <w:jc w:val="right"/>
              <w:rPr>
                <w:rFonts w:ascii="Arial" w:hAnsi="Arial" w:cs="Arial"/>
                <w:b/>
                <w:bCs/>
                <w:color w:val="000000"/>
                <w:sz w:val="16"/>
                <w:szCs w:val="16"/>
              </w:rPr>
            </w:pPr>
          </w:p>
        </w:tc>
      </w:tr>
    </w:tbl>
    <w:p w:rsidR="004362C7" w:rsidRPr="00D00722" w:rsidRDefault="004362C7" w:rsidP="004362C7">
      <w:pPr>
        <w:pStyle w:val="BodyTextIndent"/>
        <w:ind w:left="0" w:firstLine="0"/>
        <w:jc w:val="both"/>
        <w:rPr>
          <w:rFonts w:ascii="Arial" w:hAnsi="Arial" w:cs="Arial"/>
          <w:b/>
          <w:sz w:val="20"/>
          <w:lang w:val="tr-TR"/>
        </w:rPr>
      </w:pPr>
    </w:p>
    <w:p w:rsidR="004362C7" w:rsidRPr="00D00722" w:rsidRDefault="004362C7" w:rsidP="0090567F">
      <w:pPr>
        <w:widowControl w:val="0"/>
        <w:ind w:right="-23"/>
        <w:rPr>
          <w:rFonts w:ascii="Arial" w:hAnsi="Arial" w:cs="Arial"/>
          <w:lang w:val="tr-TR"/>
        </w:rPr>
      </w:pPr>
    </w:p>
    <w:p w:rsidR="008D47CB" w:rsidRPr="00D00722" w:rsidRDefault="008D47CB" w:rsidP="00AE0484">
      <w:pPr>
        <w:pStyle w:val="BodyTextIndent"/>
        <w:ind w:left="567" w:hanging="567"/>
        <w:jc w:val="both"/>
        <w:rPr>
          <w:rFonts w:ascii="Arial" w:hAnsi="Arial" w:cs="Arial"/>
          <w:b/>
          <w:sz w:val="20"/>
          <w:lang w:val="tr-TR"/>
        </w:rPr>
      </w:pPr>
    </w:p>
    <w:tbl>
      <w:tblPr>
        <w:tblW w:w="9073" w:type="dxa"/>
        <w:tblInd w:w="108" w:type="dxa"/>
        <w:tblLayout w:type="fixed"/>
        <w:tblLook w:val="0000"/>
      </w:tblPr>
      <w:tblGrid>
        <w:gridCol w:w="2410"/>
        <w:gridCol w:w="1276"/>
        <w:gridCol w:w="1418"/>
        <w:gridCol w:w="1100"/>
        <w:gridCol w:w="1026"/>
        <w:gridCol w:w="850"/>
        <w:gridCol w:w="993"/>
      </w:tblGrid>
      <w:tr w:rsidR="00457247" w:rsidRPr="00D00722" w:rsidTr="003C359E">
        <w:trPr>
          <w:trHeight w:val="113"/>
        </w:trPr>
        <w:tc>
          <w:tcPr>
            <w:tcW w:w="2410" w:type="dxa"/>
            <w:tcBorders>
              <w:top w:val="nil"/>
              <w:left w:val="nil"/>
              <w:right w:val="nil"/>
            </w:tcBorders>
          </w:tcPr>
          <w:p w:rsidR="00457247" w:rsidRPr="00D00722" w:rsidRDefault="00457247" w:rsidP="004F01F8">
            <w:pPr>
              <w:autoSpaceDE w:val="0"/>
              <w:autoSpaceDN w:val="0"/>
              <w:adjustRightInd w:val="0"/>
              <w:ind w:left="-108"/>
              <w:rPr>
                <w:rFonts w:ascii="Arial" w:hAnsi="Arial" w:cs="Arial"/>
                <w:b/>
                <w:bCs/>
                <w:color w:val="000000"/>
                <w:sz w:val="18"/>
                <w:szCs w:val="18"/>
                <w:u w:val="single"/>
              </w:rPr>
            </w:pPr>
            <w:r w:rsidRPr="00D00722">
              <w:rPr>
                <w:rFonts w:ascii="Arial" w:hAnsi="Arial" w:cs="Arial"/>
                <w:b/>
                <w:bCs/>
                <w:color w:val="000000"/>
                <w:sz w:val="18"/>
                <w:szCs w:val="18"/>
                <w:u w:val="single"/>
              </w:rPr>
              <w:t>31 Aralık 2013</w:t>
            </w:r>
          </w:p>
        </w:tc>
        <w:tc>
          <w:tcPr>
            <w:tcW w:w="1276" w:type="dxa"/>
            <w:tcBorders>
              <w:top w:val="nil"/>
              <w:left w:val="nil"/>
              <w:right w:val="nil"/>
            </w:tcBorders>
          </w:tcPr>
          <w:p w:rsidR="00457247" w:rsidRPr="00D00722" w:rsidRDefault="00457247" w:rsidP="004F01F8">
            <w:pPr>
              <w:autoSpaceDE w:val="0"/>
              <w:autoSpaceDN w:val="0"/>
              <w:adjustRightInd w:val="0"/>
              <w:jc w:val="right"/>
              <w:rPr>
                <w:rFonts w:ascii="Arial" w:hAnsi="Arial" w:cs="Arial"/>
                <w:color w:val="000000"/>
              </w:rPr>
            </w:pPr>
          </w:p>
        </w:tc>
        <w:tc>
          <w:tcPr>
            <w:tcW w:w="1418" w:type="dxa"/>
            <w:tcBorders>
              <w:top w:val="nil"/>
              <w:left w:val="nil"/>
              <w:right w:val="nil"/>
            </w:tcBorders>
          </w:tcPr>
          <w:p w:rsidR="00457247" w:rsidRPr="00D00722" w:rsidRDefault="00457247" w:rsidP="004F01F8">
            <w:pPr>
              <w:autoSpaceDE w:val="0"/>
              <w:autoSpaceDN w:val="0"/>
              <w:adjustRightInd w:val="0"/>
              <w:jc w:val="right"/>
              <w:rPr>
                <w:rFonts w:ascii="Arial" w:hAnsi="Arial" w:cs="Arial"/>
                <w:color w:val="000000"/>
              </w:rPr>
            </w:pPr>
          </w:p>
        </w:tc>
        <w:tc>
          <w:tcPr>
            <w:tcW w:w="1100" w:type="dxa"/>
            <w:tcBorders>
              <w:top w:val="nil"/>
              <w:left w:val="nil"/>
              <w:right w:val="nil"/>
            </w:tcBorders>
          </w:tcPr>
          <w:p w:rsidR="00457247" w:rsidRPr="00D00722" w:rsidRDefault="00457247" w:rsidP="004F01F8">
            <w:pPr>
              <w:autoSpaceDE w:val="0"/>
              <w:autoSpaceDN w:val="0"/>
              <w:adjustRightInd w:val="0"/>
              <w:jc w:val="right"/>
              <w:rPr>
                <w:rFonts w:ascii="Arial" w:hAnsi="Arial" w:cs="Arial"/>
                <w:color w:val="000000"/>
              </w:rPr>
            </w:pPr>
          </w:p>
        </w:tc>
        <w:tc>
          <w:tcPr>
            <w:tcW w:w="1026" w:type="dxa"/>
            <w:tcBorders>
              <w:top w:val="nil"/>
              <w:left w:val="nil"/>
              <w:right w:val="nil"/>
            </w:tcBorders>
          </w:tcPr>
          <w:p w:rsidR="00457247" w:rsidRPr="00D00722" w:rsidRDefault="00457247" w:rsidP="004F01F8">
            <w:pPr>
              <w:autoSpaceDE w:val="0"/>
              <w:autoSpaceDN w:val="0"/>
              <w:adjustRightInd w:val="0"/>
              <w:jc w:val="right"/>
              <w:rPr>
                <w:rFonts w:ascii="Arial" w:hAnsi="Arial" w:cs="Arial"/>
                <w:color w:val="000000"/>
              </w:rPr>
            </w:pPr>
          </w:p>
        </w:tc>
        <w:tc>
          <w:tcPr>
            <w:tcW w:w="850" w:type="dxa"/>
            <w:tcBorders>
              <w:top w:val="nil"/>
              <w:left w:val="nil"/>
              <w:right w:val="nil"/>
            </w:tcBorders>
          </w:tcPr>
          <w:p w:rsidR="00457247" w:rsidRPr="00D00722" w:rsidRDefault="00457247" w:rsidP="004F01F8">
            <w:pPr>
              <w:autoSpaceDE w:val="0"/>
              <w:autoSpaceDN w:val="0"/>
              <w:adjustRightInd w:val="0"/>
              <w:jc w:val="right"/>
              <w:rPr>
                <w:rFonts w:ascii="Arial" w:hAnsi="Arial" w:cs="Arial"/>
                <w:color w:val="000000"/>
              </w:rPr>
            </w:pPr>
          </w:p>
        </w:tc>
        <w:tc>
          <w:tcPr>
            <w:tcW w:w="993" w:type="dxa"/>
            <w:tcBorders>
              <w:top w:val="nil"/>
              <w:left w:val="nil"/>
              <w:right w:val="nil"/>
            </w:tcBorders>
          </w:tcPr>
          <w:p w:rsidR="00457247" w:rsidRPr="00D00722" w:rsidRDefault="00457247" w:rsidP="004F01F8">
            <w:pPr>
              <w:autoSpaceDE w:val="0"/>
              <w:autoSpaceDN w:val="0"/>
              <w:adjustRightInd w:val="0"/>
              <w:jc w:val="right"/>
              <w:rPr>
                <w:rFonts w:ascii="Arial" w:hAnsi="Arial" w:cs="Arial"/>
                <w:color w:val="000000"/>
              </w:rPr>
            </w:pPr>
          </w:p>
        </w:tc>
      </w:tr>
      <w:tr w:rsidR="00457247" w:rsidRPr="00D00722" w:rsidTr="003C359E">
        <w:trPr>
          <w:trHeight w:val="113"/>
        </w:trPr>
        <w:tc>
          <w:tcPr>
            <w:tcW w:w="2410" w:type="dxa"/>
            <w:tcBorders>
              <w:top w:val="nil"/>
              <w:left w:val="nil"/>
              <w:bottom w:val="single" w:sz="4" w:space="0" w:color="auto"/>
              <w:right w:val="nil"/>
            </w:tcBorders>
          </w:tcPr>
          <w:p w:rsidR="00457247" w:rsidRPr="00D00722" w:rsidRDefault="00457247" w:rsidP="004F01F8">
            <w:pPr>
              <w:autoSpaceDE w:val="0"/>
              <w:autoSpaceDN w:val="0"/>
              <w:adjustRightInd w:val="0"/>
              <w:ind w:left="-108"/>
              <w:jc w:val="right"/>
              <w:rPr>
                <w:rFonts w:ascii="Arial" w:hAnsi="Arial" w:cs="Arial"/>
                <w:color w:val="000000"/>
              </w:rPr>
            </w:pPr>
          </w:p>
        </w:tc>
        <w:tc>
          <w:tcPr>
            <w:tcW w:w="1276" w:type="dxa"/>
            <w:tcBorders>
              <w:top w:val="nil"/>
              <w:left w:val="nil"/>
              <w:bottom w:val="single" w:sz="4" w:space="0" w:color="auto"/>
              <w:right w:val="nil"/>
            </w:tcBorders>
          </w:tcPr>
          <w:p w:rsidR="00457247" w:rsidRPr="00D00722" w:rsidRDefault="00457247" w:rsidP="004F01F8">
            <w:pPr>
              <w:autoSpaceDE w:val="0"/>
              <w:autoSpaceDN w:val="0"/>
              <w:adjustRightInd w:val="0"/>
              <w:jc w:val="right"/>
              <w:rPr>
                <w:rFonts w:ascii="Arial" w:hAnsi="Arial" w:cs="Arial"/>
                <w:color w:val="000000"/>
              </w:rPr>
            </w:pPr>
          </w:p>
        </w:tc>
        <w:tc>
          <w:tcPr>
            <w:tcW w:w="1418" w:type="dxa"/>
            <w:tcBorders>
              <w:top w:val="nil"/>
              <w:left w:val="nil"/>
              <w:bottom w:val="single" w:sz="4" w:space="0" w:color="auto"/>
              <w:right w:val="nil"/>
            </w:tcBorders>
          </w:tcPr>
          <w:p w:rsidR="00457247" w:rsidRPr="00D00722" w:rsidRDefault="00457247" w:rsidP="004F01F8">
            <w:pPr>
              <w:autoSpaceDE w:val="0"/>
              <w:autoSpaceDN w:val="0"/>
              <w:adjustRightInd w:val="0"/>
              <w:jc w:val="right"/>
              <w:rPr>
                <w:rFonts w:ascii="Arial" w:hAnsi="Arial" w:cs="Arial"/>
                <w:color w:val="000000"/>
              </w:rPr>
            </w:pPr>
          </w:p>
        </w:tc>
        <w:tc>
          <w:tcPr>
            <w:tcW w:w="1100" w:type="dxa"/>
            <w:tcBorders>
              <w:top w:val="nil"/>
              <w:left w:val="nil"/>
              <w:bottom w:val="single" w:sz="4" w:space="0" w:color="auto"/>
              <w:right w:val="nil"/>
            </w:tcBorders>
          </w:tcPr>
          <w:p w:rsidR="00457247" w:rsidRPr="00D00722" w:rsidRDefault="00457247" w:rsidP="004F01F8">
            <w:pPr>
              <w:autoSpaceDE w:val="0"/>
              <w:autoSpaceDN w:val="0"/>
              <w:adjustRightInd w:val="0"/>
              <w:jc w:val="right"/>
              <w:rPr>
                <w:rFonts w:ascii="Arial" w:hAnsi="Arial" w:cs="Arial"/>
                <w:color w:val="000000"/>
              </w:rPr>
            </w:pPr>
          </w:p>
        </w:tc>
        <w:tc>
          <w:tcPr>
            <w:tcW w:w="1026" w:type="dxa"/>
            <w:tcBorders>
              <w:top w:val="nil"/>
              <w:left w:val="nil"/>
              <w:bottom w:val="single" w:sz="4" w:space="0" w:color="auto"/>
              <w:right w:val="nil"/>
            </w:tcBorders>
          </w:tcPr>
          <w:p w:rsidR="00457247" w:rsidRPr="00D00722" w:rsidRDefault="00457247" w:rsidP="004F01F8">
            <w:pPr>
              <w:autoSpaceDE w:val="0"/>
              <w:autoSpaceDN w:val="0"/>
              <w:adjustRightInd w:val="0"/>
              <w:jc w:val="right"/>
              <w:rPr>
                <w:rFonts w:ascii="Arial" w:hAnsi="Arial" w:cs="Arial"/>
                <w:color w:val="000000"/>
              </w:rPr>
            </w:pPr>
          </w:p>
        </w:tc>
        <w:tc>
          <w:tcPr>
            <w:tcW w:w="850" w:type="dxa"/>
            <w:tcBorders>
              <w:top w:val="nil"/>
              <w:left w:val="nil"/>
              <w:bottom w:val="single" w:sz="4" w:space="0" w:color="auto"/>
              <w:right w:val="nil"/>
            </w:tcBorders>
          </w:tcPr>
          <w:p w:rsidR="00457247" w:rsidRPr="00D00722" w:rsidRDefault="00457247" w:rsidP="004F01F8">
            <w:pPr>
              <w:autoSpaceDE w:val="0"/>
              <w:autoSpaceDN w:val="0"/>
              <w:adjustRightInd w:val="0"/>
              <w:jc w:val="right"/>
              <w:rPr>
                <w:rFonts w:ascii="Arial" w:hAnsi="Arial" w:cs="Arial"/>
                <w:color w:val="000000"/>
              </w:rPr>
            </w:pPr>
          </w:p>
        </w:tc>
        <w:tc>
          <w:tcPr>
            <w:tcW w:w="993" w:type="dxa"/>
            <w:tcBorders>
              <w:top w:val="nil"/>
              <w:left w:val="nil"/>
              <w:bottom w:val="single" w:sz="4" w:space="0" w:color="auto"/>
              <w:right w:val="nil"/>
            </w:tcBorders>
          </w:tcPr>
          <w:p w:rsidR="00457247" w:rsidRPr="00D00722" w:rsidRDefault="00457247" w:rsidP="004F01F8">
            <w:pPr>
              <w:autoSpaceDE w:val="0"/>
              <w:autoSpaceDN w:val="0"/>
              <w:adjustRightInd w:val="0"/>
              <w:jc w:val="right"/>
              <w:rPr>
                <w:rFonts w:ascii="Arial" w:hAnsi="Arial" w:cs="Arial"/>
                <w:color w:val="000000"/>
              </w:rPr>
            </w:pPr>
          </w:p>
        </w:tc>
      </w:tr>
      <w:tr w:rsidR="00457247" w:rsidRPr="00D00722" w:rsidTr="003C359E">
        <w:trPr>
          <w:trHeight w:val="113"/>
        </w:trPr>
        <w:tc>
          <w:tcPr>
            <w:tcW w:w="2410" w:type="dxa"/>
            <w:tcBorders>
              <w:top w:val="single" w:sz="4" w:space="0" w:color="auto"/>
              <w:left w:val="nil"/>
              <w:bottom w:val="single" w:sz="4" w:space="0" w:color="auto"/>
              <w:right w:val="nil"/>
            </w:tcBorders>
          </w:tcPr>
          <w:p w:rsidR="00457247" w:rsidRPr="00D00722" w:rsidRDefault="00457247" w:rsidP="004F01F8">
            <w:pPr>
              <w:autoSpaceDE w:val="0"/>
              <w:autoSpaceDN w:val="0"/>
              <w:adjustRightInd w:val="0"/>
              <w:ind w:left="-108"/>
              <w:rPr>
                <w:rFonts w:ascii="Arial" w:hAnsi="Arial" w:cs="Arial"/>
                <w:bCs/>
                <w:sz w:val="16"/>
                <w:szCs w:val="16"/>
              </w:rPr>
            </w:pPr>
          </w:p>
          <w:p w:rsidR="00457247" w:rsidRPr="00D00722" w:rsidRDefault="00457247" w:rsidP="004F01F8">
            <w:pPr>
              <w:autoSpaceDE w:val="0"/>
              <w:autoSpaceDN w:val="0"/>
              <w:adjustRightInd w:val="0"/>
              <w:ind w:left="-108"/>
              <w:rPr>
                <w:rFonts w:ascii="Arial" w:hAnsi="Arial" w:cs="Arial"/>
                <w:bCs/>
                <w:sz w:val="16"/>
                <w:szCs w:val="16"/>
              </w:rPr>
            </w:pPr>
          </w:p>
          <w:p w:rsidR="00457247" w:rsidRPr="00D00722" w:rsidRDefault="00457247" w:rsidP="004F01F8">
            <w:pPr>
              <w:autoSpaceDE w:val="0"/>
              <w:autoSpaceDN w:val="0"/>
              <w:adjustRightInd w:val="0"/>
              <w:ind w:left="-108"/>
              <w:rPr>
                <w:rFonts w:ascii="Arial" w:hAnsi="Arial" w:cs="Arial"/>
                <w:bCs/>
                <w:sz w:val="16"/>
                <w:szCs w:val="16"/>
              </w:rPr>
            </w:pPr>
          </w:p>
          <w:p w:rsidR="00457247" w:rsidRPr="00D00722" w:rsidRDefault="00457247" w:rsidP="004F01F8">
            <w:pPr>
              <w:autoSpaceDE w:val="0"/>
              <w:autoSpaceDN w:val="0"/>
              <w:adjustRightInd w:val="0"/>
              <w:ind w:left="-108"/>
              <w:rPr>
                <w:rFonts w:ascii="Arial" w:hAnsi="Arial" w:cs="Arial"/>
                <w:bCs/>
                <w:sz w:val="16"/>
                <w:szCs w:val="16"/>
                <w:u w:val="single"/>
              </w:rPr>
            </w:pPr>
            <w:r w:rsidRPr="00D00722">
              <w:rPr>
                <w:rFonts w:ascii="Arial" w:hAnsi="Arial" w:cs="Arial"/>
                <w:bCs/>
                <w:sz w:val="16"/>
                <w:szCs w:val="16"/>
              </w:rPr>
              <w:t>Sözleşme uyarınca vadeler</w:t>
            </w:r>
          </w:p>
        </w:tc>
        <w:tc>
          <w:tcPr>
            <w:tcW w:w="1276" w:type="dxa"/>
            <w:tcBorders>
              <w:top w:val="single" w:sz="4" w:space="0" w:color="auto"/>
              <w:left w:val="nil"/>
              <w:bottom w:val="single" w:sz="4" w:space="0" w:color="auto"/>
              <w:right w:val="nil"/>
            </w:tcBorders>
          </w:tcPr>
          <w:p w:rsidR="00457247" w:rsidRPr="00D00722" w:rsidRDefault="00457247" w:rsidP="004F01F8">
            <w:pPr>
              <w:autoSpaceDE w:val="0"/>
              <w:autoSpaceDN w:val="0"/>
              <w:adjustRightInd w:val="0"/>
              <w:jc w:val="right"/>
              <w:rPr>
                <w:rFonts w:ascii="Arial" w:hAnsi="Arial" w:cs="Arial"/>
                <w:b/>
                <w:bCs/>
                <w:sz w:val="16"/>
                <w:szCs w:val="16"/>
              </w:rPr>
            </w:pPr>
          </w:p>
          <w:p w:rsidR="00457247" w:rsidRPr="00D00722" w:rsidRDefault="00457247" w:rsidP="004F01F8">
            <w:pPr>
              <w:autoSpaceDE w:val="0"/>
              <w:autoSpaceDN w:val="0"/>
              <w:adjustRightInd w:val="0"/>
              <w:jc w:val="right"/>
              <w:rPr>
                <w:rFonts w:ascii="Arial" w:hAnsi="Arial" w:cs="Arial"/>
                <w:b/>
                <w:bCs/>
                <w:sz w:val="16"/>
                <w:szCs w:val="16"/>
              </w:rPr>
            </w:pPr>
          </w:p>
          <w:p w:rsidR="00457247" w:rsidRPr="00D00722" w:rsidRDefault="00457247" w:rsidP="004F01F8">
            <w:pPr>
              <w:autoSpaceDE w:val="0"/>
              <w:autoSpaceDN w:val="0"/>
              <w:adjustRightInd w:val="0"/>
              <w:jc w:val="right"/>
              <w:rPr>
                <w:rFonts w:ascii="Arial" w:hAnsi="Arial" w:cs="Arial"/>
                <w:b/>
                <w:bCs/>
                <w:sz w:val="16"/>
                <w:szCs w:val="16"/>
              </w:rPr>
            </w:pPr>
          </w:p>
          <w:p w:rsidR="00457247" w:rsidRPr="00D00722" w:rsidRDefault="00457247" w:rsidP="004F01F8">
            <w:pPr>
              <w:autoSpaceDE w:val="0"/>
              <w:autoSpaceDN w:val="0"/>
              <w:adjustRightInd w:val="0"/>
              <w:jc w:val="right"/>
              <w:rPr>
                <w:rFonts w:ascii="Arial" w:hAnsi="Arial" w:cs="Arial"/>
                <w:b/>
                <w:bCs/>
                <w:sz w:val="16"/>
                <w:szCs w:val="16"/>
              </w:rPr>
            </w:pPr>
            <w:r w:rsidRPr="00D00722">
              <w:rPr>
                <w:rFonts w:ascii="Arial" w:hAnsi="Arial" w:cs="Arial"/>
                <w:b/>
                <w:bCs/>
                <w:sz w:val="16"/>
                <w:szCs w:val="16"/>
              </w:rPr>
              <w:t>Defter değeri</w:t>
            </w:r>
          </w:p>
        </w:tc>
        <w:tc>
          <w:tcPr>
            <w:tcW w:w="1418" w:type="dxa"/>
            <w:tcBorders>
              <w:top w:val="single" w:sz="4" w:space="0" w:color="auto"/>
              <w:left w:val="nil"/>
              <w:bottom w:val="single" w:sz="4" w:space="0" w:color="auto"/>
              <w:right w:val="nil"/>
            </w:tcBorders>
          </w:tcPr>
          <w:p w:rsidR="00457247" w:rsidRPr="00D00722" w:rsidRDefault="00457247" w:rsidP="004F01F8">
            <w:pPr>
              <w:autoSpaceDE w:val="0"/>
              <w:autoSpaceDN w:val="0"/>
              <w:adjustRightInd w:val="0"/>
              <w:jc w:val="right"/>
              <w:rPr>
                <w:rFonts w:ascii="Arial" w:hAnsi="Arial" w:cs="Arial"/>
                <w:b/>
                <w:bCs/>
                <w:sz w:val="16"/>
                <w:szCs w:val="16"/>
              </w:rPr>
            </w:pPr>
            <w:r w:rsidRPr="00D00722">
              <w:rPr>
                <w:rFonts w:ascii="Arial" w:hAnsi="Arial" w:cs="Arial"/>
                <w:b/>
                <w:bCs/>
                <w:sz w:val="16"/>
                <w:szCs w:val="16"/>
              </w:rPr>
              <w:t>Sözleşme uyarınca nakit çıkışlar toplamı (I+II+III+IV)</w:t>
            </w:r>
          </w:p>
        </w:tc>
        <w:tc>
          <w:tcPr>
            <w:tcW w:w="1100" w:type="dxa"/>
            <w:tcBorders>
              <w:top w:val="single" w:sz="4" w:space="0" w:color="auto"/>
              <w:left w:val="nil"/>
              <w:bottom w:val="single" w:sz="4" w:space="0" w:color="auto"/>
              <w:right w:val="nil"/>
            </w:tcBorders>
          </w:tcPr>
          <w:p w:rsidR="00457247" w:rsidRPr="00D00722" w:rsidRDefault="00457247" w:rsidP="004F01F8">
            <w:pPr>
              <w:autoSpaceDE w:val="0"/>
              <w:autoSpaceDN w:val="0"/>
              <w:adjustRightInd w:val="0"/>
              <w:jc w:val="right"/>
              <w:rPr>
                <w:rFonts w:ascii="Arial" w:hAnsi="Arial" w:cs="Arial"/>
                <w:b/>
                <w:bCs/>
                <w:sz w:val="16"/>
                <w:szCs w:val="16"/>
              </w:rPr>
            </w:pPr>
          </w:p>
          <w:p w:rsidR="00457247" w:rsidRPr="00D00722" w:rsidRDefault="00457247" w:rsidP="004F01F8">
            <w:pPr>
              <w:autoSpaceDE w:val="0"/>
              <w:autoSpaceDN w:val="0"/>
              <w:adjustRightInd w:val="0"/>
              <w:jc w:val="right"/>
              <w:rPr>
                <w:rFonts w:ascii="Arial" w:hAnsi="Arial" w:cs="Arial"/>
                <w:b/>
                <w:bCs/>
                <w:sz w:val="16"/>
                <w:szCs w:val="16"/>
              </w:rPr>
            </w:pPr>
          </w:p>
          <w:p w:rsidR="00457247" w:rsidRPr="00D00722" w:rsidRDefault="00457247" w:rsidP="004F01F8">
            <w:pPr>
              <w:autoSpaceDE w:val="0"/>
              <w:autoSpaceDN w:val="0"/>
              <w:adjustRightInd w:val="0"/>
              <w:jc w:val="right"/>
              <w:rPr>
                <w:rFonts w:ascii="Arial" w:hAnsi="Arial" w:cs="Arial"/>
                <w:b/>
                <w:bCs/>
                <w:sz w:val="16"/>
                <w:szCs w:val="16"/>
              </w:rPr>
            </w:pPr>
            <w:r w:rsidRPr="00D00722">
              <w:rPr>
                <w:rFonts w:ascii="Arial" w:hAnsi="Arial" w:cs="Arial"/>
                <w:b/>
                <w:bCs/>
                <w:sz w:val="16"/>
                <w:szCs w:val="16"/>
              </w:rPr>
              <w:t>3 aydan kısa (I)</w:t>
            </w:r>
          </w:p>
        </w:tc>
        <w:tc>
          <w:tcPr>
            <w:tcW w:w="1026" w:type="dxa"/>
            <w:tcBorders>
              <w:top w:val="single" w:sz="4" w:space="0" w:color="auto"/>
              <w:left w:val="nil"/>
              <w:bottom w:val="single" w:sz="4" w:space="0" w:color="auto"/>
              <w:right w:val="nil"/>
            </w:tcBorders>
          </w:tcPr>
          <w:p w:rsidR="00457247" w:rsidRPr="00D00722" w:rsidRDefault="00457247" w:rsidP="004F01F8">
            <w:pPr>
              <w:autoSpaceDE w:val="0"/>
              <w:autoSpaceDN w:val="0"/>
              <w:adjustRightInd w:val="0"/>
              <w:jc w:val="right"/>
              <w:rPr>
                <w:rFonts w:ascii="Arial" w:hAnsi="Arial" w:cs="Arial"/>
                <w:b/>
                <w:bCs/>
                <w:sz w:val="16"/>
                <w:szCs w:val="16"/>
              </w:rPr>
            </w:pPr>
          </w:p>
          <w:p w:rsidR="00457247" w:rsidRPr="00D00722" w:rsidRDefault="00457247" w:rsidP="004F01F8">
            <w:pPr>
              <w:autoSpaceDE w:val="0"/>
              <w:autoSpaceDN w:val="0"/>
              <w:adjustRightInd w:val="0"/>
              <w:jc w:val="right"/>
              <w:rPr>
                <w:rFonts w:ascii="Arial" w:hAnsi="Arial" w:cs="Arial"/>
                <w:b/>
                <w:bCs/>
                <w:sz w:val="16"/>
                <w:szCs w:val="16"/>
              </w:rPr>
            </w:pPr>
          </w:p>
          <w:p w:rsidR="00457247" w:rsidRPr="00D00722" w:rsidRDefault="00457247" w:rsidP="004F01F8">
            <w:pPr>
              <w:autoSpaceDE w:val="0"/>
              <w:autoSpaceDN w:val="0"/>
              <w:adjustRightInd w:val="0"/>
              <w:jc w:val="right"/>
              <w:rPr>
                <w:rFonts w:ascii="Arial" w:hAnsi="Arial" w:cs="Arial"/>
                <w:b/>
                <w:bCs/>
                <w:sz w:val="16"/>
                <w:szCs w:val="16"/>
              </w:rPr>
            </w:pPr>
            <w:r w:rsidRPr="00D00722">
              <w:rPr>
                <w:rFonts w:ascii="Arial" w:hAnsi="Arial" w:cs="Arial"/>
                <w:b/>
                <w:bCs/>
                <w:sz w:val="16"/>
                <w:szCs w:val="16"/>
              </w:rPr>
              <w:t>3 ay - 1 yıl arası (II)</w:t>
            </w:r>
          </w:p>
        </w:tc>
        <w:tc>
          <w:tcPr>
            <w:tcW w:w="850" w:type="dxa"/>
            <w:tcBorders>
              <w:top w:val="single" w:sz="4" w:space="0" w:color="auto"/>
              <w:left w:val="nil"/>
              <w:bottom w:val="single" w:sz="4" w:space="0" w:color="auto"/>
              <w:right w:val="nil"/>
            </w:tcBorders>
          </w:tcPr>
          <w:p w:rsidR="00457247" w:rsidRPr="00D00722" w:rsidRDefault="00457247" w:rsidP="004F01F8">
            <w:pPr>
              <w:autoSpaceDE w:val="0"/>
              <w:autoSpaceDN w:val="0"/>
              <w:adjustRightInd w:val="0"/>
              <w:jc w:val="right"/>
              <w:rPr>
                <w:rFonts w:ascii="Arial" w:hAnsi="Arial" w:cs="Arial"/>
                <w:b/>
                <w:bCs/>
                <w:sz w:val="16"/>
                <w:szCs w:val="16"/>
              </w:rPr>
            </w:pPr>
          </w:p>
          <w:p w:rsidR="00457247" w:rsidRPr="00D00722" w:rsidRDefault="00457247" w:rsidP="004F01F8">
            <w:pPr>
              <w:autoSpaceDE w:val="0"/>
              <w:autoSpaceDN w:val="0"/>
              <w:adjustRightInd w:val="0"/>
              <w:jc w:val="right"/>
              <w:rPr>
                <w:rFonts w:ascii="Arial" w:hAnsi="Arial" w:cs="Arial"/>
                <w:b/>
                <w:bCs/>
                <w:sz w:val="16"/>
                <w:szCs w:val="16"/>
              </w:rPr>
            </w:pPr>
            <w:r w:rsidRPr="00D00722">
              <w:rPr>
                <w:rFonts w:ascii="Arial" w:hAnsi="Arial" w:cs="Arial"/>
                <w:b/>
                <w:bCs/>
                <w:sz w:val="16"/>
                <w:szCs w:val="16"/>
              </w:rPr>
              <w:t>1-5 yıl arası (III)</w:t>
            </w:r>
          </w:p>
        </w:tc>
        <w:tc>
          <w:tcPr>
            <w:tcW w:w="993" w:type="dxa"/>
            <w:tcBorders>
              <w:top w:val="single" w:sz="4" w:space="0" w:color="auto"/>
              <w:left w:val="nil"/>
              <w:bottom w:val="single" w:sz="4" w:space="0" w:color="auto"/>
              <w:right w:val="nil"/>
            </w:tcBorders>
          </w:tcPr>
          <w:p w:rsidR="00457247" w:rsidRPr="00D00722" w:rsidRDefault="00457247" w:rsidP="004F01F8">
            <w:pPr>
              <w:autoSpaceDE w:val="0"/>
              <w:autoSpaceDN w:val="0"/>
              <w:adjustRightInd w:val="0"/>
              <w:jc w:val="right"/>
              <w:rPr>
                <w:rFonts w:ascii="Arial" w:hAnsi="Arial" w:cs="Arial"/>
                <w:b/>
                <w:bCs/>
                <w:sz w:val="16"/>
                <w:szCs w:val="16"/>
              </w:rPr>
            </w:pPr>
          </w:p>
          <w:p w:rsidR="00457247" w:rsidRPr="00D00722" w:rsidRDefault="00457247" w:rsidP="004F01F8">
            <w:pPr>
              <w:autoSpaceDE w:val="0"/>
              <w:autoSpaceDN w:val="0"/>
              <w:adjustRightInd w:val="0"/>
              <w:jc w:val="right"/>
              <w:rPr>
                <w:rFonts w:ascii="Arial" w:hAnsi="Arial" w:cs="Arial"/>
                <w:b/>
                <w:bCs/>
                <w:sz w:val="16"/>
                <w:szCs w:val="16"/>
              </w:rPr>
            </w:pPr>
          </w:p>
          <w:p w:rsidR="00457247" w:rsidRPr="00D00722" w:rsidRDefault="00457247" w:rsidP="004F01F8">
            <w:pPr>
              <w:autoSpaceDE w:val="0"/>
              <w:autoSpaceDN w:val="0"/>
              <w:adjustRightInd w:val="0"/>
              <w:jc w:val="right"/>
              <w:rPr>
                <w:rFonts w:ascii="Arial" w:hAnsi="Arial" w:cs="Arial"/>
                <w:b/>
                <w:bCs/>
                <w:sz w:val="16"/>
                <w:szCs w:val="16"/>
              </w:rPr>
            </w:pPr>
            <w:r w:rsidRPr="00D00722">
              <w:rPr>
                <w:rFonts w:ascii="Arial" w:hAnsi="Arial" w:cs="Arial"/>
                <w:b/>
                <w:bCs/>
                <w:sz w:val="16"/>
                <w:szCs w:val="16"/>
              </w:rPr>
              <w:t>5 yıldan uzun (IV)</w:t>
            </w:r>
          </w:p>
        </w:tc>
      </w:tr>
      <w:tr w:rsidR="00457247" w:rsidRPr="00D00722" w:rsidTr="003C359E">
        <w:trPr>
          <w:trHeight w:val="113"/>
        </w:trPr>
        <w:tc>
          <w:tcPr>
            <w:tcW w:w="2410" w:type="dxa"/>
            <w:tcBorders>
              <w:top w:val="single" w:sz="4" w:space="0" w:color="auto"/>
              <w:left w:val="nil"/>
              <w:bottom w:val="nil"/>
              <w:right w:val="nil"/>
            </w:tcBorders>
          </w:tcPr>
          <w:p w:rsidR="00457247" w:rsidRPr="00D00722" w:rsidRDefault="00457247" w:rsidP="004F01F8">
            <w:pPr>
              <w:autoSpaceDE w:val="0"/>
              <w:autoSpaceDN w:val="0"/>
              <w:adjustRightInd w:val="0"/>
              <w:ind w:left="-108"/>
              <w:jc w:val="right"/>
              <w:rPr>
                <w:rFonts w:ascii="Arial" w:hAnsi="Arial" w:cs="Arial"/>
                <w:color w:val="000000"/>
              </w:rPr>
            </w:pPr>
          </w:p>
        </w:tc>
        <w:tc>
          <w:tcPr>
            <w:tcW w:w="1276" w:type="dxa"/>
            <w:tcBorders>
              <w:top w:val="single" w:sz="4" w:space="0" w:color="auto"/>
              <w:left w:val="nil"/>
              <w:bottom w:val="nil"/>
              <w:right w:val="nil"/>
            </w:tcBorders>
          </w:tcPr>
          <w:p w:rsidR="00457247" w:rsidRPr="00D00722" w:rsidRDefault="00457247" w:rsidP="004F01F8">
            <w:pPr>
              <w:autoSpaceDE w:val="0"/>
              <w:autoSpaceDN w:val="0"/>
              <w:adjustRightInd w:val="0"/>
              <w:jc w:val="right"/>
              <w:rPr>
                <w:rFonts w:ascii="Arial" w:hAnsi="Arial" w:cs="Arial"/>
                <w:color w:val="000000"/>
              </w:rPr>
            </w:pPr>
          </w:p>
        </w:tc>
        <w:tc>
          <w:tcPr>
            <w:tcW w:w="1418" w:type="dxa"/>
            <w:tcBorders>
              <w:top w:val="single" w:sz="4" w:space="0" w:color="auto"/>
              <w:left w:val="nil"/>
              <w:bottom w:val="nil"/>
              <w:right w:val="nil"/>
            </w:tcBorders>
          </w:tcPr>
          <w:p w:rsidR="00457247" w:rsidRPr="00D00722" w:rsidRDefault="00457247" w:rsidP="004F01F8">
            <w:pPr>
              <w:autoSpaceDE w:val="0"/>
              <w:autoSpaceDN w:val="0"/>
              <w:adjustRightInd w:val="0"/>
              <w:jc w:val="right"/>
              <w:rPr>
                <w:rFonts w:ascii="Arial" w:hAnsi="Arial" w:cs="Arial"/>
                <w:color w:val="000000"/>
              </w:rPr>
            </w:pPr>
          </w:p>
        </w:tc>
        <w:tc>
          <w:tcPr>
            <w:tcW w:w="1100" w:type="dxa"/>
            <w:tcBorders>
              <w:top w:val="single" w:sz="4" w:space="0" w:color="auto"/>
              <w:left w:val="nil"/>
              <w:bottom w:val="nil"/>
              <w:right w:val="nil"/>
            </w:tcBorders>
          </w:tcPr>
          <w:p w:rsidR="00457247" w:rsidRPr="00D00722" w:rsidRDefault="00457247" w:rsidP="004F01F8">
            <w:pPr>
              <w:autoSpaceDE w:val="0"/>
              <w:autoSpaceDN w:val="0"/>
              <w:adjustRightInd w:val="0"/>
              <w:jc w:val="right"/>
              <w:rPr>
                <w:rFonts w:ascii="Arial" w:hAnsi="Arial" w:cs="Arial"/>
                <w:color w:val="000000"/>
              </w:rPr>
            </w:pPr>
          </w:p>
        </w:tc>
        <w:tc>
          <w:tcPr>
            <w:tcW w:w="1026" w:type="dxa"/>
            <w:tcBorders>
              <w:top w:val="single" w:sz="4" w:space="0" w:color="auto"/>
              <w:left w:val="nil"/>
              <w:bottom w:val="nil"/>
              <w:right w:val="nil"/>
            </w:tcBorders>
          </w:tcPr>
          <w:p w:rsidR="00457247" w:rsidRPr="00D00722" w:rsidRDefault="00457247" w:rsidP="004F01F8">
            <w:pPr>
              <w:autoSpaceDE w:val="0"/>
              <w:autoSpaceDN w:val="0"/>
              <w:adjustRightInd w:val="0"/>
              <w:jc w:val="right"/>
              <w:rPr>
                <w:rFonts w:ascii="Arial" w:hAnsi="Arial" w:cs="Arial"/>
                <w:color w:val="000000"/>
              </w:rPr>
            </w:pPr>
          </w:p>
        </w:tc>
        <w:tc>
          <w:tcPr>
            <w:tcW w:w="850" w:type="dxa"/>
            <w:tcBorders>
              <w:top w:val="single" w:sz="4" w:space="0" w:color="auto"/>
              <w:left w:val="nil"/>
              <w:bottom w:val="nil"/>
              <w:right w:val="nil"/>
            </w:tcBorders>
          </w:tcPr>
          <w:p w:rsidR="00457247" w:rsidRPr="00D00722" w:rsidRDefault="00457247" w:rsidP="004F01F8">
            <w:pPr>
              <w:autoSpaceDE w:val="0"/>
              <w:autoSpaceDN w:val="0"/>
              <w:adjustRightInd w:val="0"/>
              <w:jc w:val="right"/>
              <w:rPr>
                <w:rFonts w:ascii="Arial" w:hAnsi="Arial" w:cs="Arial"/>
                <w:color w:val="000000"/>
              </w:rPr>
            </w:pPr>
          </w:p>
        </w:tc>
        <w:tc>
          <w:tcPr>
            <w:tcW w:w="993" w:type="dxa"/>
            <w:tcBorders>
              <w:top w:val="single" w:sz="4" w:space="0" w:color="auto"/>
              <w:left w:val="nil"/>
              <w:bottom w:val="nil"/>
              <w:right w:val="nil"/>
            </w:tcBorders>
          </w:tcPr>
          <w:p w:rsidR="00457247" w:rsidRPr="00D00722" w:rsidRDefault="00457247" w:rsidP="004F01F8">
            <w:pPr>
              <w:autoSpaceDE w:val="0"/>
              <w:autoSpaceDN w:val="0"/>
              <w:adjustRightInd w:val="0"/>
              <w:jc w:val="right"/>
              <w:rPr>
                <w:rFonts w:ascii="Arial" w:hAnsi="Arial" w:cs="Arial"/>
                <w:color w:val="000000"/>
              </w:rPr>
            </w:pPr>
          </w:p>
        </w:tc>
      </w:tr>
      <w:tr w:rsidR="00457247" w:rsidRPr="00D00722" w:rsidTr="003C359E">
        <w:trPr>
          <w:trHeight w:val="113"/>
        </w:trPr>
        <w:tc>
          <w:tcPr>
            <w:tcW w:w="2410" w:type="dxa"/>
            <w:tcBorders>
              <w:top w:val="nil"/>
              <w:left w:val="nil"/>
              <w:bottom w:val="nil"/>
              <w:right w:val="nil"/>
            </w:tcBorders>
            <w:vAlign w:val="bottom"/>
          </w:tcPr>
          <w:p w:rsidR="00457247" w:rsidRPr="00D00722" w:rsidRDefault="00457247" w:rsidP="009816F1">
            <w:pPr>
              <w:autoSpaceDE w:val="0"/>
              <w:autoSpaceDN w:val="0"/>
              <w:adjustRightInd w:val="0"/>
              <w:ind w:left="34" w:hanging="142"/>
              <w:rPr>
                <w:rFonts w:ascii="Arial" w:hAnsi="Arial" w:cs="Arial"/>
                <w:color w:val="000000"/>
                <w:sz w:val="16"/>
                <w:szCs w:val="16"/>
              </w:rPr>
            </w:pPr>
            <w:r w:rsidRPr="00D00722">
              <w:rPr>
                <w:rFonts w:ascii="Arial" w:hAnsi="Arial" w:cs="Arial"/>
                <w:color w:val="000000"/>
                <w:sz w:val="16"/>
                <w:szCs w:val="16"/>
              </w:rPr>
              <w:t>Türev olmayan finansal yükümlülükler</w:t>
            </w:r>
          </w:p>
        </w:tc>
        <w:tc>
          <w:tcPr>
            <w:tcW w:w="1276" w:type="dxa"/>
            <w:tcBorders>
              <w:top w:val="nil"/>
              <w:left w:val="nil"/>
              <w:bottom w:val="nil"/>
              <w:right w:val="nil"/>
            </w:tcBorders>
            <w:vAlign w:val="bottom"/>
          </w:tcPr>
          <w:p w:rsidR="00457247" w:rsidRPr="00D00722" w:rsidRDefault="00457247" w:rsidP="009816F1">
            <w:pPr>
              <w:autoSpaceDE w:val="0"/>
              <w:autoSpaceDN w:val="0"/>
              <w:adjustRightInd w:val="0"/>
              <w:rPr>
                <w:rFonts w:ascii="Arial" w:hAnsi="Arial" w:cs="Arial"/>
                <w:color w:val="000000"/>
              </w:rPr>
            </w:pPr>
          </w:p>
        </w:tc>
        <w:tc>
          <w:tcPr>
            <w:tcW w:w="1418" w:type="dxa"/>
            <w:tcBorders>
              <w:top w:val="nil"/>
              <w:left w:val="nil"/>
              <w:bottom w:val="nil"/>
              <w:right w:val="nil"/>
            </w:tcBorders>
            <w:vAlign w:val="bottom"/>
          </w:tcPr>
          <w:p w:rsidR="00457247" w:rsidRPr="00D00722" w:rsidRDefault="00457247" w:rsidP="009816F1">
            <w:pPr>
              <w:autoSpaceDE w:val="0"/>
              <w:autoSpaceDN w:val="0"/>
              <w:adjustRightInd w:val="0"/>
              <w:rPr>
                <w:rFonts w:ascii="Arial" w:hAnsi="Arial" w:cs="Arial"/>
                <w:color w:val="000000"/>
              </w:rPr>
            </w:pPr>
          </w:p>
        </w:tc>
        <w:tc>
          <w:tcPr>
            <w:tcW w:w="1100" w:type="dxa"/>
            <w:tcBorders>
              <w:top w:val="nil"/>
              <w:left w:val="nil"/>
              <w:bottom w:val="nil"/>
              <w:right w:val="nil"/>
            </w:tcBorders>
            <w:vAlign w:val="bottom"/>
          </w:tcPr>
          <w:p w:rsidR="00457247" w:rsidRPr="00D00722" w:rsidRDefault="00457247" w:rsidP="009816F1">
            <w:pPr>
              <w:autoSpaceDE w:val="0"/>
              <w:autoSpaceDN w:val="0"/>
              <w:adjustRightInd w:val="0"/>
              <w:rPr>
                <w:rFonts w:ascii="Arial" w:hAnsi="Arial" w:cs="Arial"/>
                <w:color w:val="000000"/>
              </w:rPr>
            </w:pPr>
          </w:p>
        </w:tc>
        <w:tc>
          <w:tcPr>
            <w:tcW w:w="1026" w:type="dxa"/>
            <w:tcBorders>
              <w:top w:val="nil"/>
              <w:left w:val="nil"/>
              <w:bottom w:val="nil"/>
              <w:right w:val="nil"/>
            </w:tcBorders>
            <w:vAlign w:val="bottom"/>
          </w:tcPr>
          <w:p w:rsidR="00457247" w:rsidRPr="00D00722" w:rsidRDefault="00457247" w:rsidP="009816F1">
            <w:pPr>
              <w:autoSpaceDE w:val="0"/>
              <w:autoSpaceDN w:val="0"/>
              <w:adjustRightInd w:val="0"/>
              <w:rPr>
                <w:rFonts w:ascii="Arial" w:hAnsi="Arial" w:cs="Arial"/>
                <w:color w:val="000000"/>
              </w:rPr>
            </w:pPr>
          </w:p>
        </w:tc>
        <w:tc>
          <w:tcPr>
            <w:tcW w:w="850" w:type="dxa"/>
            <w:tcBorders>
              <w:top w:val="nil"/>
              <w:left w:val="nil"/>
              <w:bottom w:val="nil"/>
              <w:right w:val="nil"/>
            </w:tcBorders>
            <w:vAlign w:val="bottom"/>
          </w:tcPr>
          <w:p w:rsidR="00457247" w:rsidRPr="00D00722" w:rsidRDefault="00457247" w:rsidP="009816F1">
            <w:pPr>
              <w:autoSpaceDE w:val="0"/>
              <w:autoSpaceDN w:val="0"/>
              <w:adjustRightInd w:val="0"/>
              <w:rPr>
                <w:rFonts w:ascii="Arial" w:hAnsi="Arial" w:cs="Arial"/>
                <w:color w:val="000000"/>
              </w:rPr>
            </w:pPr>
          </w:p>
        </w:tc>
        <w:tc>
          <w:tcPr>
            <w:tcW w:w="993" w:type="dxa"/>
            <w:tcBorders>
              <w:top w:val="nil"/>
              <w:left w:val="nil"/>
              <w:bottom w:val="nil"/>
              <w:right w:val="nil"/>
            </w:tcBorders>
            <w:vAlign w:val="bottom"/>
          </w:tcPr>
          <w:p w:rsidR="00457247" w:rsidRPr="00D00722" w:rsidRDefault="00457247" w:rsidP="009816F1">
            <w:pPr>
              <w:autoSpaceDE w:val="0"/>
              <w:autoSpaceDN w:val="0"/>
              <w:adjustRightInd w:val="0"/>
              <w:rPr>
                <w:rFonts w:ascii="Arial" w:hAnsi="Arial" w:cs="Arial"/>
                <w:color w:val="000000"/>
              </w:rPr>
            </w:pPr>
          </w:p>
        </w:tc>
      </w:tr>
      <w:tr w:rsidR="00457247" w:rsidRPr="00D00722" w:rsidTr="003C359E">
        <w:trPr>
          <w:trHeight w:val="113"/>
        </w:trPr>
        <w:tc>
          <w:tcPr>
            <w:tcW w:w="2410" w:type="dxa"/>
            <w:tcBorders>
              <w:top w:val="nil"/>
              <w:left w:val="nil"/>
              <w:bottom w:val="nil"/>
              <w:right w:val="nil"/>
            </w:tcBorders>
          </w:tcPr>
          <w:p w:rsidR="00457247" w:rsidRPr="00D00722" w:rsidRDefault="00457247" w:rsidP="004F01F8">
            <w:pPr>
              <w:autoSpaceDE w:val="0"/>
              <w:autoSpaceDN w:val="0"/>
              <w:adjustRightInd w:val="0"/>
              <w:ind w:left="-108"/>
              <w:rPr>
                <w:rFonts w:ascii="Arial" w:hAnsi="Arial" w:cs="Arial"/>
                <w:color w:val="000000"/>
                <w:sz w:val="16"/>
                <w:szCs w:val="16"/>
              </w:rPr>
            </w:pPr>
            <w:r w:rsidRPr="00D00722">
              <w:rPr>
                <w:rFonts w:ascii="Arial" w:hAnsi="Arial" w:cs="Arial"/>
                <w:color w:val="000000"/>
                <w:sz w:val="16"/>
                <w:szCs w:val="16"/>
              </w:rPr>
              <w:t>Ticari borçlar</w:t>
            </w:r>
          </w:p>
        </w:tc>
        <w:tc>
          <w:tcPr>
            <w:tcW w:w="1276" w:type="dxa"/>
            <w:tcBorders>
              <w:top w:val="nil"/>
              <w:left w:val="nil"/>
              <w:bottom w:val="nil"/>
              <w:right w:val="nil"/>
            </w:tcBorders>
          </w:tcPr>
          <w:p w:rsidR="00457247" w:rsidRPr="00D00722" w:rsidRDefault="009816F1" w:rsidP="004F01F8">
            <w:pPr>
              <w:jc w:val="right"/>
              <w:rPr>
                <w:rFonts w:ascii="Arial" w:hAnsi="Arial" w:cs="Arial"/>
                <w:b/>
                <w:sz w:val="16"/>
                <w:szCs w:val="16"/>
                <w:lang w:val="tr-TR" w:eastAsia="tr-TR"/>
              </w:rPr>
            </w:pPr>
            <w:r w:rsidRPr="00D00722">
              <w:rPr>
                <w:rFonts w:ascii="Arial" w:hAnsi="Arial" w:cs="Arial"/>
                <w:b/>
                <w:sz w:val="16"/>
                <w:szCs w:val="16"/>
                <w:lang w:val="tr-TR" w:eastAsia="tr-TR"/>
              </w:rPr>
              <w:t>50.373</w:t>
            </w:r>
          </w:p>
        </w:tc>
        <w:tc>
          <w:tcPr>
            <w:tcW w:w="1418" w:type="dxa"/>
            <w:tcBorders>
              <w:top w:val="nil"/>
              <w:left w:val="nil"/>
              <w:bottom w:val="nil"/>
              <w:right w:val="nil"/>
            </w:tcBorders>
          </w:tcPr>
          <w:p w:rsidR="00457247" w:rsidRPr="00D00722" w:rsidRDefault="00397C76" w:rsidP="004F01F8">
            <w:pPr>
              <w:jc w:val="right"/>
              <w:rPr>
                <w:rFonts w:ascii="Arial" w:hAnsi="Arial" w:cs="Arial"/>
                <w:b/>
                <w:sz w:val="16"/>
                <w:szCs w:val="16"/>
                <w:lang w:val="tr-TR" w:eastAsia="tr-TR"/>
              </w:rPr>
            </w:pPr>
            <w:r w:rsidRPr="00D00722">
              <w:rPr>
                <w:rFonts w:ascii="Arial" w:hAnsi="Arial" w:cs="Arial"/>
                <w:b/>
                <w:sz w:val="16"/>
                <w:szCs w:val="16"/>
                <w:lang w:val="tr-TR" w:eastAsia="tr-TR"/>
              </w:rPr>
              <w:t>50.373</w:t>
            </w:r>
          </w:p>
        </w:tc>
        <w:tc>
          <w:tcPr>
            <w:tcW w:w="1100" w:type="dxa"/>
            <w:tcBorders>
              <w:top w:val="nil"/>
              <w:left w:val="nil"/>
              <w:bottom w:val="nil"/>
              <w:right w:val="nil"/>
            </w:tcBorders>
          </w:tcPr>
          <w:p w:rsidR="00457247" w:rsidRPr="00D00722" w:rsidRDefault="00397C76" w:rsidP="004F01F8">
            <w:pPr>
              <w:jc w:val="right"/>
              <w:rPr>
                <w:rFonts w:ascii="Arial" w:hAnsi="Arial" w:cs="Arial"/>
                <w:b/>
                <w:sz w:val="16"/>
                <w:szCs w:val="16"/>
                <w:lang w:val="tr-TR" w:eastAsia="tr-TR"/>
              </w:rPr>
            </w:pPr>
            <w:r w:rsidRPr="00D00722">
              <w:rPr>
                <w:rFonts w:ascii="Arial" w:hAnsi="Arial" w:cs="Arial"/>
                <w:b/>
                <w:sz w:val="16"/>
                <w:szCs w:val="16"/>
                <w:lang w:val="tr-TR" w:eastAsia="tr-TR"/>
              </w:rPr>
              <w:t>50.373</w:t>
            </w:r>
          </w:p>
        </w:tc>
        <w:tc>
          <w:tcPr>
            <w:tcW w:w="1026" w:type="dxa"/>
            <w:tcBorders>
              <w:top w:val="nil"/>
              <w:left w:val="nil"/>
              <w:bottom w:val="nil"/>
              <w:right w:val="nil"/>
            </w:tcBorders>
          </w:tcPr>
          <w:p w:rsidR="00457247" w:rsidRPr="00D00722" w:rsidRDefault="00457247" w:rsidP="004F01F8">
            <w:pPr>
              <w:jc w:val="right"/>
              <w:rPr>
                <w:rFonts w:ascii="Arial" w:hAnsi="Arial" w:cs="Arial"/>
                <w:sz w:val="16"/>
                <w:szCs w:val="16"/>
                <w:lang w:val="tr-TR" w:eastAsia="tr-TR"/>
              </w:rPr>
            </w:pPr>
            <w:r w:rsidRPr="00D00722">
              <w:rPr>
                <w:rFonts w:ascii="Arial" w:hAnsi="Arial" w:cs="Arial"/>
                <w:sz w:val="16"/>
                <w:szCs w:val="16"/>
                <w:lang w:val="tr-TR" w:eastAsia="tr-TR"/>
              </w:rPr>
              <w:t>-</w:t>
            </w:r>
          </w:p>
        </w:tc>
        <w:tc>
          <w:tcPr>
            <w:tcW w:w="850" w:type="dxa"/>
            <w:tcBorders>
              <w:top w:val="nil"/>
              <w:left w:val="nil"/>
              <w:bottom w:val="nil"/>
              <w:right w:val="nil"/>
            </w:tcBorders>
          </w:tcPr>
          <w:p w:rsidR="00457247" w:rsidRPr="00D00722" w:rsidRDefault="00457247" w:rsidP="004F01F8">
            <w:pPr>
              <w:jc w:val="right"/>
              <w:rPr>
                <w:rFonts w:ascii="Arial" w:hAnsi="Arial" w:cs="Arial"/>
                <w:sz w:val="16"/>
                <w:szCs w:val="16"/>
                <w:lang w:val="tr-TR" w:eastAsia="tr-TR"/>
              </w:rPr>
            </w:pPr>
            <w:r w:rsidRPr="00D00722">
              <w:rPr>
                <w:rFonts w:ascii="Arial" w:hAnsi="Arial" w:cs="Arial"/>
                <w:sz w:val="16"/>
                <w:szCs w:val="16"/>
                <w:lang w:val="tr-TR" w:eastAsia="tr-TR"/>
              </w:rPr>
              <w:t>-</w:t>
            </w:r>
          </w:p>
        </w:tc>
        <w:tc>
          <w:tcPr>
            <w:tcW w:w="993" w:type="dxa"/>
            <w:tcBorders>
              <w:top w:val="nil"/>
              <w:left w:val="nil"/>
              <w:bottom w:val="nil"/>
              <w:right w:val="nil"/>
            </w:tcBorders>
          </w:tcPr>
          <w:p w:rsidR="00457247" w:rsidRPr="00D00722" w:rsidRDefault="00457247" w:rsidP="004F01F8">
            <w:pPr>
              <w:jc w:val="right"/>
              <w:rPr>
                <w:rFonts w:ascii="Arial" w:hAnsi="Arial" w:cs="Arial"/>
                <w:sz w:val="16"/>
                <w:szCs w:val="16"/>
                <w:lang w:val="tr-TR" w:eastAsia="tr-TR"/>
              </w:rPr>
            </w:pPr>
            <w:r w:rsidRPr="00D00722">
              <w:rPr>
                <w:rFonts w:ascii="Arial" w:hAnsi="Arial" w:cs="Arial"/>
                <w:sz w:val="16"/>
                <w:szCs w:val="16"/>
                <w:lang w:val="tr-TR" w:eastAsia="tr-TR"/>
              </w:rPr>
              <w:t>-</w:t>
            </w:r>
          </w:p>
        </w:tc>
      </w:tr>
      <w:tr w:rsidR="00457247" w:rsidRPr="00D00722" w:rsidTr="003C359E">
        <w:trPr>
          <w:trHeight w:val="113"/>
        </w:trPr>
        <w:tc>
          <w:tcPr>
            <w:tcW w:w="2410" w:type="dxa"/>
            <w:tcBorders>
              <w:top w:val="nil"/>
              <w:left w:val="nil"/>
              <w:bottom w:val="nil"/>
              <w:right w:val="nil"/>
            </w:tcBorders>
          </w:tcPr>
          <w:p w:rsidR="00457247" w:rsidRPr="00D00722" w:rsidRDefault="00457247" w:rsidP="004F01F8">
            <w:pPr>
              <w:autoSpaceDE w:val="0"/>
              <w:autoSpaceDN w:val="0"/>
              <w:adjustRightInd w:val="0"/>
              <w:ind w:left="-108"/>
              <w:rPr>
                <w:rFonts w:ascii="Arial" w:hAnsi="Arial" w:cs="Arial"/>
                <w:color w:val="000000"/>
                <w:sz w:val="16"/>
                <w:szCs w:val="16"/>
              </w:rPr>
            </w:pPr>
            <w:r w:rsidRPr="00D00722">
              <w:rPr>
                <w:rFonts w:ascii="Arial" w:hAnsi="Arial" w:cs="Arial"/>
                <w:color w:val="000000"/>
                <w:sz w:val="16"/>
                <w:szCs w:val="16"/>
              </w:rPr>
              <w:t xml:space="preserve">Diğer borçlar </w:t>
            </w:r>
          </w:p>
        </w:tc>
        <w:tc>
          <w:tcPr>
            <w:tcW w:w="1276" w:type="dxa"/>
            <w:tcBorders>
              <w:top w:val="nil"/>
              <w:left w:val="nil"/>
              <w:bottom w:val="nil"/>
              <w:right w:val="nil"/>
            </w:tcBorders>
          </w:tcPr>
          <w:p w:rsidR="00457247" w:rsidRPr="00D00722" w:rsidRDefault="009816F1" w:rsidP="004F01F8">
            <w:pPr>
              <w:jc w:val="right"/>
              <w:rPr>
                <w:rFonts w:ascii="Arial" w:hAnsi="Arial" w:cs="Arial"/>
                <w:b/>
                <w:sz w:val="16"/>
                <w:szCs w:val="16"/>
                <w:lang w:val="tr-TR" w:eastAsia="tr-TR"/>
              </w:rPr>
            </w:pPr>
            <w:r w:rsidRPr="00D00722">
              <w:rPr>
                <w:rFonts w:ascii="Arial" w:hAnsi="Arial" w:cs="Arial"/>
                <w:b/>
                <w:sz w:val="16"/>
                <w:szCs w:val="16"/>
                <w:lang w:val="tr-TR" w:eastAsia="tr-TR"/>
              </w:rPr>
              <w:t>9.343</w:t>
            </w:r>
          </w:p>
        </w:tc>
        <w:tc>
          <w:tcPr>
            <w:tcW w:w="1418" w:type="dxa"/>
            <w:tcBorders>
              <w:top w:val="nil"/>
              <w:left w:val="nil"/>
              <w:bottom w:val="nil"/>
              <w:right w:val="nil"/>
            </w:tcBorders>
          </w:tcPr>
          <w:p w:rsidR="00457247" w:rsidRPr="00D00722" w:rsidRDefault="00397C76" w:rsidP="004F01F8">
            <w:pPr>
              <w:jc w:val="right"/>
              <w:rPr>
                <w:rFonts w:ascii="Arial" w:hAnsi="Arial" w:cs="Arial"/>
                <w:b/>
                <w:sz w:val="16"/>
                <w:szCs w:val="16"/>
                <w:lang w:val="tr-TR" w:eastAsia="tr-TR"/>
              </w:rPr>
            </w:pPr>
            <w:r w:rsidRPr="00D00722">
              <w:rPr>
                <w:rFonts w:ascii="Arial" w:hAnsi="Arial" w:cs="Arial"/>
                <w:b/>
                <w:sz w:val="16"/>
                <w:szCs w:val="16"/>
                <w:lang w:val="tr-TR" w:eastAsia="tr-TR"/>
              </w:rPr>
              <w:t>9.343</w:t>
            </w:r>
          </w:p>
        </w:tc>
        <w:tc>
          <w:tcPr>
            <w:tcW w:w="1100" w:type="dxa"/>
            <w:tcBorders>
              <w:top w:val="nil"/>
              <w:left w:val="nil"/>
              <w:bottom w:val="nil"/>
              <w:right w:val="nil"/>
            </w:tcBorders>
          </w:tcPr>
          <w:p w:rsidR="00457247" w:rsidRPr="00D00722" w:rsidRDefault="00397C76" w:rsidP="004F01F8">
            <w:pPr>
              <w:jc w:val="right"/>
              <w:rPr>
                <w:rFonts w:ascii="Arial" w:hAnsi="Arial" w:cs="Arial"/>
                <w:b/>
                <w:sz w:val="16"/>
                <w:szCs w:val="16"/>
                <w:lang w:val="tr-TR" w:eastAsia="tr-TR"/>
              </w:rPr>
            </w:pPr>
            <w:r w:rsidRPr="00D00722">
              <w:rPr>
                <w:rFonts w:ascii="Arial" w:hAnsi="Arial" w:cs="Arial"/>
                <w:b/>
                <w:sz w:val="16"/>
                <w:szCs w:val="16"/>
                <w:lang w:val="tr-TR" w:eastAsia="tr-TR"/>
              </w:rPr>
              <w:t>9.343</w:t>
            </w:r>
          </w:p>
        </w:tc>
        <w:tc>
          <w:tcPr>
            <w:tcW w:w="1026" w:type="dxa"/>
            <w:tcBorders>
              <w:top w:val="nil"/>
              <w:left w:val="nil"/>
              <w:bottom w:val="nil"/>
              <w:right w:val="nil"/>
            </w:tcBorders>
          </w:tcPr>
          <w:p w:rsidR="00457247" w:rsidRPr="00D00722" w:rsidRDefault="00457247" w:rsidP="004F01F8">
            <w:pPr>
              <w:jc w:val="right"/>
              <w:rPr>
                <w:rFonts w:ascii="Arial" w:hAnsi="Arial" w:cs="Arial"/>
                <w:sz w:val="16"/>
                <w:szCs w:val="16"/>
                <w:lang w:val="tr-TR" w:eastAsia="tr-TR"/>
              </w:rPr>
            </w:pPr>
            <w:r w:rsidRPr="00D00722">
              <w:rPr>
                <w:rFonts w:ascii="Arial" w:hAnsi="Arial" w:cs="Arial"/>
                <w:sz w:val="16"/>
                <w:szCs w:val="16"/>
                <w:lang w:val="tr-TR" w:eastAsia="tr-TR"/>
              </w:rPr>
              <w:t>-</w:t>
            </w:r>
          </w:p>
        </w:tc>
        <w:tc>
          <w:tcPr>
            <w:tcW w:w="850" w:type="dxa"/>
            <w:tcBorders>
              <w:top w:val="nil"/>
              <w:left w:val="nil"/>
              <w:bottom w:val="nil"/>
              <w:right w:val="nil"/>
            </w:tcBorders>
          </w:tcPr>
          <w:p w:rsidR="00457247" w:rsidRPr="00D00722" w:rsidRDefault="00457247" w:rsidP="004F01F8">
            <w:pPr>
              <w:jc w:val="right"/>
              <w:rPr>
                <w:rFonts w:ascii="Arial" w:hAnsi="Arial" w:cs="Arial"/>
                <w:sz w:val="16"/>
                <w:szCs w:val="16"/>
                <w:lang w:val="tr-TR" w:eastAsia="tr-TR"/>
              </w:rPr>
            </w:pPr>
            <w:r w:rsidRPr="00D00722">
              <w:rPr>
                <w:rFonts w:ascii="Arial" w:hAnsi="Arial" w:cs="Arial"/>
                <w:sz w:val="16"/>
                <w:szCs w:val="16"/>
                <w:lang w:val="tr-TR" w:eastAsia="tr-TR"/>
              </w:rPr>
              <w:t>-</w:t>
            </w:r>
          </w:p>
        </w:tc>
        <w:tc>
          <w:tcPr>
            <w:tcW w:w="993" w:type="dxa"/>
            <w:tcBorders>
              <w:top w:val="nil"/>
              <w:left w:val="nil"/>
              <w:bottom w:val="nil"/>
              <w:right w:val="nil"/>
            </w:tcBorders>
          </w:tcPr>
          <w:p w:rsidR="00457247" w:rsidRPr="00D00722" w:rsidRDefault="00457247" w:rsidP="004F01F8">
            <w:pPr>
              <w:jc w:val="right"/>
              <w:rPr>
                <w:rFonts w:ascii="Arial" w:hAnsi="Arial" w:cs="Arial"/>
                <w:sz w:val="16"/>
                <w:szCs w:val="16"/>
                <w:lang w:val="tr-TR" w:eastAsia="tr-TR"/>
              </w:rPr>
            </w:pPr>
            <w:r w:rsidRPr="00D00722">
              <w:rPr>
                <w:rFonts w:ascii="Arial" w:hAnsi="Arial" w:cs="Arial"/>
                <w:sz w:val="16"/>
                <w:szCs w:val="16"/>
                <w:lang w:val="tr-TR" w:eastAsia="tr-TR"/>
              </w:rPr>
              <w:t>-</w:t>
            </w:r>
          </w:p>
        </w:tc>
      </w:tr>
      <w:tr w:rsidR="00457247" w:rsidRPr="00D00722" w:rsidTr="003C359E">
        <w:trPr>
          <w:trHeight w:val="113"/>
        </w:trPr>
        <w:tc>
          <w:tcPr>
            <w:tcW w:w="2410" w:type="dxa"/>
            <w:tcBorders>
              <w:top w:val="nil"/>
              <w:left w:val="nil"/>
              <w:bottom w:val="single" w:sz="6" w:space="0" w:color="auto"/>
              <w:right w:val="nil"/>
            </w:tcBorders>
          </w:tcPr>
          <w:p w:rsidR="00457247" w:rsidRPr="00D00722" w:rsidRDefault="00457247" w:rsidP="004F01F8">
            <w:pPr>
              <w:autoSpaceDE w:val="0"/>
              <w:autoSpaceDN w:val="0"/>
              <w:adjustRightInd w:val="0"/>
              <w:ind w:left="-108"/>
              <w:jc w:val="right"/>
              <w:rPr>
                <w:rFonts w:ascii="Arial" w:hAnsi="Arial" w:cs="Arial"/>
                <w:color w:val="000000"/>
              </w:rPr>
            </w:pPr>
          </w:p>
        </w:tc>
        <w:tc>
          <w:tcPr>
            <w:tcW w:w="1276" w:type="dxa"/>
            <w:tcBorders>
              <w:top w:val="nil"/>
              <w:left w:val="nil"/>
              <w:bottom w:val="single" w:sz="6" w:space="0" w:color="auto"/>
              <w:right w:val="nil"/>
            </w:tcBorders>
          </w:tcPr>
          <w:p w:rsidR="00457247" w:rsidRPr="00D00722" w:rsidRDefault="00457247" w:rsidP="004F01F8">
            <w:pPr>
              <w:autoSpaceDE w:val="0"/>
              <w:autoSpaceDN w:val="0"/>
              <w:adjustRightInd w:val="0"/>
              <w:jc w:val="right"/>
              <w:rPr>
                <w:rFonts w:ascii="Arial" w:hAnsi="Arial" w:cs="Arial"/>
                <w:b/>
                <w:color w:val="000000"/>
              </w:rPr>
            </w:pPr>
          </w:p>
        </w:tc>
        <w:tc>
          <w:tcPr>
            <w:tcW w:w="1418" w:type="dxa"/>
            <w:tcBorders>
              <w:top w:val="nil"/>
              <w:left w:val="nil"/>
              <w:bottom w:val="single" w:sz="6" w:space="0" w:color="auto"/>
              <w:right w:val="nil"/>
            </w:tcBorders>
          </w:tcPr>
          <w:p w:rsidR="00457247" w:rsidRPr="00D00722" w:rsidRDefault="00457247" w:rsidP="004F01F8">
            <w:pPr>
              <w:autoSpaceDE w:val="0"/>
              <w:autoSpaceDN w:val="0"/>
              <w:adjustRightInd w:val="0"/>
              <w:jc w:val="right"/>
              <w:rPr>
                <w:rFonts w:ascii="Arial" w:hAnsi="Arial" w:cs="Arial"/>
                <w:b/>
                <w:color w:val="000000"/>
              </w:rPr>
            </w:pPr>
          </w:p>
        </w:tc>
        <w:tc>
          <w:tcPr>
            <w:tcW w:w="1100" w:type="dxa"/>
            <w:tcBorders>
              <w:top w:val="nil"/>
              <w:left w:val="nil"/>
              <w:bottom w:val="single" w:sz="6" w:space="0" w:color="auto"/>
              <w:right w:val="nil"/>
            </w:tcBorders>
          </w:tcPr>
          <w:p w:rsidR="00457247" w:rsidRPr="00D00722" w:rsidRDefault="00457247" w:rsidP="004F01F8">
            <w:pPr>
              <w:autoSpaceDE w:val="0"/>
              <w:autoSpaceDN w:val="0"/>
              <w:adjustRightInd w:val="0"/>
              <w:jc w:val="right"/>
              <w:rPr>
                <w:rFonts w:ascii="Arial" w:hAnsi="Arial" w:cs="Arial"/>
                <w:b/>
                <w:color w:val="000000"/>
              </w:rPr>
            </w:pPr>
          </w:p>
        </w:tc>
        <w:tc>
          <w:tcPr>
            <w:tcW w:w="1026" w:type="dxa"/>
            <w:tcBorders>
              <w:top w:val="nil"/>
              <w:left w:val="nil"/>
              <w:bottom w:val="single" w:sz="6" w:space="0" w:color="auto"/>
              <w:right w:val="nil"/>
            </w:tcBorders>
          </w:tcPr>
          <w:p w:rsidR="00457247" w:rsidRPr="00D00722" w:rsidRDefault="00457247" w:rsidP="004F01F8">
            <w:pPr>
              <w:autoSpaceDE w:val="0"/>
              <w:autoSpaceDN w:val="0"/>
              <w:adjustRightInd w:val="0"/>
              <w:jc w:val="right"/>
              <w:rPr>
                <w:rFonts w:ascii="Arial" w:hAnsi="Arial" w:cs="Arial"/>
                <w:color w:val="000000"/>
              </w:rPr>
            </w:pPr>
          </w:p>
        </w:tc>
        <w:tc>
          <w:tcPr>
            <w:tcW w:w="850" w:type="dxa"/>
            <w:tcBorders>
              <w:top w:val="nil"/>
              <w:left w:val="nil"/>
              <w:bottom w:val="single" w:sz="6" w:space="0" w:color="auto"/>
              <w:right w:val="nil"/>
            </w:tcBorders>
          </w:tcPr>
          <w:p w:rsidR="00457247" w:rsidRPr="00D00722" w:rsidRDefault="00457247" w:rsidP="004F01F8">
            <w:pPr>
              <w:autoSpaceDE w:val="0"/>
              <w:autoSpaceDN w:val="0"/>
              <w:adjustRightInd w:val="0"/>
              <w:jc w:val="right"/>
              <w:rPr>
                <w:rFonts w:ascii="Arial" w:hAnsi="Arial" w:cs="Arial"/>
                <w:color w:val="000000"/>
              </w:rPr>
            </w:pPr>
          </w:p>
        </w:tc>
        <w:tc>
          <w:tcPr>
            <w:tcW w:w="993" w:type="dxa"/>
            <w:tcBorders>
              <w:top w:val="nil"/>
              <w:left w:val="nil"/>
              <w:bottom w:val="single" w:sz="6" w:space="0" w:color="auto"/>
              <w:right w:val="nil"/>
            </w:tcBorders>
          </w:tcPr>
          <w:p w:rsidR="00457247" w:rsidRPr="00D00722" w:rsidRDefault="00457247" w:rsidP="004F01F8">
            <w:pPr>
              <w:autoSpaceDE w:val="0"/>
              <w:autoSpaceDN w:val="0"/>
              <w:adjustRightInd w:val="0"/>
              <w:jc w:val="right"/>
              <w:rPr>
                <w:rFonts w:ascii="Arial" w:hAnsi="Arial" w:cs="Arial"/>
                <w:color w:val="000000"/>
              </w:rPr>
            </w:pPr>
          </w:p>
        </w:tc>
      </w:tr>
      <w:tr w:rsidR="00457247" w:rsidRPr="00D00722" w:rsidTr="003C359E">
        <w:trPr>
          <w:trHeight w:val="113"/>
        </w:trPr>
        <w:tc>
          <w:tcPr>
            <w:tcW w:w="2410" w:type="dxa"/>
            <w:tcBorders>
              <w:top w:val="single" w:sz="6" w:space="0" w:color="auto"/>
              <w:left w:val="nil"/>
              <w:bottom w:val="double" w:sz="4" w:space="0" w:color="auto"/>
              <w:right w:val="nil"/>
            </w:tcBorders>
          </w:tcPr>
          <w:p w:rsidR="00457247" w:rsidRPr="00D00722" w:rsidRDefault="00457247" w:rsidP="004F01F8">
            <w:pPr>
              <w:autoSpaceDE w:val="0"/>
              <w:autoSpaceDN w:val="0"/>
              <w:adjustRightInd w:val="0"/>
              <w:ind w:left="-108"/>
              <w:rPr>
                <w:rFonts w:ascii="Arial" w:hAnsi="Arial" w:cs="Arial"/>
                <w:b/>
                <w:bCs/>
                <w:color w:val="000000"/>
                <w:sz w:val="16"/>
                <w:szCs w:val="16"/>
              </w:rPr>
            </w:pPr>
            <w:r w:rsidRPr="00D00722">
              <w:rPr>
                <w:rFonts w:ascii="Arial" w:hAnsi="Arial" w:cs="Arial"/>
                <w:b/>
                <w:bCs/>
                <w:color w:val="000000"/>
                <w:sz w:val="16"/>
                <w:szCs w:val="16"/>
              </w:rPr>
              <w:t>Toplam</w:t>
            </w:r>
          </w:p>
        </w:tc>
        <w:tc>
          <w:tcPr>
            <w:tcW w:w="1276" w:type="dxa"/>
            <w:tcBorders>
              <w:top w:val="single" w:sz="6" w:space="0" w:color="auto"/>
              <w:left w:val="nil"/>
              <w:bottom w:val="double" w:sz="4" w:space="0" w:color="auto"/>
              <w:right w:val="nil"/>
            </w:tcBorders>
          </w:tcPr>
          <w:p w:rsidR="00457247" w:rsidRPr="00D00722" w:rsidRDefault="005E7692" w:rsidP="004F01F8">
            <w:pPr>
              <w:autoSpaceDE w:val="0"/>
              <w:autoSpaceDN w:val="0"/>
              <w:adjustRightInd w:val="0"/>
              <w:jc w:val="right"/>
              <w:rPr>
                <w:rFonts w:ascii="Arial" w:hAnsi="Arial" w:cs="Arial"/>
                <w:b/>
                <w:bCs/>
                <w:color w:val="000000"/>
                <w:sz w:val="16"/>
                <w:szCs w:val="16"/>
              </w:rPr>
            </w:pPr>
            <w:r w:rsidRPr="00D00722">
              <w:rPr>
                <w:rFonts w:ascii="Arial" w:hAnsi="Arial" w:cs="Arial"/>
                <w:b/>
                <w:bCs/>
                <w:color w:val="000000"/>
                <w:sz w:val="16"/>
                <w:szCs w:val="16"/>
              </w:rPr>
              <w:t>59.716</w:t>
            </w:r>
          </w:p>
        </w:tc>
        <w:tc>
          <w:tcPr>
            <w:tcW w:w="1418" w:type="dxa"/>
            <w:tcBorders>
              <w:top w:val="single" w:sz="6" w:space="0" w:color="auto"/>
              <w:left w:val="nil"/>
              <w:bottom w:val="double" w:sz="4" w:space="0" w:color="auto"/>
              <w:right w:val="nil"/>
            </w:tcBorders>
          </w:tcPr>
          <w:p w:rsidR="00457247" w:rsidRPr="00D00722" w:rsidRDefault="005E7692" w:rsidP="004F01F8">
            <w:pPr>
              <w:autoSpaceDE w:val="0"/>
              <w:autoSpaceDN w:val="0"/>
              <w:adjustRightInd w:val="0"/>
              <w:jc w:val="right"/>
              <w:rPr>
                <w:rFonts w:ascii="Arial" w:hAnsi="Arial" w:cs="Arial"/>
                <w:b/>
                <w:bCs/>
                <w:color w:val="000000"/>
                <w:sz w:val="16"/>
                <w:szCs w:val="16"/>
              </w:rPr>
            </w:pPr>
            <w:r w:rsidRPr="00D00722">
              <w:rPr>
                <w:rFonts w:ascii="Arial" w:hAnsi="Arial" w:cs="Arial"/>
                <w:b/>
                <w:bCs/>
                <w:color w:val="000000"/>
                <w:sz w:val="16"/>
                <w:szCs w:val="16"/>
              </w:rPr>
              <w:t>59.716</w:t>
            </w:r>
          </w:p>
        </w:tc>
        <w:tc>
          <w:tcPr>
            <w:tcW w:w="1100" w:type="dxa"/>
            <w:tcBorders>
              <w:top w:val="single" w:sz="6" w:space="0" w:color="auto"/>
              <w:left w:val="nil"/>
              <w:bottom w:val="double" w:sz="4" w:space="0" w:color="auto"/>
              <w:right w:val="nil"/>
            </w:tcBorders>
          </w:tcPr>
          <w:p w:rsidR="00457247" w:rsidRPr="00D00722" w:rsidRDefault="005E7692" w:rsidP="004F01F8">
            <w:pPr>
              <w:autoSpaceDE w:val="0"/>
              <w:autoSpaceDN w:val="0"/>
              <w:adjustRightInd w:val="0"/>
              <w:jc w:val="right"/>
              <w:rPr>
                <w:rFonts w:ascii="Arial" w:hAnsi="Arial" w:cs="Arial"/>
                <w:b/>
                <w:bCs/>
                <w:color w:val="000000"/>
                <w:sz w:val="16"/>
                <w:szCs w:val="16"/>
              </w:rPr>
            </w:pPr>
            <w:r w:rsidRPr="00D00722">
              <w:rPr>
                <w:rFonts w:ascii="Arial" w:hAnsi="Arial" w:cs="Arial"/>
                <w:b/>
                <w:bCs/>
                <w:color w:val="000000"/>
                <w:sz w:val="16"/>
                <w:szCs w:val="16"/>
              </w:rPr>
              <w:t>59.716</w:t>
            </w:r>
          </w:p>
        </w:tc>
        <w:tc>
          <w:tcPr>
            <w:tcW w:w="1026" w:type="dxa"/>
            <w:tcBorders>
              <w:top w:val="single" w:sz="6" w:space="0" w:color="auto"/>
              <w:left w:val="nil"/>
              <w:bottom w:val="double" w:sz="4" w:space="0" w:color="auto"/>
              <w:right w:val="nil"/>
            </w:tcBorders>
          </w:tcPr>
          <w:p w:rsidR="00457247" w:rsidRPr="00D00722" w:rsidRDefault="00457247" w:rsidP="004F01F8">
            <w:pPr>
              <w:autoSpaceDE w:val="0"/>
              <w:autoSpaceDN w:val="0"/>
              <w:adjustRightInd w:val="0"/>
              <w:jc w:val="right"/>
              <w:rPr>
                <w:rFonts w:ascii="Arial" w:hAnsi="Arial" w:cs="Arial"/>
                <w:b/>
                <w:bCs/>
                <w:color w:val="000000"/>
                <w:sz w:val="16"/>
                <w:szCs w:val="16"/>
              </w:rPr>
            </w:pPr>
            <w:r w:rsidRPr="00D00722">
              <w:rPr>
                <w:rFonts w:ascii="Arial" w:hAnsi="Arial" w:cs="Arial"/>
                <w:b/>
                <w:bCs/>
                <w:color w:val="000000"/>
                <w:sz w:val="16"/>
                <w:szCs w:val="16"/>
              </w:rPr>
              <w:t>-</w:t>
            </w:r>
          </w:p>
        </w:tc>
        <w:tc>
          <w:tcPr>
            <w:tcW w:w="850" w:type="dxa"/>
            <w:tcBorders>
              <w:top w:val="single" w:sz="6" w:space="0" w:color="auto"/>
              <w:left w:val="nil"/>
              <w:bottom w:val="double" w:sz="4" w:space="0" w:color="auto"/>
              <w:right w:val="nil"/>
            </w:tcBorders>
          </w:tcPr>
          <w:p w:rsidR="00457247" w:rsidRPr="00D00722" w:rsidRDefault="00457247" w:rsidP="004F01F8">
            <w:pPr>
              <w:autoSpaceDE w:val="0"/>
              <w:autoSpaceDN w:val="0"/>
              <w:adjustRightInd w:val="0"/>
              <w:jc w:val="right"/>
              <w:rPr>
                <w:rFonts w:ascii="Arial" w:hAnsi="Arial" w:cs="Arial"/>
                <w:b/>
                <w:bCs/>
                <w:color w:val="000000"/>
                <w:sz w:val="16"/>
                <w:szCs w:val="16"/>
              </w:rPr>
            </w:pPr>
            <w:r w:rsidRPr="00D00722">
              <w:rPr>
                <w:rFonts w:ascii="Arial" w:hAnsi="Arial" w:cs="Arial"/>
                <w:b/>
                <w:bCs/>
                <w:color w:val="000000"/>
                <w:sz w:val="16"/>
                <w:szCs w:val="16"/>
              </w:rPr>
              <w:t>-</w:t>
            </w:r>
          </w:p>
        </w:tc>
        <w:tc>
          <w:tcPr>
            <w:tcW w:w="993" w:type="dxa"/>
            <w:tcBorders>
              <w:top w:val="single" w:sz="6" w:space="0" w:color="auto"/>
              <w:left w:val="nil"/>
              <w:bottom w:val="double" w:sz="4" w:space="0" w:color="auto"/>
              <w:right w:val="nil"/>
            </w:tcBorders>
          </w:tcPr>
          <w:p w:rsidR="00457247" w:rsidRPr="00D00722" w:rsidRDefault="00457247" w:rsidP="004F01F8">
            <w:pPr>
              <w:autoSpaceDE w:val="0"/>
              <w:autoSpaceDN w:val="0"/>
              <w:adjustRightInd w:val="0"/>
              <w:jc w:val="right"/>
              <w:rPr>
                <w:rFonts w:ascii="Arial" w:hAnsi="Arial" w:cs="Arial"/>
                <w:b/>
                <w:bCs/>
                <w:color w:val="000000"/>
                <w:sz w:val="16"/>
                <w:szCs w:val="16"/>
              </w:rPr>
            </w:pPr>
            <w:r w:rsidRPr="00D00722">
              <w:rPr>
                <w:rFonts w:ascii="Arial" w:hAnsi="Arial" w:cs="Arial"/>
                <w:b/>
                <w:bCs/>
                <w:color w:val="000000"/>
                <w:sz w:val="16"/>
                <w:szCs w:val="16"/>
              </w:rPr>
              <w:t>-</w:t>
            </w:r>
          </w:p>
        </w:tc>
      </w:tr>
    </w:tbl>
    <w:p w:rsidR="00703977" w:rsidRPr="00D00722" w:rsidRDefault="00703977" w:rsidP="000C0FD0">
      <w:pPr>
        <w:pStyle w:val="BodyTextIndent"/>
        <w:ind w:left="0" w:firstLine="0"/>
        <w:jc w:val="both"/>
        <w:rPr>
          <w:rFonts w:ascii="Arial" w:hAnsi="Arial" w:cs="Arial"/>
          <w:b/>
          <w:sz w:val="20"/>
          <w:lang w:val="tr-TR"/>
        </w:rPr>
      </w:pPr>
    </w:p>
    <w:p w:rsidR="00111F56" w:rsidRPr="00D00722" w:rsidRDefault="00365D75" w:rsidP="00111F56">
      <w:pPr>
        <w:widowControl w:val="0"/>
        <w:ind w:right="-23"/>
        <w:rPr>
          <w:rFonts w:ascii="Arial" w:hAnsi="Arial" w:cs="Arial"/>
          <w:lang w:val="tr-TR"/>
        </w:rPr>
      </w:pPr>
      <w:r w:rsidRPr="00D00722">
        <w:rPr>
          <w:rFonts w:ascii="Arial" w:hAnsi="Arial" w:cs="Arial"/>
          <w:lang w:val="tr-TR"/>
        </w:rPr>
        <w:t>Beklenen vade</w:t>
      </w:r>
      <w:r w:rsidR="0049653A" w:rsidRPr="00D00722">
        <w:rPr>
          <w:rFonts w:ascii="Arial" w:hAnsi="Arial" w:cs="Arial"/>
          <w:lang w:val="tr-TR"/>
        </w:rPr>
        <w:t>ler</w:t>
      </w:r>
      <w:r w:rsidRPr="00D00722">
        <w:rPr>
          <w:rFonts w:ascii="Arial" w:hAnsi="Arial" w:cs="Arial"/>
          <w:lang w:val="tr-TR"/>
        </w:rPr>
        <w:t xml:space="preserve">, sözleşme vadelerinden farklı olmadığı için ayrıca bir tablo verilmemiştir. </w:t>
      </w:r>
    </w:p>
    <w:p w:rsidR="00A4519C" w:rsidRPr="00D00722" w:rsidRDefault="00A4519C" w:rsidP="00111F56">
      <w:pPr>
        <w:widowControl w:val="0"/>
        <w:ind w:right="-23"/>
        <w:rPr>
          <w:rFonts w:ascii="Arial" w:hAnsi="Arial" w:cs="Arial"/>
          <w:b/>
          <w:spacing w:val="-2"/>
          <w:lang w:val="tr-TR"/>
        </w:rPr>
      </w:pPr>
    </w:p>
    <w:p w:rsidR="00A4519C" w:rsidRPr="00D00722" w:rsidRDefault="00A4519C" w:rsidP="00111F56">
      <w:pPr>
        <w:widowControl w:val="0"/>
        <w:ind w:right="-23"/>
        <w:rPr>
          <w:rFonts w:ascii="Arial" w:hAnsi="Arial" w:cs="Arial"/>
          <w:b/>
          <w:spacing w:val="-2"/>
          <w:lang w:val="tr-TR"/>
        </w:rPr>
      </w:pPr>
    </w:p>
    <w:p w:rsidR="00A4519C" w:rsidRPr="00D00722" w:rsidRDefault="00A4519C" w:rsidP="00111F56">
      <w:pPr>
        <w:widowControl w:val="0"/>
        <w:ind w:right="-23"/>
        <w:rPr>
          <w:rFonts w:ascii="Arial" w:hAnsi="Arial" w:cs="Arial"/>
          <w:b/>
          <w:spacing w:val="-2"/>
          <w:lang w:val="tr-TR"/>
        </w:rPr>
      </w:pPr>
    </w:p>
    <w:p w:rsidR="00A4519C" w:rsidRPr="00D00722" w:rsidRDefault="00A4519C" w:rsidP="00111F56">
      <w:pPr>
        <w:widowControl w:val="0"/>
        <w:ind w:right="-23"/>
        <w:rPr>
          <w:rFonts w:ascii="Arial" w:hAnsi="Arial" w:cs="Arial"/>
          <w:b/>
          <w:spacing w:val="-2"/>
          <w:lang w:val="tr-TR"/>
        </w:rPr>
      </w:pPr>
    </w:p>
    <w:p w:rsidR="00A4519C" w:rsidRPr="00D00722" w:rsidRDefault="00A4519C" w:rsidP="00111F56">
      <w:pPr>
        <w:widowControl w:val="0"/>
        <w:ind w:right="-23"/>
        <w:rPr>
          <w:rFonts w:ascii="Arial" w:hAnsi="Arial" w:cs="Arial"/>
          <w:b/>
          <w:spacing w:val="-2"/>
          <w:lang w:val="tr-TR"/>
        </w:rPr>
      </w:pPr>
    </w:p>
    <w:p w:rsidR="00A4519C" w:rsidRPr="00D00722" w:rsidRDefault="00A4519C" w:rsidP="00111F56">
      <w:pPr>
        <w:widowControl w:val="0"/>
        <w:ind w:right="-23"/>
        <w:rPr>
          <w:rFonts w:ascii="Arial" w:hAnsi="Arial" w:cs="Arial"/>
          <w:b/>
          <w:spacing w:val="-2"/>
          <w:lang w:val="tr-TR"/>
        </w:rPr>
      </w:pPr>
    </w:p>
    <w:p w:rsidR="003B42C2" w:rsidRPr="00D00722" w:rsidRDefault="003B42C2">
      <w:pPr>
        <w:rPr>
          <w:rFonts w:ascii="Arial" w:hAnsi="Arial" w:cs="Arial"/>
          <w:b/>
          <w:spacing w:val="-2"/>
          <w:lang w:val="tr-TR"/>
        </w:rPr>
      </w:pPr>
      <w:r w:rsidRPr="00D00722">
        <w:rPr>
          <w:rFonts w:ascii="Arial" w:hAnsi="Arial" w:cs="Arial"/>
          <w:b/>
          <w:spacing w:val="-2"/>
          <w:lang w:val="tr-TR"/>
        </w:rPr>
        <w:br w:type="page"/>
      </w:r>
    </w:p>
    <w:p w:rsidR="00E83219" w:rsidRPr="00D00722" w:rsidRDefault="006D6214" w:rsidP="00111F56">
      <w:pPr>
        <w:widowControl w:val="0"/>
        <w:ind w:right="-23"/>
        <w:rPr>
          <w:rFonts w:ascii="Arial" w:hAnsi="Arial" w:cs="Arial"/>
          <w:lang w:val="tr-TR"/>
        </w:rPr>
      </w:pPr>
      <w:r w:rsidRPr="00D00722">
        <w:rPr>
          <w:rFonts w:ascii="Arial" w:hAnsi="Arial" w:cs="Arial"/>
          <w:b/>
          <w:spacing w:val="-2"/>
          <w:lang w:val="tr-TR"/>
        </w:rPr>
        <w:t>24</w:t>
      </w:r>
      <w:r w:rsidR="00E83219" w:rsidRPr="00D00722">
        <w:rPr>
          <w:rFonts w:ascii="Arial" w:hAnsi="Arial" w:cs="Arial"/>
          <w:b/>
          <w:spacing w:val="-2"/>
          <w:lang w:val="tr-TR"/>
        </w:rPr>
        <w:t>.</w:t>
      </w:r>
      <w:r w:rsidR="00E83219" w:rsidRPr="00D00722">
        <w:rPr>
          <w:rFonts w:ascii="Arial" w:hAnsi="Arial" w:cs="Arial"/>
          <w:b/>
          <w:spacing w:val="-2"/>
          <w:lang w:val="tr-TR"/>
        </w:rPr>
        <w:tab/>
        <w:t>Finansal araçlardan kaynaklanan risklerin niteliği ve düzeyi (devamı)</w:t>
      </w:r>
    </w:p>
    <w:p w:rsidR="005F31F2" w:rsidRPr="00D00722" w:rsidRDefault="005F31F2" w:rsidP="0090567F">
      <w:pPr>
        <w:widowControl w:val="0"/>
        <w:ind w:right="-23"/>
        <w:rPr>
          <w:rFonts w:ascii="Arial" w:hAnsi="Arial" w:cs="Arial"/>
          <w:u w:val="single"/>
          <w:lang w:val="tr-TR"/>
        </w:rPr>
      </w:pPr>
    </w:p>
    <w:p w:rsidR="005F31F2" w:rsidRPr="00D00722" w:rsidRDefault="005F31F2" w:rsidP="0090567F">
      <w:pPr>
        <w:pStyle w:val="BodyText2"/>
        <w:tabs>
          <w:tab w:val="clear" w:pos="-720"/>
          <w:tab w:val="clear" w:pos="0"/>
        </w:tabs>
        <w:jc w:val="left"/>
        <w:rPr>
          <w:rFonts w:ascii="Arial" w:hAnsi="Arial" w:cs="Arial"/>
          <w:b/>
          <w:bCs/>
          <w:iCs/>
          <w:spacing w:val="-2"/>
          <w:sz w:val="20"/>
          <w:lang w:val="tr-TR"/>
        </w:rPr>
      </w:pPr>
      <w:r w:rsidRPr="00D00722">
        <w:rPr>
          <w:rFonts w:ascii="Arial" w:hAnsi="Arial" w:cs="Arial"/>
          <w:b/>
          <w:bCs/>
          <w:iCs/>
          <w:spacing w:val="-2"/>
          <w:sz w:val="20"/>
          <w:lang w:val="tr-TR"/>
        </w:rPr>
        <w:t>Kur riski</w:t>
      </w:r>
    </w:p>
    <w:p w:rsidR="005F31F2" w:rsidRPr="00D00722" w:rsidRDefault="005F31F2" w:rsidP="0090567F">
      <w:pPr>
        <w:pStyle w:val="BodyText2"/>
        <w:tabs>
          <w:tab w:val="clear" w:pos="-720"/>
          <w:tab w:val="clear" w:pos="0"/>
        </w:tabs>
        <w:jc w:val="left"/>
        <w:rPr>
          <w:rFonts w:ascii="Arial" w:hAnsi="Arial" w:cs="Arial"/>
          <w:sz w:val="20"/>
          <w:lang w:val="tr-TR"/>
        </w:rPr>
      </w:pPr>
    </w:p>
    <w:p w:rsidR="005D7A38" w:rsidRPr="00D00722" w:rsidRDefault="005D7A38" w:rsidP="0090567F">
      <w:pPr>
        <w:widowControl w:val="0"/>
        <w:ind w:right="-23"/>
        <w:rPr>
          <w:rFonts w:ascii="Arial" w:hAnsi="Arial" w:cs="Arial"/>
          <w:lang w:val="tr-TR"/>
        </w:rPr>
      </w:pPr>
      <w:r w:rsidRPr="00D00722">
        <w:rPr>
          <w:rFonts w:ascii="Arial" w:hAnsi="Arial" w:cs="Arial"/>
          <w:lang w:val="tr-TR"/>
        </w:rPr>
        <w:t xml:space="preserve">Yabancı para varlıklar, yükümlülükler ve bilanço dışı yükümlülüklere sahip olma durumunda ortaya çıkan kur hareketlerinden kaynaklanacak etkiler kur riskini oluşturmaktadır. Şirket’in </w:t>
      </w:r>
      <w:r w:rsidR="003972A7" w:rsidRPr="00D00722">
        <w:rPr>
          <w:rFonts w:ascii="Arial" w:hAnsi="Arial" w:cs="Arial"/>
          <w:lang w:val="tr-TR"/>
        </w:rPr>
        <w:t xml:space="preserve">31 </w:t>
      </w:r>
      <w:r w:rsidR="00BC2303" w:rsidRPr="00D00722">
        <w:rPr>
          <w:rFonts w:ascii="Arial" w:hAnsi="Arial" w:cs="Arial"/>
          <w:lang w:val="tr-TR"/>
        </w:rPr>
        <w:t>Mart</w:t>
      </w:r>
      <w:r w:rsidR="003972A7" w:rsidRPr="00D00722">
        <w:rPr>
          <w:rFonts w:ascii="Arial" w:hAnsi="Arial" w:cs="Arial"/>
          <w:lang w:val="tr-TR"/>
        </w:rPr>
        <w:t xml:space="preserve"> </w:t>
      </w:r>
      <w:r w:rsidR="00111F56" w:rsidRPr="00D00722">
        <w:rPr>
          <w:rFonts w:ascii="Arial" w:hAnsi="Arial" w:cs="Arial"/>
          <w:lang w:val="tr-TR"/>
        </w:rPr>
        <w:t>201</w:t>
      </w:r>
      <w:r w:rsidR="00BC2303" w:rsidRPr="00D00722">
        <w:rPr>
          <w:rFonts w:ascii="Arial" w:hAnsi="Arial" w:cs="Arial"/>
          <w:lang w:val="tr-TR"/>
        </w:rPr>
        <w:t>4</w:t>
      </w:r>
      <w:r w:rsidR="008064E9" w:rsidRPr="00D00722">
        <w:rPr>
          <w:rFonts w:ascii="Arial" w:hAnsi="Arial" w:cs="Arial"/>
          <w:lang w:val="tr-TR"/>
        </w:rPr>
        <w:t xml:space="preserve"> ve</w:t>
      </w:r>
      <w:r w:rsidR="00DC5ACA" w:rsidRPr="00D00722">
        <w:rPr>
          <w:rFonts w:ascii="Arial" w:hAnsi="Arial" w:cs="Arial"/>
          <w:lang w:val="tr-TR"/>
        </w:rPr>
        <w:t xml:space="preserve"> </w:t>
      </w:r>
      <w:r w:rsidR="00111F56" w:rsidRPr="00D00722">
        <w:rPr>
          <w:rFonts w:ascii="Arial" w:hAnsi="Arial" w:cs="Arial"/>
          <w:lang w:val="tr-TR"/>
        </w:rPr>
        <w:t>201</w:t>
      </w:r>
      <w:r w:rsidR="00BC2303" w:rsidRPr="00D00722">
        <w:rPr>
          <w:rFonts w:ascii="Arial" w:hAnsi="Arial" w:cs="Arial"/>
          <w:lang w:val="tr-TR"/>
        </w:rPr>
        <w:t>3</w:t>
      </w:r>
      <w:r w:rsidRPr="00D00722">
        <w:rPr>
          <w:rFonts w:ascii="Arial" w:hAnsi="Arial" w:cs="Arial"/>
          <w:lang w:val="tr-TR"/>
        </w:rPr>
        <w:t xml:space="preserve"> tarihleri </w:t>
      </w:r>
      <w:r w:rsidR="00200AA8" w:rsidRPr="00D00722">
        <w:rPr>
          <w:rFonts w:ascii="Arial" w:hAnsi="Arial" w:cs="Arial"/>
          <w:lang w:val="tr-TR"/>
        </w:rPr>
        <w:t>itibariyle</w:t>
      </w:r>
      <w:r w:rsidRPr="00D00722">
        <w:rPr>
          <w:rFonts w:ascii="Arial" w:hAnsi="Arial" w:cs="Arial"/>
          <w:lang w:val="tr-TR"/>
        </w:rPr>
        <w:t xml:space="preserve"> dövize dayalı varlık ve yükümlülükleri bulunmadığından kur riskine maruz kalmamıştır.</w:t>
      </w:r>
    </w:p>
    <w:p w:rsidR="00E83219" w:rsidRPr="00D00722" w:rsidRDefault="00E83219" w:rsidP="00AE0484">
      <w:pPr>
        <w:pStyle w:val="BodyTextIndent"/>
        <w:ind w:left="567" w:hanging="567"/>
        <w:jc w:val="both"/>
        <w:rPr>
          <w:rFonts w:ascii="Arial" w:hAnsi="Arial" w:cs="Arial"/>
          <w:b/>
          <w:sz w:val="20"/>
          <w:lang w:val="tr-TR"/>
        </w:rPr>
      </w:pPr>
    </w:p>
    <w:p w:rsidR="003B42C2" w:rsidRPr="00D00722" w:rsidRDefault="003B42C2" w:rsidP="00AE0484">
      <w:pPr>
        <w:pStyle w:val="BodyTextIndent"/>
        <w:ind w:left="567" w:hanging="567"/>
        <w:jc w:val="both"/>
        <w:rPr>
          <w:rFonts w:ascii="Arial" w:hAnsi="Arial" w:cs="Arial"/>
          <w:b/>
          <w:sz w:val="20"/>
          <w:lang w:val="tr-TR"/>
        </w:rPr>
      </w:pPr>
    </w:p>
    <w:p w:rsidR="003B15CB" w:rsidRPr="00D00722" w:rsidRDefault="006D6214" w:rsidP="00AE0484">
      <w:pPr>
        <w:pStyle w:val="BodyTextIndent"/>
        <w:ind w:left="567" w:hanging="567"/>
        <w:jc w:val="both"/>
        <w:rPr>
          <w:rFonts w:ascii="Arial" w:hAnsi="Arial" w:cs="Arial"/>
          <w:b/>
          <w:sz w:val="20"/>
          <w:lang w:val="tr-TR"/>
        </w:rPr>
      </w:pPr>
      <w:r w:rsidRPr="00D00722">
        <w:rPr>
          <w:rFonts w:ascii="Arial" w:hAnsi="Arial" w:cs="Arial"/>
          <w:b/>
          <w:sz w:val="20"/>
          <w:lang w:val="tr-TR"/>
        </w:rPr>
        <w:t>25</w:t>
      </w:r>
      <w:r w:rsidR="003B15CB" w:rsidRPr="00D00722">
        <w:rPr>
          <w:rFonts w:ascii="Arial" w:hAnsi="Arial" w:cs="Arial"/>
          <w:b/>
          <w:sz w:val="20"/>
          <w:lang w:val="tr-TR"/>
        </w:rPr>
        <w:t>.</w:t>
      </w:r>
      <w:r w:rsidR="003B15CB" w:rsidRPr="00D00722">
        <w:rPr>
          <w:rFonts w:ascii="Arial" w:hAnsi="Arial" w:cs="Arial"/>
          <w:b/>
          <w:sz w:val="20"/>
          <w:lang w:val="tr-TR"/>
        </w:rPr>
        <w:tab/>
      </w:r>
      <w:r w:rsidR="003C0653" w:rsidRPr="00D00722">
        <w:rPr>
          <w:rFonts w:ascii="Arial" w:hAnsi="Arial" w:cs="Arial"/>
          <w:b/>
          <w:sz w:val="20"/>
          <w:lang w:val="tr-TR"/>
        </w:rPr>
        <w:t>Finansal araçlar</w:t>
      </w:r>
    </w:p>
    <w:p w:rsidR="003C0653" w:rsidRPr="00D00722" w:rsidRDefault="003C0653" w:rsidP="003C0653">
      <w:pPr>
        <w:ind w:right="-306"/>
        <w:rPr>
          <w:rFonts w:ascii="Arial" w:hAnsi="Arial" w:cs="Arial"/>
          <w:lang w:val="tr-TR"/>
        </w:rPr>
      </w:pPr>
    </w:p>
    <w:p w:rsidR="004362C7" w:rsidRPr="00D00722" w:rsidRDefault="004362C7" w:rsidP="004362C7">
      <w:pPr>
        <w:ind w:right="-306"/>
        <w:rPr>
          <w:rFonts w:ascii="Arial" w:hAnsi="Arial" w:cs="Arial"/>
          <w:u w:val="single"/>
          <w:lang w:val="nl-BE"/>
        </w:rPr>
      </w:pPr>
      <w:r w:rsidRPr="00D00722">
        <w:rPr>
          <w:rFonts w:ascii="Arial" w:hAnsi="Arial" w:cs="Arial"/>
          <w:u w:val="single"/>
          <w:lang w:val="nl-BE"/>
        </w:rPr>
        <w:t>Finansal araçlar kategorileri</w:t>
      </w:r>
    </w:p>
    <w:p w:rsidR="004362C7" w:rsidRPr="00D00722" w:rsidRDefault="004362C7" w:rsidP="004362C7">
      <w:pPr>
        <w:pStyle w:val="BodyTextIndent"/>
        <w:ind w:left="567" w:hanging="567"/>
        <w:jc w:val="both"/>
        <w:rPr>
          <w:rFonts w:ascii="Arial" w:hAnsi="Arial" w:cs="Arial"/>
          <w:sz w:val="20"/>
          <w:lang w:val="tr-TR"/>
        </w:rPr>
      </w:pPr>
    </w:p>
    <w:tbl>
      <w:tblPr>
        <w:tblW w:w="9072" w:type="dxa"/>
        <w:tblInd w:w="108" w:type="dxa"/>
        <w:tblLayout w:type="fixed"/>
        <w:tblLook w:val="0000"/>
      </w:tblPr>
      <w:tblGrid>
        <w:gridCol w:w="5954"/>
        <w:gridCol w:w="1559"/>
        <w:gridCol w:w="1559"/>
      </w:tblGrid>
      <w:tr w:rsidR="004362C7" w:rsidRPr="00D00722" w:rsidTr="00ED6F5D">
        <w:trPr>
          <w:trHeight w:val="113"/>
        </w:trPr>
        <w:tc>
          <w:tcPr>
            <w:tcW w:w="5954" w:type="dxa"/>
            <w:tcBorders>
              <w:top w:val="single" w:sz="6" w:space="0" w:color="auto"/>
              <w:left w:val="nil"/>
              <w:bottom w:val="single" w:sz="6" w:space="0" w:color="auto"/>
              <w:right w:val="nil"/>
            </w:tcBorders>
            <w:vAlign w:val="bottom"/>
          </w:tcPr>
          <w:p w:rsidR="004362C7" w:rsidRPr="00D00722" w:rsidRDefault="004362C7" w:rsidP="00BC5560">
            <w:pPr>
              <w:autoSpaceDE w:val="0"/>
              <w:autoSpaceDN w:val="0"/>
              <w:adjustRightInd w:val="0"/>
              <w:ind w:hanging="108"/>
              <w:rPr>
                <w:rFonts w:ascii="Arial" w:hAnsi="Arial" w:cs="Arial"/>
                <w:b/>
                <w:bCs/>
                <w:color w:val="000000"/>
              </w:rPr>
            </w:pPr>
            <w:r w:rsidRPr="00D00722">
              <w:rPr>
                <w:rFonts w:ascii="Arial" w:hAnsi="Arial" w:cs="Arial"/>
                <w:b/>
                <w:bCs/>
                <w:color w:val="000000"/>
              </w:rPr>
              <w:t xml:space="preserve">31 </w:t>
            </w:r>
            <w:r w:rsidR="00BC5560" w:rsidRPr="00D00722">
              <w:rPr>
                <w:rFonts w:ascii="Arial" w:hAnsi="Arial" w:cs="Arial"/>
                <w:b/>
                <w:bCs/>
                <w:color w:val="000000"/>
              </w:rPr>
              <w:t>Mart</w:t>
            </w:r>
            <w:r w:rsidRPr="00D00722">
              <w:rPr>
                <w:rFonts w:ascii="Arial" w:hAnsi="Arial" w:cs="Arial"/>
                <w:b/>
                <w:bCs/>
                <w:color w:val="000000"/>
              </w:rPr>
              <w:t xml:space="preserve"> 201</w:t>
            </w:r>
            <w:r w:rsidR="00BC5560" w:rsidRPr="00D00722">
              <w:rPr>
                <w:rFonts w:ascii="Arial" w:hAnsi="Arial" w:cs="Arial"/>
                <w:b/>
                <w:bCs/>
                <w:color w:val="000000"/>
              </w:rPr>
              <w:t>4</w:t>
            </w:r>
          </w:p>
        </w:tc>
        <w:tc>
          <w:tcPr>
            <w:tcW w:w="1559" w:type="dxa"/>
            <w:tcBorders>
              <w:top w:val="single" w:sz="6" w:space="0" w:color="auto"/>
              <w:left w:val="nil"/>
              <w:bottom w:val="single" w:sz="6" w:space="0" w:color="auto"/>
              <w:right w:val="nil"/>
            </w:tcBorders>
            <w:vAlign w:val="bottom"/>
          </w:tcPr>
          <w:p w:rsidR="004362C7" w:rsidRPr="00D00722" w:rsidRDefault="004362C7" w:rsidP="00ED6F5D">
            <w:pPr>
              <w:autoSpaceDE w:val="0"/>
              <w:autoSpaceDN w:val="0"/>
              <w:adjustRightInd w:val="0"/>
              <w:jc w:val="right"/>
              <w:rPr>
                <w:rFonts w:ascii="Arial" w:hAnsi="Arial" w:cs="Arial"/>
                <w:b/>
                <w:bCs/>
                <w:color w:val="000000"/>
              </w:rPr>
            </w:pPr>
            <w:r w:rsidRPr="00D00722">
              <w:rPr>
                <w:rFonts w:ascii="Arial" w:hAnsi="Arial" w:cs="Arial"/>
                <w:b/>
                <w:bCs/>
                <w:color w:val="000000"/>
              </w:rPr>
              <w:t>Defter değeri</w:t>
            </w:r>
          </w:p>
        </w:tc>
        <w:tc>
          <w:tcPr>
            <w:tcW w:w="1559" w:type="dxa"/>
            <w:tcBorders>
              <w:top w:val="single" w:sz="6" w:space="0" w:color="auto"/>
              <w:left w:val="nil"/>
              <w:bottom w:val="single" w:sz="6" w:space="0" w:color="auto"/>
              <w:right w:val="nil"/>
            </w:tcBorders>
            <w:vAlign w:val="bottom"/>
          </w:tcPr>
          <w:p w:rsidR="004362C7" w:rsidRPr="00D00722" w:rsidRDefault="004362C7" w:rsidP="00ED6F5D">
            <w:pPr>
              <w:autoSpaceDE w:val="0"/>
              <w:autoSpaceDN w:val="0"/>
              <w:adjustRightInd w:val="0"/>
              <w:jc w:val="right"/>
              <w:rPr>
                <w:rFonts w:ascii="Arial" w:hAnsi="Arial" w:cs="Arial"/>
                <w:b/>
                <w:bCs/>
                <w:color w:val="000000"/>
              </w:rPr>
            </w:pPr>
            <w:r w:rsidRPr="00D00722">
              <w:rPr>
                <w:rFonts w:ascii="Arial" w:hAnsi="Arial" w:cs="Arial"/>
                <w:b/>
                <w:bCs/>
                <w:color w:val="000000"/>
              </w:rPr>
              <w:t>Gerçeğe uygun değeri</w:t>
            </w:r>
          </w:p>
        </w:tc>
      </w:tr>
      <w:tr w:rsidR="004362C7" w:rsidRPr="00D00722" w:rsidTr="00ED6F5D">
        <w:trPr>
          <w:trHeight w:val="113"/>
        </w:trPr>
        <w:tc>
          <w:tcPr>
            <w:tcW w:w="5954" w:type="dxa"/>
            <w:tcBorders>
              <w:top w:val="nil"/>
              <w:left w:val="nil"/>
              <w:bottom w:val="nil"/>
              <w:right w:val="nil"/>
            </w:tcBorders>
            <w:vAlign w:val="bottom"/>
          </w:tcPr>
          <w:p w:rsidR="004362C7" w:rsidRPr="00D00722" w:rsidRDefault="004362C7" w:rsidP="00ED6F5D">
            <w:pPr>
              <w:autoSpaceDE w:val="0"/>
              <w:autoSpaceDN w:val="0"/>
              <w:adjustRightInd w:val="0"/>
              <w:ind w:hanging="108"/>
              <w:rPr>
                <w:rFonts w:ascii="Arial" w:hAnsi="Arial" w:cs="Arial"/>
                <w:color w:val="000000"/>
              </w:rPr>
            </w:pPr>
          </w:p>
        </w:tc>
        <w:tc>
          <w:tcPr>
            <w:tcW w:w="1559" w:type="dxa"/>
            <w:tcBorders>
              <w:top w:val="nil"/>
              <w:left w:val="nil"/>
              <w:bottom w:val="nil"/>
              <w:right w:val="nil"/>
            </w:tcBorders>
            <w:vAlign w:val="bottom"/>
          </w:tcPr>
          <w:p w:rsidR="004362C7" w:rsidRPr="00D00722" w:rsidRDefault="004362C7" w:rsidP="00ED6F5D">
            <w:pPr>
              <w:autoSpaceDE w:val="0"/>
              <w:autoSpaceDN w:val="0"/>
              <w:adjustRightInd w:val="0"/>
              <w:jc w:val="right"/>
              <w:rPr>
                <w:rFonts w:ascii="Arial" w:hAnsi="Arial" w:cs="Arial"/>
                <w:b/>
                <w:color w:val="000000"/>
              </w:rPr>
            </w:pPr>
          </w:p>
        </w:tc>
        <w:tc>
          <w:tcPr>
            <w:tcW w:w="1559" w:type="dxa"/>
            <w:tcBorders>
              <w:top w:val="nil"/>
              <w:left w:val="nil"/>
              <w:bottom w:val="nil"/>
              <w:right w:val="nil"/>
            </w:tcBorders>
            <w:vAlign w:val="bottom"/>
          </w:tcPr>
          <w:p w:rsidR="004362C7" w:rsidRPr="00D00722" w:rsidRDefault="004362C7" w:rsidP="00ED6F5D">
            <w:pPr>
              <w:autoSpaceDE w:val="0"/>
              <w:autoSpaceDN w:val="0"/>
              <w:adjustRightInd w:val="0"/>
              <w:jc w:val="right"/>
              <w:rPr>
                <w:rFonts w:ascii="Arial" w:hAnsi="Arial" w:cs="Arial"/>
                <w:b/>
                <w:color w:val="000000"/>
              </w:rPr>
            </w:pPr>
          </w:p>
        </w:tc>
      </w:tr>
      <w:tr w:rsidR="004362C7" w:rsidRPr="00D00722" w:rsidTr="00ED6F5D">
        <w:trPr>
          <w:trHeight w:val="113"/>
        </w:trPr>
        <w:tc>
          <w:tcPr>
            <w:tcW w:w="5954" w:type="dxa"/>
            <w:tcBorders>
              <w:top w:val="nil"/>
              <w:left w:val="nil"/>
              <w:bottom w:val="nil"/>
              <w:right w:val="nil"/>
            </w:tcBorders>
            <w:vAlign w:val="bottom"/>
          </w:tcPr>
          <w:p w:rsidR="004362C7" w:rsidRPr="00D00722" w:rsidRDefault="004362C7" w:rsidP="00ED6F5D">
            <w:pPr>
              <w:autoSpaceDE w:val="0"/>
              <w:autoSpaceDN w:val="0"/>
              <w:adjustRightInd w:val="0"/>
              <w:ind w:hanging="108"/>
              <w:rPr>
                <w:rFonts w:ascii="Arial" w:hAnsi="Arial" w:cs="Arial"/>
                <w:iCs/>
                <w:color w:val="000000"/>
              </w:rPr>
            </w:pPr>
            <w:r w:rsidRPr="00D00722">
              <w:rPr>
                <w:rFonts w:ascii="Arial" w:hAnsi="Arial" w:cs="Arial"/>
                <w:iCs/>
                <w:color w:val="000000"/>
              </w:rPr>
              <w:t>Finansal varlıklar</w:t>
            </w:r>
          </w:p>
        </w:tc>
        <w:tc>
          <w:tcPr>
            <w:tcW w:w="1559" w:type="dxa"/>
            <w:tcBorders>
              <w:top w:val="nil"/>
              <w:left w:val="nil"/>
              <w:bottom w:val="nil"/>
              <w:right w:val="nil"/>
            </w:tcBorders>
            <w:vAlign w:val="bottom"/>
          </w:tcPr>
          <w:p w:rsidR="004362C7" w:rsidRPr="00D00722" w:rsidRDefault="004362C7" w:rsidP="00ED6F5D">
            <w:pPr>
              <w:autoSpaceDE w:val="0"/>
              <w:autoSpaceDN w:val="0"/>
              <w:adjustRightInd w:val="0"/>
              <w:jc w:val="right"/>
              <w:rPr>
                <w:rFonts w:ascii="Arial" w:hAnsi="Arial" w:cs="Arial"/>
                <w:b/>
                <w:color w:val="000000"/>
              </w:rPr>
            </w:pPr>
          </w:p>
        </w:tc>
        <w:tc>
          <w:tcPr>
            <w:tcW w:w="1559" w:type="dxa"/>
            <w:tcBorders>
              <w:top w:val="nil"/>
              <w:left w:val="nil"/>
              <w:bottom w:val="nil"/>
              <w:right w:val="nil"/>
            </w:tcBorders>
            <w:vAlign w:val="bottom"/>
          </w:tcPr>
          <w:p w:rsidR="004362C7" w:rsidRPr="00D00722" w:rsidRDefault="004362C7" w:rsidP="00ED6F5D">
            <w:pPr>
              <w:autoSpaceDE w:val="0"/>
              <w:autoSpaceDN w:val="0"/>
              <w:adjustRightInd w:val="0"/>
              <w:jc w:val="right"/>
              <w:rPr>
                <w:rFonts w:ascii="Arial" w:hAnsi="Arial" w:cs="Arial"/>
                <w:b/>
                <w:color w:val="000000"/>
              </w:rPr>
            </w:pPr>
          </w:p>
        </w:tc>
      </w:tr>
      <w:tr w:rsidR="004362C7" w:rsidRPr="00D00722" w:rsidTr="00ED6F5D">
        <w:trPr>
          <w:trHeight w:val="113"/>
        </w:trPr>
        <w:tc>
          <w:tcPr>
            <w:tcW w:w="5954" w:type="dxa"/>
            <w:tcBorders>
              <w:top w:val="nil"/>
              <w:left w:val="nil"/>
              <w:bottom w:val="nil"/>
              <w:right w:val="nil"/>
            </w:tcBorders>
            <w:vAlign w:val="bottom"/>
          </w:tcPr>
          <w:p w:rsidR="004362C7" w:rsidRPr="00D00722" w:rsidRDefault="004362C7" w:rsidP="00ED6F5D">
            <w:pPr>
              <w:autoSpaceDE w:val="0"/>
              <w:autoSpaceDN w:val="0"/>
              <w:adjustRightInd w:val="0"/>
              <w:ind w:hanging="108"/>
              <w:rPr>
                <w:rFonts w:ascii="Arial" w:hAnsi="Arial" w:cs="Arial"/>
                <w:color w:val="000000"/>
              </w:rPr>
            </w:pPr>
            <w:r w:rsidRPr="00D00722">
              <w:rPr>
                <w:rFonts w:ascii="Arial" w:hAnsi="Arial" w:cs="Arial"/>
                <w:color w:val="000000"/>
              </w:rPr>
              <w:t>Nakit ve nakit benzerleri</w:t>
            </w:r>
          </w:p>
        </w:tc>
        <w:tc>
          <w:tcPr>
            <w:tcW w:w="1559" w:type="dxa"/>
            <w:tcBorders>
              <w:top w:val="nil"/>
              <w:left w:val="nil"/>
              <w:bottom w:val="nil"/>
              <w:right w:val="nil"/>
            </w:tcBorders>
            <w:vAlign w:val="bottom"/>
          </w:tcPr>
          <w:p w:rsidR="004362C7" w:rsidRPr="00D00722" w:rsidRDefault="00BC5560" w:rsidP="00ED6F5D">
            <w:pPr>
              <w:autoSpaceDE w:val="0"/>
              <w:autoSpaceDN w:val="0"/>
              <w:adjustRightInd w:val="0"/>
              <w:jc w:val="right"/>
              <w:rPr>
                <w:rFonts w:ascii="Arial" w:hAnsi="Arial" w:cs="Arial"/>
                <w:b/>
                <w:color w:val="000000"/>
              </w:rPr>
            </w:pPr>
            <w:r w:rsidRPr="00D00722">
              <w:rPr>
                <w:rFonts w:ascii="Arial" w:hAnsi="Arial" w:cs="Arial"/>
                <w:b/>
                <w:color w:val="000000"/>
              </w:rPr>
              <w:t>991.777</w:t>
            </w:r>
          </w:p>
        </w:tc>
        <w:tc>
          <w:tcPr>
            <w:tcW w:w="1559" w:type="dxa"/>
            <w:tcBorders>
              <w:top w:val="nil"/>
              <w:left w:val="nil"/>
              <w:bottom w:val="nil"/>
              <w:right w:val="nil"/>
            </w:tcBorders>
            <w:vAlign w:val="bottom"/>
          </w:tcPr>
          <w:p w:rsidR="004362C7" w:rsidRPr="00D00722" w:rsidRDefault="00BC5560" w:rsidP="00ED6F5D">
            <w:pPr>
              <w:autoSpaceDE w:val="0"/>
              <w:autoSpaceDN w:val="0"/>
              <w:adjustRightInd w:val="0"/>
              <w:jc w:val="right"/>
              <w:rPr>
                <w:rFonts w:ascii="Arial" w:hAnsi="Arial" w:cs="Arial"/>
                <w:b/>
                <w:color w:val="000000"/>
              </w:rPr>
            </w:pPr>
            <w:r w:rsidRPr="00D00722">
              <w:rPr>
                <w:rFonts w:ascii="Arial" w:hAnsi="Arial" w:cs="Arial"/>
                <w:b/>
                <w:color w:val="000000"/>
              </w:rPr>
              <w:t>991.777</w:t>
            </w:r>
          </w:p>
        </w:tc>
      </w:tr>
      <w:tr w:rsidR="004362C7" w:rsidRPr="00D00722" w:rsidTr="00ED6F5D">
        <w:trPr>
          <w:trHeight w:val="113"/>
        </w:trPr>
        <w:tc>
          <w:tcPr>
            <w:tcW w:w="5954" w:type="dxa"/>
            <w:tcBorders>
              <w:top w:val="nil"/>
              <w:left w:val="nil"/>
              <w:bottom w:val="nil"/>
              <w:right w:val="nil"/>
            </w:tcBorders>
            <w:vAlign w:val="bottom"/>
          </w:tcPr>
          <w:p w:rsidR="004362C7" w:rsidRPr="00D00722" w:rsidRDefault="004362C7" w:rsidP="00ED6F5D">
            <w:pPr>
              <w:autoSpaceDE w:val="0"/>
              <w:autoSpaceDN w:val="0"/>
              <w:adjustRightInd w:val="0"/>
              <w:ind w:hanging="108"/>
              <w:rPr>
                <w:rFonts w:ascii="Arial" w:hAnsi="Arial" w:cs="Arial"/>
                <w:color w:val="000000"/>
              </w:rPr>
            </w:pPr>
            <w:r w:rsidRPr="00D00722">
              <w:rPr>
                <w:rFonts w:ascii="Arial" w:hAnsi="Arial" w:cs="Arial"/>
                <w:color w:val="000000"/>
              </w:rPr>
              <w:t>Gerçeğe uygun değer farkı kar veya zarara yansıtılan finansal varlıklar</w:t>
            </w:r>
          </w:p>
        </w:tc>
        <w:tc>
          <w:tcPr>
            <w:tcW w:w="1559" w:type="dxa"/>
            <w:tcBorders>
              <w:top w:val="nil"/>
              <w:left w:val="nil"/>
              <w:bottom w:val="nil"/>
              <w:right w:val="nil"/>
            </w:tcBorders>
            <w:vAlign w:val="bottom"/>
          </w:tcPr>
          <w:p w:rsidR="004362C7" w:rsidRPr="00D00722" w:rsidRDefault="00BC5560" w:rsidP="00ED6F5D">
            <w:pPr>
              <w:autoSpaceDE w:val="0"/>
              <w:autoSpaceDN w:val="0"/>
              <w:adjustRightInd w:val="0"/>
              <w:jc w:val="right"/>
              <w:rPr>
                <w:rFonts w:ascii="Arial" w:hAnsi="Arial" w:cs="Arial"/>
                <w:b/>
                <w:color w:val="000000"/>
              </w:rPr>
            </w:pPr>
            <w:r w:rsidRPr="00D00722">
              <w:rPr>
                <w:rFonts w:ascii="Arial" w:hAnsi="Arial" w:cs="Arial"/>
                <w:b/>
                <w:color w:val="000000"/>
              </w:rPr>
              <w:t>98.454</w:t>
            </w:r>
          </w:p>
        </w:tc>
        <w:tc>
          <w:tcPr>
            <w:tcW w:w="1559" w:type="dxa"/>
            <w:tcBorders>
              <w:top w:val="nil"/>
              <w:left w:val="nil"/>
              <w:bottom w:val="nil"/>
              <w:right w:val="nil"/>
            </w:tcBorders>
            <w:vAlign w:val="bottom"/>
          </w:tcPr>
          <w:p w:rsidR="004362C7" w:rsidRPr="00D00722" w:rsidRDefault="00BC5560" w:rsidP="00ED6F5D">
            <w:pPr>
              <w:autoSpaceDE w:val="0"/>
              <w:autoSpaceDN w:val="0"/>
              <w:adjustRightInd w:val="0"/>
              <w:jc w:val="right"/>
              <w:rPr>
                <w:rFonts w:ascii="Arial" w:hAnsi="Arial" w:cs="Arial"/>
                <w:b/>
                <w:color w:val="000000"/>
              </w:rPr>
            </w:pPr>
            <w:r w:rsidRPr="00D00722">
              <w:rPr>
                <w:rFonts w:ascii="Arial" w:hAnsi="Arial" w:cs="Arial"/>
                <w:b/>
                <w:color w:val="000000"/>
              </w:rPr>
              <w:t>98.454</w:t>
            </w:r>
          </w:p>
        </w:tc>
      </w:tr>
      <w:tr w:rsidR="004362C7" w:rsidRPr="00D00722" w:rsidTr="00ED6F5D">
        <w:trPr>
          <w:trHeight w:val="113"/>
        </w:trPr>
        <w:tc>
          <w:tcPr>
            <w:tcW w:w="5954" w:type="dxa"/>
            <w:tcBorders>
              <w:top w:val="nil"/>
              <w:left w:val="nil"/>
              <w:bottom w:val="nil"/>
              <w:right w:val="nil"/>
            </w:tcBorders>
            <w:vAlign w:val="bottom"/>
          </w:tcPr>
          <w:p w:rsidR="004362C7" w:rsidRPr="00D00722" w:rsidRDefault="004362C7" w:rsidP="00ED6F5D">
            <w:pPr>
              <w:autoSpaceDE w:val="0"/>
              <w:autoSpaceDN w:val="0"/>
              <w:adjustRightInd w:val="0"/>
              <w:ind w:hanging="108"/>
              <w:rPr>
                <w:rFonts w:ascii="Arial" w:hAnsi="Arial" w:cs="Arial"/>
                <w:iCs/>
                <w:color w:val="000000"/>
              </w:rPr>
            </w:pPr>
            <w:r w:rsidRPr="00D00722">
              <w:rPr>
                <w:rFonts w:ascii="Arial" w:hAnsi="Arial" w:cs="Arial"/>
                <w:iCs/>
                <w:color w:val="000000"/>
              </w:rPr>
              <w:t>Finansal yükümlülükler</w:t>
            </w:r>
          </w:p>
        </w:tc>
        <w:tc>
          <w:tcPr>
            <w:tcW w:w="1559" w:type="dxa"/>
            <w:tcBorders>
              <w:top w:val="nil"/>
              <w:left w:val="nil"/>
              <w:bottom w:val="nil"/>
              <w:right w:val="nil"/>
            </w:tcBorders>
            <w:vAlign w:val="bottom"/>
          </w:tcPr>
          <w:p w:rsidR="004362C7" w:rsidRPr="00D00722" w:rsidRDefault="004362C7" w:rsidP="00ED6F5D">
            <w:pPr>
              <w:autoSpaceDE w:val="0"/>
              <w:autoSpaceDN w:val="0"/>
              <w:adjustRightInd w:val="0"/>
              <w:jc w:val="right"/>
              <w:rPr>
                <w:rFonts w:ascii="Arial" w:hAnsi="Arial" w:cs="Arial"/>
                <w:b/>
                <w:color w:val="000000"/>
              </w:rPr>
            </w:pPr>
          </w:p>
        </w:tc>
        <w:tc>
          <w:tcPr>
            <w:tcW w:w="1559" w:type="dxa"/>
            <w:tcBorders>
              <w:top w:val="nil"/>
              <w:left w:val="nil"/>
              <w:bottom w:val="nil"/>
              <w:right w:val="nil"/>
            </w:tcBorders>
            <w:vAlign w:val="bottom"/>
          </w:tcPr>
          <w:p w:rsidR="004362C7" w:rsidRPr="00D00722" w:rsidRDefault="004362C7" w:rsidP="00ED6F5D">
            <w:pPr>
              <w:autoSpaceDE w:val="0"/>
              <w:autoSpaceDN w:val="0"/>
              <w:adjustRightInd w:val="0"/>
              <w:jc w:val="right"/>
              <w:rPr>
                <w:rFonts w:ascii="Arial" w:hAnsi="Arial" w:cs="Arial"/>
                <w:b/>
                <w:color w:val="000000"/>
              </w:rPr>
            </w:pPr>
          </w:p>
        </w:tc>
      </w:tr>
      <w:tr w:rsidR="004362C7" w:rsidRPr="00D00722" w:rsidTr="00ED6F5D">
        <w:trPr>
          <w:trHeight w:val="113"/>
        </w:trPr>
        <w:tc>
          <w:tcPr>
            <w:tcW w:w="5954" w:type="dxa"/>
            <w:tcBorders>
              <w:top w:val="nil"/>
              <w:left w:val="nil"/>
              <w:bottom w:val="nil"/>
              <w:right w:val="nil"/>
            </w:tcBorders>
            <w:vAlign w:val="bottom"/>
          </w:tcPr>
          <w:p w:rsidR="004362C7" w:rsidRPr="00D00722" w:rsidRDefault="004362C7" w:rsidP="00ED6F5D">
            <w:pPr>
              <w:autoSpaceDE w:val="0"/>
              <w:autoSpaceDN w:val="0"/>
              <w:adjustRightInd w:val="0"/>
              <w:ind w:hanging="108"/>
              <w:rPr>
                <w:rFonts w:ascii="Arial" w:hAnsi="Arial" w:cs="Arial"/>
                <w:color w:val="000000"/>
              </w:rPr>
            </w:pPr>
            <w:r w:rsidRPr="00D00722">
              <w:rPr>
                <w:rFonts w:ascii="Arial" w:hAnsi="Arial" w:cs="Arial"/>
                <w:color w:val="000000"/>
              </w:rPr>
              <w:t xml:space="preserve">İlişkili taraflara borçlar </w:t>
            </w:r>
          </w:p>
        </w:tc>
        <w:tc>
          <w:tcPr>
            <w:tcW w:w="1559" w:type="dxa"/>
            <w:tcBorders>
              <w:top w:val="nil"/>
              <w:left w:val="nil"/>
              <w:bottom w:val="nil"/>
              <w:right w:val="nil"/>
            </w:tcBorders>
            <w:vAlign w:val="bottom"/>
          </w:tcPr>
          <w:p w:rsidR="004362C7" w:rsidRPr="00D00722" w:rsidRDefault="00BC5560" w:rsidP="00064981">
            <w:pPr>
              <w:autoSpaceDE w:val="0"/>
              <w:autoSpaceDN w:val="0"/>
              <w:adjustRightInd w:val="0"/>
              <w:jc w:val="right"/>
              <w:rPr>
                <w:rFonts w:ascii="Arial" w:hAnsi="Arial" w:cs="Arial"/>
                <w:b/>
                <w:color w:val="000000"/>
              </w:rPr>
            </w:pPr>
            <w:r w:rsidRPr="00D00722">
              <w:rPr>
                <w:rFonts w:ascii="Arial" w:hAnsi="Arial" w:cs="Arial"/>
                <w:b/>
                <w:color w:val="000000"/>
              </w:rPr>
              <w:t>12.20</w:t>
            </w:r>
            <w:r w:rsidR="00064981" w:rsidRPr="00D00722">
              <w:rPr>
                <w:rFonts w:ascii="Arial" w:hAnsi="Arial" w:cs="Arial"/>
                <w:b/>
                <w:color w:val="000000"/>
              </w:rPr>
              <w:t>8</w:t>
            </w:r>
          </w:p>
        </w:tc>
        <w:tc>
          <w:tcPr>
            <w:tcW w:w="1559" w:type="dxa"/>
            <w:tcBorders>
              <w:top w:val="nil"/>
              <w:left w:val="nil"/>
              <w:bottom w:val="nil"/>
              <w:right w:val="nil"/>
            </w:tcBorders>
            <w:vAlign w:val="bottom"/>
          </w:tcPr>
          <w:p w:rsidR="004362C7" w:rsidRPr="00D00722" w:rsidRDefault="00BC5560" w:rsidP="00064981">
            <w:pPr>
              <w:autoSpaceDE w:val="0"/>
              <w:autoSpaceDN w:val="0"/>
              <w:adjustRightInd w:val="0"/>
              <w:jc w:val="right"/>
              <w:rPr>
                <w:rFonts w:ascii="Arial" w:hAnsi="Arial" w:cs="Arial"/>
                <w:b/>
                <w:color w:val="000000"/>
              </w:rPr>
            </w:pPr>
            <w:r w:rsidRPr="00D00722">
              <w:rPr>
                <w:rFonts w:ascii="Arial" w:hAnsi="Arial" w:cs="Arial"/>
                <w:b/>
                <w:color w:val="000000"/>
              </w:rPr>
              <w:t>12.20</w:t>
            </w:r>
            <w:r w:rsidR="00064981" w:rsidRPr="00D00722">
              <w:rPr>
                <w:rFonts w:ascii="Arial" w:hAnsi="Arial" w:cs="Arial"/>
                <w:b/>
                <w:color w:val="000000"/>
              </w:rPr>
              <w:t>8</w:t>
            </w:r>
          </w:p>
        </w:tc>
      </w:tr>
      <w:tr w:rsidR="004362C7" w:rsidRPr="00D00722" w:rsidTr="00ED6F5D">
        <w:trPr>
          <w:trHeight w:val="113"/>
        </w:trPr>
        <w:tc>
          <w:tcPr>
            <w:tcW w:w="5954" w:type="dxa"/>
            <w:tcBorders>
              <w:top w:val="nil"/>
              <w:left w:val="nil"/>
              <w:bottom w:val="nil"/>
              <w:right w:val="nil"/>
            </w:tcBorders>
            <w:vAlign w:val="bottom"/>
          </w:tcPr>
          <w:p w:rsidR="004362C7" w:rsidRPr="00D00722" w:rsidRDefault="004362C7" w:rsidP="00ED6F5D">
            <w:pPr>
              <w:autoSpaceDE w:val="0"/>
              <w:autoSpaceDN w:val="0"/>
              <w:adjustRightInd w:val="0"/>
              <w:ind w:hanging="108"/>
              <w:rPr>
                <w:rFonts w:ascii="Arial" w:hAnsi="Arial" w:cs="Arial"/>
                <w:color w:val="000000"/>
              </w:rPr>
            </w:pPr>
            <w:r w:rsidRPr="00D00722">
              <w:rPr>
                <w:rFonts w:ascii="Arial" w:hAnsi="Arial" w:cs="Arial"/>
                <w:color w:val="000000"/>
              </w:rPr>
              <w:t>Diğer ticari borçlar</w:t>
            </w:r>
          </w:p>
        </w:tc>
        <w:tc>
          <w:tcPr>
            <w:tcW w:w="1559" w:type="dxa"/>
            <w:tcBorders>
              <w:top w:val="nil"/>
              <w:left w:val="nil"/>
              <w:bottom w:val="nil"/>
              <w:right w:val="nil"/>
            </w:tcBorders>
            <w:vAlign w:val="bottom"/>
          </w:tcPr>
          <w:p w:rsidR="004362C7" w:rsidRPr="00D00722" w:rsidRDefault="00BC5560" w:rsidP="00ED6F5D">
            <w:pPr>
              <w:autoSpaceDE w:val="0"/>
              <w:autoSpaceDN w:val="0"/>
              <w:adjustRightInd w:val="0"/>
              <w:jc w:val="right"/>
              <w:rPr>
                <w:rFonts w:ascii="Arial" w:hAnsi="Arial" w:cs="Arial"/>
                <w:b/>
                <w:color w:val="000000"/>
              </w:rPr>
            </w:pPr>
            <w:r w:rsidRPr="00D00722">
              <w:rPr>
                <w:rFonts w:ascii="Arial" w:hAnsi="Arial" w:cs="Arial"/>
                <w:b/>
                <w:color w:val="000000"/>
              </w:rPr>
              <w:t>8.218</w:t>
            </w:r>
          </w:p>
        </w:tc>
        <w:tc>
          <w:tcPr>
            <w:tcW w:w="1559" w:type="dxa"/>
            <w:tcBorders>
              <w:top w:val="nil"/>
              <w:left w:val="nil"/>
              <w:bottom w:val="nil"/>
              <w:right w:val="nil"/>
            </w:tcBorders>
            <w:vAlign w:val="bottom"/>
          </w:tcPr>
          <w:p w:rsidR="004362C7" w:rsidRPr="00D00722" w:rsidRDefault="00BC5560" w:rsidP="00ED6F5D">
            <w:pPr>
              <w:autoSpaceDE w:val="0"/>
              <w:autoSpaceDN w:val="0"/>
              <w:adjustRightInd w:val="0"/>
              <w:jc w:val="right"/>
              <w:rPr>
                <w:rFonts w:ascii="Arial" w:hAnsi="Arial" w:cs="Arial"/>
                <w:b/>
                <w:color w:val="000000"/>
              </w:rPr>
            </w:pPr>
            <w:r w:rsidRPr="00D00722">
              <w:rPr>
                <w:rFonts w:ascii="Arial" w:hAnsi="Arial" w:cs="Arial"/>
                <w:b/>
                <w:color w:val="000000"/>
              </w:rPr>
              <w:t>8.218</w:t>
            </w:r>
          </w:p>
        </w:tc>
      </w:tr>
      <w:tr w:rsidR="004362C7" w:rsidRPr="00D00722" w:rsidTr="00ED6F5D">
        <w:trPr>
          <w:trHeight w:val="113"/>
        </w:trPr>
        <w:tc>
          <w:tcPr>
            <w:tcW w:w="5954" w:type="dxa"/>
            <w:tcBorders>
              <w:top w:val="nil"/>
              <w:left w:val="nil"/>
              <w:bottom w:val="nil"/>
              <w:right w:val="nil"/>
            </w:tcBorders>
            <w:vAlign w:val="bottom"/>
          </w:tcPr>
          <w:p w:rsidR="004362C7" w:rsidRPr="00D00722" w:rsidRDefault="004362C7" w:rsidP="00ED6F5D">
            <w:pPr>
              <w:autoSpaceDE w:val="0"/>
              <w:autoSpaceDN w:val="0"/>
              <w:adjustRightInd w:val="0"/>
              <w:ind w:hanging="108"/>
              <w:rPr>
                <w:rFonts w:ascii="Arial" w:hAnsi="Arial" w:cs="Arial"/>
                <w:color w:val="000000"/>
              </w:rPr>
            </w:pPr>
            <w:r w:rsidRPr="00D00722">
              <w:rPr>
                <w:rFonts w:ascii="Arial" w:hAnsi="Arial" w:cs="Arial"/>
                <w:color w:val="000000"/>
              </w:rPr>
              <w:t xml:space="preserve">Diğer borçlar </w:t>
            </w:r>
          </w:p>
        </w:tc>
        <w:tc>
          <w:tcPr>
            <w:tcW w:w="1559" w:type="dxa"/>
            <w:tcBorders>
              <w:top w:val="nil"/>
              <w:left w:val="nil"/>
              <w:bottom w:val="nil"/>
              <w:right w:val="nil"/>
            </w:tcBorders>
            <w:vAlign w:val="bottom"/>
          </w:tcPr>
          <w:p w:rsidR="004362C7" w:rsidRPr="00D00722" w:rsidRDefault="00BC5560" w:rsidP="00ED6F5D">
            <w:pPr>
              <w:autoSpaceDE w:val="0"/>
              <w:autoSpaceDN w:val="0"/>
              <w:adjustRightInd w:val="0"/>
              <w:jc w:val="right"/>
              <w:rPr>
                <w:rFonts w:ascii="Arial" w:hAnsi="Arial" w:cs="Arial"/>
                <w:b/>
                <w:color w:val="000000"/>
              </w:rPr>
            </w:pPr>
            <w:r w:rsidRPr="00D00722">
              <w:rPr>
                <w:rFonts w:ascii="Arial" w:hAnsi="Arial" w:cs="Arial"/>
                <w:b/>
                <w:color w:val="000000"/>
              </w:rPr>
              <w:t>6.404</w:t>
            </w:r>
          </w:p>
        </w:tc>
        <w:tc>
          <w:tcPr>
            <w:tcW w:w="1559" w:type="dxa"/>
            <w:tcBorders>
              <w:top w:val="nil"/>
              <w:left w:val="nil"/>
              <w:bottom w:val="nil"/>
              <w:right w:val="nil"/>
            </w:tcBorders>
            <w:vAlign w:val="bottom"/>
          </w:tcPr>
          <w:p w:rsidR="004362C7" w:rsidRPr="00D00722" w:rsidRDefault="00BC5560" w:rsidP="00ED6F5D">
            <w:pPr>
              <w:autoSpaceDE w:val="0"/>
              <w:autoSpaceDN w:val="0"/>
              <w:adjustRightInd w:val="0"/>
              <w:jc w:val="right"/>
              <w:rPr>
                <w:rFonts w:ascii="Arial" w:hAnsi="Arial" w:cs="Arial"/>
                <w:b/>
                <w:color w:val="000000"/>
              </w:rPr>
            </w:pPr>
            <w:r w:rsidRPr="00D00722">
              <w:rPr>
                <w:rFonts w:ascii="Arial" w:hAnsi="Arial" w:cs="Arial"/>
                <w:b/>
                <w:color w:val="000000"/>
              </w:rPr>
              <w:t>6.404</w:t>
            </w:r>
          </w:p>
        </w:tc>
      </w:tr>
      <w:tr w:rsidR="004362C7" w:rsidRPr="00D00722" w:rsidTr="00ED6F5D">
        <w:trPr>
          <w:trHeight w:val="113"/>
        </w:trPr>
        <w:tc>
          <w:tcPr>
            <w:tcW w:w="5954" w:type="dxa"/>
            <w:tcBorders>
              <w:top w:val="nil"/>
              <w:left w:val="nil"/>
              <w:bottom w:val="nil"/>
              <w:right w:val="nil"/>
            </w:tcBorders>
            <w:vAlign w:val="bottom"/>
          </w:tcPr>
          <w:p w:rsidR="004362C7" w:rsidRPr="00D00722" w:rsidRDefault="004362C7" w:rsidP="00ED6F5D">
            <w:pPr>
              <w:autoSpaceDE w:val="0"/>
              <w:autoSpaceDN w:val="0"/>
              <w:adjustRightInd w:val="0"/>
              <w:ind w:hanging="108"/>
              <w:rPr>
                <w:rFonts w:ascii="Arial" w:hAnsi="Arial" w:cs="Arial"/>
                <w:color w:val="000000"/>
              </w:rPr>
            </w:pPr>
          </w:p>
        </w:tc>
        <w:tc>
          <w:tcPr>
            <w:tcW w:w="1559" w:type="dxa"/>
            <w:tcBorders>
              <w:top w:val="nil"/>
              <w:left w:val="nil"/>
              <w:bottom w:val="nil"/>
              <w:right w:val="nil"/>
            </w:tcBorders>
            <w:vAlign w:val="bottom"/>
          </w:tcPr>
          <w:p w:rsidR="004362C7" w:rsidRPr="00D00722" w:rsidRDefault="004362C7" w:rsidP="00ED6F5D">
            <w:pPr>
              <w:autoSpaceDE w:val="0"/>
              <w:autoSpaceDN w:val="0"/>
              <w:adjustRightInd w:val="0"/>
              <w:jc w:val="right"/>
              <w:rPr>
                <w:rFonts w:ascii="Arial" w:hAnsi="Arial" w:cs="Arial"/>
                <w:b/>
                <w:color w:val="000000"/>
              </w:rPr>
            </w:pPr>
          </w:p>
        </w:tc>
        <w:tc>
          <w:tcPr>
            <w:tcW w:w="1559" w:type="dxa"/>
            <w:tcBorders>
              <w:top w:val="nil"/>
              <w:left w:val="nil"/>
              <w:bottom w:val="nil"/>
              <w:right w:val="nil"/>
            </w:tcBorders>
            <w:vAlign w:val="bottom"/>
          </w:tcPr>
          <w:p w:rsidR="004362C7" w:rsidRPr="00D00722" w:rsidRDefault="004362C7" w:rsidP="00ED6F5D">
            <w:pPr>
              <w:autoSpaceDE w:val="0"/>
              <w:autoSpaceDN w:val="0"/>
              <w:adjustRightInd w:val="0"/>
              <w:jc w:val="right"/>
              <w:rPr>
                <w:rFonts w:ascii="Arial" w:hAnsi="Arial" w:cs="Arial"/>
                <w:b/>
                <w:color w:val="000000"/>
              </w:rPr>
            </w:pPr>
          </w:p>
        </w:tc>
      </w:tr>
    </w:tbl>
    <w:p w:rsidR="004362C7" w:rsidRPr="00D00722" w:rsidRDefault="004362C7" w:rsidP="004362C7">
      <w:pPr>
        <w:pStyle w:val="BodyTextIndent"/>
        <w:ind w:left="567" w:hanging="567"/>
        <w:jc w:val="both"/>
        <w:rPr>
          <w:rFonts w:ascii="Arial" w:hAnsi="Arial" w:cs="Arial"/>
          <w:sz w:val="20"/>
          <w:lang w:val="tr-TR"/>
        </w:rPr>
      </w:pPr>
    </w:p>
    <w:p w:rsidR="004362C7" w:rsidRPr="00D00722" w:rsidRDefault="004362C7" w:rsidP="003C0653">
      <w:pPr>
        <w:ind w:right="-306"/>
        <w:rPr>
          <w:rFonts w:ascii="Arial" w:hAnsi="Arial" w:cs="Arial"/>
          <w:lang w:val="tr-TR"/>
        </w:rPr>
      </w:pPr>
    </w:p>
    <w:p w:rsidR="004362C7" w:rsidRPr="00D00722" w:rsidRDefault="004362C7" w:rsidP="003C0653">
      <w:pPr>
        <w:ind w:right="-306"/>
        <w:rPr>
          <w:rFonts w:ascii="Arial" w:hAnsi="Arial" w:cs="Arial"/>
          <w:lang w:val="tr-TR"/>
        </w:rPr>
      </w:pPr>
    </w:p>
    <w:p w:rsidR="00245BD3" w:rsidRPr="00D00722" w:rsidRDefault="004C5417" w:rsidP="003C0653">
      <w:pPr>
        <w:ind w:right="-306"/>
        <w:rPr>
          <w:rFonts w:ascii="Arial" w:hAnsi="Arial" w:cs="Arial"/>
          <w:u w:val="single"/>
          <w:lang w:val="nl-BE"/>
        </w:rPr>
      </w:pPr>
      <w:r w:rsidRPr="00D00722">
        <w:rPr>
          <w:rFonts w:ascii="Arial" w:hAnsi="Arial" w:cs="Arial"/>
          <w:u w:val="single"/>
          <w:lang w:val="nl-BE"/>
        </w:rPr>
        <w:t xml:space="preserve">Finansal </w:t>
      </w:r>
      <w:r w:rsidR="007C3C7C" w:rsidRPr="00D00722">
        <w:rPr>
          <w:rFonts w:ascii="Arial" w:hAnsi="Arial" w:cs="Arial"/>
          <w:u w:val="single"/>
          <w:lang w:val="nl-BE"/>
        </w:rPr>
        <w:t>araçlar kategorileri</w:t>
      </w:r>
    </w:p>
    <w:p w:rsidR="00245BD3" w:rsidRPr="00D00722" w:rsidRDefault="00245BD3" w:rsidP="00AE0484">
      <w:pPr>
        <w:pStyle w:val="BodyTextIndent"/>
        <w:ind w:left="567" w:hanging="567"/>
        <w:jc w:val="both"/>
        <w:rPr>
          <w:rFonts w:ascii="Arial" w:hAnsi="Arial" w:cs="Arial"/>
          <w:sz w:val="20"/>
          <w:lang w:val="tr-TR"/>
        </w:rPr>
      </w:pPr>
    </w:p>
    <w:tbl>
      <w:tblPr>
        <w:tblW w:w="9072" w:type="dxa"/>
        <w:tblInd w:w="108" w:type="dxa"/>
        <w:tblLayout w:type="fixed"/>
        <w:tblLook w:val="0000"/>
      </w:tblPr>
      <w:tblGrid>
        <w:gridCol w:w="5954"/>
        <w:gridCol w:w="1559"/>
        <w:gridCol w:w="1559"/>
      </w:tblGrid>
      <w:tr w:rsidR="0059179E" w:rsidRPr="00D00722" w:rsidTr="003C359E">
        <w:trPr>
          <w:trHeight w:val="113"/>
        </w:trPr>
        <w:tc>
          <w:tcPr>
            <w:tcW w:w="5954" w:type="dxa"/>
            <w:tcBorders>
              <w:top w:val="single" w:sz="6" w:space="0" w:color="auto"/>
              <w:left w:val="nil"/>
              <w:bottom w:val="single" w:sz="6" w:space="0" w:color="auto"/>
              <w:right w:val="nil"/>
            </w:tcBorders>
            <w:vAlign w:val="bottom"/>
          </w:tcPr>
          <w:p w:rsidR="0059179E" w:rsidRPr="00D00722" w:rsidRDefault="0059179E" w:rsidP="00E83219">
            <w:pPr>
              <w:autoSpaceDE w:val="0"/>
              <w:autoSpaceDN w:val="0"/>
              <w:adjustRightInd w:val="0"/>
              <w:ind w:hanging="108"/>
              <w:rPr>
                <w:rFonts w:ascii="Arial" w:hAnsi="Arial" w:cs="Arial"/>
                <w:bCs/>
                <w:color w:val="000000"/>
              </w:rPr>
            </w:pPr>
            <w:r w:rsidRPr="00D00722">
              <w:rPr>
                <w:rFonts w:ascii="Arial" w:hAnsi="Arial" w:cs="Arial"/>
                <w:bCs/>
                <w:color w:val="000000"/>
              </w:rPr>
              <w:t xml:space="preserve">31 Aralık </w:t>
            </w:r>
            <w:r w:rsidR="00350F68" w:rsidRPr="00D00722">
              <w:rPr>
                <w:rFonts w:ascii="Arial" w:hAnsi="Arial" w:cs="Arial"/>
                <w:bCs/>
                <w:color w:val="000000"/>
              </w:rPr>
              <w:t>201</w:t>
            </w:r>
            <w:r w:rsidR="00457247" w:rsidRPr="00D00722">
              <w:rPr>
                <w:rFonts w:ascii="Arial" w:hAnsi="Arial" w:cs="Arial"/>
                <w:bCs/>
                <w:color w:val="000000"/>
              </w:rPr>
              <w:t>3</w:t>
            </w:r>
          </w:p>
        </w:tc>
        <w:tc>
          <w:tcPr>
            <w:tcW w:w="1559" w:type="dxa"/>
            <w:tcBorders>
              <w:top w:val="single" w:sz="6" w:space="0" w:color="auto"/>
              <w:left w:val="nil"/>
              <w:bottom w:val="single" w:sz="6" w:space="0" w:color="auto"/>
              <w:right w:val="nil"/>
            </w:tcBorders>
            <w:vAlign w:val="bottom"/>
          </w:tcPr>
          <w:p w:rsidR="0059179E" w:rsidRPr="00D00722" w:rsidRDefault="0059179E" w:rsidP="00596443">
            <w:pPr>
              <w:autoSpaceDE w:val="0"/>
              <w:autoSpaceDN w:val="0"/>
              <w:adjustRightInd w:val="0"/>
              <w:jc w:val="right"/>
              <w:rPr>
                <w:rFonts w:ascii="Arial" w:hAnsi="Arial" w:cs="Arial"/>
                <w:bCs/>
                <w:color w:val="000000"/>
              </w:rPr>
            </w:pPr>
            <w:r w:rsidRPr="00D00722">
              <w:rPr>
                <w:rFonts w:ascii="Arial" w:hAnsi="Arial" w:cs="Arial"/>
                <w:bCs/>
                <w:color w:val="000000"/>
              </w:rPr>
              <w:t>Defter değeri</w:t>
            </w:r>
          </w:p>
        </w:tc>
        <w:tc>
          <w:tcPr>
            <w:tcW w:w="1559" w:type="dxa"/>
            <w:tcBorders>
              <w:top w:val="single" w:sz="6" w:space="0" w:color="auto"/>
              <w:left w:val="nil"/>
              <w:bottom w:val="single" w:sz="6" w:space="0" w:color="auto"/>
              <w:right w:val="nil"/>
            </w:tcBorders>
            <w:vAlign w:val="bottom"/>
          </w:tcPr>
          <w:p w:rsidR="0059179E" w:rsidRPr="00D00722" w:rsidRDefault="0059179E" w:rsidP="00E83219">
            <w:pPr>
              <w:autoSpaceDE w:val="0"/>
              <w:autoSpaceDN w:val="0"/>
              <w:adjustRightInd w:val="0"/>
              <w:jc w:val="right"/>
              <w:rPr>
                <w:rFonts w:ascii="Arial" w:hAnsi="Arial" w:cs="Arial"/>
                <w:bCs/>
                <w:color w:val="000000"/>
              </w:rPr>
            </w:pPr>
            <w:r w:rsidRPr="00D00722">
              <w:rPr>
                <w:rFonts w:ascii="Arial" w:hAnsi="Arial" w:cs="Arial"/>
                <w:bCs/>
                <w:color w:val="000000"/>
              </w:rPr>
              <w:t>Gerçeğe uygun değeri</w:t>
            </w:r>
          </w:p>
        </w:tc>
      </w:tr>
      <w:tr w:rsidR="0059179E" w:rsidRPr="00D00722" w:rsidTr="003C359E">
        <w:trPr>
          <w:trHeight w:val="113"/>
        </w:trPr>
        <w:tc>
          <w:tcPr>
            <w:tcW w:w="5954" w:type="dxa"/>
            <w:tcBorders>
              <w:top w:val="nil"/>
              <w:left w:val="nil"/>
              <w:bottom w:val="nil"/>
              <w:right w:val="nil"/>
            </w:tcBorders>
            <w:vAlign w:val="bottom"/>
          </w:tcPr>
          <w:p w:rsidR="0059179E" w:rsidRPr="00D00722" w:rsidRDefault="0059179E" w:rsidP="00E83219">
            <w:pPr>
              <w:autoSpaceDE w:val="0"/>
              <w:autoSpaceDN w:val="0"/>
              <w:adjustRightInd w:val="0"/>
              <w:ind w:hanging="108"/>
              <w:rPr>
                <w:rFonts w:ascii="Arial" w:hAnsi="Arial" w:cs="Arial"/>
                <w:color w:val="000000"/>
              </w:rPr>
            </w:pPr>
          </w:p>
        </w:tc>
        <w:tc>
          <w:tcPr>
            <w:tcW w:w="1559" w:type="dxa"/>
            <w:tcBorders>
              <w:top w:val="nil"/>
              <w:left w:val="nil"/>
              <w:bottom w:val="nil"/>
              <w:right w:val="nil"/>
            </w:tcBorders>
            <w:vAlign w:val="bottom"/>
          </w:tcPr>
          <w:p w:rsidR="0059179E" w:rsidRPr="00D00722" w:rsidRDefault="0059179E" w:rsidP="00E83219">
            <w:pPr>
              <w:autoSpaceDE w:val="0"/>
              <w:autoSpaceDN w:val="0"/>
              <w:adjustRightInd w:val="0"/>
              <w:jc w:val="right"/>
              <w:rPr>
                <w:rFonts w:ascii="Arial" w:hAnsi="Arial" w:cs="Arial"/>
                <w:color w:val="000000"/>
              </w:rPr>
            </w:pPr>
          </w:p>
        </w:tc>
        <w:tc>
          <w:tcPr>
            <w:tcW w:w="1559" w:type="dxa"/>
            <w:tcBorders>
              <w:top w:val="nil"/>
              <w:left w:val="nil"/>
              <w:bottom w:val="nil"/>
              <w:right w:val="nil"/>
            </w:tcBorders>
            <w:vAlign w:val="bottom"/>
          </w:tcPr>
          <w:p w:rsidR="0059179E" w:rsidRPr="00D00722" w:rsidRDefault="0059179E" w:rsidP="00E83219">
            <w:pPr>
              <w:autoSpaceDE w:val="0"/>
              <w:autoSpaceDN w:val="0"/>
              <w:adjustRightInd w:val="0"/>
              <w:jc w:val="right"/>
              <w:rPr>
                <w:rFonts w:ascii="Arial" w:hAnsi="Arial" w:cs="Arial"/>
                <w:color w:val="000000"/>
              </w:rPr>
            </w:pPr>
          </w:p>
        </w:tc>
      </w:tr>
      <w:tr w:rsidR="0059179E" w:rsidRPr="00D00722" w:rsidTr="003C359E">
        <w:trPr>
          <w:trHeight w:val="113"/>
        </w:trPr>
        <w:tc>
          <w:tcPr>
            <w:tcW w:w="5954" w:type="dxa"/>
            <w:tcBorders>
              <w:top w:val="nil"/>
              <w:left w:val="nil"/>
              <w:bottom w:val="nil"/>
              <w:right w:val="nil"/>
            </w:tcBorders>
            <w:vAlign w:val="bottom"/>
          </w:tcPr>
          <w:p w:rsidR="0059179E" w:rsidRPr="00D00722" w:rsidRDefault="0059179E" w:rsidP="00E83219">
            <w:pPr>
              <w:autoSpaceDE w:val="0"/>
              <w:autoSpaceDN w:val="0"/>
              <w:adjustRightInd w:val="0"/>
              <w:ind w:hanging="108"/>
              <w:rPr>
                <w:rFonts w:ascii="Arial" w:hAnsi="Arial" w:cs="Arial"/>
                <w:iCs/>
                <w:color w:val="000000"/>
              </w:rPr>
            </w:pPr>
            <w:r w:rsidRPr="00D00722">
              <w:rPr>
                <w:rFonts w:ascii="Arial" w:hAnsi="Arial" w:cs="Arial"/>
                <w:iCs/>
                <w:color w:val="000000"/>
              </w:rPr>
              <w:t>Finansal varlıklar</w:t>
            </w:r>
          </w:p>
        </w:tc>
        <w:tc>
          <w:tcPr>
            <w:tcW w:w="1559" w:type="dxa"/>
            <w:tcBorders>
              <w:top w:val="nil"/>
              <w:left w:val="nil"/>
              <w:bottom w:val="nil"/>
              <w:right w:val="nil"/>
            </w:tcBorders>
            <w:vAlign w:val="bottom"/>
          </w:tcPr>
          <w:p w:rsidR="0059179E" w:rsidRPr="00D00722" w:rsidRDefault="0059179E" w:rsidP="00E83219">
            <w:pPr>
              <w:autoSpaceDE w:val="0"/>
              <w:autoSpaceDN w:val="0"/>
              <w:adjustRightInd w:val="0"/>
              <w:jc w:val="right"/>
              <w:rPr>
                <w:rFonts w:ascii="Arial" w:hAnsi="Arial" w:cs="Arial"/>
                <w:color w:val="000000"/>
              </w:rPr>
            </w:pPr>
          </w:p>
        </w:tc>
        <w:tc>
          <w:tcPr>
            <w:tcW w:w="1559" w:type="dxa"/>
            <w:tcBorders>
              <w:top w:val="nil"/>
              <w:left w:val="nil"/>
              <w:bottom w:val="nil"/>
              <w:right w:val="nil"/>
            </w:tcBorders>
            <w:vAlign w:val="bottom"/>
          </w:tcPr>
          <w:p w:rsidR="0059179E" w:rsidRPr="00D00722" w:rsidRDefault="0059179E" w:rsidP="00E83219">
            <w:pPr>
              <w:autoSpaceDE w:val="0"/>
              <w:autoSpaceDN w:val="0"/>
              <w:adjustRightInd w:val="0"/>
              <w:jc w:val="right"/>
              <w:rPr>
                <w:rFonts w:ascii="Arial" w:hAnsi="Arial" w:cs="Arial"/>
                <w:color w:val="000000"/>
              </w:rPr>
            </w:pPr>
          </w:p>
        </w:tc>
      </w:tr>
      <w:tr w:rsidR="00D87A88" w:rsidRPr="00D00722" w:rsidTr="003C359E">
        <w:trPr>
          <w:trHeight w:val="113"/>
        </w:trPr>
        <w:tc>
          <w:tcPr>
            <w:tcW w:w="5954" w:type="dxa"/>
            <w:tcBorders>
              <w:top w:val="nil"/>
              <w:left w:val="nil"/>
              <w:bottom w:val="nil"/>
              <w:right w:val="nil"/>
            </w:tcBorders>
            <w:vAlign w:val="bottom"/>
          </w:tcPr>
          <w:p w:rsidR="00D87A88" w:rsidRPr="00D00722" w:rsidRDefault="00D87A88" w:rsidP="00E83219">
            <w:pPr>
              <w:autoSpaceDE w:val="0"/>
              <w:autoSpaceDN w:val="0"/>
              <w:adjustRightInd w:val="0"/>
              <w:ind w:hanging="108"/>
              <w:rPr>
                <w:rFonts w:ascii="Arial" w:hAnsi="Arial" w:cs="Arial"/>
                <w:color w:val="000000"/>
              </w:rPr>
            </w:pPr>
            <w:r w:rsidRPr="00D00722">
              <w:rPr>
                <w:rFonts w:ascii="Arial" w:hAnsi="Arial" w:cs="Arial"/>
                <w:color w:val="000000"/>
              </w:rPr>
              <w:t>Nakit ve nakit benzerleri</w:t>
            </w:r>
          </w:p>
        </w:tc>
        <w:tc>
          <w:tcPr>
            <w:tcW w:w="1559" w:type="dxa"/>
            <w:tcBorders>
              <w:top w:val="nil"/>
              <w:left w:val="nil"/>
              <w:bottom w:val="nil"/>
              <w:right w:val="nil"/>
            </w:tcBorders>
            <w:vAlign w:val="bottom"/>
          </w:tcPr>
          <w:p w:rsidR="00D87A88" w:rsidRPr="00D00722" w:rsidRDefault="00494D43" w:rsidP="00E83219">
            <w:pPr>
              <w:autoSpaceDE w:val="0"/>
              <w:autoSpaceDN w:val="0"/>
              <w:adjustRightInd w:val="0"/>
              <w:jc w:val="right"/>
              <w:rPr>
                <w:rFonts w:ascii="Arial" w:hAnsi="Arial" w:cs="Arial"/>
                <w:color w:val="000000"/>
              </w:rPr>
            </w:pPr>
            <w:r w:rsidRPr="00D00722">
              <w:rPr>
                <w:rFonts w:ascii="Arial" w:hAnsi="Arial" w:cs="Arial"/>
                <w:color w:val="000000"/>
              </w:rPr>
              <w:t>964.940</w:t>
            </w:r>
          </w:p>
        </w:tc>
        <w:tc>
          <w:tcPr>
            <w:tcW w:w="1559" w:type="dxa"/>
            <w:tcBorders>
              <w:top w:val="nil"/>
              <w:left w:val="nil"/>
              <w:bottom w:val="nil"/>
              <w:right w:val="nil"/>
            </w:tcBorders>
            <w:vAlign w:val="bottom"/>
          </w:tcPr>
          <w:p w:rsidR="00D87A88" w:rsidRPr="00D00722" w:rsidRDefault="00494D43" w:rsidP="00E83219">
            <w:pPr>
              <w:autoSpaceDE w:val="0"/>
              <w:autoSpaceDN w:val="0"/>
              <w:adjustRightInd w:val="0"/>
              <w:jc w:val="right"/>
              <w:rPr>
                <w:rFonts w:ascii="Arial" w:hAnsi="Arial" w:cs="Arial"/>
                <w:color w:val="000000"/>
              </w:rPr>
            </w:pPr>
            <w:r w:rsidRPr="00D00722">
              <w:rPr>
                <w:rFonts w:ascii="Arial" w:hAnsi="Arial" w:cs="Arial"/>
                <w:color w:val="000000"/>
              </w:rPr>
              <w:t>964.940</w:t>
            </w:r>
          </w:p>
        </w:tc>
      </w:tr>
      <w:tr w:rsidR="00D87A88" w:rsidRPr="00D00722" w:rsidTr="003C359E">
        <w:trPr>
          <w:trHeight w:val="113"/>
        </w:trPr>
        <w:tc>
          <w:tcPr>
            <w:tcW w:w="5954" w:type="dxa"/>
            <w:tcBorders>
              <w:top w:val="nil"/>
              <w:left w:val="nil"/>
              <w:bottom w:val="nil"/>
              <w:right w:val="nil"/>
            </w:tcBorders>
            <w:vAlign w:val="bottom"/>
          </w:tcPr>
          <w:p w:rsidR="00D87A88" w:rsidRPr="00D00722" w:rsidRDefault="00D87A88" w:rsidP="00030C96">
            <w:pPr>
              <w:autoSpaceDE w:val="0"/>
              <w:autoSpaceDN w:val="0"/>
              <w:adjustRightInd w:val="0"/>
              <w:ind w:hanging="108"/>
              <w:rPr>
                <w:rFonts w:ascii="Arial" w:hAnsi="Arial" w:cs="Arial"/>
                <w:color w:val="000000"/>
              </w:rPr>
            </w:pPr>
            <w:r w:rsidRPr="00D00722">
              <w:rPr>
                <w:rFonts w:ascii="Arial" w:hAnsi="Arial" w:cs="Arial"/>
                <w:color w:val="000000"/>
              </w:rPr>
              <w:t>Gerçeğe uygun değer farkı kar veya zarara yansıtılan finansal varlıklar</w:t>
            </w:r>
          </w:p>
        </w:tc>
        <w:tc>
          <w:tcPr>
            <w:tcW w:w="1559" w:type="dxa"/>
            <w:tcBorders>
              <w:top w:val="nil"/>
              <w:left w:val="nil"/>
              <w:bottom w:val="nil"/>
              <w:right w:val="nil"/>
            </w:tcBorders>
            <w:vAlign w:val="bottom"/>
          </w:tcPr>
          <w:p w:rsidR="00D87A88" w:rsidRPr="00D00722" w:rsidRDefault="00494D43" w:rsidP="00030C96">
            <w:pPr>
              <w:autoSpaceDE w:val="0"/>
              <w:autoSpaceDN w:val="0"/>
              <w:adjustRightInd w:val="0"/>
              <w:jc w:val="right"/>
              <w:rPr>
                <w:rFonts w:ascii="Arial" w:hAnsi="Arial" w:cs="Arial"/>
                <w:color w:val="000000"/>
              </w:rPr>
            </w:pPr>
            <w:r w:rsidRPr="00D00722">
              <w:rPr>
                <w:rFonts w:ascii="Arial" w:hAnsi="Arial" w:cs="Arial"/>
                <w:color w:val="000000"/>
              </w:rPr>
              <w:t>103.038</w:t>
            </w:r>
          </w:p>
        </w:tc>
        <w:tc>
          <w:tcPr>
            <w:tcW w:w="1559" w:type="dxa"/>
            <w:tcBorders>
              <w:top w:val="nil"/>
              <w:left w:val="nil"/>
              <w:bottom w:val="nil"/>
              <w:right w:val="nil"/>
            </w:tcBorders>
            <w:vAlign w:val="bottom"/>
          </w:tcPr>
          <w:p w:rsidR="00D87A88" w:rsidRPr="00D00722" w:rsidRDefault="00494D43" w:rsidP="00030C96">
            <w:pPr>
              <w:autoSpaceDE w:val="0"/>
              <w:autoSpaceDN w:val="0"/>
              <w:adjustRightInd w:val="0"/>
              <w:jc w:val="right"/>
              <w:rPr>
                <w:rFonts w:ascii="Arial" w:hAnsi="Arial" w:cs="Arial"/>
                <w:color w:val="000000"/>
              </w:rPr>
            </w:pPr>
            <w:r w:rsidRPr="00D00722">
              <w:rPr>
                <w:rFonts w:ascii="Arial" w:hAnsi="Arial" w:cs="Arial"/>
                <w:color w:val="000000"/>
              </w:rPr>
              <w:t>103.038</w:t>
            </w:r>
          </w:p>
        </w:tc>
      </w:tr>
      <w:tr w:rsidR="00BB0F8B" w:rsidRPr="00D00722" w:rsidTr="003C359E">
        <w:trPr>
          <w:trHeight w:val="113"/>
        </w:trPr>
        <w:tc>
          <w:tcPr>
            <w:tcW w:w="5954" w:type="dxa"/>
            <w:tcBorders>
              <w:top w:val="nil"/>
              <w:left w:val="nil"/>
              <w:bottom w:val="nil"/>
              <w:right w:val="nil"/>
            </w:tcBorders>
            <w:vAlign w:val="bottom"/>
          </w:tcPr>
          <w:p w:rsidR="00BB0F8B" w:rsidRPr="00D00722" w:rsidRDefault="00BB0F8B" w:rsidP="00030C96">
            <w:pPr>
              <w:autoSpaceDE w:val="0"/>
              <w:autoSpaceDN w:val="0"/>
              <w:adjustRightInd w:val="0"/>
              <w:ind w:hanging="108"/>
              <w:rPr>
                <w:rFonts w:ascii="Arial" w:hAnsi="Arial" w:cs="Arial"/>
                <w:iCs/>
                <w:color w:val="000000"/>
              </w:rPr>
            </w:pPr>
            <w:r w:rsidRPr="00D00722">
              <w:rPr>
                <w:rFonts w:ascii="Arial" w:hAnsi="Arial" w:cs="Arial"/>
                <w:iCs/>
                <w:color w:val="000000"/>
              </w:rPr>
              <w:t>Finansal yükümlülükler</w:t>
            </w:r>
          </w:p>
        </w:tc>
        <w:tc>
          <w:tcPr>
            <w:tcW w:w="1559" w:type="dxa"/>
            <w:tcBorders>
              <w:top w:val="nil"/>
              <w:left w:val="nil"/>
              <w:bottom w:val="nil"/>
              <w:right w:val="nil"/>
            </w:tcBorders>
            <w:vAlign w:val="bottom"/>
          </w:tcPr>
          <w:p w:rsidR="00BB0F8B" w:rsidRPr="00D00722" w:rsidRDefault="00BB0F8B" w:rsidP="00E83219">
            <w:pPr>
              <w:autoSpaceDE w:val="0"/>
              <w:autoSpaceDN w:val="0"/>
              <w:adjustRightInd w:val="0"/>
              <w:jc w:val="right"/>
              <w:rPr>
                <w:rFonts w:ascii="Arial" w:hAnsi="Arial" w:cs="Arial"/>
                <w:color w:val="000000"/>
              </w:rPr>
            </w:pPr>
          </w:p>
        </w:tc>
        <w:tc>
          <w:tcPr>
            <w:tcW w:w="1559" w:type="dxa"/>
            <w:tcBorders>
              <w:top w:val="nil"/>
              <w:left w:val="nil"/>
              <w:bottom w:val="nil"/>
              <w:right w:val="nil"/>
            </w:tcBorders>
            <w:vAlign w:val="bottom"/>
          </w:tcPr>
          <w:p w:rsidR="00BB0F8B" w:rsidRPr="00D00722" w:rsidRDefault="00BB0F8B" w:rsidP="00E83219">
            <w:pPr>
              <w:autoSpaceDE w:val="0"/>
              <w:autoSpaceDN w:val="0"/>
              <w:adjustRightInd w:val="0"/>
              <w:jc w:val="right"/>
              <w:rPr>
                <w:rFonts w:ascii="Arial" w:hAnsi="Arial" w:cs="Arial"/>
                <w:color w:val="000000"/>
              </w:rPr>
            </w:pPr>
          </w:p>
        </w:tc>
      </w:tr>
      <w:tr w:rsidR="00D87A88" w:rsidRPr="00D00722" w:rsidTr="003C359E">
        <w:trPr>
          <w:trHeight w:val="113"/>
        </w:trPr>
        <w:tc>
          <w:tcPr>
            <w:tcW w:w="5954" w:type="dxa"/>
            <w:tcBorders>
              <w:top w:val="nil"/>
              <w:left w:val="nil"/>
              <w:bottom w:val="nil"/>
              <w:right w:val="nil"/>
            </w:tcBorders>
            <w:vAlign w:val="bottom"/>
          </w:tcPr>
          <w:p w:rsidR="00D87A88" w:rsidRPr="00D00722" w:rsidRDefault="00D87A88" w:rsidP="00030C96">
            <w:pPr>
              <w:autoSpaceDE w:val="0"/>
              <w:autoSpaceDN w:val="0"/>
              <w:adjustRightInd w:val="0"/>
              <w:ind w:hanging="108"/>
              <w:rPr>
                <w:rFonts w:ascii="Arial" w:hAnsi="Arial" w:cs="Arial"/>
                <w:color w:val="000000"/>
              </w:rPr>
            </w:pPr>
            <w:r w:rsidRPr="00D00722">
              <w:rPr>
                <w:rFonts w:ascii="Arial" w:hAnsi="Arial" w:cs="Arial"/>
                <w:color w:val="000000"/>
              </w:rPr>
              <w:t xml:space="preserve">İlişkili taraflara borçlar </w:t>
            </w:r>
          </w:p>
        </w:tc>
        <w:tc>
          <w:tcPr>
            <w:tcW w:w="1559" w:type="dxa"/>
            <w:tcBorders>
              <w:top w:val="nil"/>
              <w:left w:val="nil"/>
              <w:bottom w:val="nil"/>
              <w:right w:val="nil"/>
            </w:tcBorders>
            <w:vAlign w:val="bottom"/>
          </w:tcPr>
          <w:p w:rsidR="00D87A88" w:rsidRPr="00D00722" w:rsidRDefault="00494D43" w:rsidP="00E83219">
            <w:pPr>
              <w:autoSpaceDE w:val="0"/>
              <w:autoSpaceDN w:val="0"/>
              <w:adjustRightInd w:val="0"/>
              <w:jc w:val="right"/>
              <w:rPr>
                <w:rFonts w:ascii="Arial" w:hAnsi="Arial" w:cs="Arial"/>
                <w:color w:val="000000"/>
              </w:rPr>
            </w:pPr>
            <w:r w:rsidRPr="00D00722">
              <w:rPr>
                <w:rFonts w:ascii="Arial" w:hAnsi="Arial" w:cs="Arial"/>
                <w:color w:val="000000"/>
              </w:rPr>
              <w:t>14.707</w:t>
            </w:r>
          </w:p>
        </w:tc>
        <w:tc>
          <w:tcPr>
            <w:tcW w:w="1559" w:type="dxa"/>
            <w:tcBorders>
              <w:top w:val="nil"/>
              <w:left w:val="nil"/>
              <w:bottom w:val="nil"/>
              <w:right w:val="nil"/>
            </w:tcBorders>
            <w:vAlign w:val="bottom"/>
          </w:tcPr>
          <w:p w:rsidR="00D87A88" w:rsidRPr="00D00722" w:rsidRDefault="00494D43" w:rsidP="00E83219">
            <w:pPr>
              <w:autoSpaceDE w:val="0"/>
              <w:autoSpaceDN w:val="0"/>
              <w:adjustRightInd w:val="0"/>
              <w:jc w:val="right"/>
              <w:rPr>
                <w:rFonts w:ascii="Arial" w:hAnsi="Arial" w:cs="Arial"/>
                <w:color w:val="000000"/>
              </w:rPr>
            </w:pPr>
            <w:r w:rsidRPr="00D00722">
              <w:rPr>
                <w:rFonts w:ascii="Arial" w:hAnsi="Arial" w:cs="Arial"/>
                <w:color w:val="000000"/>
              </w:rPr>
              <w:t>14.707</w:t>
            </w:r>
          </w:p>
        </w:tc>
      </w:tr>
      <w:tr w:rsidR="00D87A88" w:rsidRPr="00D00722" w:rsidTr="003C359E">
        <w:trPr>
          <w:trHeight w:val="113"/>
        </w:trPr>
        <w:tc>
          <w:tcPr>
            <w:tcW w:w="5954" w:type="dxa"/>
            <w:tcBorders>
              <w:top w:val="nil"/>
              <w:left w:val="nil"/>
              <w:bottom w:val="nil"/>
              <w:right w:val="nil"/>
            </w:tcBorders>
            <w:vAlign w:val="bottom"/>
          </w:tcPr>
          <w:p w:rsidR="00D87A88" w:rsidRPr="00D00722" w:rsidRDefault="00D87A88" w:rsidP="00030C96">
            <w:pPr>
              <w:autoSpaceDE w:val="0"/>
              <w:autoSpaceDN w:val="0"/>
              <w:adjustRightInd w:val="0"/>
              <w:ind w:hanging="108"/>
              <w:rPr>
                <w:rFonts w:ascii="Arial" w:hAnsi="Arial" w:cs="Arial"/>
                <w:color w:val="000000"/>
              </w:rPr>
            </w:pPr>
            <w:r w:rsidRPr="00D00722">
              <w:rPr>
                <w:rFonts w:ascii="Arial" w:hAnsi="Arial" w:cs="Arial"/>
                <w:color w:val="000000"/>
              </w:rPr>
              <w:t>Diğer ticari borçlar</w:t>
            </w:r>
          </w:p>
        </w:tc>
        <w:tc>
          <w:tcPr>
            <w:tcW w:w="1559" w:type="dxa"/>
            <w:tcBorders>
              <w:top w:val="nil"/>
              <w:left w:val="nil"/>
              <w:bottom w:val="nil"/>
              <w:right w:val="nil"/>
            </w:tcBorders>
            <w:vAlign w:val="bottom"/>
          </w:tcPr>
          <w:p w:rsidR="00D87A88" w:rsidRPr="00D00722" w:rsidRDefault="00494D43" w:rsidP="00E83219">
            <w:pPr>
              <w:autoSpaceDE w:val="0"/>
              <w:autoSpaceDN w:val="0"/>
              <w:adjustRightInd w:val="0"/>
              <w:jc w:val="right"/>
              <w:rPr>
                <w:rFonts w:ascii="Arial" w:hAnsi="Arial" w:cs="Arial"/>
                <w:color w:val="000000"/>
              </w:rPr>
            </w:pPr>
            <w:r w:rsidRPr="00D00722">
              <w:rPr>
                <w:rFonts w:ascii="Arial" w:hAnsi="Arial" w:cs="Arial"/>
                <w:color w:val="000000"/>
              </w:rPr>
              <w:t>35.666</w:t>
            </w:r>
          </w:p>
        </w:tc>
        <w:tc>
          <w:tcPr>
            <w:tcW w:w="1559" w:type="dxa"/>
            <w:tcBorders>
              <w:top w:val="nil"/>
              <w:left w:val="nil"/>
              <w:bottom w:val="nil"/>
              <w:right w:val="nil"/>
            </w:tcBorders>
            <w:vAlign w:val="bottom"/>
          </w:tcPr>
          <w:p w:rsidR="00D87A88" w:rsidRPr="00D00722" w:rsidRDefault="00494D43" w:rsidP="00E83219">
            <w:pPr>
              <w:autoSpaceDE w:val="0"/>
              <w:autoSpaceDN w:val="0"/>
              <w:adjustRightInd w:val="0"/>
              <w:jc w:val="right"/>
              <w:rPr>
                <w:rFonts w:ascii="Arial" w:hAnsi="Arial" w:cs="Arial"/>
                <w:color w:val="000000"/>
              </w:rPr>
            </w:pPr>
            <w:r w:rsidRPr="00D00722">
              <w:rPr>
                <w:rFonts w:ascii="Arial" w:hAnsi="Arial" w:cs="Arial"/>
                <w:color w:val="000000"/>
              </w:rPr>
              <w:t>35.666</w:t>
            </w:r>
          </w:p>
        </w:tc>
      </w:tr>
      <w:tr w:rsidR="00D87A88" w:rsidRPr="00D00722" w:rsidTr="003C359E">
        <w:trPr>
          <w:trHeight w:val="113"/>
        </w:trPr>
        <w:tc>
          <w:tcPr>
            <w:tcW w:w="5954" w:type="dxa"/>
            <w:tcBorders>
              <w:top w:val="nil"/>
              <w:left w:val="nil"/>
              <w:bottom w:val="nil"/>
              <w:right w:val="nil"/>
            </w:tcBorders>
            <w:vAlign w:val="bottom"/>
          </w:tcPr>
          <w:p w:rsidR="00D87A88" w:rsidRPr="00D00722" w:rsidRDefault="00D87A88" w:rsidP="00030C96">
            <w:pPr>
              <w:autoSpaceDE w:val="0"/>
              <w:autoSpaceDN w:val="0"/>
              <w:adjustRightInd w:val="0"/>
              <w:ind w:hanging="108"/>
              <w:rPr>
                <w:rFonts w:ascii="Arial" w:hAnsi="Arial" w:cs="Arial"/>
                <w:color w:val="000000"/>
              </w:rPr>
            </w:pPr>
            <w:r w:rsidRPr="00D00722">
              <w:rPr>
                <w:rFonts w:ascii="Arial" w:hAnsi="Arial" w:cs="Arial"/>
                <w:color w:val="000000"/>
              </w:rPr>
              <w:t xml:space="preserve">Diğer borçlar </w:t>
            </w:r>
          </w:p>
        </w:tc>
        <w:tc>
          <w:tcPr>
            <w:tcW w:w="1559" w:type="dxa"/>
            <w:tcBorders>
              <w:top w:val="nil"/>
              <w:left w:val="nil"/>
              <w:bottom w:val="nil"/>
              <w:right w:val="nil"/>
            </w:tcBorders>
            <w:vAlign w:val="bottom"/>
          </w:tcPr>
          <w:p w:rsidR="00D87A88" w:rsidRPr="00D00722" w:rsidRDefault="00494D43" w:rsidP="00E83219">
            <w:pPr>
              <w:autoSpaceDE w:val="0"/>
              <w:autoSpaceDN w:val="0"/>
              <w:adjustRightInd w:val="0"/>
              <w:jc w:val="right"/>
              <w:rPr>
                <w:rFonts w:ascii="Arial" w:hAnsi="Arial" w:cs="Arial"/>
                <w:color w:val="000000"/>
              </w:rPr>
            </w:pPr>
            <w:r w:rsidRPr="00D00722">
              <w:rPr>
                <w:rFonts w:ascii="Arial" w:hAnsi="Arial" w:cs="Arial"/>
                <w:color w:val="000000"/>
              </w:rPr>
              <w:t>9.343</w:t>
            </w:r>
          </w:p>
        </w:tc>
        <w:tc>
          <w:tcPr>
            <w:tcW w:w="1559" w:type="dxa"/>
            <w:tcBorders>
              <w:top w:val="nil"/>
              <w:left w:val="nil"/>
              <w:bottom w:val="nil"/>
              <w:right w:val="nil"/>
            </w:tcBorders>
            <w:vAlign w:val="bottom"/>
          </w:tcPr>
          <w:p w:rsidR="00D87A88" w:rsidRPr="00D00722" w:rsidRDefault="00494D43" w:rsidP="00E83219">
            <w:pPr>
              <w:autoSpaceDE w:val="0"/>
              <w:autoSpaceDN w:val="0"/>
              <w:adjustRightInd w:val="0"/>
              <w:jc w:val="right"/>
              <w:rPr>
                <w:rFonts w:ascii="Arial" w:hAnsi="Arial" w:cs="Arial"/>
                <w:color w:val="000000"/>
              </w:rPr>
            </w:pPr>
            <w:r w:rsidRPr="00D00722">
              <w:rPr>
                <w:rFonts w:ascii="Arial" w:hAnsi="Arial" w:cs="Arial"/>
                <w:color w:val="000000"/>
              </w:rPr>
              <w:t>9.343</w:t>
            </w:r>
          </w:p>
        </w:tc>
      </w:tr>
      <w:tr w:rsidR="00BB0F8B" w:rsidRPr="00D00722" w:rsidTr="003C359E">
        <w:trPr>
          <w:trHeight w:val="113"/>
        </w:trPr>
        <w:tc>
          <w:tcPr>
            <w:tcW w:w="5954" w:type="dxa"/>
            <w:tcBorders>
              <w:top w:val="nil"/>
              <w:left w:val="nil"/>
              <w:bottom w:val="nil"/>
              <w:right w:val="nil"/>
            </w:tcBorders>
            <w:vAlign w:val="bottom"/>
          </w:tcPr>
          <w:p w:rsidR="00BB0F8B" w:rsidRPr="00D00722" w:rsidRDefault="00BB0F8B" w:rsidP="00E83219">
            <w:pPr>
              <w:autoSpaceDE w:val="0"/>
              <w:autoSpaceDN w:val="0"/>
              <w:adjustRightInd w:val="0"/>
              <w:ind w:hanging="108"/>
              <w:rPr>
                <w:rFonts w:ascii="Arial" w:hAnsi="Arial" w:cs="Arial"/>
                <w:color w:val="000000"/>
              </w:rPr>
            </w:pPr>
          </w:p>
        </w:tc>
        <w:tc>
          <w:tcPr>
            <w:tcW w:w="1559" w:type="dxa"/>
            <w:tcBorders>
              <w:top w:val="nil"/>
              <w:left w:val="nil"/>
              <w:bottom w:val="nil"/>
              <w:right w:val="nil"/>
            </w:tcBorders>
            <w:vAlign w:val="bottom"/>
          </w:tcPr>
          <w:p w:rsidR="00BB0F8B" w:rsidRPr="00D00722" w:rsidRDefault="00BB0F8B" w:rsidP="00E83219">
            <w:pPr>
              <w:autoSpaceDE w:val="0"/>
              <w:autoSpaceDN w:val="0"/>
              <w:adjustRightInd w:val="0"/>
              <w:jc w:val="right"/>
              <w:rPr>
                <w:rFonts w:ascii="Arial" w:hAnsi="Arial" w:cs="Arial"/>
                <w:color w:val="000000"/>
              </w:rPr>
            </w:pPr>
          </w:p>
        </w:tc>
        <w:tc>
          <w:tcPr>
            <w:tcW w:w="1559" w:type="dxa"/>
            <w:tcBorders>
              <w:top w:val="nil"/>
              <w:left w:val="nil"/>
              <w:bottom w:val="nil"/>
              <w:right w:val="nil"/>
            </w:tcBorders>
            <w:vAlign w:val="bottom"/>
          </w:tcPr>
          <w:p w:rsidR="00BB0F8B" w:rsidRPr="00D00722" w:rsidRDefault="00BB0F8B" w:rsidP="00E83219">
            <w:pPr>
              <w:autoSpaceDE w:val="0"/>
              <w:autoSpaceDN w:val="0"/>
              <w:adjustRightInd w:val="0"/>
              <w:jc w:val="right"/>
              <w:rPr>
                <w:rFonts w:ascii="Arial" w:hAnsi="Arial" w:cs="Arial"/>
                <w:color w:val="000000"/>
              </w:rPr>
            </w:pPr>
          </w:p>
        </w:tc>
      </w:tr>
    </w:tbl>
    <w:p w:rsidR="004362C7" w:rsidRPr="00D00722" w:rsidRDefault="004362C7" w:rsidP="00B134F1">
      <w:pPr>
        <w:pStyle w:val="Default"/>
        <w:rPr>
          <w:b/>
          <w:bCs/>
          <w:sz w:val="20"/>
          <w:szCs w:val="20"/>
          <w:lang w:val="tr-TR"/>
        </w:rPr>
      </w:pPr>
    </w:p>
    <w:p w:rsidR="004362C7" w:rsidRPr="00D00722" w:rsidRDefault="004362C7" w:rsidP="00B134F1">
      <w:pPr>
        <w:pStyle w:val="Default"/>
        <w:rPr>
          <w:b/>
          <w:bCs/>
          <w:sz w:val="20"/>
          <w:szCs w:val="20"/>
          <w:lang w:val="tr-TR"/>
        </w:rPr>
      </w:pPr>
    </w:p>
    <w:p w:rsidR="00B134F1" w:rsidRPr="00D00722" w:rsidRDefault="00B134F1" w:rsidP="00B134F1">
      <w:pPr>
        <w:pStyle w:val="Default"/>
        <w:rPr>
          <w:b/>
          <w:bCs/>
          <w:sz w:val="20"/>
          <w:szCs w:val="20"/>
          <w:lang w:val="tr-TR"/>
        </w:rPr>
      </w:pPr>
      <w:r w:rsidRPr="00D00722">
        <w:rPr>
          <w:b/>
          <w:bCs/>
          <w:sz w:val="20"/>
          <w:szCs w:val="20"/>
          <w:lang w:val="tr-TR"/>
        </w:rPr>
        <w:t xml:space="preserve">Gerçeğe uygun değer ölçümleri hiyerarşi tablosu </w:t>
      </w:r>
    </w:p>
    <w:p w:rsidR="00B134F1" w:rsidRPr="00D00722" w:rsidRDefault="00B134F1" w:rsidP="00B134F1">
      <w:pPr>
        <w:rPr>
          <w:rFonts w:ascii="Arial" w:hAnsi="Arial" w:cs="Arial"/>
        </w:rPr>
      </w:pPr>
    </w:p>
    <w:p w:rsidR="00B134F1" w:rsidRPr="00D00722" w:rsidRDefault="00B134F1" w:rsidP="00B134F1">
      <w:pPr>
        <w:rPr>
          <w:rFonts w:ascii="Arial" w:hAnsi="Arial" w:cs="Arial"/>
        </w:rPr>
      </w:pPr>
      <w:proofErr w:type="gramStart"/>
      <w:r w:rsidRPr="00D00722">
        <w:rPr>
          <w:rFonts w:ascii="Arial" w:hAnsi="Arial" w:cs="Arial"/>
        </w:rPr>
        <w:t>Şirket, finansal tablolarında gerçeğe uygun değerleri ile yansıtılan finansal araçlarını her finansal araç sınıfının değerleme girdilerinin kaynağına göre, üç seviyeli hiyerarşi kullanarak, aşağıdaki şekilde sınıflandırmaktadır.</w:t>
      </w:r>
      <w:proofErr w:type="gramEnd"/>
      <w:r w:rsidRPr="00D00722">
        <w:rPr>
          <w:rFonts w:ascii="Arial" w:hAnsi="Arial" w:cs="Arial"/>
        </w:rPr>
        <w:t xml:space="preserve"> </w:t>
      </w:r>
    </w:p>
    <w:p w:rsidR="003908D5" w:rsidRPr="00D00722" w:rsidRDefault="003908D5" w:rsidP="00B134F1">
      <w:pPr>
        <w:rPr>
          <w:rFonts w:ascii="Arial" w:hAnsi="Arial" w:cs="Arial"/>
        </w:rPr>
      </w:pPr>
    </w:p>
    <w:p w:rsidR="00B134F1" w:rsidRPr="00D00722" w:rsidRDefault="00B134F1" w:rsidP="006370F0">
      <w:pPr>
        <w:ind w:left="1134" w:hanging="1134"/>
        <w:rPr>
          <w:rFonts w:ascii="Arial" w:hAnsi="Arial" w:cs="Arial"/>
        </w:rPr>
      </w:pPr>
      <w:r w:rsidRPr="00D00722">
        <w:rPr>
          <w:rFonts w:ascii="Arial" w:hAnsi="Arial" w:cs="Arial"/>
        </w:rPr>
        <w:t xml:space="preserve">Seviye 1: </w:t>
      </w:r>
      <w:r w:rsidR="006370F0" w:rsidRPr="00D00722">
        <w:rPr>
          <w:rFonts w:ascii="Arial" w:hAnsi="Arial" w:cs="Arial"/>
        </w:rPr>
        <w:tab/>
      </w:r>
      <w:r w:rsidRPr="00D00722">
        <w:rPr>
          <w:rFonts w:ascii="Arial" w:hAnsi="Arial" w:cs="Arial"/>
        </w:rPr>
        <w:t xml:space="preserve">Belirlenen finansal araçlar için aktif piyasada işlem gören (düzeltilmemiş) piyasa fiyatı kullanılan değerleme teknikleri </w:t>
      </w:r>
    </w:p>
    <w:p w:rsidR="00B134F1" w:rsidRPr="00D00722" w:rsidRDefault="00B134F1" w:rsidP="006370F0">
      <w:pPr>
        <w:pStyle w:val="Default"/>
        <w:ind w:left="1134" w:hanging="1134"/>
        <w:rPr>
          <w:sz w:val="20"/>
          <w:szCs w:val="20"/>
          <w:lang w:val="tr-TR"/>
        </w:rPr>
      </w:pPr>
      <w:r w:rsidRPr="00D00722">
        <w:rPr>
          <w:sz w:val="20"/>
          <w:szCs w:val="20"/>
          <w:lang w:val="tr-TR"/>
        </w:rPr>
        <w:t xml:space="preserve">Seviye 2: </w:t>
      </w:r>
      <w:r w:rsidR="006370F0" w:rsidRPr="00D00722">
        <w:rPr>
          <w:sz w:val="20"/>
          <w:szCs w:val="20"/>
          <w:lang w:val="tr-TR"/>
        </w:rPr>
        <w:tab/>
      </w:r>
      <w:r w:rsidRPr="00D00722">
        <w:rPr>
          <w:sz w:val="20"/>
          <w:szCs w:val="20"/>
          <w:lang w:val="tr-TR"/>
        </w:rPr>
        <w:t xml:space="preserve">Dolaylı veya dolaysız gözlemlenebilir girdi içeren diğer değerleme teknikleri </w:t>
      </w:r>
    </w:p>
    <w:p w:rsidR="00B134F1" w:rsidRPr="00D00722" w:rsidRDefault="00B134F1" w:rsidP="006370F0">
      <w:pPr>
        <w:ind w:left="1134" w:hanging="1134"/>
        <w:rPr>
          <w:rFonts w:ascii="Arial" w:hAnsi="Arial" w:cs="Arial"/>
        </w:rPr>
      </w:pPr>
      <w:r w:rsidRPr="00D00722">
        <w:rPr>
          <w:rFonts w:ascii="Arial" w:hAnsi="Arial" w:cs="Arial"/>
        </w:rPr>
        <w:t xml:space="preserve">Seviye 3: </w:t>
      </w:r>
      <w:r w:rsidR="006370F0" w:rsidRPr="00D00722">
        <w:rPr>
          <w:rFonts w:ascii="Arial" w:hAnsi="Arial" w:cs="Arial"/>
        </w:rPr>
        <w:tab/>
      </w:r>
      <w:r w:rsidRPr="00D00722">
        <w:rPr>
          <w:rFonts w:ascii="Arial" w:hAnsi="Arial" w:cs="Arial"/>
        </w:rPr>
        <w:t xml:space="preserve">Gözlemlenebilir piyasa girdilerini içermeyen değerleme teknikleri </w:t>
      </w:r>
    </w:p>
    <w:p w:rsidR="00E9771D" w:rsidRPr="00D00722" w:rsidRDefault="00E9771D" w:rsidP="00DA51B1">
      <w:pPr>
        <w:spacing w:line="230" w:lineRule="auto"/>
        <w:rPr>
          <w:rFonts w:ascii="Arial" w:hAnsi="Arial" w:cs="Arial"/>
          <w:b/>
          <w:spacing w:val="-2"/>
          <w:lang w:val="tr-TR"/>
        </w:rPr>
      </w:pPr>
    </w:p>
    <w:p w:rsidR="00E83219" w:rsidRPr="00D00722" w:rsidRDefault="006D6214" w:rsidP="00DA51B1">
      <w:pPr>
        <w:spacing w:line="230" w:lineRule="auto"/>
        <w:rPr>
          <w:rFonts w:ascii="Arial" w:hAnsi="Arial" w:cs="Arial"/>
        </w:rPr>
      </w:pPr>
      <w:r w:rsidRPr="00D00722">
        <w:rPr>
          <w:rFonts w:ascii="Arial" w:hAnsi="Arial" w:cs="Arial"/>
          <w:b/>
          <w:spacing w:val="-2"/>
          <w:lang w:val="tr-TR"/>
        </w:rPr>
        <w:t>25</w:t>
      </w:r>
      <w:r w:rsidR="00E83219" w:rsidRPr="00D00722">
        <w:rPr>
          <w:rFonts w:ascii="Arial" w:hAnsi="Arial" w:cs="Arial"/>
          <w:b/>
          <w:spacing w:val="-2"/>
          <w:lang w:val="tr-TR"/>
        </w:rPr>
        <w:t>.</w:t>
      </w:r>
      <w:r w:rsidR="00E83219" w:rsidRPr="00D00722">
        <w:rPr>
          <w:rFonts w:ascii="Arial" w:hAnsi="Arial" w:cs="Arial"/>
          <w:b/>
          <w:spacing w:val="-2"/>
          <w:lang w:val="tr-TR"/>
        </w:rPr>
        <w:tab/>
        <w:t>Finansal araçlar</w:t>
      </w:r>
      <w:r w:rsidR="00E83219" w:rsidRPr="00D00722">
        <w:rPr>
          <w:rFonts w:ascii="Arial" w:hAnsi="Arial" w:cs="Arial"/>
        </w:rPr>
        <w:t xml:space="preserve"> </w:t>
      </w:r>
      <w:r w:rsidR="00E83219" w:rsidRPr="00D00722">
        <w:rPr>
          <w:rFonts w:ascii="Arial" w:hAnsi="Arial" w:cs="Arial"/>
          <w:b/>
        </w:rPr>
        <w:t>(devamı)</w:t>
      </w:r>
    </w:p>
    <w:p w:rsidR="00B134F1" w:rsidRPr="00D00722" w:rsidRDefault="00B134F1" w:rsidP="00DA51B1">
      <w:pPr>
        <w:spacing w:line="230" w:lineRule="auto"/>
        <w:rPr>
          <w:rFonts w:ascii="Arial" w:hAnsi="Arial" w:cs="Arial"/>
        </w:rPr>
      </w:pPr>
    </w:p>
    <w:p w:rsidR="00B134F1" w:rsidRPr="00D00722" w:rsidRDefault="003972A7" w:rsidP="00DA51B1">
      <w:pPr>
        <w:spacing w:line="230" w:lineRule="auto"/>
        <w:rPr>
          <w:rFonts w:ascii="Arial" w:hAnsi="Arial" w:cs="Arial"/>
        </w:rPr>
      </w:pPr>
      <w:r w:rsidRPr="00D00722">
        <w:rPr>
          <w:rFonts w:ascii="Arial" w:hAnsi="Arial" w:cs="Arial"/>
        </w:rPr>
        <w:t xml:space="preserve">31 </w:t>
      </w:r>
      <w:r w:rsidR="00BC2303" w:rsidRPr="00D00722">
        <w:rPr>
          <w:rFonts w:ascii="Arial" w:hAnsi="Arial" w:cs="Arial"/>
        </w:rPr>
        <w:t>Mart</w:t>
      </w:r>
      <w:r w:rsidRPr="00D00722">
        <w:rPr>
          <w:rFonts w:ascii="Arial" w:hAnsi="Arial" w:cs="Arial"/>
        </w:rPr>
        <w:t xml:space="preserve"> </w:t>
      </w:r>
      <w:r w:rsidR="00457247" w:rsidRPr="00D00722">
        <w:rPr>
          <w:rFonts w:ascii="Arial" w:hAnsi="Arial" w:cs="Arial"/>
        </w:rPr>
        <w:t>201</w:t>
      </w:r>
      <w:r w:rsidR="00BC2303" w:rsidRPr="00D00722">
        <w:rPr>
          <w:rFonts w:ascii="Arial" w:hAnsi="Arial" w:cs="Arial"/>
        </w:rPr>
        <w:t>4</w:t>
      </w:r>
      <w:r w:rsidR="00B134F1" w:rsidRPr="00D00722">
        <w:rPr>
          <w:rFonts w:ascii="Arial" w:hAnsi="Arial" w:cs="Arial"/>
        </w:rPr>
        <w:t xml:space="preserve"> ve </w:t>
      </w:r>
      <w:r w:rsidR="00457247" w:rsidRPr="00D00722">
        <w:rPr>
          <w:rFonts w:ascii="Arial" w:hAnsi="Arial" w:cs="Arial"/>
        </w:rPr>
        <w:t>201</w:t>
      </w:r>
      <w:r w:rsidR="00BC2303" w:rsidRPr="00D00722">
        <w:rPr>
          <w:rFonts w:ascii="Arial" w:hAnsi="Arial" w:cs="Arial"/>
        </w:rPr>
        <w:t>3</w:t>
      </w:r>
      <w:r w:rsidR="00B134F1" w:rsidRPr="00D00722">
        <w:rPr>
          <w:rFonts w:ascii="Arial" w:hAnsi="Arial" w:cs="Arial"/>
        </w:rPr>
        <w:t xml:space="preserve"> tarihleri itibariyle, Şirket’in gerçeğe uygun değer ile takip ettiği varlıkların listesi ve sıra düzeni aşağıdaki gibidir:</w:t>
      </w:r>
    </w:p>
    <w:p w:rsidR="00B134F1" w:rsidRPr="00D00722" w:rsidRDefault="00B134F1" w:rsidP="00DA51B1">
      <w:pPr>
        <w:spacing w:line="230" w:lineRule="auto"/>
        <w:rPr>
          <w:rFonts w:ascii="Arial" w:hAnsi="Arial" w:cs="Arial"/>
        </w:rPr>
      </w:pPr>
    </w:p>
    <w:tbl>
      <w:tblPr>
        <w:tblW w:w="0" w:type="auto"/>
        <w:tblInd w:w="108" w:type="dxa"/>
        <w:tblLook w:val="00A0"/>
      </w:tblPr>
      <w:tblGrid>
        <w:gridCol w:w="4820"/>
        <w:gridCol w:w="1470"/>
        <w:gridCol w:w="1541"/>
        <w:gridCol w:w="1275"/>
      </w:tblGrid>
      <w:tr w:rsidR="00B134F1" w:rsidRPr="00D00722" w:rsidTr="00B43131">
        <w:tc>
          <w:tcPr>
            <w:tcW w:w="4820" w:type="dxa"/>
            <w:tcBorders>
              <w:top w:val="single" w:sz="4" w:space="0" w:color="auto"/>
              <w:bottom w:val="single" w:sz="4" w:space="0" w:color="auto"/>
            </w:tcBorders>
          </w:tcPr>
          <w:p w:rsidR="00B134F1" w:rsidRPr="00D00722" w:rsidRDefault="003972A7" w:rsidP="004362C7">
            <w:pPr>
              <w:tabs>
                <w:tab w:val="left" w:pos="0"/>
              </w:tabs>
              <w:spacing w:line="230" w:lineRule="auto"/>
              <w:jc w:val="both"/>
              <w:rPr>
                <w:rFonts w:ascii="Arial" w:hAnsi="Arial" w:cs="Arial"/>
                <w:b/>
              </w:rPr>
            </w:pPr>
            <w:r w:rsidRPr="00D00722">
              <w:rPr>
                <w:rFonts w:ascii="Arial" w:hAnsi="Arial" w:cs="Arial"/>
                <w:b/>
              </w:rPr>
              <w:t xml:space="preserve">31 </w:t>
            </w:r>
            <w:r w:rsidR="004362C7" w:rsidRPr="00D00722">
              <w:rPr>
                <w:rFonts w:ascii="Arial" w:hAnsi="Arial" w:cs="Arial"/>
                <w:b/>
              </w:rPr>
              <w:t>Mart</w:t>
            </w:r>
            <w:r w:rsidRPr="00D00722">
              <w:rPr>
                <w:rFonts w:ascii="Arial" w:hAnsi="Arial" w:cs="Arial"/>
                <w:b/>
              </w:rPr>
              <w:t xml:space="preserve"> </w:t>
            </w:r>
            <w:r w:rsidR="00350F68" w:rsidRPr="00D00722">
              <w:rPr>
                <w:rFonts w:ascii="Arial" w:hAnsi="Arial" w:cs="Arial"/>
                <w:b/>
              </w:rPr>
              <w:t>201</w:t>
            </w:r>
            <w:r w:rsidR="004362C7" w:rsidRPr="00D00722">
              <w:rPr>
                <w:rFonts w:ascii="Arial" w:hAnsi="Arial" w:cs="Arial"/>
                <w:b/>
              </w:rPr>
              <w:t>4</w:t>
            </w:r>
          </w:p>
        </w:tc>
        <w:tc>
          <w:tcPr>
            <w:tcW w:w="1470" w:type="dxa"/>
            <w:tcBorders>
              <w:top w:val="single" w:sz="4" w:space="0" w:color="auto"/>
              <w:bottom w:val="single" w:sz="4" w:space="0" w:color="auto"/>
            </w:tcBorders>
          </w:tcPr>
          <w:p w:rsidR="00B134F1" w:rsidRPr="00D00722" w:rsidRDefault="00B134F1" w:rsidP="00DA51B1">
            <w:pPr>
              <w:spacing w:line="230" w:lineRule="auto"/>
              <w:jc w:val="right"/>
              <w:rPr>
                <w:rFonts w:ascii="Arial" w:hAnsi="Arial" w:cs="Arial"/>
                <w:b/>
              </w:rPr>
            </w:pPr>
            <w:r w:rsidRPr="00D00722">
              <w:rPr>
                <w:rFonts w:ascii="Arial" w:hAnsi="Arial" w:cs="Arial"/>
                <w:b/>
              </w:rPr>
              <w:t>Seviye 1</w:t>
            </w:r>
          </w:p>
        </w:tc>
        <w:tc>
          <w:tcPr>
            <w:tcW w:w="1541" w:type="dxa"/>
            <w:tcBorders>
              <w:top w:val="single" w:sz="4" w:space="0" w:color="auto"/>
              <w:bottom w:val="single" w:sz="4" w:space="0" w:color="auto"/>
            </w:tcBorders>
          </w:tcPr>
          <w:p w:rsidR="00B134F1" w:rsidRPr="00D00722" w:rsidRDefault="00B134F1" w:rsidP="00DA51B1">
            <w:pPr>
              <w:spacing w:line="230" w:lineRule="auto"/>
              <w:jc w:val="right"/>
              <w:rPr>
                <w:rFonts w:ascii="Arial" w:hAnsi="Arial" w:cs="Arial"/>
                <w:b/>
              </w:rPr>
            </w:pPr>
            <w:r w:rsidRPr="00D00722">
              <w:rPr>
                <w:rFonts w:ascii="Arial" w:hAnsi="Arial" w:cs="Arial"/>
                <w:b/>
              </w:rPr>
              <w:t xml:space="preserve">Seviye 2 </w:t>
            </w:r>
          </w:p>
        </w:tc>
        <w:tc>
          <w:tcPr>
            <w:tcW w:w="1275" w:type="dxa"/>
            <w:tcBorders>
              <w:top w:val="single" w:sz="4" w:space="0" w:color="auto"/>
              <w:bottom w:val="single" w:sz="4" w:space="0" w:color="auto"/>
            </w:tcBorders>
          </w:tcPr>
          <w:p w:rsidR="00B134F1" w:rsidRPr="00D00722" w:rsidRDefault="00B134F1" w:rsidP="00DA51B1">
            <w:pPr>
              <w:spacing w:line="230" w:lineRule="auto"/>
              <w:jc w:val="right"/>
              <w:rPr>
                <w:rFonts w:ascii="Arial" w:hAnsi="Arial" w:cs="Arial"/>
                <w:b/>
              </w:rPr>
            </w:pPr>
            <w:r w:rsidRPr="00D00722">
              <w:rPr>
                <w:rFonts w:ascii="Arial" w:hAnsi="Arial" w:cs="Arial"/>
                <w:b/>
              </w:rPr>
              <w:t>Seviye 3</w:t>
            </w:r>
          </w:p>
        </w:tc>
      </w:tr>
      <w:tr w:rsidR="00B134F1" w:rsidRPr="00D00722" w:rsidTr="00B43131">
        <w:tc>
          <w:tcPr>
            <w:tcW w:w="4820" w:type="dxa"/>
            <w:tcBorders>
              <w:top w:val="single" w:sz="4" w:space="0" w:color="auto"/>
            </w:tcBorders>
          </w:tcPr>
          <w:p w:rsidR="00B134F1" w:rsidRPr="00D00722" w:rsidRDefault="00B134F1" w:rsidP="00DA51B1">
            <w:pPr>
              <w:tabs>
                <w:tab w:val="left" w:pos="0"/>
              </w:tabs>
              <w:spacing w:line="230" w:lineRule="auto"/>
              <w:jc w:val="both"/>
              <w:rPr>
                <w:rFonts w:ascii="Arial" w:hAnsi="Arial" w:cs="Arial"/>
                <w:b/>
              </w:rPr>
            </w:pPr>
          </w:p>
        </w:tc>
        <w:tc>
          <w:tcPr>
            <w:tcW w:w="1470" w:type="dxa"/>
            <w:tcBorders>
              <w:top w:val="single" w:sz="4" w:space="0" w:color="auto"/>
            </w:tcBorders>
          </w:tcPr>
          <w:p w:rsidR="00B134F1" w:rsidRPr="00D00722" w:rsidRDefault="00B134F1" w:rsidP="00DA51B1">
            <w:pPr>
              <w:spacing w:line="230" w:lineRule="auto"/>
              <w:jc w:val="right"/>
              <w:rPr>
                <w:rFonts w:ascii="Arial" w:hAnsi="Arial" w:cs="Arial"/>
                <w:b/>
              </w:rPr>
            </w:pPr>
          </w:p>
        </w:tc>
        <w:tc>
          <w:tcPr>
            <w:tcW w:w="1541" w:type="dxa"/>
            <w:tcBorders>
              <w:top w:val="single" w:sz="4" w:space="0" w:color="auto"/>
            </w:tcBorders>
          </w:tcPr>
          <w:p w:rsidR="00B134F1" w:rsidRPr="00D00722" w:rsidRDefault="00B134F1" w:rsidP="00DA51B1">
            <w:pPr>
              <w:spacing w:line="230" w:lineRule="auto"/>
              <w:jc w:val="right"/>
              <w:rPr>
                <w:rFonts w:ascii="Arial" w:hAnsi="Arial" w:cs="Arial"/>
                <w:b/>
              </w:rPr>
            </w:pPr>
          </w:p>
        </w:tc>
        <w:tc>
          <w:tcPr>
            <w:tcW w:w="1275" w:type="dxa"/>
            <w:tcBorders>
              <w:top w:val="single" w:sz="4" w:space="0" w:color="auto"/>
            </w:tcBorders>
          </w:tcPr>
          <w:p w:rsidR="00B134F1" w:rsidRPr="00D00722" w:rsidRDefault="00B134F1" w:rsidP="00DA51B1">
            <w:pPr>
              <w:spacing w:line="230" w:lineRule="auto"/>
              <w:jc w:val="right"/>
              <w:rPr>
                <w:rFonts w:ascii="Arial" w:hAnsi="Arial" w:cs="Arial"/>
                <w:b/>
              </w:rPr>
            </w:pPr>
          </w:p>
        </w:tc>
      </w:tr>
      <w:tr w:rsidR="00EE3B5C" w:rsidRPr="00D00722" w:rsidTr="00B43131">
        <w:tc>
          <w:tcPr>
            <w:tcW w:w="4820" w:type="dxa"/>
          </w:tcPr>
          <w:p w:rsidR="00EE3B5C" w:rsidRPr="00D00722" w:rsidRDefault="00EE3B5C" w:rsidP="00DA51B1">
            <w:pPr>
              <w:numPr>
                <w:ilvl w:val="0"/>
                <w:numId w:val="24"/>
              </w:numPr>
              <w:tabs>
                <w:tab w:val="left" w:pos="0"/>
              </w:tabs>
              <w:spacing w:line="230" w:lineRule="auto"/>
              <w:ind w:left="0" w:hanging="567"/>
              <w:jc w:val="both"/>
              <w:rPr>
                <w:rFonts w:ascii="Arial" w:hAnsi="Arial" w:cs="Arial"/>
                <w:b/>
              </w:rPr>
            </w:pPr>
            <w:r w:rsidRPr="00D00722">
              <w:rPr>
                <w:rFonts w:ascii="Arial" w:hAnsi="Arial" w:cs="Arial"/>
                <w:b/>
              </w:rPr>
              <w:t>Gerçeğe uygun değer ile gösterilen varlıklar</w:t>
            </w:r>
          </w:p>
        </w:tc>
        <w:tc>
          <w:tcPr>
            <w:tcW w:w="1470" w:type="dxa"/>
          </w:tcPr>
          <w:p w:rsidR="00EE3B5C" w:rsidRPr="00D00722" w:rsidRDefault="00EE3B5C" w:rsidP="00DA51B1">
            <w:pPr>
              <w:spacing w:line="230" w:lineRule="auto"/>
              <w:jc w:val="right"/>
              <w:rPr>
                <w:rFonts w:ascii="Arial" w:hAnsi="Arial" w:cs="Arial"/>
                <w:b/>
              </w:rPr>
            </w:pPr>
          </w:p>
        </w:tc>
        <w:tc>
          <w:tcPr>
            <w:tcW w:w="1541" w:type="dxa"/>
          </w:tcPr>
          <w:p w:rsidR="00EE3B5C" w:rsidRPr="00D00722" w:rsidRDefault="00EE3B5C" w:rsidP="00DA51B1">
            <w:pPr>
              <w:spacing w:line="230" w:lineRule="auto"/>
              <w:jc w:val="right"/>
              <w:rPr>
                <w:rFonts w:ascii="Arial" w:hAnsi="Arial" w:cs="Arial"/>
                <w:b/>
              </w:rPr>
            </w:pPr>
          </w:p>
        </w:tc>
        <w:tc>
          <w:tcPr>
            <w:tcW w:w="1275" w:type="dxa"/>
          </w:tcPr>
          <w:p w:rsidR="00EE3B5C" w:rsidRPr="00D00722" w:rsidRDefault="00EE3B5C" w:rsidP="00DA51B1">
            <w:pPr>
              <w:spacing w:line="230" w:lineRule="auto"/>
              <w:jc w:val="right"/>
              <w:rPr>
                <w:rFonts w:ascii="Arial" w:hAnsi="Arial" w:cs="Arial"/>
                <w:b/>
              </w:rPr>
            </w:pPr>
          </w:p>
        </w:tc>
      </w:tr>
      <w:tr w:rsidR="00896CB2" w:rsidRPr="00D00722" w:rsidTr="00B43131">
        <w:tc>
          <w:tcPr>
            <w:tcW w:w="4820" w:type="dxa"/>
          </w:tcPr>
          <w:p w:rsidR="00896CB2" w:rsidRPr="00D00722" w:rsidRDefault="00D87A88" w:rsidP="00DA51B1">
            <w:pPr>
              <w:numPr>
                <w:ilvl w:val="0"/>
                <w:numId w:val="24"/>
              </w:numPr>
              <w:tabs>
                <w:tab w:val="left" w:pos="0"/>
              </w:tabs>
              <w:spacing w:line="230" w:lineRule="auto"/>
              <w:ind w:left="0" w:hanging="567"/>
              <w:jc w:val="both"/>
              <w:rPr>
                <w:rFonts w:ascii="Arial" w:hAnsi="Arial" w:cs="Arial"/>
                <w:b/>
              </w:rPr>
            </w:pPr>
            <w:r w:rsidRPr="00D00722">
              <w:rPr>
                <w:rFonts w:ascii="Arial" w:hAnsi="Arial" w:cs="Arial"/>
                <w:b/>
              </w:rPr>
              <w:t>Devlet tahvili</w:t>
            </w:r>
          </w:p>
        </w:tc>
        <w:tc>
          <w:tcPr>
            <w:tcW w:w="1470" w:type="dxa"/>
          </w:tcPr>
          <w:p w:rsidR="00896CB2" w:rsidRPr="00D00722" w:rsidRDefault="00BC5560" w:rsidP="00DA51B1">
            <w:pPr>
              <w:spacing w:line="230" w:lineRule="auto"/>
              <w:jc w:val="right"/>
              <w:rPr>
                <w:rFonts w:ascii="Arial" w:hAnsi="Arial" w:cs="Arial"/>
                <w:b/>
              </w:rPr>
            </w:pPr>
            <w:r w:rsidRPr="00D00722">
              <w:rPr>
                <w:rFonts w:ascii="Arial" w:hAnsi="Arial" w:cs="Arial"/>
                <w:b/>
              </w:rPr>
              <w:t>98.454</w:t>
            </w:r>
          </w:p>
        </w:tc>
        <w:tc>
          <w:tcPr>
            <w:tcW w:w="1541" w:type="dxa"/>
          </w:tcPr>
          <w:p w:rsidR="00896CB2" w:rsidRPr="00D00722" w:rsidRDefault="00D87A88" w:rsidP="00DA51B1">
            <w:pPr>
              <w:spacing w:line="230" w:lineRule="auto"/>
              <w:jc w:val="right"/>
              <w:rPr>
                <w:rFonts w:ascii="Arial" w:hAnsi="Arial" w:cs="Arial"/>
                <w:b/>
              </w:rPr>
            </w:pPr>
            <w:r w:rsidRPr="00D00722">
              <w:rPr>
                <w:rFonts w:ascii="Arial" w:hAnsi="Arial" w:cs="Arial"/>
                <w:b/>
              </w:rPr>
              <w:t>-</w:t>
            </w:r>
          </w:p>
        </w:tc>
        <w:tc>
          <w:tcPr>
            <w:tcW w:w="1275" w:type="dxa"/>
          </w:tcPr>
          <w:p w:rsidR="00896CB2" w:rsidRPr="00D00722" w:rsidRDefault="00D87A88" w:rsidP="00DA51B1">
            <w:pPr>
              <w:spacing w:line="230" w:lineRule="auto"/>
              <w:jc w:val="right"/>
              <w:rPr>
                <w:rFonts w:ascii="Arial" w:hAnsi="Arial" w:cs="Arial"/>
                <w:b/>
              </w:rPr>
            </w:pPr>
            <w:r w:rsidRPr="00D00722">
              <w:rPr>
                <w:rFonts w:ascii="Arial" w:hAnsi="Arial" w:cs="Arial"/>
                <w:b/>
              </w:rPr>
              <w:t>-</w:t>
            </w:r>
          </w:p>
        </w:tc>
      </w:tr>
      <w:tr w:rsidR="00B134F1" w:rsidRPr="00D00722" w:rsidTr="00B43131">
        <w:tc>
          <w:tcPr>
            <w:tcW w:w="4820" w:type="dxa"/>
            <w:tcBorders>
              <w:bottom w:val="single" w:sz="4" w:space="0" w:color="auto"/>
            </w:tcBorders>
          </w:tcPr>
          <w:p w:rsidR="00B134F1" w:rsidRPr="00D00722" w:rsidRDefault="00B134F1" w:rsidP="00DA51B1">
            <w:pPr>
              <w:tabs>
                <w:tab w:val="left" w:pos="0"/>
              </w:tabs>
              <w:spacing w:line="230" w:lineRule="auto"/>
              <w:jc w:val="both"/>
              <w:rPr>
                <w:rFonts w:ascii="Arial" w:hAnsi="Arial" w:cs="Arial"/>
                <w:b/>
              </w:rPr>
            </w:pPr>
          </w:p>
        </w:tc>
        <w:tc>
          <w:tcPr>
            <w:tcW w:w="1470" w:type="dxa"/>
            <w:tcBorders>
              <w:bottom w:val="single" w:sz="4" w:space="0" w:color="auto"/>
            </w:tcBorders>
            <w:vAlign w:val="bottom"/>
          </w:tcPr>
          <w:p w:rsidR="00B134F1" w:rsidRPr="00D00722" w:rsidRDefault="00B134F1" w:rsidP="00DA51B1">
            <w:pPr>
              <w:spacing w:line="230" w:lineRule="auto"/>
              <w:jc w:val="right"/>
              <w:rPr>
                <w:rFonts w:ascii="Arial" w:hAnsi="Arial" w:cs="Arial"/>
                <w:b/>
                <w:lang w:val="sv-SE"/>
              </w:rPr>
            </w:pPr>
          </w:p>
        </w:tc>
        <w:tc>
          <w:tcPr>
            <w:tcW w:w="1541" w:type="dxa"/>
            <w:tcBorders>
              <w:bottom w:val="single" w:sz="4" w:space="0" w:color="auto"/>
            </w:tcBorders>
          </w:tcPr>
          <w:p w:rsidR="00B134F1" w:rsidRPr="00D00722" w:rsidRDefault="00B134F1" w:rsidP="00DA51B1">
            <w:pPr>
              <w:spacing w:line="230" w:lineRule="auto"/>
              <w:jc w:val="right"/>
              <w:rPr>
                <w:rFonts w:ascii="Arial" w:hAnsi="Arial" w:cs="Arial"/>
                <w:b/>
              </w:rPr>
            </w:pPr>
          </w:p>
        </w:tc>
        <w:tc>
          <w:tcPr>
            <w:tcW w:w="1275" w:type="dxa"/>
            <w:tcBorders>
              <w:bottom w:val="single" w:sz="4" w:space="0" w:color="auto"/>
            </w:tcBorders>
          </w:tcPr>
          <w:p w:rsidR="00B134F1" w:rsidRPr="00D00722" w:rsidRDefault="00B134F1" w:rsidP="00DA51B1">
            <w:pPr>
              <w:spacing w:line="230" w:lineRule="auto"/>
              <w:jc w:val="right"/>
              <w:rPr>
                <w:rFonts w:ascii="Arial" w:hAnsi="Arial" w:cs="Arial"/>
                <w:b/>
              </w:rPr>
            </w:pPr>
          </w:p>
        </w:tc>
      </w:tr>
      <w:tr w:rsidR="00896CB2" w:rsidRPr="00D00722" w:rsidTr="00B43131">
        <w:tc>
          <w:tcPr>
            <w:tcW w:w="4820" w:type="dxa"/>
            <w:tcBorders>
              <w:top w:val="single" w:sz="4" w:space="0" w:color="auto"/>
              <w:bottom w:val="double" w:sz="4" w:space="0" w:color="auto"/>
            </w:tcBorders>
          </w:tcPr>
          <w:p w:rsidR="00896CB2" w:rsidRPr="00D00722" w:rsidRDefault="00896CB2" w:rsidP="00DA51B1">
            <w:pPr>
              <w:tabs>
                <w:tab w:val="left" w:pos="0"/>
              </w:tabs>
              <w:spacing w:line="230" w:lineRule="auto"/>
              <w:jc w:val="both"/>
              <w:rPr>
                <w:rFonts w:ascii="Arial" w:hAnsi="Arial" w:cs="Arial"/>
                <w:b/>
              </w:rPr>
            </w:pPr>
            <w:r w:rsidRPr="00D00722">
              <w:rPr>
                <w:rFonts w:ascii="Arial" w:hAnsi="Arial" w:cs="Arial"/>
                <w:b/>
              </w:rPr>
              <w:t>Toplam varlıklar</w:t>
            </w:r>
          </w:p>
        </w:tc>
        <w:tc>
          <w:tcPr>
            <w:tcW w:w="1470" w:type="dxa"/>
            <w:tcBorders>
              <w:top w:val="single" w:sz="4" w:space="0" w:color="auto"/>
              <w:bottom w:val="double" w:sz="4" w:space="0" w:color="auto"/>
            </w:tcBorders>
            <w:vAlign w:val="bottom"/>
          </w:tcPr>
          <w:p w:rsidR="00896CB2" w:rsidRPr="00D00722" w:rsidRDefault="00BC5560" w:rsidP="00DA51B1">
            <w:pPr>
              <w:spacing w:line="230" w:lineRule="auto"/>
              <w:jc w:val="right"/>
              <w:rPr>
                <w:rFonts w:ascii="Arial" w:hAnsi="Arial" w:cs="Arial"/>
                <w:b/>
                <w:lang w:val="sv-SE"/>
              </w:rPr>
            </w:pPr>
            <w:r w:rsidRPr="00D00722">
              <w:rPr>
                <w:rFonts w:ascii="Arial" w:hAnsi="Arial" w:cs="Arial"/>
                <w:b/>
                <w:lang w:val="sv-SE"/>
              </w:rPr>
              <w:t>98.454</w:t>
            </w:r>
          </w:p>
        </w:tc>
        <w:tc>
          <w:tcPr>
            <w:tcW w:w="1541" w:type="dxa"/>
            <w:tcBorders>
              <w:top w:val="single" w:sz="4" w:space="0" w:color="auto"/>
              <w:bottom w:val="double" w:sz="4" w:space="0" w:color="auto"/>
            </w:tcBorders>
          </w:tcPr>
          <w:p w:rsidR="00896CB2" w:rsidRPr="00D00722" w:rsidRDefault="00D87A88" w:rsidP="00DA51B1">
            <w:pPr>
              <w:spacing w:line="230" w:lineRule="auto"/>
              <w:jc w:val="right"/>
              <w:rPr>
                <w:rFonts w:ascii="Arial" w:hAnsi="Arial" w:cs="Arial"/>
                <w:b/>
              </w:rPr>
            </w:pPr>
            <w:r w:rsidRPr="00D00722">
              <w:rPr>
                <w:rFonts w:ascii="Arial" w:hAnsi="Arial" w:cs="Arial"/>
                <w:b/>
              </w:rPr>
              <w:t>-</w:t>
            </w:r>
          </w:p>
        </w:tc>
        <w:tc>
          <w:tcPr>
            <w:tcW w:w="1275" w:type="dxa"/>
            <w:tcBorders>
              <w:top w:val="single" w:sz="4" w:space="0" w:color="auto"/>
              <w:bottom w:val="double" w:sz="4" w:space="0" w:color="auto"/>
            </w:tcBorders>
          </w:tcPr>
          <w:p w:rsidR="00896CB2" w:rsidRPr="00D00722" w:rsidRDefault="00D87A88" w:rsidP="00DA51B1">
            <w:pPr>
              <w:spacing w:line="230" w:lineRule="auto"/>
              <w:jc w:val="right"/>
              <w:rPr>
                <w:rFonts w:ascii="Arial" w:hAnsi="Arial" w:cs="Arial"/>
                <w:b/>
              </w:rPr>
            </w:pPr>
            <w:r w:rsidRPr="00D00722">
              <w:rPr>
                <w:rFonts w:ascii="Arial" w:hAnsi="Arial" w:cs="Arial"/>
                <w:b/>
              </w:rPr>
              <w:t>-</w:t>
            </w:r>
          </w:p>
        </w:tc>
      </w:tr>
    </w:tbl>
    <w:p w:rsidR="00596443" w:rsidRPr="00D00722" w:rsidRDefault="00596443" w:rsidP="00DA51B1">
      <w:pPr>
        <w:spacing w:line="230" w:lineRule="auto"/>
        <w:jc w:val="both"/>
        <w:rPr>
          <w:rFonts w:ascii="Arial" w:hAnsi="Arial" w:cs="Arial"/>
        </w:rPr>
      </w:pPr>
    </w:p>
    <w:tbl>
      <w:tblPr>
        <w:tblW w:w="0" w:type="auto"/>
        <w:tblInd w:w="108" w:type="dxa"/>
        <w:tblLook w:val="00A0"/>
      </w:tblPr>
      <w:tblGrid>
        <w:gridCol w:w="4820"/>
        <w:gridCol w:w="1470"/>
        <w:gridCol w:w="1541"/>
        <w:gridCol w:w="1275"/>
      </w:tblGrid>
      <w:tr w:rsidR="00B134F1" w:rsidRPr="00D00722" w:rsidTr="00B43131">
        <w:tc>
          <w:tcPr>
            <w:tcW w:w="4820" w:type="dxa"/>
            <w:tcBorders>
              <w:top w:val="single" w:sz="4" w:space="0" w:color="auto"/>
              <w:bottom w:val="single" w:sz="4" w:space="0" w:color="auto"/>
            </w:tcBorders>
          </w:tcPr>
          <w:p w:rsidR="00B134F1" w:rsidRPr="00D00722" w:rsidRDefault="00B134F1" w:rsidP="00056376">
            <w:pPr>
              <w:tabs>
                <w:tab w:val="left" w:pos="0"/>
              </w:tabs>
              <w:spacing w:line="230" w:lineRule="auto"/>
              <w:jc w:val="both"/>
              <w:rPr>
                <w:rFonts w:ascii="Arial" w:hAnsi="Arial" w:cs="Arial"/>
              </w:rPr>
            </w:pPr>
            <w:r w:rsidRPr="00D00722">
              <w:rPr>
                <w:rFonts w:ascii="Arial" w:hAnsi="Arial" w:cs="Arial"/>
              </w:rPr>
              <w:t xml:space="preserve">31 Aralık </w:t>
            </w:r>
            <w:r w:rsidR="00350F68" w:rsidRPr="00D00722">
              <w:rPr>
                <w:rFonts w:ascii="Arial" w:hAnsi="Arial" w:cs="Arial"/>
              </w:rPr>
              <w:t>201</w:t>
            </w:r>
            <w:r w:rsidR="00056376" w:rsidRPr="00D00722">
              <w:rPr>
                <w:rFonts w:ascii="Arial" w:hAnsi="Arial" w:cs="Arial"/>
              </w:rPr>
              <w:t>3</w:t>
            </w:r>
          </w:p>
        </w:tc>
        <w:tc>
          <w:tcPr>
            <w:tcW w:w="1470" w:type="dxa"/>
            <w:tcBorders>
              <w:top w:val="single" w:sz="4" w:space="0" w:color="auto"/>
              <w:bottom w:val="single" w:sz="4" w:space="0" w:color="auto"/>
            </w:tcBorders>
          </w:tcPr>
          <w:p w:rsidR="00B134F1" w:rsidRPr="00D00722" w:rsidRDefault="00B134F1" w:rsidP="00DA51B1">
            <w:pPr>
              <w:spacing w:line="230" w:lineRule="auto"/>
              <w:jc w:val="right"/>
              <w:rPr>
                <w:rFonts w:ascii="Arial" w:hAnsi="Arial" w:cs="Arial"/>
              </w:rPr>
            </w:pPr>
            <w:r w:rsidRPr="00D00722">
              <w:rPr>
                <w:rFonts w:ascii="Arial" w:hAnsi="Arial" w:cs="Arial"/>
              </w:rPr>
              <w:t>Seviye 1</w:t>
            </w:r>
          </w:p>
        </w:tc>
        <w:tc>
          <w:tcPr>
            <w:tcW w:w="1541" w:type="dxa"/>
            <w:tcBorders>
              <w:top w:val="single" w:sz="4" w:space="0" w:color="auto"/>
              <w:bottom w:val="single" w:sz="4" w:space="0" w:color="auto"/>
            </w:tcBorders>
          </w:tcPr>
          <w:p w:rsidR="00B134F1" w:rsidRPr="00D00722" w:rsidRDefault="00B134F1" w:rsidP="00DA51B1">
            <w:pPr>
              <w:spacing w:line="230" w:lineRule="auto"/>
              <w:jc w:val="right"/>
              <w:rPr>
                <w:rFonts w:ascii="Arial" w:hAnsi="Arial" w:cs="Arial"/>
              </w:rPr>
            </w:pPr>
            <w:r w:rsidRPr="00D00722">
              <w:rPr>
                <w:rFonts w:ascii="Arial" w:hAnsi="Arial" w:cs="Arial"/>
              </w:rPr>
              <w:t xml:space="preserve">Seviye 2 </w:t>
            </w:r>
          </w:p>
        </w:tc>
        <w:tc>
          <w:tcPr>
            <w:tcW w:w="1275" w:type="dxa"/>
            <w:tcBorders>
              <w:top w:val="single" w:sz="4" w:space="0" w:color="auto"/>
              <w:bottom w:val="single" w:sz="4" w:space="0" w:color="auto"/>
            </w:tcBorders>
          </w:tcPr>
          <w:p w:rsidR="00B134F1" w:rsidRPr="00D00722" w:rsidRDefault="00B134F1" w:rsidP="00DA51B1">
            <w:pPr>
              <w:spacing w:line="230" w:lineRule="auto"/>
              <w:jc w:val="right"/>
              <w:rPr>
                <w:rFonts w:ascii="Arial" w:hAnsi="Arial" w:cs="Arial"/>
              </w:rPr>
            </w:pPr>
            <w:r w:rsidRPr="00D00722">
              <w:rPr>
                <w:rFonts w:ascii="Arial" w:hAnsi="Arial" w:cs="Arial"/>
              </w:rPr>
              <w:t>Seviye 3</w:t>
            </w:r>
          </w:p>
        </w:tc>
      </w:tr>
      <w:tr w:rsidR="00B134F1" w:rsidRPr="00D00722" w:rsidTr="00B43131">
        <w:tc>
          <w:tcPr>
            <w:tcW w:w="4820" w:type="dxa"/>
            <w:tcBorders>
              <w:top w:val="single" w:sz="4" w:space="0" w:color="auto"/>
            </w:tcBorders>
          </w:tcPr>
          <w:p w:rsidR="00B134F1" w:rsidRPr="00D00722" w:rsidRDefault="00B134F1" w:rsidP="00DA51B1">
            <w:pPr>
              <w:tabs>
                <w:tab w:val="left" w:pos="0"/>
              </w:tabs>
              <w:spacing w:line="230" w:lineRule="auto"/>
              <w:jc w:val="both"/>
              <w:rPr>
                <w:rFonts w:ascii="Arial" w:hAnsi="Arial" w:cs="Arial"/>
              </w:rPr>
            </w:pPr>
          </w:p>
        </w:tc>
        <w:tc>
          <w:tcPr>
            <w:tcW w:w="1470" w:type="dxa"/>
            <w:tcBorders>
              <w:top w:val="single" w:sz="4" w:space="0" w:color="auto"/>
            </w:tcBorders>
          </w:tcPr>
          <w:p w:rsidR="00B134F1" w:rsidRPr="00D00722" w:rsidRDefault="00B134F1" w:rsidP="00DA51B1">
            <w:pPr>
              <w:spacing w:line="230" w:lineRule="auto"/>
              <w:jc w:val="right"/>
              <w:rPr>
                <w:rFonts w:ascii="Arial" w:hAnsi="Arial" w:cs="Arial"/>
              </w:rPr>
            </w:pPr>
          </w:p>
        </w:tc>
        <w:tc>
          <w:tcPr>
            <w:tcW w:w="1541" w:type="dxa"/>
            <w:tcBorders>
              <w:top w:val="single" w:sz="4" w:space="0" w:color="auto"/>
            </w:tcBorders>
          </w:tcPr>
          <w:p w:rsidR="00B134F1" w:rsidRPr="00D00722" w:rsidRDefault="00B134F1" w:rsidP="00DA51B1">
            <w:pPr>
              <w:spacing w:line="230" w:lineRule="auto"/>
              <w:jc w:val="right"/>
              <w:rPr>
                <w:rFonts w:ascii="Arial" w:hAnsi="Arial" w:cs="Arial"/>
              </w:rPr>
            </w:pPr>
          </w:p>
        </w:tc>
        <w:tc>
          <w:tcPr>
            <w:tcW w:w="1275" w:type="dxa"/>
            <w:tcBorders>
              <w:top w:val="single" w:sz="4" w:space="0" w:color="auto"/>
            </w:tcBorders>
          </w:tcPr>
          <w:p w:rsidR="00B134F1" w:rsidRPr="00D00722" w:rsidRDefault="00B134F1" w:rsidP="00DA51B1">
            <w:pPr>
              <w:spacing w:line="230" w:lineRule="auto"/>
              <w:jc w:val="right"/>
              <w:rPr>
                <w:rFonts w:ascii="Arial" w:hAnsi="Arial" w:cs="Arial"/>
              </w:rPr>
            </w:pPr>
          </w:p>
        </w:tc>
      </w:tr>
      <w:tr w:rsidR="00B134F1" w:rsidRPr="00D00722" w:rsidTr="00B43131">
        <w:tc>
          <w:tcPr>
            <w:tcW w:w="4820" w:type="dxa"/>
          </w:tcPr>
          <w:p w:rsidR="00B134F1" w:rsidRPr="00D00722" w:rsidRDefault="00B134F1" w:rsidP="00DA51B1">
            <w:pPr>
              <w:numPr>
                <w:ilvl w:val="0"/>
                <w:numId w:val="24"/>
              </w:numPr>
              <w:tabs>
                <w:tab w:val="left" w:pos="0"/>
              </w:tabs>
              <w:spacing w:line="230" w:lineRule="auto"/>
              <w:ind w:left="0" w:hanging="567"/>
              <w:jc w:val="both"/>
              <w:rPr>
                <w:rFonts w:ascii="Arial" w:hAnsi="Arial" w:cs="Arial"/>
              </w:rPr>
            </w:pPr>
            <w:r w:rsidRPr="00D00722">
              <w:rPr>
                <w:rFonts w:ascii="Arial" w:hAnsi="Arial" w:cs="Arial"/>
              </w:rPr>
              <w:t>Gerçeğe uygun değer ile gösterilen varlıklar</w:t>
            </w:r>
          </w:p>
        </w:tc>
        <w:tc>
          <w:tcPr>
            <w:tcW w:w="1470" w:type="dxa"/>
          </w:tcPr>
          <w:p w:rsidR="00B134F1" w:rsidRPr="00D00722" w:rsidRDefault="00B134F1" w:rsidP="00DA51B1">
            <w:pPr>
              <w:spacing w:line="230" w:lineRule="auto"/>
              <w:jc w:val="right"/>
              <w:rPr>
                <w:rFonts w:ascii="Arial" w:hAnsi="Arial" w:cs="Arial"/>
              </w:rPr>
            </w:pPr>
          </w:p>
        </w:tc>
        <w:tc>
          <w:tcPr>
            <w:tcW w:w="1541" w:type="dxa"/>
          </w:tcPr>
          <w:p w:rsidR="00B134F1" w:rsidRPr="00D00722" w:rsidRDefault="00B134F1" w:rsidP="00DA51B1">
            <w:pPr>
              <w:spacing w:line="230" w:lineRule="auto"/>
              <w:jc w:val="right"/>
              <w:rPr>
                <w:rFonts w:ascii="Arial" w:hAnsi="Arial" w:cs="Arial"/>
              </w:rPr>
            </w:pPr>
          </w:p>
        </w:tc>
        <w:tc>
          <w:tcPr>
            <w:tcW w:w="1275" w:type="dxa"/>
          </w:tcPr>
          <w:p w:rsidR="00B134F1" w:rsidRPr="00D00722" w:rsidRDefault="00B134F1" w:rsidP="00DA51B1">
            <w:pPr>
              <w:spacing w:line="230" w:lineRule="auto"/>
              <w:jc w:val="right"/>
              <w:rPr>
                <w:rFonts w:ascii="Arial" w:hAnsi="Arial" w:cs="Arial"/>
              </w:rPr>
            </w:pPr>
          </w:p>
        </w:tc>
      </w:tr>
      <w:tr w:rsidR="00457247" w:rsidRPr="00D00722" w:rsidTr="004F01F8">
        <w:tc>
          <w:tcPr>
            <w:tcW w:w="4820" w:type="dxa"/>
          </w:tcPr>
          <w:p w:rsidR="00457247" w:rsidRPr="00D00722" w:rsidRDefault="00457247" w:rsidP="00DA51B1">
            <w:pPr>
              <w:tabs>
                <w:tab w:val="left" w:pos="0"/>
              </w:tabs>
              <w:spacing w:line="230" w:lineRule="auto"/>
              <w:jc w:val="both"/>
              <w:rPr>
                <w:rFonts w:ascii="Arial" w:hAnsi="Arial" w:cs="Arial"/>
              </w:rPr>
            </w:pPr>
            <w:r w:rsidRPr="00D00722">
              <w:rPr>
                <w:rFonts w:ascii="Arial" w:hAnsi="Arial" w:cs="Arial"/>
              </w:rPr>
              <w:t>Devlet tahvili</w:t>
            </w:r>
          </w:p>
        </w:tc>
        <w:tc>
          <w:tcPr>
            <w:tcW w:w="1470" w:type="dxa"/>
          </w:tcPr>
          <w:p w:rsidR="00457247" w:rsidRPr="00D00722" w:rsidRDefault="00457247" w:rsidP="00056376">
            <w:pPr>
              <w:spacing w:line="230" w:lineRule="auto"/>
              <w:jc w:val="right"/>
              <w:rPr>
                <w:rFonts w:ascii="Arial" w:hAnsi="Arial" w:cs="Arial"/>
              </w:rPr>
            </w:pPr>
            <w:r w:rsidRPr="00D00722">
              <w:rPr>
                <w:rFonts w:ascii="Arial" w:hAnsi="Arial" w:cs="Arial"/>
              </w:rPr>
              <w:t>10</w:t>
            </w:r>
            <w:r w:rsidR="00056376" w:rsidRPr="00D00722">
              <w:rPr>
                <w:rFonts w:ascii="Arial" w:hAnsi="Arial" w:cs="Arial"/>
              </w:rPr>
              <w:t>3</w:t>
            </w:r>
            <w:r w:rsidRPr="00D00722">
              <w:rPr>
                <w:rFonts w:ascii="Arial" w:hAnsi="Arial" w:cs="Arial"/>
              </w:rPr>
              <w:t>.</w:t>
            </w:r>
            <w:r w:rsidR="00056376" w:rsidRPr="00D00722">
              <w:rPr>
                <w:rFonts w:ascii="Arial" w:hAnsi="Arial" w:cs="Arial"/>
              </w:rPr>
              <w:t>0</w:t>
            </w:r>
            <w:r w:rsidRPr="00D00722">
              <w:rPr>
                <w:rFonts w:ascii="Arial" w:hAnsi="Arial" w:cs="Arial"/>
              </w:rPr>
              <w:t>3</w:t>
            </w:r>
            <w:r w:rsidR="00056376" w:rsidRPr="00D00722">
              <w:rPr>
                <w:rFonts w:ascii="Arial" w:hAnsi="Arial" w:cs="Arial"/>
              </w:rPr>
              <w:t>8</w:t>
            </w:r>
          </w:p>
        </w:tc>
        <w:tc>
          <w:tcPr>
            <w:tcW w:w="1541" w:type="dxa"/>
          </w:tcPr>
          <w:p w:rsidR="00457247" w:rsidRPr="00D00722" w:rsidRDefault="00457247" w:rsidP="00DA51B1">
            <w:pPr>
              <w:spacing w:line="230" w:lineRule="auto"/>
              <w:jc w:val="right"/>
              <w:rPr>
                <w:rFonts w:ascii="Arial" w:hAnsi="Arial" w:cs="Arial"/>
              </w:rPr>
            </w:pPr>
            <w:r w:rsidRPr="00D00722">
              <w:rPr>
                <w:rFonts w:ascii="Arial" w:hAnsi="Arial" w:cs="Arial"/>
              </w:rPr>
              <w:t>-</w:t>
            </w:r>
          </w:p>
        </w:tc>
        <w:tc>
          <w:tcPr>
            <w:tcW w:w="1275" w:type="dxa"/>
          </w:tcPr>
          <w:p w:rsidR="00457247" w:rsidRPr="00D00722" w:rsidRDefault="00457247" w:rsidP="00DA51B1">
            <w:pPr>
              <w:spacing w:line="230" w:lineRule="auto"/>
              <w:jc w:val="right"/>
              <w:rPr>
                <w:rFonts w:ascii="Arial" w:hAnsi="Arial" w:cs="Arial"/>
              </w:rPr>
            </w:pPr>
            <w:r w:rsidRPr="00D00722">
              <w:rPr>
                <w:rFonts w:ascii="Arial" w:hAnsi="Arial" w:cs="Arial"/>
              </w:rPr>
              <w:t>-</w:t>
            </w:r>
          </w:p>
        </w:tc>
      </w:tr>
      <w:tr w:rsidR="00457247" w:rsidRPr="00D00722" w:rsidTr="00B43131">
        <w:tc>
          <w:tcPr>
            <w:tcW w:w="4820" w:type="dxa"/>
            <w:tcBorders>
              <w:bottom w:val="single" w:sz="4" w:space="0" w:color="auto"/>
            </w:tcBorders>
          </w:tcPr>
          <w:p w:rsidR="00457247" w:rsidRPr="00D00722" w:rsidRDefault="00457247" w:rsidP="00DA51B1">
            <w:pPr>
              <w:tabs>
                <w:tab w:val="left" w:pos="0"/>
              </w:tabs>
              <w:spacing w:line="230" w:lineRule="auto"/>
              <w:jc w:val="both"/>
              <w:rPr>
                <w:rFonts w:ascii="Arial" w:hAnsi="Arial" w:cs="Arial"/>
              </w:rPr>
            </w:pPr>
          </w:p>
        </w:tc>
        <w:tc>
          <w:tcPr>
            <w:tcW w:w="1470" w:type="dxa"/>
            <w:tcBorders>
              <w:bottom w:val="single" w:sz="4" w:space="0" w:color="auto"/>
            </w:tcBorders>
            <w:vAlign w:val="bottom"/>
          </w:tcPr>
          <w:p w:rsidR="00457247" w:rsidRPr="00D00722" w:rsidRDefault="00457247" w:rsidP="004F01F8">
            <w:pPr>
              <w:spacing w:line="230" w:lineRule="auto"/>
              <w:jc w:val="right"/>
              <w:rPr>
                <w:rFonts w:ascii="Arial" w:hAnsi="Arial" w:cs="Arial"/>
                <w:lang w:val="sv-SE"/>
              </w:rPr>
            </w:pPr>
          </w:p>
        </w:tc>
        <w:tc>
          <w:tcPr>
            <w:tcW w:w="1541" w:type="dxa"/>
            <w:tcBorders>
              <w:bottom w:val="single" w:sz="4" w:space="0" w:color="auto"/>
            </w:tcBorders>
          </w:tcPr>
          <w:p w:rsidR="00457247" w:rsidRPr="00D00722" w:rsidRDefault="00457247" w:rsidP="00DA51B1">
            <w:pPr>
              <w:spacing w:line="230" w:lineRule="auto"/>
              <w:jc w:val="right"/>
              <w:rPr>
                <w:rFonts w:ascii="Arial" w:hAnsi="Arial" w:cs="Arial"/>
              </w:rPr>
            </w:pPr>
          </w:p>
        </w:tc>
        <w:tc>
          <w:tcPr>
            <w:tcW w:w="1275" w:type="dxa"/>
            <w:tcBorders>
              <w:bottom w:val="single" w:sz="4" w:space="0" w:color="auto"/>
            </w:tcBorders>
          </w:tcPr>
          <w:p w:rsidR="00457247" w:rsidRPr="00D00722" w:rsidRDefault="00457247" w:rsidP="00DA51B1">
            <w:pPr>
              <w:spacing w:line="230" w:lineRule="auto"/>
              <w:jc w:val="right"/>
              <w:rPr>
                <w:rFonts w:ascii="Arial" w:hAnsi="Arial" w:cs="Arial"/>
              </w:rPr>
            </w:pPr>
          </w:p>
        </w:tc>
      </w:tr>
      <w:tr w:rsidR="00457247" w:rsidRPr="00D00722" w:rsidTr="00B43131">
        <w:tc>
          <w:tcPr>
            <w:tcW w:w="4820" w:type="dxa"/>
            <w:tcBorders>
              <w:top w:val="single" w:sz="4" w:space="0" w:color="auto"/>
              <w:bottom w:val="double" w:sz="4" w:space="0" w:color="auto"/>
            </w:tcBorders>
          </w:tcPr>
          <w:p w:rsidR="00457247" w:rsidRPr="00D00722" w:rsidRDefault="00457247" w:rsidP="00DA51B1">
            <w:pPr>
              <w:tabs>
                <w:tab w:val="left" w:pos="0"/>
              </w:tabs>
              <w:spacing w:line="230" w:lineRule="auto"/>
              <w:jc w:val="both"/>
              <w:rPr>
                <w:rFonts w:ascii="Arial" w:hAnsi="Arial" w:cs="Arial"/>
              </w:rPr>
            </w:pPr>
            <w:r w:rsidRPr="00D00722">
              <w:rPr>
                <w:rFonts w:ascii="Arial" w:hAnsi="Arial" w:cs="Arial"/>
              </w:rPr>
              <w:t>Toplam varlıklar</w:t>
            </w:r>
          </w:p>
        </w:tc>
        <w:tc>
          <w:tcPr>
            <w:tcW w:w="1470" w:type="dxa"/>
            <w:tcBorders>
              <w:top w:val="single" w:sz="4" w:space="0" w:color="auto"/>
              <w:bottom w:val="double" w:sz="4" w:space="0" w:color="auto"/>
            </w:tcBorders>
            <w:vAlign w:val="bottom"/>
          </w:tcPr>
          <w:p w:rsidR="00457247" w:rsidRPr="00D00722" w:rsidRDefault="00457247" w:rsidP="00056376">
            <w:pPr>
              <w:spacing w:line="230" w:lineRule="auto"/>
              <w:jc w:val="right"/>
              <w:rPr>
                <w:rFonts w:ascii="Arial" w:hAnsi="Arial" w:cs="Arial"/>
                <w:lang w:val="sv-SE"/>
              </w:rPr>
            </w:pPr>
            <w:r w:rsidRPr="00D00722">
              <w:rPr>
                <w:rFonts w:ascii="Arial" w:hAnsi="Arial" w:cs="Arial"/>
              </w:rPr>
              <w:t>10</w:t>
            </w:r>
            <w:r w:rsidR="00056376" w:rsidRPr="00D00722">
              <w:rPr>
                <w:rFonts w:ascii="Arial" w:hAnsi="Arial" w:cs="Arial"/>
              </w:rPr>
              <w:t>3</w:t>
            </w:r>
            <w:r w:rsidRPr="00D00722">
              <w:rPr>
                <w:rFonts w:ascii="Arial" w:hAnsi="Arial" w:cs="Arial"/>
              </w:rPr>
              <w:t>.</w:t>
            </w:r>
            <w:r w:rsidR="00056376" w:rsidRPr="00D00722">
              <w:rPr>
                <w:rFonts w:ascii="Arial" w:hAnsi="Arial" w:cs="Arial"/>
              </w:rPr>
              <w:t>038</w:t>
            </w:r>
          </w:p>
        </w:tc>
        <w:tc>
          <w:tcPr>
            <w:tcW w:w="1541" w:type="dxa"/>
            <w:tcBorders>
              <w:top w:val="single" w:sz="4" w:space="0" w:color="auto"/>
              <w:bottom w:val="double" w:sz="4" w:space="0" w:color="auto"/>
            </w:tcBorders>
          </w:tcPr>
          <w:p w:rsidR="00457247" w:rsidRPr="00D00722" w:rsidRDefault="00457247" w:rsidP="00DA51B1">
            <w:pPr>
              <w:spacing w:line="230" w:lineRule="auto"/>
              <w:jc w:val="right"/>
              <w:rPr>
                <w:rFonts w:ascii="Arial" w:hAnsi="Arial" w:cs="Arial"/>
              </w:rPr>
            </w:pPr>
            <w:r w:rsidRPr="00D00722">
              <w:rPr>
                <w:rFonts w:ascii="Arial" w:hAnsi="Arial" w:cs="Arial"/>
              </w:rPr>
              <w:t>-</w:t>
            </w:r>
          </w:p>
        </w:tc>
        <w:tc>
          <w:tcPr>
            <w:tcW w:w="1275" w:type="dxa"/>
            <w:tcBorders>
              <w:top w:val="single" w:sz="4" w:space="0" w:color="auto"/>
              <w:bottom w:val="double" w:sz="4" w:space="0" w:color="auto"/>
            </w:tcBorders>
          </w:tcPr>
          <w:p w:rsidR="00457247" w:rsidRPr="00D00722" w:rsidRDefault="00457247" w:rsidP="00DA51B1">
            <w:pPr>
              <w:spacing w:line="230" w:lineRule="auto"/>
              <w:jc w:val="right"/>
              <w:rPr>
                <w:rFonts w:ascii="Arial" w:hAnsi="Arial" w:cs="Arial"/>
              </w:rPr>
            </w:pPr>
            <w:r w:rsidRPr="00D00722">
              <w:rPr>
                <w:rFonts w:ascii="Arial" w:hAnsi="Arial" w:cs="Arial"/>
              </w:rPr>
              <w:t>-</w:t>
            </w:r>
          </w:p>
        </w:tc>
      </w:tr>
    </w:tbl>
    <w:p w:rsidR="00B134F1" w:rsidRPr="00D00722" w:rsidRDefault="00B134F1" w:rsidP="00DA51B1">
      <w:pPr>
        <w:spacing w:line="230" w:lineRule="auto"/>
        <w:ind w:right="-23"/>
        <w:rPr>
          <w:rFonts w:ascii="Arial" w:hAnsi="Arial" w:cs="Arial"/>
          <w:lang w:val="tr-TR"/>
        </w:rPr>
      </w:pPr>
    </w:p>
    <w:p w:rsidR="00B134F1" w:rsidRPr="00D00722" w:rsidRDefault="00B134F1" w:rsidP="00DA51B1">
      <w:pPr>
        <w:spacing w:line="230" w:lineRule="auto"/>
        <w:ind w:right="-23"/>
        <w:rPr>
          <w:rFonts w:ascii="Arial" w:hAnsi="Arial" w:cs="Arial"/>
          <w:lang w:val="tr-TR"/>
        </w:rPr>
      </w:pPr>
      <w:r w:rsidRPr="00D00722">
        <w:rPr>
          <w:rFonts w:ascii="Arial" w:hAnsi="Arial" w:cs="Arial"/>
          <w:lang w:val="tr-TR"/>
        </w:rPr>
        <w:t>Gerçeğe uygun değer farkı kar veya zarara yansıtılan finansal varlıklar dışındaki finansal varlıkların ve finansal yükümlülüklerin gerçeğe uygun değerlerinin tahmini için aşağıdaki yöntem ve varsayımlar kullanılmıştır:</w:t>
      </w:r>
    </w:p>
    <w:p w:rsidR="00002922" w:rsidRPr="00D00722" w:rsidRDefault="00002922" w:rsidP="00DA51B1">
      <w:pPr>
        <w:spacing w:line="230" w:lineRule="auto"/>
        <w:jc w:val="both"/>
        <w:rPr>
          <w:rFonts w:ascii="Arial" w:hAnsi="Arial" w:cs="Arial"/>
          <w:bCs/>
          <w:iCs/>
          <w:lang w:val="tr-TR"/>
        </w:rPr>
      </w:pPr>
    </w:p>
    <w:p w:rsidR="00002922" w:rsidRPr="00D00722" w:rsidRDefault="00002922" w:rsidP="00DA51B1">
      <w:pPr>
        <w:spacing w:line="230" w:lineRule="auto"/>
        <w:jc w:val="both"/>
        <w:rPr>
          <w:rFonts w:ascii="Arial" w:hAnsi="Arial" w:cs="Arial"/>
          <w:bCs/>
          <w:iCs/>
          <w:lang w:val="tr-TR"/>
        </w:rPr>
      </w:pPr>
      <w:r w:rsidRPr="00D00722">
        <w:rPr>
          <w:rFonts w:ascii="Arial" w:hAnsi="Arial" w:cs="Arial"/>
          <w:bCs/>
          <w:iCs/>
          <w:lang w:val="tr-TR"/>
        </w:rPr>
        <w:t>Finansal varlıklar</w:t>
      </w:r>
    </w:p>
    <w:p w:rsidR="00002922" w:rsidRPr="00D00722" w:rsidRDefault="00002922" w:rsidP="00DA51B1">
      <w:pPr>
        <w:tabs>
          <w:tab w:val="left" w:pos="0"/>
          <w:tab w:val="left" w:pos="209"/>
          <w:tab w:val="left" w:pos="418"/>
          <w:tab w:val="left" w:pos="626"/>
          <w:tab w:val="decimal" w:pos="6264"/>
          <w:tab w:val="decimal" w:pos="8561"/>
        </w:tabs>
        <w:suppressAutoHyphens/>
        <w:spacing w:line="230" w:lineRule="auto"/>
        <w:jc w:val="both"/>
        <w:rPr>
          <w:rFonts w:ascii="Arial" w:hAnsi="Arial" w:cs="Arial"/>
          <w:spacing w:val="-2"/>
          <w:lang w:val="tr-TR"/>
        </w:rPr>
      </w:pPr>
    </w:p>
    <w:p w:rsidR="00002922" w:rsidRPr="00D00722" w:rsidRDefault="00002922" w:rsidP="00DA51B1">
      <w:pPr>
        <w:spacing w:line="230" w:lineRule="auto"/>
        <w:jc w:val="both"/>
        <w:rPr>
          <w:rFonts w:ascii="Arial" w:hAnsi="Arial" w:cs="Arial"/>
          <w:lang w:val="tr-TR"/>
        </w:rPr>
      </w:pPr>
      <w:r w:rsidRPr="00D00722">
        <w:rPr>
          <w:rFonts w:ascii="Arial" w:hAnsi="Arial" w:cs="Arial"/>
          <w:lang w:val="tr-TR"/>
        </w:rPr>
        <w:t>Nakit ve nakit benzeri değerler ve diğer finansal varlıklar dahil olmak üzere maliyet bedeli ile gösterilen finansal varlıkların rayiç değerlerinin kısa vadeli olmaları ve muhtemel zararların önemsiz miktarda olabileceği düşünülerek defter değerlerine yaklaştığı öngörülmektedir.</w:t>
      </w:r>
    </w:p>
    <w:p w:rsidR="00002922" w:rsidRPr="00D00722" w:rsidRDefault="00002922" w:rsidP="00DA51B1">
      <w:pPr>
        <w:spacing w:line="230" w:lineRule="auto"/>
        <w:jc w:val="both"/>
        <w:rPr>
          <w:rFonts w:ascii="Arial" w:hAnsi="Arial" w:cs="Arial"/>
          <w:lang w:val="tr-TR"/>
        </w:rPr>
      </w:pPr>
    </w:p>
    <w:p w:rsidR="00002922" w:rsidRPr="00D00722" w:rsidRDefault="00002922" w:rsidP="00DA51B1">
      <w:pPr>
        <w:tabs>
          <w:tab w:val="left" w:pos="426"/>
        </w:tabs>
        <w:spacing w:line="230" w:lineRule="auto"/>
        <w:jc w:val="both"/>
        <w:rPr>
          <w:rFonts w:ascii="Arial" w:hAnsi="Arial" w:cs="Arial"/>
          <w:bCs/>
          <w:iCs/>
          <w:lang w:val="tr-TR"/>
        </w:rPr>
      </w:pPr>
      <w:r w:rsidRPr="00D00722">
        <w:rPr>
          <w:rFonts w:ascii="Arial" w:hAnsi="Arial" w:cs="Arial"/>
          <w:bCs/>
          <w:iCs/>
          <w:lang w:val="tr-TR"/>
        </w:rPr>
        <w:t>Finansal yükümlülükler</w:t>
      </w:r>
    </w:p>
    <w:p w:rsidR="00002922" w:rsidRPr="00D00722" w:rsidRDefault="00002922" w:rsidP="00DA51B1">
      <w:pPr>
        <w:tabs>
          <w:tab w:val="left" w:pos="284"/>
          <w:tab w:val="left" w:pos="442"/>
          <w:tab w:val="decimal" w:pos="6182"/>
          <w:tab w:val="decimal" w:pos="8501"/>
        </w:tabs>
        <w:suppressAutoHyphens/>
        <w:spacing w:line="230" w:lineRule="auto"/>
        <w:jc w:val="both"/>
        <w:rPr>
          <w:rFonts w:ascii="Arial" w:hAnsi="Arial" w:cs="Arial"/>
          <w:lang w:val="tr-TR"/>
        </w:rPr>
      </w:pPr>
    </w:p>
    <w:p w:rsidR="00002922" w:rsidRPr="00D00722" w:rsidRDefault="00002922" w:rsidP="00DA51B1">
      <w:pPr>
        <w:spacing w:line="230" w:lineRule="auto"/>
        <w:jc w:val="both"/>
        <w:rPr>
          <w:rFonts w:ascii="Arial" w:hAnsi="Arial" w:cs="Arial"/>
          <w:lang w:val="tr-TR"/>
        </w:rPr>
      </w:pPr>
      <w:r w:rsidRPr="00D00722">
        <w:rPr>
          <w:rFonts w:ascii="Arial" w:hAnsi="Arial" w:cs="Arial"/>
          <w:lang w:val="tr-TR"/>
        </w:rPr>
        <w:t>Kısa vadeli olmaları sebebiyle parasal yükümlülüklerin rayiç değerlerinin defter değerlerine yaklaştığı varsayılmaktadır.</w:t>
      </w:r>
    </w:p>
    <w:p w:rsidR="004B5888" w:rsidRPr="00D00722" w:rsidRDefault="004B5888" w:rsidP="00DA51B1">
      <w:pPr>
        <w:spacing w:line="230" w:lineRule="auto"/>
        <w:rPr>
          <w:rFonts w:ascii="Arial" w:hAnsi="Arial" w:cs="Arial"/>
          <w:b/>
          <w:lang w:val="tr-TR"/>
        </w:rPr>
      </w:pPr>
    </w:p>
    <w:p w:rsidR="00DA51B1" w:rsidRPr="00D00722" w:rsidRDefault="00DA51B1" w:rsidP="00DA51B1">
      <w:pPr>
        <w:spacing w:line="230" w:lineRule="auto"/>
        <w:rPr>
          <w:rFonts w:ascii="Arial" w:hAnsi="Arial" w:cs="Arial"/>
          <w:b/>
          <w:lang w:val="tr-TR"/>
        </w:rPr>
      </w:pPr>
    </w:p>
    <w:p w:rsidR="00245BD3" w:rsidRPr="00D00722" w:rsidRDefault="00FB5FA7" w:rsidP="00DA51B1">
      <w:pPr>
        <w:spacing w:line="230" w:lineRule="auto"/>
        <w:rPr>
          <w:rFonts w:ascii="Arial" w:hAnsi="Arial" w:cs="Arial"/>
          <w:lang w:val="tr-TR"/>
        </w:rPr>
      </w:pPr>
      <w:r w:rsidRPr="00D00722">
        <w:rPr>
          <w:rFonts w:ascii="Arial" w:hAnsi="Arial" w:cs="Arial"/>
          <w:b/>
          <w:lang w:val="tr-TR"/>
        </w:rPr>
        <w:t>2</w:t>
      </w:r>
      <w:r w:rsidR="006D6214" w:rsidRPr="00D00722">
        <w:rPr>
          <w:rFonts w:ascii="Arial" w:hAnsi="Arial" w:cs="Arial"/>
          <w:b/>
          <w:lang w:val="tr-TR"/>
        </w:rPr>
        <w:t>6</w:t>
      </w:r>
      <w:r w:rsidR="00245BD3" w:rsidRPr="00D00722">
        <w:rPr>
          <w:rFonts w:ascii="Arial" w:hAnsi="Arial" w:cs="Arial"/>
          <w:lang w:val="tr-TR"/>
        </w:rPr>
        <w:t>.</w:t>
      </w:r>
      <w:r w:rsidR="00245BD3" w:rsidRPr="00D00722">
        <w:rPr>
          <w:rFonts w:ascii="Arial" w:hAnsi="Arial" w:cs="Arial"/>
          <w:lang w:val="tr-TR"/>
        </w:rPr>
        <w:tab/>
      </w:r>
      <w:r w:rsidR="003C0653" w:rsidRPr="00D00722">
        <w:rPr>
          <w:rFonts w:ascii="Arial" w:hAnsi="Arial" w:cs="Arial"/>
          <w:b/>
          <w:lang w:val="tr-TR"/>
        </w:rPr>
        <w:t>Bilanço tarihinden sonraki olaylar</w:t>
      </w:r>
    </w:p>
    <w:p w:rsidR="005F5373" w:rsidRPr="00D00722" w:rsidRDefault="005F5373" w:rsidP="00DA51B1">
      <w:pPr>
        <w:spacing w:line="230" w:lineRule="auto"/>
        <w:rPr>
          <w:rFonts w:ascii="Arial" w:hAnsi="Arial" w:cs="Arial"/>
          <w:lang w:val="tr-TR"/>
        </w:rPr>
      </w:pPr>
    </w:p>
    <w:p w:rsidR="003C0653" w:rsidRPr="00D00722" w:rsidRDefault="003149EE" w:rsidP="00DA51B1">
      <w:pPr>
        <w:spacing w:line="230" w:lineRule="auto"/>
        <w:rPr>
          <w:rFonts w:ascii="Arial" w:hAnsi="Arial" w:cs="Arial"/>
          <w:lang w:val="tr-TR"/>
        </w:rPr>
      </w:pPr>
      <w:proofErr w:type="gramStart"/>
      <w:r w:rsidRPr="00D00722">
        <w:rPr>
          <w:rFonts w:ascii="Arial" w:hAnsi="Arial" w:cs="Arial"/>
        </w:rPr>
        <w:t>Yoktur</w:t>
      </w:r>
      <w:r w:rsidR="004F5DBE" w:rsidRPr="00D00722">
        <w:rPr>
          <w:rFonts w:ascii="Arial" w:hAnsi="Arial" w:cs="Arial"/>
        </w:rPr>
        <w:t xml:space="preserve"> </w:t>
      </w:r>
      <w:r w:rsidR="0094129E" w:rsidRPr="00D00722">
        <w:rPr>
          <w:rFonts w:ascii="Arial" w:hAnsi="Arial" w:cs="Arial"/>
        </w:rPr>
        <w:t xml:space="preserve">(31 Aralık </w:t>
      </w:r>
      <w:r w:rsidR="00746F27" w:rsidRPr="00D00722">
        <w:rPr>
          <w:rFonts w:ascii="Arial" w:hAnsi="Arial" w:cs="Arial"/>
        </w:rPr>
        <w:t>201</w:t>
      </w:r>
      <w:r w:rsidR="00BC2303" w:rsidRPr="00D00722">
        <w:rPr>
          <w:rFonts w:ascii="Arial" w:hAnsi="Arial" w:cs="Arial"/>
        </w:rPr>
        <w:t>3</w:t>
      </w:r>
      <w:r w:rsidR="00E83219" w:rsidRPr="00D00722">
        <w:rPr>
          <w:rFonts w:ascii="Arial" w:hAnsi="Arial" w:cs="Arial"/>
        </w:rPr>
        <w:t xml:space="preserve"> </w:t>
      </w:r>
      <w:r w:rsidR="0094129E" w:rsidRPr="00D00722">
        <w:rPr>
          <w:rFonts w:ascii="Arial" w:hAnsi="Arial" w:cs="Arial"/>
        </w:rPr>
        <w:t>-</w:t>
      </w:r>
      <w:r w:rsidR="00E83219" w:rsidRPr="00D00722">
        <w:rPr>
          <w:rFonts w:ascii="Arial" w:hAnsi="Arial" w:cs="Arial"/>
        </w:rPr>
        <w:t xml:space="preserve"> </w:t>
      </w:r>
      <w:r w:rsidR="0094129E" w:rsidRPr="00D00722">
        <w:rPr>
          <w:rFonts w:ascii="Arial" w:hAnsi="Arial" w:cs="Arial"/>
        </w:rPr>
        <w:t>Yoktur).</w:t>
      </w:r>
      <w:proofErr w:type="gramEnd"/>
    </w:p>
    <w:p w:rsidR="00E9771D" w:rsidRDefault="00E9771D">
      <w:pPr>
        <w:spacing w:line="230" w:lineRule="auto"/>
        <w:ind w:left="567" w:right="-23" w:hanging="567"/>
        <w:rPr>
          <w:rFonts w:ascii="Arial" w:hAnsi="Arial" w:cs="Arial"/>
          <w:b/>
          <w:lang w:val="tr-TR"/>
        </w:rPr>
      </w:pPr>
      <w:bookmarkStart w:id="1" w:name="_GoBack"/>
      <w:bookmarkEnd w:id="1"/>
    </w:p>
    <w:sectPr w:rsidR="00E9771D" w:rsidSect="003908D5">
      <w:headerReference w:type="default" r:id="rId17"/>
      <w:pgSz w:w="11907" w:h="16834" w:code="9"/>
      <w:pgMar w:top="1418" w:right="1418" w:bottom="1418"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C7B" w:rsidRDefault="00C82C7B">
      <w:r>
        <w:separator/>
      </w:r>
    </w:p>
  </w:endnote>
  <w:endnote w:type="continuationSeparator" w:id="0">
    <w:p w:rsidR="00C82C7B" w:rsidRDefault="00C82C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Georgia">
    <w:panose1 w:val="02040502050405020303"/>
    <w:charset w:val="A2"/>
    <w:family w:val="roman"/>
    <w:pitch w:val="variable"/>
    <w:sig w:usb0="00000287" w:usb1="00000000" w:usb2="00000000" w:usb3="00000000" w:csb0="0000009F" w:csb1="00000000"/>
  </w:font>
  <w:font w:name="Times">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C7B" w:rsidRDefault="00C82C7B" w:rsidP="007576E9">
    <w:pPr>
      <w:jc w:val="center"/>
      <w:rPr>
        <w:rFonts w:ascii="Arial" w:hAnsi="Arial" w:cs="Arial"/>
      </w:rPr>
    </w:pPr>
    <w:r>
      <w:rPr>
        <w:rFonts w:ascii="Arial" w:hAnsi="Arial" w:cs="Arial"/>
      </w:rPr>
      <w:t>Ekteki dipnotlar bu finansal tabloların tamamlayıcı bir parçasıdır.</w:t>
    </w:r>
  </w:p>
  <w:p w:rsidR="00C82C7B" w:rsidRDefault="00C82C7B">
    <w:pPr>
      <w:pStyle w:val="Footer"/>
      <w:jc w:val="center"/>
      <w:rPr>
        <w:rFonts w:ascii="Arial" w:hAnsi="Arial" w:cs="Arial"/>
      </w:rPr>
    </w:pPr>
  </w:p>
  <w:p w:rsidR="00C82C7B" w:rsidRDefault="00C82C7B">
    <w:pPr>
      <w:pStyle w:val="Footer"/>
      <w:jc w:val="center"/>
    </w:pPr>
    <w:r w:rsidRPr="00A53679">
      <w:rPr>
        <w:rFonts w:ascii="Arial" w:hAnsi="Arial" w:cs="Arial"/>
      </w:rPr>
      <w:t>(</w:t>
    </w:r>
    <w:r w:rsidR="00804301" w:rsidRPr="00A53679">
      <w:rPr>
        <w:rFonts w:ascii="Arial" w:hAnsi="Arial" w:cs="Arial"/>
      </w:rPr>
      <w:fldChar w:fldCharType="begin"/>
    </w:r>
    <w:r w:rsidRPr="00A53679">
      <w:rPr>
        <w:rFonts w:ascii="Arial" w:hAnsi="Arial" w:cs="Arial"/>
      </w:rPr>
      <w:instrText xml:space="preserve"> PAGE   \* MERGEFORMAT </w:instrText>
    </w:r>
    <w:r w:rsidR="00804301" w:rsidRPr="00A53679">
      <w:rPr>
        <w:rFonts w:ascii="Arial" w:hAnsi="Arial" w:cs="Arial"/>
      </w:rPr>
      <w:fldChar w:fldCharType="separate"/>
    </w:r>
    <w:r w:rsidR="008375F3">
      <w:rPr>
        <w:rFonts w:ascii="Arial" w:hAnsi="Arial" w:cs="Arial"/>
        <w:noProof/>
      </w:rPr>
      <w:t>3</w:t>
    </w:r>
    <w:r w:rsidR="00804301" w:rsidRPr="00A53679">
      <w:rPr>
        <w:rFonts w:ascii="Arial" w:hAnsi="Arial" w:cs="Arial"/>
      </w:rPr>
      <w:fldChar w:fldCharType="end"/>
    </w:r>
    <w:r w:rsidRPr="00A53679">
      <w:rPr>
        <w:rFonts w:ascii="Arial" w:hAnsi="Arial" w:cs="Arial"/>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C7B" w:rsidRDefault="00C82C7B" w:rsidP="007576E9">
    <w:pPr>
      <w:jc w:val="center"/>
      <w:rPr>
        <w:rFonts w:ascii="Arial" w:hAnsi="Arial" w:cs="Arial"/>
      </w:rPr>
    </w:pPr>
  </w:p>
  <w:p w:rsidR="00C82C7B" w:rsidRDefault="00C82C7B">
    <w:pPr>
      <w:pStyle w:val="Footer"/>
      <w:jc w:val="center"/>
      <w:rPr>
        <w:rFonts w:ascii="Arial" w:hAnsi="Arial" w:cs="Arial"/>
      </w:rPr>
    </w:pPr>
  </w:p>
  <w:p w:rsidR="00C82C7B" w:rsidRDefault="00C82C7B">
    <w:pPr>
      <w:pStyle w:val="Footer"/>
      <w:jc w:val="center"/>
    </w:pPr>
    <w:r w:rsidRPr="00A53679">
      <w:rPr>
        <w:rFonts w:ascii="Arial" w:hAnsi="Arial" w:cs="Arial"/>
      </w:rPr>
      <w:t>(</w:t>
    </w:r>
    <w:r w:rsidR="00804301" w:rsidRPr="00A53679">
      <w:rPr>
        <w:rFonts w:ascii="Arial" w:hAnsi="Arial" w:cs="Arial"/>
      </w:rPr>
      <w:fldChar w:fldCharType="begin"/>
    </w:r>
    <w:r w:rsidRPr="00A53679">
      <w:rPr>
        <w:rFonts w:ascii="Arial" w:hAnsi="Arial" w:cs="Arial"/>
      </w:rPr>
      <w:instrText xml:space="preserve"> PAGE   \* MERGEFORMAT </w:instrText>
    </w:r>
    <w:r w:rsidR="00804301" w:rsidRPr="00A53679">
      <w:rPr>
        <w:rFonts w:ascii="Arial" w:hAnsi="Arial" w:cs="Arial"/>
      </w:rPr>
      <w:fldChar w:fldCharType="separate"/>
    </w:r>
    <w:r w:rsidR="008375F3">
      <w:rPr>
        <w:rFonts w:ascii="Arial" w:hAnsi="Arial" w:cs="Arial"/>
        <w:noProof/>
      </w:rPr>
      <w:t>16</w:t>
    </w:r>
    <w:r w:rsidR="00804301" w:rsidRPr="00A53679">
      <w:rPr>
        <w:rFonts w:ascii="Arial" w:hAnsi="Arial" w:cs="Arial"/>
      </w:rPr>
      <w:fldChar w:fldCharType="end"/>
    </w:r>
    <w:r w:rsidRPr="00A53679">
      <w:rPr>
        <w:rFonts w:ascii="Arial" w:hAnsi="Arial" w:cs="Arial"/>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C7B" w:rsidRDefault="00C82C7B">
      <w:r>
        <w:separator/>
      </w:r>
    </w:p>
  </w:footnote>
  <w:footnote w:type="continuationSeparator" w:id="0">
    <w:p w:rsidR="00C82C7B" w:rsidRDefault="00C82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C7B" w:rsidRPr="00FC1E16" w:rsidRDefault="00C82C7B" w:rsidP="00E42608">
    <w:pPr>
      <w:ind w:right="-211"/>
      <w:rPr>
        <w:rFonts w:ascii="Arial" w:hAnsi="Arial" w:cs="Arial"/>
        <w:b/>
        <w:lang w:val="da-DK"/>
      </w:rPr>
    </w:pPr>
    <w:r w:rsidRPr="00FC1E16">
      <w:rPr>
        <w:rFonts w:ascii="Arial" w:hAnsi="Arial" w:cs="Arial"/>
        <w:b/>
        <w:lang w:val="da-DK"/>
      </w:rPr>
      <w:t xml:space="preserve">Ata Portföy Yönetimi A.Ş. </w:t>
    </w:r>
  </w:p>
  <w:p w:rsidR="00C82C7B" w:rsidRPr="00FC1E16" w:rsidRDefault="00C82C7B" w:rsidP="00E42608">
    <w:pPr>
      <w:ind w:right="-211"/>
      <w:rPr>
        <w:rFonts w:ascii="Arial" w:hAnsi="Arial" w:cs="Arial"/>
        <w:b/>
        <w:lang w:val="da-DK"/>
      </w:rPr>
    </w:pPr>
  </w:p>
  <w:p w:rsidR="00C82C7B" w:rsidRDefault="00C82C7B" w:rsidP="003F3E42">
    <w:pPr>
      <w:pStyle w:val="Header"/>
      <w:rPr>
        <w:rFonts w:ascii="Arial" w:hAnsi="Arial" w:cs="Arial"/>
        <w:b/>
        <w:lang w:val="da-DK"/>
      </w:rPr>
    </w:pPr>
    <w:r>
      <w:rPr>
        <w:rFonts w:ascii="Arial" w:hAnsi="Arial" w:cs="Arial"/>
        <w:b/>
        <w:lang w:val="da-DK"/>
      </w:rPr>
      <w:t xml:space="preserve">31 Mart 2014 tarihi itibariyle </w:t>
    </w:r>
  </w:p>
  <w:p w:rsidR="00C82C7B" w:rsidRPr="009C68FB" w:rsidRDefault="00C82C7B" w:rsidP="003F3E42">
    <w:pPr>
      <w:pStyle w:val="Header"/>
      <w:rPr>
        <w:rFonts w:ascii="Arial" w:hAnsi="Arial" w:cs="Arial"/>
        <w:b/>
        <w:bCs/>
        <w:lang w:val="tr-TR"/>
      </w:rPr>
    </w:pPr>
    <w:r w:rsidRPr="009C68FB">
      <w:rPr>
        <w:rFonts w:ascii="Arial" w:hAnsi="Arial" w:cs="Arial"/>
        <w:b/>
        <w:bCs/>
        <w:lang w:val="tr-TR"/>
      </w:rPr>
      <w:t>Finansal durum tablosu (Bilanço)</w:t>
    </w:r>
  </w:p>
  <w:p w:rsidR="00C82C7B" w:rsidRPr="009C68FB" w:rsidRDefault="00C82C7B" w:rsidP="003F3E42">
    <w:pPr>
      <w:pStyle w:val="Header"/>
      <w:rPr>
        <w:rFonts w:ascii="Arial" w:hAnsi="Arial" w:cs="Arial"/>
        <w:b/>
        <w:bCs/>
        <w:sz w:val="18"/>
        <w:szCs w:val="18"/>
        <w:lang w:val="da-DK"/>
      </w:rPr>
    </w:pPr>
    <w:r w:rsidRPr="009C68FB">
      <w:rPr>
        <w:rFonts w:ascii="Arial" w:hAnsi="Arial" w:cs="Arial"/>
        <w:b/>
        <w:bCs/>
        <w:sz w:val="18"/>
        <w:szCs w:val="18"/>
        <w:lang w:val="da-DK"/>
      </w:rPr>
      <w:t>(Tutarlar aksi belirtilmedikçe Türk Lirası (</w:t>
    </w:r>
    <w:r w:rsidRPr="009C68FB">
      <w:rPr>
        <w:rFonts w:ascii="Arial" w:hAnsi="Arial" w:cs="Arial"/>
        <w:b/>
        <w:bCs/>
        <w:sz w:val="18"/>
        <w:szCs w:val="18"/>
        <w:lang w:val="tr-TR"/>
      </w:rPr>
      <w:t>“TL”</w:t>
    </w:r>
    <w:r w:rsidRPr="009C68FB">
      <w:rPr>
        <w:rFonts w:ascii="Arial" w:hAnsi="Arial" w:cs="Arial"/>
        <w:b/>
        <w:bCs/>
        <w:sz w:val="18"/>
        <w:szCs w:val="18"/>
        <w:lang w:val="da-DK"/>
      </w:rPr>
      <w:t>) cinsinden ifade edilmiştir)</w:t>
    </w:r>
  </w:p>
  <w:p w:rsidR="00C82C7B" w:rsidRPr="00FC1E16" w:rsidRDefault="00C82C7B" w:rsidP="00E42608">
    <w:pPr>
      <w:pStyle w:val="Header"/>
      <w:rPr>
        <w:rFonts w:ascii="Arial" w:hAnsi="Arial" w:cs="Arial"/>
        <w:b/>
        <w:lang w:val="da-DK"/>
      </w:rPr>
    </w:pPr>
  </w:p>
  <w:p w:rsidR="00C82C7B" w:rsidRPr="00FC1E16" w:rsidRDefault="00C82C7B" w:rsidP="00E42608">
    <w:pPr>
      <w:pStyle w:val="Header"/>
      <w:rPr>
        <w:rFonts w:ascii="Arial" w:hAnsi="Arial" w:cs="Arial"/>
        <w:b/>
        <w:lang w:val="da-DK"/>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C7B" w:rsidRPr="00FC1E16" w:rsidRDefault="00C82C7B" w:rsidP="00E42608">
    <w:pPr>
      <w:ind w:right="-211"/>
      <w:rPr>
        <w:rFonts w:ascii="Arial" w:hAnsi="Arial" w:cs="Arial"/>
        <w:b/>
        <w:lang w:val="da-DK"/>
      </w:rPr>
    </w:pPr>
    <w:r w:rsidRPr="00FC1E16">
      <w:rPr>
        <w:rFonts w:ascii="Arial" w:hAnsi="Arial" w:cs="Arial"/>
        <w:b/>
        <w:lang w:val="da-DK"/>
      </w:rPr>
      <w:t xml:space="preserve">Ata Portföy Yönetimi A.Ş. </w:t>
    </w:r>
  </w:p>
  <w:p w:rsidR="00C82C7B" w:rsidRPr="00FC1E16" w:rsidRDefault="00C82C7B" w:rsidP="00E42608">
    <w:pPr>
      <w:ind w:right="-211"/>
      <w:rPr>
        <w:rFonts w:ascii="Arial" w:hAnsi="Arial" w:cs="Arial"/>
        <w:b/>
        <w:lang w:val="da-DK"/>
      </w:rPr>
    </w:pPr>
  </w:p>
  <w:p w:rsidR="00C82C7B" w:rsidRDefault="00C82C7B" w:rsidP="003F3E42">
    <w:pPr>
      <w:pStyle w:val="Header"/>
      <w:rPr>
        <w:rFonts w:ascii="Arial" w:hAnsi="Arial" w:cs="Arial"/>
        <w:b/>
        <w:lang w:val="da-DK"/>
      </w:rPr>
    </w:pPr>
    <w:r>
      <w:rPr>
        <w:rFonts w:ascii="Arial" w:hAnsi="Arial" w:cs="Arial"/>
        <w:b/>
        <w:lang w:val="da-DK"/>
      </w:rPr>
      <w:t>31 Mart 2014 tarihinde sona eren döneme ait</w:t>
    </w:r>
  </w:p>
  <w:p w:rsidR="00C82C7B" w:rsidRPr="00FC1E16" w:rsidRDefault="00C82C7B" w:rsidP="003F3E42">
    <w:pPr>
      <w:pStyle w:val="Header"/>
      <w:rPr>
        <w:rFonts w:ascii="Arial" w:hAnsi="Arial" w:cs="Arial"/>
        <w:b/>
        <w:lang w:val="da-DK"/>
      </w:rPr>
    </w:pPr>
    <w:r>
      <w:rPr>
        <w:rFonts w:ascii="Arial" w:hAnsi="Arial" w:cs="Arial"/>
        <w:b/>
        <w:lang w:val="da-DK"/>
      </w:rPr>
      <w:t>kar veya zarar ve diğer kapsamlı g</w:t>
    </w:r>
    <w:r w:rsidRPr="00FC1E16">
      <w:rPr>
        <w:rFonts w:ascii="Arial" w:hAnsi="Arial" w:cs="Arial"/>
        <w:b/>
        <w:lang w:val="da-DK"/>
      </w:rPr>
      <w:t>elir tablosu</w:t>
    </w:r>
  </w:p>
  <w:p w:rsidR="00C82C7B" w:rsidRPr="00FC1E16" w:rsidRDefault="00C82C7B" w:rsidP="003F3E42">
    <w:pPr>
      <w:pStyle w:val="Header"/>
      <w:rPr>
        <w:rFonts w:ascii="Arial" w:hAnsi="Arial" w:cs="Arial"/>
        <w:b/>
        <w:bCs/>
        <w:sz w:val="18"/>
        <w:lang w:val="da-DK"/>
      </w:rPr>
    </w:pPr>
    <w:r w:rsidRPr="00FC1E16">
      <w:rPr>
        <w:rFonts w:ascii="Arial" w:hAnsi="Arial" w:cs="Arial"/>
        <w:b/>
        <w:bCs/>
        <w:sz w:val="18"/>
        <w:lang w:val="da-DK"/>
      </w:rPr>
      <w:t>(</w:t>
    </w:r>
    <w:r>
      <w:rPr>
        <w:rFonts w:ascii="Arial" w:hAnsi="Arial" w:cs="Arial"/>
        <w:b/>
        <w:bCs/>
        <w:sz w:val="18"/>
        <w:lang w:val="da-DK"/>
      </w:rPr>
      <w:t>T</w:t>
    </w:r>
    <w:r w:rsidRPr="00FC1E16">
      <w:rPr>
        <w:rFonts w:ascii="Arial" w:hAnsi="Arial" w:cs="Arial"/>
        <w:b/>
        <w:bCs/>
        <w:sz w:val="18"/>
        <w:lang w:val="da-DK"/>
      </w:rPr>
      <w:t>utarlar aksi belirtilmedikçe Türk Lirası (</w:t>
    </w:r>
    <w:r w:rsidRPr="00FC1E16">
      <w:rPr>
        <w:rFonts w:ascii="Arial" w:hAnsi="Arial" w:cs="Arial"/>
        <w:b/>
        <w:bCs/>
        <w:sz w:val="18"/>
        <w:lang w:val="tr-TR"/>
      </w:rPr>
      <w:t>“</w:t>
    </w:r>
    <w:r>
      <w:rPr>
        <w:rFonts w:ascii="Arial" w:hAnsi="Arial" w:cs="Arial"/>
        <w:b/>
        <w:bCs/>
        <w:sz w:val="18"/>
        <w:lang w:val="tr-TR"/>
      </w:rPr>
      <w:t>TL</w:t>
    </w:r>
    <w:r w:rsidRPr="00FC1E16">
      <w:rPr>
        <w:rFonts w:ascii="Arial" w:hAnsi="Arial" w:cs="Arial"/>
        <w:b/>
        <w:bCs/>
        <w:sz w:val="18"/>
        <w:lang w:val="tr-TR"/>
      </w:rPr>
      <w:t>”</w:t>
    </w:r>
    <w:r w:rsidRPr="00FC1E16">
      <w:rPr>
        <w:rFonts w:ascii="Arial" w:hAnsi="Arial" w:cs="Arial"/>
        <w:b/>
        <w:bCs/>
        <w:sz w:val="18"/>
        <w:lang w:val="da-DK"/>
      </w:rPr>
      <w:t>) cinsinden ifade edilmiştir)</w:t>
    </w:r>
  </w:p>
  <w:p w:rsidR="00C82C7B" w:rsidRPr="00FC1E16" w:rsidRDefault="00C82C7B" w:rsidP="00E42608">
    <w:pPr>
      <w:pStyle w:val="Header"/>
      <w:rPr>
        <w:rFonts w:ascii="Arial" w:hAnsi="Arial" w:cs="Arial"/>
        <w:b/>
        <w:lang w:val="da-DK"/>
      </w:rPr>
    </w:pPr>
  </w:p>
  <w:p w:rsidR="00C82C7B" w:rsidRPr="00FC1E16" w:rsidRDefault="00C82C7B" w:rsidP="00E42608">
    <w:pPr>
      <w:pStyle w:val="Header"/>
      <w:rPr>
        <w:rFonts w:ascii="Arial" w:hAnsi="Arial" w:cs="Arial"/>
        <w:b/>
        <w:lang w:val="da-DK"/>
      </w:rPr>
    </w:pPr>
  </w:p>
  <w:p w:rsidR="00C82C7B" w:rsidRPr="00FC1E16" w:rsidRDefault="00C82C7B" w:rsidP="00E42608">
    <w:pPr>
      <w:pStyle w:val="Header"/>
      <w:rPr>
        <w:rFonts w:ascii="Arial" w:hAnsi="Arial" w:cs="Arial"/>
        <w:b/>
        <w:lang w:val="da-DK"/>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C7B" w:rsidRPr="00FC1E16" w:rsidRDefault="00C82C7B" w:rsidP="00C917DA">
    <w:pPr>
      <w:ind w:right="-211"/>
      <w:rPr>
        <w:rFonts w:ascii="Arial" w:hAnsi="Arial" w:cs="Arial"/>
        <w:b/>
        <w:lang w:val="tr-TR"/>
      </w:rPr>
    </w:pPr>
    <w:r w:rsidRPr="00FC1E16">
      <w:rPr>
        <w:rFonts w:ascii="Arial" w:hAnsi="Arial" w:cs="Arial"/>
        <w:b/>
        <w:lang w:val="tr-TR"/>
      </w:rPr>
      <w:t>Ata Portföy Yönetimi A.Ş.</w:t>
    </w:r>
  </w:p>
  <w:p w:rsidR="00C82C7B" w:rsidRDefault="00C82C7B" w:rsidP="00C917DA">
    <w:pPr>
      <w:ind w:right="22"/>
      <w:rPr>
        <w:rFonts w:ascii="Arial" w:hAnsi="Arial" w:cs="Arial"/>
        <w:b/>
        <w:lang w:val="de-DE"/>
      </w:rPr>
    </w:pPr>
  </w:p>
  <w:p w:rsidR="00C82C7B" w:rsidRDefault="00C82C7B" w:rsidP="003F3E42">
    <w:pPr>
      <w:pStyle w:val="Header"/>
      <w:rPr>
        <w:rFonts w:ascii="Arial" w:hAnsi="Arial" w:cs="Arial"/>
        <w:b/>
        <w:lang w:val="da-DK"/>
      </w:rPr>
    </w:pPr>
    <w:r>
      <w:rPr>
        <w:rFonts w:ascii="Arial" w:hAnsi="Arial" w:cs="Arial"/>
        <w:b/>
        <w:lang w:val="da-DK"/>
      </w:rPr>
      <w:t>31 Martr 2014 tarihinde sona eren döneme ait</w:t>
    </w:r>
  </w:p>
  <w:p w:rsidR="00C82C7B" w:rsidRPr="00FC1E16" w:rsidRDefault="00C82C7B" w:rsidP="003F3E42">
    <w:pPr>
      <w:pStyle w:val="Header"/>
      <w:rPr>
        <w:rFonts w:ascii="Arial" w:hAnsi="Arial" w:cs="Arial"/>
        <w:b/>
        <w:lang w:val="da-DK"/>
      </w:rPr>
    </w:pPr>
    <w:r>
      <w:rPr>
        <w:rFonts w:ascii="Arial" w:hAnsi="Arial" w:cs="Arial"/>
        <w:b/>
        <w:lang w:val="da-DK"/>
      </w:rPr>
      <w:t>özkaynaklar değişim</w:t>
    </w:r>
    <w:r w:rsidRPr="00FC1E16">
      <w:rPr>
        <w:rFonts w:ascii="Arial" w:hAnsi="Arial" w:cs="Arial"/>
        <w:b/>
        <w:lang w:val="da-DK"/>
      </w:rPr>
      <w:t xml:space="preserve"> tablosu</w:t>
    </w:r>
  </w:p>
  <w:p w:rsidR="00C82C7B" w:rsidRPr="00FC1E16" w:rsidRDefault="00C82C7B" w:rsidP="003F3E42">
    <w:pPr>
      <w:pStyle w:val="Header"/>
      <w:rPr>
        <w:rFonts w:ascii="Arial" w:hAnsi="Arial" w:cs="Arial"/>
        <w:b/>
        <w:bCs/>
        <w:sz w:val="18"/>
        <w:lang w:val="da-DK"/>
      </w:rPr>
    </w:pPr>
    <w:r w:rsidRPr="00FC1E16">
      <w:rPr>
        <w:rFonts w:ascii="Arial" w:hAnsi="Arial" w:cs="Arial"/>
        <w:b/>
        <w:bCs/>
        <w:sz w:val="18"/>
        <w:lang w:val="da-DK"/>
      </w:rPr>
      <w:t>(</w:t>
    </w:r>
    <w:r>
      <w:rPr>
        <w:rFonts w:ascii="Arial" w:hAnsi="Arial" w:cs="Arial"/>
        <w:b/>
        <w:bCs/>
        <w:sz w:val="18"/>
        <w:lang w:val="da-DK"/>
      </w:rPr>
      <w:t>T</w:t>
    </w:r>
    <w:r w:rsidRPr="00FC1E16">
      <w:rPr>
        <w:rFonts w:ascii="Arial" w:hAnsi="Arial" w:cs="Arial"/>
        <w:b/>
        <w:bCs/>
        <w:sz w:val="18"/>
        <w:lang w:val="da-DK"/>
      </w:rPr>
      <w:t>utarlar aksi belirtilmedikçe Türk Lirası (</w:t>
    </w:r>
    <w:r w:rsidRPr="00FC1E16">
      <w:rPr>
        <w:rFonts w:ascii="Arial" w:hAnsi="Arial" w:cs="Arial"/>
        <w:b/>
        <w:bCs/>
        <w:sz w:val="18"/>
        <w:lang w:val="tr-TR"/>
      </w:rPr>
      <w:t>“</w:t>
    </w:r>
    <w:r>
      <w:rPr>
        <w:rFonts w:ascii="Arial" w:hAnsi="Arial" w:cs="Arial"/>
        <w:b/>
        <w:bCs/>
        <w:sz w:val="18"/>
        <w:lang w:val="tr-TR"/>
      </w:rPr>
      <w:t>TL</w:t>
    </w:r>
    <w:r w:rsidRPr="00FC1E16">
      <w:rPr>
        <w:rFonts w:ascii="Arial" w:hAnsi="Arial" w:cs="Arial"/>
        <w:b/>
        <w:bCs/>
        <w:sz w:val="18"/>
        <w:lang w:val="tr-TR"/>
      </w:rPr>
      <w:t>”</w:t>
    </w:r>
    <w:r w:rsidRPr="00FC1E16">
      <w:rPr>
        <w:rFonts w:ascii="Arial" w:hAnsi="Arial" w:cs="Arial"/>
        <w:b/>
        <w:bCs/>
        <w:sz w:val="18"/>
        <w:lang w:val="da-DK"/>
      </w:rPr>
      <w:t>) cinsinden ifade edilmiştir)</w:t>
    </w:r>
  </w:p>
  <w:p w:rsidR="00C82C7B" w:rsidRDefault="00C82C7B" w:rsidP="00C917DA">
    <w:pPr>
      <w:pStyle w:val="Header"/>
      <w:rPr>
        <w:szCs w:val="16"/>
      </w:rPr>
    </w:pPr>
  </w:p>
  <w:p w:rsidR="00C82C7B" w:rsidRDefault="00C82C7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C7B" w:rsidRPr="00FC1E16" w:rsidRDefault="00C82C7B" w:rsidP="00C917DA">
    <w:pPr>
      <w:ind w:right="-211"/>
      <w:rPr>
        <w:rFonts w:ascii="Arial" w:hAnsi="Arial" w:cs="Arial"/>
        <w:b/>
        <w:lang w:val="tr-TR"/>
      </w:rPr>
    </w:pPr>
    <w:r w:rsidRPr="00FC1E16">
      <w:rPr>
        <w:rFonts w:ascii="Arial" w:hAnsi="Arial" w:cs="Arial"/>
        <w:b/>
        <w:lang w:val="tr-TR"/>
      </w:rPr>
      <w:t>Ata Portföy Yönetimi A.Ş.</w:t>
    </w:r>
  </w:p>
  <w:p w:rsidR="00C82C7B" w:rsidRDefault="00C82C7B" w:rsidP="00C917DA">
    <w:pPr>
      <w:ind w:right="22"/>
      <w:rPr>
        <w:rFonts w:ascii="Arial" w:hAnsi="Arial" w:cs="Arial"/>
        <w:b/>
        <w:lang w:val="de-DE"/>
      </w:rPr>
    </w:pPr>
  </w:p>
  <w:p w:rsidR="00C82C7B" w:rsidRDefault="00C82C7B" w:rsidP="003F3E42">
    <w:pPr>
      <w:pStyle w:val="Header"/>
      <w:rPr>
        <w:rFonts w:ascii="Arial" w:hAnsi="Arial" w:cs="Arial"/>
        <w:b/>
        <w:lang w:val="da-DK"/>
      </w:rPr>
    </w:pPr>
    <w:r>
      <w:rPr>
        <w:rFonts w:ascii="Arial" w:hAnsi="Arial" w:cs="Arial"/>
        <w:b/>
        <w:lang w:val="da-DK"/>
      </w:rPr>
      <w:t>31 Mart 2014 tarihinde sona eren döneme ait</w:t>
    </w:r>
  </w:p>
  <w:p w:rsidR="00C82C7B" w:rsidRPr="00FC1E16" w:rsidRDefault="00C82C7B" w:rsidP="003F3E42">
    <w:pPr>
      <w:pStyle w:val="Header"/>
      <w:rPr>
        <w:rFonts w:ascii="Arial" w:hAnsi="Arial" w:cs="Arial"/>
        <w:b/>
        <w:lang w:val="da-DK"/>
      </w:rPr>
    </w:pPr>
    <w:r>
      <w:rPr>
        <w:rFonts w:ascii="Arial" w:hAnsi="Arial" w:cs="Arial"/>
        <w:b/>
        <w:lang w:val="da-DK"/>
      </w:rPr>
      <w:t>nakit akış</w:t>
    </w:r>
    <w:r w:rsidRPr="00FC1E16">
      <w:rPr>
        <w:rFonts w:ascii="Arial" w:hAnsi="Arial" w:cs="Arial"/>
        <w:b/>
        <w:lang w:val="da-DK"/>
      </w:rPr>
      <w:t xml:space="preserve"> tablosu</w:t>
    </w:r>
  </w:p>
  <w:p w:rsidR="00C82C7B" w:rsidRPr="00FC1E16" w:rsidRDefault="00C82C7B" w:rsidP="003F3E42">
    <w:pPr>
      <w:pStyle w:val="Header"/>
      <w:rPr>
        <w:rFonts w:ascii="Arial" w:hAnsi="Arial" w:cs="Arial"/>
        <w:b/>
        <w:bCs/>
        <w:sz w:val="18"/>
        <w:lang w:val="da-DK"/>
      </w:rPr>
    </w:pPr>
    <w:r w:rsidRPr="00FC1E16">
      <w:rPr>
        <w:rFonts w:ascii="Arial" w:hAnsi="Arial" w:cs="Arial"/>
        <w:b/>
        <w:bCs/>
        <w:sz w:val="18"/>
        <w:lang w:val="da-DK"/>
      </w:rPr>
      <w:t>(</w:t>
    </w:r>
    <w:r>
      <w:rPr>
        <w:rFonts w:ascii="Arial" w:hAnsi="Arial" w:cs="Arial"/>
        <w:b/>
        <w:bCs/>
        <w:sz w:val="18"/>
        <w:lang w:val="da-DK"/>
      </w:rPr>
      <w:t>T</w:t>
    </w:r>
    <w:r w:rsidRPr="00FC1E16">
      <w:rPr>
        <w:rFonts w:ascii="Arial" w:hAnsi="Arial" w:cs="Arial"/>
        <w:b/>
        <w:bCs/>
        <w:sz w:val="18"/>
        <w:lang w:val="da-DK"/>
      </w:rPr>
      <w:t>utarlar aksi belirtilmedikçe Türk Lirası (</w:t>
    </w:r>
    <w:r w:rsidRPr="00FC1E16">
      <w:rPr>
        <w:rFonts w:ascii="Arial" w:hAnsi="Arial" w:cs="Arial"/>
        <w:b/>
        <w:bCs/>
        <w:sz w:val="18"/>
        <w:lang w:val="tr-TR"/>
      </w:rPr>
      <w:t>“</w:t>
    </w:r>
    <w:r>
      <w:rPr>
        <w:rFonts w:ascii="Arial" w:hAnsi="Arial" w:cs="Arial"/>
        <w:b/>
        <w:bCs/>
        <w:sz w:val="18"/>
        <w:lang w:val="tr-TR"/>
      </w:rPr>
      <w:t>TL</w:t>
    </w:r>
    <w:r w:rsidRPr="00FC1E16">
      <w:rPr>
        <w:rFonts w:ascii="Arial" w:hAnsi="Arial" w:cs="Arial"/>
        <w:b/>
        <w:bCs/>
        <w:sz w:val="18"/>
        <w:lang w:val="tr-TR"/>
      </w:rPr>
      <w:t>”</w:t>
    </w:r>
    <w:r w:rsidRPr="00FC1E16">
      <w:rPr>
        <w:rFonts w:ascii="Arial" w:hAnsi="Arial" w:cs="Arial"/>
        <w:b/>
        <w:bCs/>
        <w:sz w:val="18"/>
        <w:lang w:val="da-DK"/>
      </w:rPr>
      <w:t>) cinsinden ifade edilmiştir)</w:t>
    </w:r>
  </w:p>
  <w:p w:rsidR="00C82C7B" w:rsidRDefault="00C82C7B" w:rsidP="00C917DA">
    <w:pPr>
      <w:pStyle w:val="Header"/>
      <w:rPr>
        <w:szCs w:val="16"/>
      </w:rPr>
    </w:pPr>
  </w:p>
  <w:p w:rsidR="00C82C7B" w:rsidRPr="00FC1E16" w:rsidRDefault="00C82C7B">
    <w:pPr>
      <w:pStyle w:val="Header"/>
      <w:rPr>
        <w:rFonts w:ascii="Arial" w:hAnsi="Arial" w:cs="Arial"/>
        <w:b/>
        <w:lang w:val="da-DK"/>
      </w:rPr>
    </w:pPr>
  </w:p>
  <w:p w:rsidR="00C82C7B" w:rsidRPr="00FC1E16" w:rsidRDefault="00C82C7B">
    <w:pPr>
      <w:pStyle w:val="Header"/>
      <w:rPr>
        <w:rFonts w:ascii="Arial" w:hAnsi="Arial" w:cs="Arial"/>
        <w:b/>
        <w:lang w:val="da-DK"/>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C7B" w:rsidRPr="00FC1E16" w:rsidRDefault="00C82C7B" w:rsidP="007E6943">
    <w:pPr>
      <w:ind w:right="-211"/>
      <w:rPr>
        <w:rFonts w:ascii="Arial" w:hAnsi="Arial" w:cs="Arial"/>
        <w:b/>
        <w:lang w:val="sv-SE"/>
      </w:rPr>
    </w:pPr>
    <w:r>
      <w:rPr>
        <w:rFonts w:ascii="Arial" w:hAnsi="Arial" w:cs="Arial"/>
        <w:b/>
        <w:lang w:val="sv-SE"/>
      </w:rPr>
      <w:t xml:space="preserve">Ata Portföy Yönetimi A.Ş. </w:t>
    </w:r>
  </w:p>
  <w:p w:rsidR="00C82C7B" w:rsidRPr="00FC1E16" w:rsidRDefault="00C82C7B" w:rsidP="007E6943">
    <w:pPr>
      <w:ind w:right="-211"/>
      <w:rPr>
        <w:rFonts w:ascii="Arial" w:hAnsi="Arial" w:cs="Arial"/>
        <w:b/>
        <w:lang w:val="sv-SE"/>
      </w:rPr>
    </w:pPr>
  </w:p>
  <w:p w:rsidR="00C82C7B" w:rsidRDefault="00C82C7B" w:rsidP="000E0F91">
    <w:pPr>
      <w:ind w:right="-306"/>
      <w:rPr>
        <w:rFonts w:ascii="Arial" w:hAnsi="Arial" w:cs="Arial"/>
        <w:b/>
        <w:lang w:val="de-DE"/>
      </w:rPr>
    </w:pPr>
    <w:r>
      <w:rPr>
        <w:rFonts w:ascii="Arial" w:hAnsi="Arial" w:cs="Arial"/>
        <w:b/>
        <w:lang w:val="de-DE"/>
      </w:rPr>
      <w:t>31 Mart 2014</w:t>
    </w:r>
    <w:r w:rsidRPr="00F05719">
      <w:rPr>
        <w:rFonts w:ascii="Arial" w:hAnsi="Arial" w:cs="Arial"/>
        <w:b/>
        <w:lang w:val="de-DE"/>
      </w:rPr>
      <w:t xml:space="preserve"> </w:t>
    </w:r>
    <w:r>
      <w:rPr>
        <w:rFonts w:ascii="Arial" w:hAnsi="Arial" w:cs="Arial"/>
        <w:b/>
        <w:lang w:val="de-DE"/>
      </w:rPr>
      <w:t xml:space="preserve">tarihli </w:t>
    </w:r>
  </w:p>
  <w:p w:rsidR="00C82C7B" w:rsidRPr="00F05719" w:rsidRDefault="00C82C7B" w:rsidP="000E0F91">
    <w:pPr>
      <w:ind w:right="-306"/>
      <w:rPr>
        <w:rFonts w:ascii="Arial" w:hAnsi="Arial" w:cs="Arial"/>
        <w:b/>
        <w:lang w:val="de-DE"/>
      </w:rPr>
    </w:pPr>
    <w:r w:rsidRPr="00F05719">
      <w:rPr>
        <w:rFonts w:ascii="Arial" w:hAnsi="Arial" w:cs="Arial"/>
        <w:b/>
        <w:lang w:val="tr-TR"/>
      </w:rPr>
      <w:t>finansal tablolara ilişkin dipnotlar</w:t>
    </w:r>
  </w:p>
  <w:p w:rsidR="00C82C7B" w:rsidRPr="000E0F91" w:rsidRDefault="00C82C7B" w:rsidP="000E0F91">
    <w:pPr>
      <w:pStyle w:val="Header"/>
      <w:tabs>
        <w:tab w:val="clear" w:pos="4320"/>
        <w:tab w:val="clear" w:pos="8640"/>
      </w:tabs>
      <w:rPr>
        <w:rFonts w:ascii="Arial" w:hAnsi="Arial" w:cs="Arial"/>
        <w:b/>
        <w:sz w:val="18"/>
        <w:lang w:val="tr-TR"/>
      </w:rPr>
    </w:pPr>
    <w:r w:rsidRPr="000E0F91">
      <w:rPr>
        <w:rFonts w:ascii="Arial" w:hAnsi="Arial" w:cs="Arial"/>
        <w:b/>
        <w:sz w:val="18"/>
        <w:lang w:val="tr-TR"/>
      </w:rPr>
      <w:t>(Tutarlar aksi belirtilmedikçe Türk Lirası (“TL”) cinsinden ifade edilmiştir.)</w:t>
    </w:r>
  </w:p>
  <w:p w:rsidR="00C82C7B" w:rsidRDefault="00C82C7B">
    <w:pPr>
      <w:pStyle w:val="Header"/>
      <w:rPr>
        <w:rFonts w:ascii="Arial" w:hAnsi="Arial" w:cs="Arial"/>
        <w:lang w:val="tr-TR"/>
      </w:rPr>
    </w:pPr>
  </w:p>
  <w:p w:rsidR="00C82C7B" w:rsidRDefault="00C82C7B">
    <w:pPr>
      <w:pStyle w:val="Header"/>
      <w:rPr>
        <w:rFonts w:ascii="Arial" w:hAnsi="Arial" w:cs="Arial"/>
        <w:lang w:val="tr-TR"/>
      </w:rPr>
    </w:pPr>
  </w:p>
  <w:p w:rsidR="00C82C7B" w:rsidRPr="00FC1E16" w:rsidRDefault="00C82C7B">
    <w:pPr>
      <w:pStyle w:val="Header"/>
      <w:rPr>
        <w:rFonts w:ascii="Arial" w:hAnsi="Arial" w:cs="Arial"/>
        <w:lang w:val="tr-TR"/>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C7B" w:rsidRPr="00FC1E16" w:rsidRDefault="00C82C7B" w:rsidP="007E6943">
    <w:pPr>
      <w:ind w:right="-211"/>
      <w:rPr>
        <w:rFonts w:ascii="Arial" w:hAnsi="Arial" w:cs="Arial"/>
        <w:b/>
        <w:lang w:val="sv-SE"/>
      </w:rPr>
    </w:pPr>
    <w:r>
      <w:rPr>
        <w:rFonts w:ascii="Arial" w:hAnsi="Arial" w:cs="Arial"/>
        <w:b/>
        <w:lang w:val="sv-SE"/>
      </w:rPr>
      <w:t xml:space="preserve">Ata Portföy Yönetimi A.Ş. </w:t>
    </w:r>
  </w:p>
  <w:p w:rsidR="00C82C7B" w:rsidRPr="00FC1E16" w:rsidRDefault="00C82C7B" w:rsidP="007E6943">
    <w:pPr>
      <w:ind w:right="-211"/>
      <w:rPr>
        <w:rFonts w:ascii="Arial" w:hAnsi="Arial" w:cs="Arial"/>
        <w:b/>
        <w:lang w:val="sv-SE"/>
      </w:rPr>
    </w:pPr>
  </w:p>
  <w:p w:rsidR="00C82C7B" w:rsidRDefault="00C82C7B" w:rsidP="000E0F91">
    <w:pPr>
      <w:ind w:right="-306"/>
      <w:rPr>
        <w:rFonts w:ascii="Arial" w:hAnsi="Arial" w:cs="Arial"/>
        <w:b/>
        <w:lang w:val="de-DE"/>
      </w:rPr>
    </w:pPr>
    <w:r>
      <w:rPr>
        <w:rFonts w:ascii="Arial" w:hAnsi="Arial" w:cs="Arial"/>
        <w:b/>
        <w:lang w:val="de-DE"/>
      </w:rPr>
      <w:t>31 Mart 2014</w:t>
    </w:r>
    <w:r w:rsidRPr="00F05719">
      <w:rPr>
        <w:rFonts w:ascii="Arial" w:hAnsi="Arial" w:cs="Arial"/>
        <w:b/>
        <w:lang w:val="de-DE"/>
      </w:rPr>
      <w:t xml:space="preserve"> </w:t>
    </w:r>
    <w:r>
      <w:rPr>
        <w:rFonts w:ascii="Arial" w:hAnsi="Arial" w:cs="Arial"/>
        <w:b/>
        <w:lang w:val="de-DE"/>
      </w:rPr>
      <w:t xml:space="preserve">tarihli </w:t>
    </w:r>
  </w:p>
  <w:p w:rsidR="00C82C7B" w:rsidRPr="00F05719" w:rsidRDefault="00C82C7B" w:rsidP="000E0F91">
    <w:pPr>
      <w:ind w:right="-306"/>
      <w:rPr>
        <w:rFonts w:ascii="Arial" w:hAnsi="Arial" w:cs="Arial"/>
        <w:b/>
        <w:lang w:val="de-DE"/>
      </w:rPr>
    </w:pPr>
    <w:r w:rsidRPr="00F05719">
      <w:rPr>
        <w:rFonts w:ascii="Arial" w:hAnsi="Arial" w:cs="Arial"/>
        <w:b/>
        <w:lang w:val="tr-TR"/>
      </w:rPr>
      <w:t>finansal tablolara ilişkin dipnotlar</w:t>
    </w:r>
    <w:r>
      <w:rPr>
        <w:rFonts w:ascii="Arial" w:hAnsi="Arial" w:cs="Arial"/>
        <w:b/>
        <w:lang w:val="tr-TR"/>
      </w:rPr>
      <w:t xml:space="preserve"> (devamı)</w:t>
    </w:r>
  </w:p>
  <w:p w:rsidR="00C82C7B" w:rsidRPr="000E0F91" w:rsidRDefault="00C82C7B" w:rsidP="000E0F91">
    <w:pPr>
      <w:pStyle w:val="Header"/>
      <w:tabs>
        <w:tab w:val="clear" w:pos="4320"/>
        <w:tab w:val="clear" w:pos="8640"/>
      </w:tabs>
      <w:rPr>
        <w:rFonts w:ascii="Arial" w:hAnsi="Arial" w:cs="Arial"/>
        <w:b/>
        <w:sz w:val="18"/>
        <w:lang w:val="tr-TR"/>
      </w:rPr>
    </w:pPr>
    <w:r w:rsidRPr="000E0F91">
      <w:rPr>
        <w:rFonts w:ascii="Arial" w:hAnsi="Arial" w:cs="Arial"/>
        <w:b/>
        <w:sz w:val="18"/>
        <w:lang w:val="tr-TR"/>
      </w:rPr>
      <w:t>(Tutarlar aksi belirtilmedikçe Türk Lirası (“TL”) cinsinden ifade edilmiştir.)</w:t>
    </w:r>
  </w:p>
  <w:p w:rsidR="00C82C7B" w:rsidRDefault="00C82C7B">
    <w:pPr>
      <w:pStyle w:val="Header"/>
      <w:rPr>
        <w:rFonts w:ascii="Arial" w:hAnsi="Arial" w:cs="Arial"/>
        <w:lang w:val="tr-TR"/>
      </w:rPr>
    </w:pPr>
  </w:p>
  <w:p w:rsidR="00C82C7B" w:rsidRDefault="00C82C7B">
    <w:pPr>
      <w:pStyle w:val="Header"/>
      <w:rPr>
        <w:rFonts w:ascii="Arial" w:hAnsi="Arial" w:cs="Arial"/>
        <w:lang w:val="tr-TR"/>
      </w:rPr>
    </w:pPr>
  </w:p>
  <w:p w:rsidR="00C82C7B" w:rsidRPr="00FC1E16" w:rsidRDefault="00C82C7B">
    <w:pPr>
      <w:pStyle w:val="Header"/>
      <w:rPr>
        <w:rFonts w:ascii="Arial" w:hAnsi="Arial" w:cs="Arial"/>
        <w:lang w:val="tr-TR"/>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C7B" w:rsidRPr="00FC1E16" w:rsidRDefault="00C82C7B" w:rsidP="007E6943">
    <w:pPr>
      <w:ind w:right="-211"/>
      <w:rPr>
        <w:rFonts w:ascii="Arial" w:hAnsi="Arial" w:cs="Arial"/>
        <w:b/>
        <w:lang w:val="sv-SE"/>
      </w:rPr>
    </w:pPr>
    <w:r>
      <w:rPr>
        <w:rFonts w:ascii="Arial" w:hAnsi="Arial" w:cs="Arial"/>
        <w:b/>
        <w:lang w:val="sv-SE"/>
      </w:rPr>
      <w:t xml:space="preserve">Ata Portföy Yönetimi A.Ş. </w:t>
    </w:r>
  </w:p>
  <w:p w:rsidR="00C82C7B" w:rsidRPr="00FC1E16" w:rsidRDefault="00C82C7B" w:rsidP="007E6943">
    <w:pPr>
      <w:ind w:right="-211"/>
      <w:rPr>
        <w:rFonts w:ascii="Arial" w:hAnsi="Arial" w:cs="Arial"/>
        <w:b/>
        <w:lang w:val="sv-SE"/>
      </w:rPr>
    </w:pPr>
  </w:p>
  <w:p w:rsidR="00C82C7B" w:rsidRPr="00F05719" w:rsidRDefault="00C82C7B" w:rsidP="000E0F91">
    <w:pPr>
      <w:ind w:right="-306"/>
      <w:rPr>
        <w:rFonts w:ascii="Arial" w:hAnsi="Arial" w:cs="Arial"/>
        <w:b/>
        <w:lang w:val="de-DE"/>
      </w:rPr>
    </w:pPr>
    <w:r>
      <w:rPr>
        <w:rFonts w:ascii="Arial" w:hAnsi="Arial" w:cs="Arial"/>
        <w:b/>
        <w:lang w:val="de-DE"/>
      </w:rPr>
      <w:t>31 Aralık 2012</w:t>
    </w:r>
    <w:r w:rsidRPr="00F05719">
      <w:rPr>
        <w:rFonts w:ascii="Arial" w:hAnsi="Arial" w:cs="Arial"/>
        <w:b/>
        <w:lang w:val="de-DE"/>
      </w:rPr>
      <w:t xml:space="preserve"> </w:t>
    </w:r>
    <w:r>
      <w:rPr>
        <w:rFonts w:ascii="Arial" w:hAnsi="Arial" w:cs="Arial"/>
        <w:b/>
        <w:lang w:val="de-DE"/>
      </w:rPr>
      <w:t xml:space="preserve">tarihli </w:t>
    </w:r>
    <w:r w:rsidRPr="00F05719">
      <w:rPr>
        <w:rFonts w:ascii="Arial" w:hAnsi="Arial" w:cs="Arial"/>
        <w:b/>
        <w:lang w:val="tr-TR"/>
      </w:rPr>
      <w:t>finansal tablolara ilişkin dipnotlar</w:t>
    </w:r>
    <w:r>
      <w:rPr>
        <w:rFonts w:ascii="Arial" w:hAnsi="Arial" w:cs="Arial"/>
        <w:b/>
        <w:lang w:val="tr-TR"/>
      </w:rPr>
      <w:t xml:space="preserve"> (devamı)</w:t>
    </w:r>
  </w:p>
  <w:p w:rsidR="00C82C7B" w:rsidRPr="000E0F91" w:rsidRDefault="00C82C7B" w:rsidP="000E0F91">
    <w:pPr>
      <w:pStyle w:val="Header"/>
      <w:tabs>
        <w:tab w:val="clear" w:pos="4320"/>
        <w:tab w:val="clear" w:pos="8640"/>
      </w:tabs>
      <w:rPr>
        <w:rFonts w:ascii="Arial" w:hAnsi="Arial" w:cs="Arial"/>
        <w:b/>
        <w:sz w:val="18"/>
        <w:lang w:val="tr-TR"/>
      </w:rPr>
    </w:pPr>
    <w:r w:rsidRPr="000E0F91">
      <w:rPr>
        <w:rFonts w:ascii="Arial" w:hAnsi="Arial" w:cs="Arial"/>
        <w:b/>
        <w:sz w:val="18"/>
        <w:lang w:val="tr-TR"/>
      </w:rPr>
      <w:t>(Tutarlar aksi belirtilmedikçe Türk Lirası (“TL”) cinsinden ifade edilmiştir.)</w:t>
    </w:r>
  </w:p>
  <w:p w:rsidR="00C82C7B" w:rsidRDefault="00C82C7B">
    <w:pPr>
      <w:pStyle w:val="Header"/>
      <w:rPr>
        <w:rFonts w:ascii="Arial" w:hAnsi="Arial" w:cs="Arial"/>
        <w:lang w:val="tr-TR"/>
      </w:rPr>
    </w:pPr>
  </w:p>
  <w:p w:rsidR="00C82C7B" w:rsidRDefault="00C82C7B">
    <w:pPr>
      <w:pStyle w:val="Header"/>
      <w:rPr>
        <w:rFonts w:ascii="Arial" w:hAnsi="Arial" w:cs="Arial"/>
        <w:lang w:val="tr-TR"/>
      </w:rPr>
    </w:pPr>
  </w:p>
  <w:p w:rsidR="00C82C7B" w:rsidRPr="00FC1E16" w:rsidRDefault="00C82C7B">
    <w:pPr>
      <w:pStyle w:val="Header"/>
      <w:rPr>
        <w:rFonts w:ascii="Arial" w:hAnsi="Arial" w:cs="Arial"/>
        <w:lang w:val="tr-TR"/>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C7B" w:rsidRPr="00FC1E16" w:rsidRDefault="00C82C7B" w:rsidP="007E6943">
    <w:pPr>
      <w:ind w:right="-211"/>
      <w:rPr>
        <w:rFonts w:ascii="Arial" w:hAnsi="Arial" w:cs="Arial"/>
        <w:b/>
        <w:lang w:val="sv-SE"/>
      </w:rPr>
    </w:pPr>
    <w:r>
      <w:rPr>
        <w:rFonts w:ascii="Arial" w:hAnsi="Arial" w:cs="Arial"/>
        <w:b/>
        <w:lang w:val="sv-SE"/>
      </w:rPr>
      <w:t xml:space="preserve">Ata Portföy Yönetimi A.Ş. </w:t>
    </w:r>
  </w:p>
  <w:p w:rsidR="00C82C7B" w:rsidRPr="00FC1E16" w:rsidRDefault="00C82C7B" w:rsidP="007E6943">
    <w:pPr>
      <w:ind w:right="-211"/>
      <w:rPr>
        <w:rFonts w:ascii="Arial" w:hAnsi="Arial" w:cs="Arial"/>
        <w:b/>
        <w:lang w:val="sv-SE"/>
      </w:rPr>
    </w:pPr>
  </w:p>
  <w:p w:rsidR="00C82C7B" w:rsidRPr="00F05719" w:rsidRDefault="00C82C7B" w:rsidP="000E0F91">
    <w:pPr>
      <w:ind w:right="-306"/>
      <w:rPr>
        <w:rFonts w:ascii="Arial" w:hAnsi="Arial" w:cs="Arial"/>
        <w:b/>
        <w:lang w:val="de-DE"/>
      </w:rPr>
    </w:pPr>
    <w:r>
      <w:rPr>
        <w:rFonts w:ascii="Arial" w:hAnsi="Arial" w:cs="Arial"/>
        <w:b/>
        <w:lang w:val="de-DE"/>
      </w:rPr>
      <w:t>31 Mart 2014</w:t>
    </w:r>
    <w:r w:rsidRPr="00F05719">
      <w:rPr>
        <w:rFonts w:ascii="Arial" w:hAnsi="Arial" w:cs="Arial"/>
        <w:b/>
        <w:lang w:val="de-DE"/>
      </w:rPr>
      <w:t xml:space="preserve"> </w:t>
    </w:r>
    <w:r>
      <w:rPr>
        <w:rFonts w:ascii="Arial" w:hAnsi="Arial" w:cs="Arial"/>
        <w:b/>
        <w:lang w:val="de-DE"/>
      </w:rPr>
      <w:t xml:space="preserve">tarihli </w:t>
    </w:r>
    <w:r w:rsidRPr="00F05719">
      <w:rPr>
        <w:rFonts w:ascii="Arial" w:hAnsi="Arial" w:cs="Arial"/>
        <w:b/>
        <w:lang w:val="tr-TR"/>
      </w:rPr>
      <w:t>finansal tablolara ilişkin dipnotlar</w:t>
    </w:r>
  </w:p>
  <w:p w:rsidR="00C82C7B" w:rsidRPr="000E0F91" w:rsidRDefault="00C82C7B" w:rsidP="000E0F91">
    <w:pPr>
      <w:pStyle w:val="Header"/>
      <w:tabs>
        <w:tab w:val="clear" w:pos="4320"/>
        <w:tab w:val="clear" w:pos="8640"/>
      </w:tabs>
      <w:rPr>
        <w:rFonts w:ascii="Arial" w:hAnsi="Arial" w:cs="Arial"/>
        <w:b/>
        <w:sz w:val="18"/>
        <w:lang w:val="tr-TR"/>
      </w:rPr>
    </w:pPr>
    <w:r w:rsidRPr="000E0F91">
      <w:rPr>
        <w:rFonts w:ascii="Arial" w:hAnsi="Arial" w:cs="Arial"/>
        <w:b/>
        <w:sz w:val="18"/>
        <w:lang w:val="tr-TR"/>
      </w:rPr>
      <w:t>(Tutarlar aksi belirtilmedikçe Türk Lirası (“TL”) cinsinden ifade edilmiştir.)</w:t>
    </w:r>
  </w:p>
  <w:p w:rsidR="00C82C7B" w:rsidRDefault="00C82C7B">
    <w:pPr>
      <w:pStyle w:val="Header"/>
      <w:rPr>
        <w:rFonts w:ascii="Arial" w:hAnsi="Arial" w:cs="Arial"/>
        <w:lang w:val="tr-TR"/>
      </w:rPr>
    </w:pPr>
  </w:p>
  <w:p w:rsidR="00C82C7B" w:rsidRDefault="00C82C7B">
    <w:pPr>
      <w:pStyle w:val="Header"/>
      <w:rPr>
        <w:rFonts w:ascii="Arial" w:hAnsi="Arial" w:cs="Arial"/>
        <w:lang w:val="tr-TR"/>
      </w:rPr>
    </w:pPr>
  </w:p>
  <w:p w:rsidR="00C82C7B" w:rsidRPr="00FC1E16" w:rsidRDefault="00C82C7B">
    <w:pPr>
      <w:pStyle w:val="Header"/>
      <w:rPr>
        <w:rFonts w:ascii="Arial" w:hAnsi="Arial" w:cs="Arial"/>
        <w:lang w:val="tr-T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5C5D"/>
    <w:multiLevelType w:val="hybridMultilevel"/>
    <w:tmpl w:val="3676C4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9B5D7C"/>
    <w:multiLevelType w:val="hybridMultilevel"/>
    <w:tmpl w:val="60841620"/>
    <w:lvl w:ilvl="0" w:tplc="97EA50DC">
      <w:start w:val="81"/>
      <w:numFmt w:val="decimal"/>
      <w:lvlText w:val="%1"/>
      <w:lvlJc w:val="left"/>
      <w:pPr>
        <w:tabs>
          <w:tab w:val="num" w:pos="930"/>
        </w:tabs>
        <w:ind w:left="930" w:hanging="57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6310EA"/>
    <w:multiLevelType w:val="hybridMultilevel"/>
    <w:tmpl w:val="E4EA7CA0"/>
    <w:lvl w:ilvl="0" w:tplc="0409000F">
      <w:start w:val="4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D474FB"/>
    <w:multiLevelType w:val="hybridMultilevel"/>
    <w:tmpl w:val="3FD66BA0"/>
    <w:lvl w:ilvl="0" w:tplc="015C9E32">
      <w:start w:val="1"/>
      <w:numFmt w:val="upperLetter"/>
      <w:lvlText w:val="%1."/>
      <w:lvlJc w:val="left"/>
      <w:pPr>
        <w:tabs>
          <w:tab w:val="num" w:pos="900"/>
        </w:tabs>
        <w:ind w:left="900" w:hanging="360"/>
      </w:pPr>
      <w:rPr>
        <w:rFonts w:cs="Times New Roman" w:hint="default"/>
      </w:rPr>
    </w:lvl>
    <w:lvl w:ilvl="1" w:tplc="0409000F">
      <w:start w:val="1"/>
      <w:numFmt w:val="decimal"/>
      <w:lvlText w:val="%2."/>
      <w:lvlJc w:val="left"/>
      <w:pPr>
        <w:tabs>
          <w:tab w:val="num" w:pos="1980"/>
        </w:tabs>
        <w:ind w:left="1980" w:hanging="360"/>
      </w:pPr>
      <w:rPr>
        <w:rFonts w:cs="Times New Roman" w:hint="default"/>
      </w:rPr>
    </w:lvl>
    <w:lvl w:ilvl="2" w:tplc="69DEF5B6">
      <w:start w:val="1"/>
      <w:numFmt w:val="lowerLetter"/>
      <w:lvlText w:val="(%3)"/>
      <w:lvlJc w:val="left"/>
      <w:pPr>
        <w:tabs>
          <w:tab w:val="num" w:pos="3090"/>
        </w:tabs>
        <w:ind w:left="3090" w:hanging="570"/>
      </w:pPr>
      <w:rPr>
        <w:rFonts w:cs="Times New Roman" w:hint="default"/>
        <w:b/>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4">
    <w:nsid w:val="1B8900D4"/>
    <w:multiLevelType w:val="hybridMultilevel"/>
    <w:tmpl w:val="44721BC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D72E09"/>
    <w:multiLevelType w:val="hybridMultilevel"/>
    <w:tmpl w:val="8D26871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27C16039"/>
    <w:multiLevelType w:val="hybridMultilevel"/>
    <w:tmpl w:val="5218BA86"/>
    <w:lvl w:ilvl="0" w:tplc="04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32D54B84"/>
    <w:multiLevelType w:val="hybridMultilevel"/>
    <w:tmpl w:val="5F98C9CC"/>
    <w:lvl w:ilvl="0" w:tplc="B8121FD4">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AE409CD"/>
    <w:multiLevelType w:val="hybridMultilevel"/>
    <w:tmpl w:val="3BD48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31750E"/>
    <w:multiLevelType w:val="hybridMultilevel"/>
    <w:tmpl w:val="8D383696"/>
    <w:lvl w:ilvl="0" w:tplc="143237C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nsid w:val="49DD766A"/>
    <w:multiLevelType w:val="hybridMultilevel"/>
    <w:tmpl w:val="1F82011A"/>
    <w:lvl w:ilvl="0" w:tplc="041F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1">
    <w:nsid w:val="4EC23356"/>
    <w:multiLevelType w:val="hybridMultilevel"/>
    <w:tmpl w:val="DE5ACC96"/>
    <w:lvl w:ilvl="0" w:tplc="041F000F">
      <w:start w:val="4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ECE6D5C"/>
    <w:multiLevelType w:val="hybridMultilevel"/>
    <w:tmpl w:val="1F4AD90C"/>
    <w:lvl w:ilvl="0" w:tplc="A5BCAF86">
      <w:start w:val="1"/>
      <w:numFmt w:val="lowerLetter"/>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37E6280"/>
    <w:multiLevelType w:val="hybridMultilevel"/>
    <w:tmpl w:val="5846E732"/>
    <w:lvl w:ilvl="0" w:tplc="0409000F">
      <w:start w:val="3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A344FE"/>
    <w:multiLevelType w:val="hybridMultilevel"/>
    <w:tmpl w:val="0082D35C"/>
    <w:lvl w:ilvl="0" w:tplc="5308F2A4">
      <w:start w:val="6"/>
      <w:numFmt w:val="bullet"/>
      <w:lvlText w:val="-"/>
      <w:lvlJc w:val="left"/>
      <w:pPr>
        <w:ind w:left="570" w:hanging="360"/>
      </w:pPr>
      <w:rPr>
        <w:rFonts w:ascii="Arial" w:eastAsia="Times New Roman" w:hAnsi="Arial" w:cs="Aria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5">
    <w:nsid w:val="54CB2C0F"/>
    <w:multiLevelType w:val="hybridMultilevel"/>
    <w:tmpl w:val="0F860844"/>
    <w:lvl w:ilvl="0" w:tplc="69CE7D2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nsid w:val="58F213BC"/>
    <w:multiLevelType w:val="hybridMultilevel"/>
    <w:tmpl w:val="08502990"/>
    <w:lvl w:ilvl="0" w:tplc="AEAA2676">
      <w:start w:val="93"/>
      <w:numFmt w:val="bullet"/>
      <w:lvlText w:val="-"/>
      <w:lvlJc w:val="left"/>
      <w:pPr>
        <w:ind w:left="495" w:hanging="360"/>
      </w:pPr>
      <w:rPr>
        <w:rFonts w:ascii="Arial" w:eastAsia="Times New Roman"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7">
    <w:nsid w:val="5EC57C3D"/>
    <w:multiLevelType w:val="hybridMultilevel"/>
    <w:tmpl w:val="58A4FC1A"/>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60724DFE"/>
    <w:multiLevelType w:val="hybridMultilevel"/>
    <w:tmpl w:val="82F42B7A"/>
    <w:lvl w:ilvl="0" w:tplc="8E54A482">
      <w:start w:val="1"/>
      <w:numFmt w:val="decimal"/>
      <w:lvlText w:val="%1."/>
      <w:lvlJc w:val="left"/>
      <w:pPr>
        <w:ind w:left="720" w:hanging="360"/>
      </w:pPr>
      <w:rPr>
        <w:rFonts w:ascii="Georgia" w:hAnsi="Georgia"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3F291F"/>
    <w:multiLevelType w:val="hybridMultilevel"/>
    <w:tmpl w:val="3402B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67282420"/>
    <w:multiLevelType w:val="hybridMultilevel"/>
    <w:tmpl w:val="2146BF04"/>
    <w:lvl w:ilvl="0" w:tplc="BCEE96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2A65C4"/>
    <w:multiLevelType w:val="multilevel"/>
    <w:tmpl w:val="C9BCA560"/>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DBD3AF8"/>
    <w:multiLevelType w:val="multilevel"/>
    <w:tmpl w:val="D6481280"/>
    <w:lvl w:ilvl="0">
      <w:start w:val="2"/>
      <w:numFmt w:val="decimal"/>
      <w:lvlText w:val="%1"/>
      <w:lvlJc w:val="left"/>
      <w:pPr>
        <w:ind w:left="360" w:hanging="360"/>
      </w:pPr>
      <w:rPr>
        <w:rFonts w:ascii="Times" w:hAnsi="Times" w:hint="default"/>
      </w:rPr>
    </w:lvl>
    <w:lvl w:ilvl="1">
      <w:start w:val="4"/>
      <w:numFmt w:val="decimal"/>
      <w:lvlText w:val="%1.%2"/>
      <w:lvlJc w:val="left"/>
      <w:pPr>
        <w:ind w:left="930" w:hanging="360"/>
      </w:pPr>
      <w:rPr>
        <w:rFonts w:ascii="Times" w:hAnsi="Times" w:hint="default"/>
      </w:rPr>
    </w:lvl>
    <w:lvl w:ilvl="2">
      <w:start w:val="1"/>
      <w:numFmt w:val="decimal"/>
      <w:lvlText w:val="%1.%2.%3"/>
      <w:lvlJc w:val="left"/>
      <w:pPr>
        <w:ind w:left="1860" w:hanging="720"/>
      </w:pPr>
      <w:rPr>
        <w:rFonts w:ascii="Times" w:hAnsi="Times" w:hint="default"/>
      </w:rPr>
    </w:lvl>
    <w:lvl w:ilvl="3">
      <w:start w:val="1"/>
      <w:numFmt w:val="decimal"/>
      <w:lvlText w:val="%1.%2.%3.%4"/>
      <w:lvlJc w:val="left"/>
      <w:pPr>
        <w:ind w:left="2430" w:hanging="720"/>
      </w:pPr>
      <w:rPr>
        <w:rFonts w:ascii="Times" w:hAnsi="Times" w:hint="default"/>
      </w:rPr>
    </w:lvl>
    <w:lvl w:ilvl="4">
      <w:start w:val="1"/>
      <w:numFmt w:val="decimal"/>
      <w:lvlText w:val="%1.%2.%3.%4.%5"/>
      <w:lvlJc w:val="left"/>
      <w:pPr>
        <w:ind w:left="3360" w:hanging="1080"/>
      </w:pPr>
      <w:rPr>
        <w:rFonts w:ascii="Times" w:hAnsi="Times" w:hint="default"/>
      </w:rPr>
    </w:lvl>
    <w:lvl w:ilvl="5">
      <w:start w:val="1"/>
      <w:numFmt w:val="decimal"/>
      <w:lvlText w:val="%1.%2.%3.%4.%5.%6"/>
      <w:lvlJc w:val="left"/>
      <w:pPr>
        <w:ind w:left="3930" w:hanging="1080"/>
      </w:pPr>
      <w:rPr>
        <w:rFonts w:ascii="Times" w:hAnsi="Times" w:hint="default"/>
      </w:rPr>
    </w:lvl>
    <w:lvl w:ilvl="6">
      <w:start w:val="1"/>
      <w:numFmt w:val="decimal"/>
      <w:lvlText w:val="%1.%2.%3.%4.%5.%6.%7"/>
      <w:lvlJc w:val="left"/>
      <w:pPr>
        <w:ind w:left="4860" w:hanging="1440"/>
      </w:pPr>
      <w:rPr>
        <w:rFonts w:ascii="Times" w:hAnsi="Times" w:hint="default"/>
      </w:rPr>
    </w:lvl>
    <w:lvl w:ilvl="7">
      <w:start w:val="1"/>
      <w:numFmt w:val="decimal"/>
      <w:lvlText w:val="%1.%2.%3.%4.%5.%6.%7.%8"/>
      <w:lvlJc w:val="left"/>
      <w:pPr>
        <w:ind w:left="5430" w:hanging="1440"/>
      </w:pPr>
      <w:rPr>
        <w:rFonts w:ascii="Times" w:hAnsi="Times" w:hint="default"/>
      </w:rPr>
    </w:lvl>
    <w:lvl w:ilvl="8">
      <w:start w:val="1"/>
      <w:numFmt w:val="decimal"/>
      <w:lvlText w:val="%1.%2.%3.%4.%5.%6.%7.%8.%9"/>
      <w:lvlJc w:val="left"/>
      <w:pPr>
        <w:ind w:left="6360" w:hanging="1800"/>
      </w:pPr>
      <w:rPr>
        <w:rFonts w:ascii="Times" w:hAnsi="Times" w:hint="default"/>
      </w:rPr>
    </w:lvl>
  </w:abstractNum>
  <w:abstractNum w:abstractNumId="23">
    <w:nsid w:val="72B55A80"/>
    <w:multiLevelType w:val="hybridMultilevel"/>
    <w:tmpl w:val="767290E8"/>
    <w:lvl w:ilvl="0" w:tplc="FFFFFFFF">
      <w:start w:val="1"/>
      <w:numFmt w:val="bullet"/>
      <w:pStyle w:val="Bodycopybullet"/>
      <w:lvlText w:val=""/>
      <w:lvlJc w:val="left"/>
      <w:pPr>
        <w:tabs>
          <w:tab w:val="num" w:pos="510"/>
        </w:tabs>
        <w:ind w:left="510" w:hanging="510"/>
      </w:pPr>
      <w:rPr>
        <w:rFonts w:ascii="Symbol" w:hAnsi="Symbol" w:cs="Times New Roman" w:hint="default"/>
        <w:sz w:val="17"/>
        <w:szCs w:val="17"/>
      </w:rPr>
    </w:lvl>
    <w:lvl w:ilvl="1" w:tplc="041F0001">
      <w:start w:val="1"/>
      <w:numFmt w:val="bullet"/>
      <w:lvlText w:val=""/>
      <w:lvlJc w:val="left"/>
      <w:pPr>
        <w:tabs>
          <w:tab w:val="num" w:pos="1440"/>
        </w:tabs>
        <w:ind w:left="1440" w:hanging="360"/>
      </w:pPr>
      <w:rPr>
        <w:rFonts w:ascii="Symbol" w:hAnsi="Symbol" w:hint="default"/>
        <w:sz w:val="17"/>
        <w:szCs w:val="17"/>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584099E"/>
    <w:multiLevelType w:val="hybridMultilevel"/>
    <w:tmpl w:val="D138F1A2"/>
    <w:lvl w:ilvl="0" w:tplc="9EA0F930">
      <w:start w:val="1"/>
      <w:numFmt w:val="decimal"/>
      <w:lvlText w:val="%1."/>
      <w:lvlJc w:val="left"/>
      <w:pPr>
        <w:ind w:left="930" w:hanging="57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9B14E9"/>
    <w:multiLevelType w:val="hybridMultilevel"/>
    <w:tmpl w:val="6AFEE89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6">
    <w:nsid w:val="79E22A36"/>
    <w:multiLevelType w:val="hybridMultilevel"/>
    <w:tmpl w:val="A93009DE"/>
    <w:lvl w:ilvl="0" w:tplc="59184FE0">
      <w:start w:val="93"/>
      <w:numFmt w:val="bullet"/>
      <w:lvlText w:val="-"/>
      <w:lvlJc w:val="left"/>
      <w:pPr>
        <w:ind w:left="495" w:hanging="360"/>
      </w:pPr>
      <w:rPr>
        <w:rFonts w:ascii="Arial" w:eastAsia="Times New Roman"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7">
    <w:nsid w:val="7CEB094D"/>
    <w:multiLevelType w:val="hybridMultilevel"/>
    <w:tmpl w:val="B7BA1050"/>
    <w:lvl w:ilvl="0" w:tplc="7632FC2C">
      <w:start w:val="9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23"/>
  </w:num>
  <w:num w:numId="5">
    <w:abstractNumId w:val="11"/>
  </w:num>
  <w:num w:numId="6">
    <w:abstractNumId w:val="1"/>
  </w:num>
  <w:num w:numId="7">
    <w:abstractNumId w:val="13"/>
  </w:num>
  <w:num w:numId="8">
    <w:abstractNumId w:val="2"/>
  </w:num>
  <w:num w:numId="9">
    <w:abstractNumId w:val="19"/>
  </w:num>
  <w:num w:numId="10">
    <w:abstractNumId w:val="7"/>
  </w:num>
  <w:num w:numId="11">
    <w:abstractNumId w:val="6"/>
  </w:num>
  <w:num w:numId="12">
    <w:abstractNumId w:val="23"/>
  </w:num>
  <w:num w:numId="13">
    <w:abstractNumId w:val="23"/>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5"/>
  </w:num>
  <w:num w:numId="18">
    <w:abstractNumId w:val="9"/>
  </w:num>
  <w:num w:numId="19">
    <w:abstractNumId w:val="22"/>
  </w:num>
  <w:num w:numId="20">
    <w:abstractNumId w:val="16"/>
  </w:num>
  <w:num w:numId="21">
    <w:abstractNumId w:val="26"/>
  </w:num>
  <w:num w:numId="22">
    <w:abstractNumId w:val="27"/>
  </w:num>
  <w:num w:numId="23">
    <w:abstractNumId w:val="14"/>
  </w:num>
  <w:num w:numId="24">
    <w:abstractNumId w:val="17"/>
  </w:num>
  <w:num w:numId="25">
    <w:abstractNumId w:val="4"/>
  </w:num>
  <w:num w:numId="26">
    <w:abstractNumId w:val="20"/>
  </w:num>
  <w:num w:numId="27">
    <w:abstractNumId w:val="12"/>
  </w:num>
  <w:num w:numId="28">
    <w:abstractNumId w:val="3"/>
  </w:num>
  <w:num w:numId="29">
    <w:abstractNumId w:val="24"/>
  </w:num>
  <w:num w:numId="30">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stylePaneFormatFilter w:val="3F01"/>
  <w:defaultTabStop w:val="567"/>
  <w:hyphenationZone w:val="425"/>
  <w:drawingGridHorizontalSpacing w:val="100"/>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docVars>
    <w:docVar w:name="AS2DocOpenMode" w:val="AS2DocumentEdit"/>
  </w:docVars>
  <w:rsids>
    <w:rsidRoot w:val="00EB654D"/>
    <w:rsid w:val="00000419"/>
    <w:rsid w:val="000004E2"/>
    <w:rsid w:val="00000785"/>
    <w:rsid w:val="0000094A"/>
    <w:rsid w:val="00000E64"/>
    <w:rsid w:val="000017CF"/>
    <w:rsid w:val="00001992"/>
    <w:rsid w:val="00002232"/>
    <w:rsid w:val="000028DA"/>
    <w:rsid w:val="00002922"/>
    <w:rsid w:val="00002B2C"/>
    <w:rsid w:val="00002D97"/>
    <w:rsid w:val="000034C4"/>
    <w:rsid w:val="00003D1D"/>
    <w:rsid w:val="00003DC0"/>
    <w:rsid w:val="00004615"/>
    <w:rsid w:val="00004869"/>
    <w:rsid w:val="000049A1"/>
    <w:rsid w:val="00004B6E"/>
    <w:rsid w:val="00004C23"/>
    <w:rsid w:val="00004D90"/>
    <w:rsid w:val="00004DBF"/>
    <w:rsid w:val="00004F70"/>
    <w:rsid w:val="00005F03"/>
    <w:rsid w:val="00006186"/>
    <w:rsid w:val="0000624C"/>
    <w:rsid w:val="00006AAB"/>
    <w:rsid w:val="00006B9F"/>
    <w:rsid w:val="00006EC3"/>
    <w:rsid w:val="0000732A"/>
    <w:rsid w:val="000073D2"/>
    <w:rsid w:val="000074B3"/>
    <w:rsid w:val="00007EF5"/>
    <w:rsid w:val="00007FF9"/>
    <w:rsid w:val="0001009B"/>
    <w:rsid w:val="00010580"/>
    <w:rsid w:val="000105EC"/>
    <w:rsid w:val="00010655"/>
    <w:rsid w:val="000107B4"/>
    <w:rsid w:val="00010F02"/>
    <w:rsid w:val="00011074"/>
    <w:rsid w:val="000118C8"/>
    <w:rsid w:val="00011CFD"/>
    <w:rsid w:val="00011F36"/>
    <w:rsid w:val="00012400"/>
    <w:rsid w:val="00012650"/>
    <w:rsid w:val="00012E2F"/>
    <w:rsid w:val="00013786"/>
    <w:rsid w:val="000137A3"/>
    <w:rsid w:val="000137C0"/>
    <w:rsid w:val="00013AAC"/>
    <w:rsid w:val="00013EC4"/>
    <w:rsid w:val="00014858"/>
    <w:rsid w:val="00014B0E"/>
    <w:rsid w:val="00015027"/>
    <w:rsid w:val="00015076"/>
    <w:rsid w:val="000151A2"/>
    <w:rsid w:val="00015B02"/>
    <w:rsid w:val="00015B94"/>
    <w:rsid w:val="00016286"/>
    <w:rsid w:val="00016589"/>
    <w:rsid w:val="0001670B"/>
    <w:rsid w:val="00016AFC"/>
    <w:rsid w:val="00016E5A"/>
    <w:rsid w:val="00016FDA"/>
    <w:rsid w:val="000174FE"/>
    <w:rsid w:val="000175B3"/>
    <w:rsid w:val="000177DB"/>
    <w:rsid w:val="00017DB4"/>
    <w:rsid w:val="00020399"/>
    <w:rsid w:val="0002101D"/>
    <w:rsid w:val="000212C4"/>
    <w:rsid w:val="0002132A"/>
    <w:rsid w:val="0002184F"/>
    <w:rsid w:val="00021B99"/>
    <w:rsid w:val="00021C8E"/>
    <w:rsid w:val="00021EF6"/>
    <w:rsid w:val="00022368"/>
    <w:rsid w:val="0002266A"/>
    <w:rsid w:val="00023431"/>
    <w:rsid w:val="000234A5"/>
    <w:rsid w:val="0002350D"/>
    <w:rsid w:val="00023789"/>
    <w:rsid w:val="00023B07"/>
    <w:rsid w:val="000247A5"/>
    <w:rsid w:val="0002499C"/>
    <w:rsid w:val="00024B10"/>
    <w:rsid w:val="00024C1A"/>
    <w:rsid w:val="00024F57"/>
    <w:rsid w:val="00025119"/>
    <w:rsid w:val="0002514D"/>
    <w:rsid w:val="00025279"/>
    <w:rsid w:val="00025788"/>
    <w:rsid w:val="00025910"/>
    <w:rsid w:val="00025BDF"/>
    <w:rsid w:val="00025F87"/>
    <w:rsid w:val="000262AF"/>
    <w:rsid w:val="00026405"/>
    <w:rsid w:val="000266E5"/>
    <w:rsid w:val="00026E71"/>
    <w:rsid w:val="0002725E"/>
    <w:rsid w:val="000272A0"/>
    <w:rsid w:val="00027D32"/>
    <w:rsid w:val="00027F54"/>
    <w:rsid w:val="000305A3"/>
    <w:rsid w:val="00030C96"/>
    <w:rsid w:val="0003104A"/>
    <w:rsid w:val="000312DA"/>
    <w:rsid w:val="0003138D"/>
    <w:rsid w:val="000318F7"/>
    <w:rsid w:val="00032225"/>
    <w:rsid w:val="0003263A"/>
    <w:rsid w:val="000327C5"/>
    <w:rsid w:val="00032F3B"/>
    <w:rsid w:val="00033262"/>
    <w:rsid w:val="00033601"/>
    <w:rsid w:val="00033B7C"/>
    <w:rsid w:val="00033E51"/>
    <w:rsid w:val="00034015"/>
    <w:rsid w:val="0003406D"/>
    <w:rsid w:val="0003423F"/>
    <w:rsid w:val="000343E7"/>
    <w:rsid w:val="00034499"/>
    <w:rsid w:val="000344FF"/>
    <w:rsid w:val="00034927"/>
    <w:rsid w:val="00035220"/>
    <w:rsid w:val="00035471"/>
    <w:rsid w:val="000357CA"/>
    <w:rsid w:val="000359CC"/>
    <w:rsid w:val="00036177"/>
    <w:rsid w:val="0003650D"/>
    <w:rsid w:val="0003670C"/>
    <w:rsid w:val="00037354"/>
    <w:rsid w:val="00037E6D"/>
    <w:rsid w:val="00037E7E"/>
    <w:rsid w:val="00037F84"/>
    <w:rsid w:val="00040207"/>
    <w:rsid w:val="000409E7"/>
    <w:rsid w:val="00040E11"/>
    <w:rsid w:val="00040EE4"/>
    <w:rsid w:val="0004158E"/>
    <w:rsid w:val="0004170A"/>
    <w:rsid w:val="00042AAF"/>
    <w:rsid w:val="00042E6F"/>
    <w:rsid w:val="00042F14"/>
    <w:rsid w:val="00043819"/>
    <w:rsid w:val="00043C36"/>
    <w:rsid w:val="00043DE2"/>
    <w:rsid w:val="00044022"/>
    <w:rsid w:val="00044515"/>
    <w:rsid w:val="00044A7B"/>
    <w:rsid w:val="00044D09"/>
    <w:rsid w:val="00044E02"/>
    <w:rsid w:val="000453B8"/>
    <w:rsid w:val="00045654"/>
    <w:rsid w:val="00045788"/>
    <w:rsid w:val="00045A7F"/>
    <w:rsid w:val="000461D2"/>
    <w:rsid w:val="000463C5"/>
    <w:rsid w:val="00046403"/>
    <w:rsid w:val="00046E74"/>
    <w:rsid w:val="000478FB"/>
    <w:rsid w:val="00047E50"/>
    <w:rsid w:val="00047EA1"/>
    <w:rsid w:val="00050357"/>
    <w:rsid w:val="00050759"/>
    <w:rsid w:val="000508D9"/>
    <w:rsid w:val="000512D7"/>
    <w:rsid w:val="00051725"/>
    <w:rsid w:val="0005195E"/>
    <w:rsid w:val="00051B3C"/>
    <w:rsid w:val="00051F78"/>
    <w:rsid w:val="000525B7"/>
    <w:rsid w:val="00052CBA"/>
    <w:rsid w:val="00052D5C"/>
    <w:rsid w:val="00052D63"/>
    <w:rsid w:val="00052DF5"/>
    <w:rsid w:val="000530E4"/>
    <w:rsid w:val="000534B4"/>
    <w:rsid w:val="0005354A"/>
    <w:rsid w:val="00053647"/>
    <w:rsid w:val="00054714"/>
    <w:rsid w:val="00054E93"/>
    <w:rsid w:val="00054F23"/>
    <w:rsid w:val="000550B8"/>
    <w:rsid w:val="0005522D"/>
    <w:rsid w:val="0005530A"/>
    <w:rsid w:val="000555CC"/>
    <w:rsid w:val="000559EB"/>
    <w:rsid w:val="00055A55"/>
    <w:rsid w:val="00055ACB"/>
    <w:rsid w:val="00055FD6"/>
    <w:rsid w:val="00056089"/>
    <w:rsid w:val="00056376"/>
    <w:rsid w:val="0005699F"/>
    <w:rsid w:val="00056BA2"/>
    <w:rsid w:val="00056DC7"/>
    <w:rsid w:val="00057475"/>
    <w:rsid w:val="00057779"/>
    <w:rsid w:val="000578BD"/>
    <w:rsid w:val="00057DFA"/>
    <w:rsid w:val="00057E56"/>
    <w:rsid w:val="000601C4"/>
    <w:rsid w:val="0006024B"/>
    <w:rsid w:val="00060490"/>
    <w:rsid w:val="00060CDB"/>
    <w:rsid w:val="00060E33"/>
    <w:rsid w:val="00060E40"/>
    <w:rsid w:val="0006141E"/>
    <w:rsid w:val="000615D5"/>
    <w:rsid w:val="00061942"/>
    <w:rsid w:val="00061B03"/>
    <w:rsid w:val="00061EBC"/>
    <w:rsid w:val="000621DC"/>
    <w:rsid w:val="00062775"/>
    <w:rsid w:val="00062DE5"/>
    <w:rsid w:val="00063E38"/>
    <w:rsid w:val="00064369"/>
    <w:rsid w:val="000645EA"/>
    <w:rsid w:val="00064981"/>
    <w:rsid w:val="00064D04"/>
    <w:rsid w:val="0006577B"/>
    <w:rsid w:val="00065AF6"/>
    <w:rsid w:val="00065E70"/>
    <w:rsid w:val="00066289"/>
    <w:rsid w:val="00066CC0"/>
    <w:rsid w:val="00066DEA"/>
    <w:rsid w:val="00067046"/>
    <w:rsid w:val="000670AA"/>
    <w:rsid w:val="000673F8"/>
    <w:rsid w:val="00067593"/>
    <w:rsid w:val="0006763B"/>
    <w:rsid w:val="0006785D"/>
    <w:rsid w:val="0006791D"/>
    <w:rsid w:val="000702A1"/>
    <w:rsid w:val="00070468"/>
    <w:rsid w:val="0007062D"/>
    <w:rsid w:val="000706FB"/>
    <w:rsid w:val="000709EB"/>
    <w:rsid w:val="00070A9A"/>
    <w:rsid w:val="00071B53"/>
    <w:rsid w:val="00071EB0"/>
    <w:rsid w:val="00072B3D"/>
    <w:rsid w:val="00072FAF"/>
    <w:rsid w:val="000738A2"/>
    <w:rsid w:val="000738A5"/>
    <w:rsid w:val="000738D0"/>
    <w:rsid w:val="00073EF0"/>
    <w:rsid w:val="0007404A"/>
    <w:rsid w:val="00074243"/>
    <w:rsid w:val="000746E2"/>
    <w:rsid w:val="00075233"/>
    <w:rsid w:val="0007527F"/>
    <w:rsid w:val="000757BF"/>
    <w:rsid w:val="00075B9B"/>
    <w:rsid w:val="00075C54"/>
    <w:rsid w:val="00075E7E"/>
    <w:rsid w:val="000760EF"/>
    <w:rsid w:val="00076207"/>
    <w:rsid w:val="00076448"/>
    <w:rsid w:val="00076811"/>
    <w:rsid w:val="000768A7"/>
    <w:rsid w:val="00076C64"/>
    <w:rsid w:val="00076FDA"/>
    <w:rsid w:val="00077605"/>
    <w:rsid w:val="00077694"/>
    <w:rsid w:val="00077AE8"/>
    <w:rsid w:val="000807AC"/>
    <w:rsid w:val="0008091E"/>
    <w:rsid w:val="00080A53"/>
    <w:rsid w:val="00080C88"/>
    <w:rsid w:val="00080DB5"/>
    <w:rsid w:val="00080E02"/>
    <w:rsid w:val="00080F58"/>
    <w:rsid w:val="0008177F"/>
    <w:rsid w:val="0008199D"/>
    <w:rsid w:val="000819C9"/>
    <w:rsid w:val="00082173"/>
    <w:rsid w:val="0008232E"/>
    <w:rsid w:val="0008267A"/>
    <w:rsid w:val="0008272A"/>
    <w:rsid w:val="00082AC8"/>
    <w:rsid w:val="000836C3"/>
    <w:rsid w:val="0008398D"/>
    <w:rsid w:val="00083A22"/>
    <w:rsid w:val="000842B4"/>
    <w:rsid w:val="0008460D"/>
    <w:rsid w:val="0008472C"/>
    <w:rsid w:val="00084AA7"/>
    <w:rsid w:val="00084E65"/>
    <w:rsid w:val="0008530D"/>
    <w:rsid w:val="00085414"/>
    <w:rsid w:val="000857F5"/>
    <w:rsid w:val="00085D02"/>
    <w:rsid w:val="00086125"/>
    <w:rsid w:val="00086309"/>
    <w:rsid w:val="0008635B"/>
    <w:rsid w:val="0008639B"/>
    <w:rsid w:val="00086413"/>
    <w:rsid w:val="0008641C"/>
    <w:rsid w:val="0008646F"/>
    <w:rsid w:val="000865F6"/>
    <w:rsid w:val="000868B5"/>
    <w:rsid w:val="00086AAE"/>
    <w:rsid w:val="00087113"/>
    <w:rsid w:val="00087480"/>
    <w:rsid w:val="0009099F"/>
    <w:rsid w:val="00090ABF"/>
    <w:rsid w:val="00090BA3"/>
    <w:rsid w:val="00090E9D"/>
    <w:rsid w:val="000912AF"/>
    <w:rsid w:val="000914AD"/>
    <w:rsid w:val="000915AB"/>
    <w:rsid w:val="0009160C"/>
    <w:rsid w:val="000917E8"/>
    <w:rsid w:val="00091854"/>
    <w:rsid w:val="00091F3C"/>
    <w:rsid w:val="00092764"/>
    <w:rsid w:val="00092DED"/>
    <w:rsid w:val="0009307B"/>
    <w:rsid w:val="00093164"/>
    <w:rsid w:val="00093262"/>
    <w:rsid w:val="000940A0"/>
    <w:rsid w:val="00094C35"/>
    <w:rsid w:val="00095600"/>
    <w:rsid w:val="0009596A"/>
    <w:rsid w:val="000965F5"/>
    <w:rsid w:val="0009683C"/>
    <w:rsid w:val="00096C32"/>
    <w:rsid w:val="0009766D"/>
    <w:rsid w:val="00097912"/>
    <w:rsid w:val="000A012D"/>
    <w:rsid w:val="000A01FC"/>
    <w:rsid w:val="000A06BF"/>
    <w:rsid w:val="000A06CC"/>
    <w:rsid w:val="000A0F5F"/>
    <w:rsid w:val="000A1446"/>
    <w:rsid w:val="000A15BD"/>
    <w:rsid w:val="000A15CA"/>
    <w:rsid w:val="000A1701"/>
    <w:rsid w:val="000A1EBE"/>
    <w:rsid w:val="000A22D2"/>
    <w:rsid w:val="000A24E1"/>
    <w:rsid w:val="000A2ADF"/>
    <w:rsid w:val="000A2CCE"/>
    <w:rsid w:val="000A48F1"/>
    <w:rsid w:val="000A4C05"/>
    <w:rsid w:val="000A4F6E"/>
    <w:rsid w:val="000A51B5"/>
    <w:rsid w:val="000A5B46"/>
    <w:rsid w:val="000A6123"/>
    <w:rsid w:val="000A670B"/>
    <w:rsid w:val="000A6A04"/>
    <w:rsid w:val="000A6A1B"/>
    <w:rsid w:val="000A6D87"/>
    <w:rsid w:val="000A7027"/>
    <w:rsid w:val="000A744F"/>
    <w:rsid w:val="000A756B"/>
    <w:rsid w:val="000B0213"/>
    <w:rsid w:val="000B0432"/>
    <w:rsid w:val="000B05FC"/>
    <w:rsid w:val="000B0CCA"/>
    <w:rsid w:val="000B0EF6"/>
    <w:rsid w:val="000B0F82"/>
    <w:rsid w:val="000B1AD2"/>
    <w:rsid w:val="000B1CD8"/>
    <w:rsid w:val="000B1EAA"/>
    <w:rsid w:val="000B1F12"/>
    <w:rsid w:val="000B1F1F"/>
    <w:rsid w:val="000B2194"/>
    <w:rsid w:val="000B2259"/>
    <w:rsid w:val="000B23D6"/>
    <w:rsid w:val="000B2757"/>
    <w:rsid w:val="000B2ED5"/>
    <w:rsid w:val="000B2F97"/>
    <w:rsid w:val="000B3634"/>
    <w:rsid w:val="000B367F"/>
    <w:rsid w:val="000B38D3"/>
    <w:rsid w:val="000B3D4A"/>
    <w:rsid w:val="000B4244"/>
    <w:rsid w:val="000B453C"/>
    <w:rsid w:val="000B47A9"/>
    <w:rsid w:val="000B4B17"/>
    <w:rsid w:val="000B4C56"/>
    <w:rsid w:val="000B4D3F"/>
    <w:rsid w:val="000B52EB"/>
    <w:rsid w:val="000B53E9"/>
    <w:rsid w:val="000B56C6"/>
    <w:rsid w:val="000B5A81"/>
    <w:rsid w:val="000B5B51"/>
    <w:rsid w:val="000B5C3E"/>
    <w:rsid w:val="000B60E4"/>
    <w:rsid w:val="000B64F3"/>
    <w:rsid w:val="000B669A"/>
    <w:rsid w:val="000B69D9"/>
    <w:rsid w:val="000B6D9A"/>
    <w:rsid w:val="000C03C9"/>
    <w:rsid w:val="000C0A2E"/>
    <w:rsid w:val="000C0AF5"/>
    <w:rsid w:val="000C0F26"/>
    <w:rsid w:val="000C0FD0"/>
    <w:rsid w:val="000C169A"/>
    <w:rsid w:val="000C16FA"/>
    <w:rsid w:val="000C1C75"/>
    <w:rsid w:val="000C1CAB"/>
    <w:rsid w:val="000C2080"/>
    <w:rsid w:val="000C285A"/>
    <w:rsid w:val="000C2C3F"/>
    <w:rsid w:val="000C2C91"/>
    <w:rsid w:val="000C2DD3"/>
    <w:rsid w:val="000C2DFB"/>
    <w:rsid w:val="000C2E05"/>
    <w:rsid w:val="000C2FBE"/>
    <w:rsid w:val="000C303F"/>
    <w:rsid w:val="000C3057"/>
    <w:rsid w:val="000C3C12"/>
    <w:rsid w:val="000C3C88"/>
    <w:rsid w:val="000C3CF9"/>
    <w:rsid w:val="000C3F27"/>
    <w:rsid w:val="000C41B1"/>
    <w:rsid w:val="000C4200"/>
    <w:rsid w:val="000C4580"/>
    <w:rsid w:val="000C4629"/>
    <w:rsid w:val="000C48AD"/>
    <w:rsid w:val="000C4CA8"/>
    <w:rsid w:val="000C538B"/>
    <w:rsid w:val="000C5440"/>
    <w:rsid w:val="000C5487"/>
    <w:rsid w:val="000C56BE"/>
    <w:rsid w:val="000C5BBB"/>
    <w:rsid w:val="000C6125"/>
    <w:rsid w:val="000C64DC"/>
    <w:rsid w:val="000C6B0A"/>
    <w:rsid w:val="000C6CAB"/>
    <w:rsid w:val="000C759C"/>
    <w:rsid w:val="000C77AF"/>
    <w:rsid w:val="000C7884"/>
    <w:rsid w:val="000C7B48"/>
    <w:rsid w:val="000C7F27"/>
    <w:rsid w:val="000D0115"/>
    <w:rsid w:val="000D03AD"/>
    <w:rsid w:val="000D06C7"/>
    <w:rsid w:val="000D06D2"/>
    <w:rsid w:val="000D0BE2"/>
    <w:rsid w:val="000D0C26"/>
    <w:rsid w:val="000D146C"/>
    <w:rsid w:val="000D161A"/>
    <w:rsid w:val="000D1E39"/>
    <w:rsid w:val="000D1FBB"/>
    <w:rsid w:val="000D23F7"/>
    <w:rsid w:val="000D2669"/>
    <w:rsid w:val="000D2A9F"/>
    <w:rsid w:val="000D2C7A"/>
    <w:rsid w:val="000D2D76"/>
    <w:rsid w:val="000D2DF9"/>
    <w:rsid w:val="000D2F06"/>
    <w:rsid w:val="000D33A7"/>
    <w:rsid w:val="000D35F2"/>
    <w:rsid w:val="000D369B"/>
    <w:rsid w:val="000D3713"/>
    <w:rsid w:val="000D3770"/>
    <w:rsid w:val="000D3C2F"/>
    <w:rsid w:val="000D3F27"/>
    <w:rsid w:val="000D40A4"/>
    <w:rsid w:val="000D4671"/>
    <w:rsid w:val="000D4780"/>
    <w:rsid w:val="000D49E7"/>
    <w:rsid w:val="000D4B1A"/>
    <w:rsid w:val="000D4F80"/>
    <w:rsid w:val="000D507D"/>
    <w:rsid w:val="000D51EB"/>
    <w:rsid w:val="000D55B0"/>
    <w:rsid w:val="000D5634"/>
    <w:rsid w:val="000D594D"/>
    <w:rsid w:val="000D640F"/>
    <w:rsid w:val="000D68DA"/>
    <w:rsid w:val="000D70A3"/>
    <w:rsid w:val="000D7167"/>
    <w:rsid w:val="000D7478"/>
    <w:rsid w:val="000D7F4C"/>
    <w:rsid w:val="000D7F8E"/>
    <w:rsid w:val="000E0599"/>
    <w:rsid w:val="000E080E"/>
    <w:rsid w:val="000E09A1"/>
    <w:rsid w:val="000E0D72"/>
    <w:rsid w:val="000E0F91"/>
    <w:rsid w:val="000E18CC"/>
    <w:rsid w:val="000E1DCB"/>
    <w:rsid w:val="000E1EAC"/>
    <w:rsid w:val="000E279B"/>
    <w:rsid w:val="000E299C"/>
    <w:rsid w:val="000E2E57"/>
    <w:rsid w:val="000E2EED"/>
    <w:rsid w:val="000E3499"/>
    <w:rsid w:val="000E4307"/>
    <w:rsid w:val="000E453E"/>
    <w:rsid w:val="000E4CA7"/>
    <w:rsid w:val="000E4F9F"/>
    <w:rsid w:val="000E515F"/>
    <w:rsid w:val="000E5E2D"/>
    <w:rsid w:val="000E5E54"/>
    <w:rsid w:val="000E62CC"/>
    <w:rsid w:val="000E66DF"/>
    <w:rsid w:val="000E6C47"/>
    <w:rsid w:val="000E73AC"/>
    <w:rsid w:val="000E79FE"/>
    <w:rsid w:val="000E7F16"/>
    <w:rsid w:val="000F0797"/>
    <w:rsid w:val="000F086C"/>
    <w:rsid w:val="000F08CC"/>
    <w:rsid w:val="000F1132"/>
    <w:rsid w:val="000F136E"/>
    <w:rsid w:val="000F1BB9"/>
    <w:rsid w:val="000F1BC4"/>
    <w:rsid w:val="000F1EF8"/>
    <w:rsid w:val="000F2712"/>
    <w:rsid w:val="000F2877"/>
    <w:rsid w:val="000F2E58"/>
    <w:rsid w:val="000F2F06"/>
    <w:rsid w:val="000F3710"/>
    <w:rsid w:val="000F3811"/>
    <w:rsid w:val="000F3D08"/>
    <w:rsid w:val="000F45C8"/>
    <w:rsid w:val="000F5A1C"/>
    <w:rsid w:val="000F5A58"/>
    <w:rsid w:val="000F5A68"/>
    <w:rsid w:val="000F5B37"/>
    <w:rsid w:val="000F5B41"/>
    <w:rsid w:val="000F5F62"/>
    <w:rsid w:val="000F622C"/>
    <w:rsid w:val="000F62C2"/>
    <w:rsid w:val="000F67A3"/>
    <w:rsid w:val="000F6836"/>
    <w:rsid w:val="000F693E"/>
    <w:rsid w:val="000F6C7A"/>
    <w:rsid w:val="000F6CA6"/>
    <w:rsid w:val="000F7AFE"/>
    <w:rsid w:val="000F7EED"/>
    <w:rsid w:val="001001AC"/>
    <w:rsid w:val="001004A7"/>
    <w:rsid w:val="00100682"/>
    <w:rsid w:val="00100C70"/>
    <w:rsid w:val="00100C82"/>
    <w:rsid w:val="00100ECB"/>
    <w:rsid w:val="001010B7"/>
    <w:rsid w:val="00101585"/>
    <w:rsid w:val="001015D0"/>
    <w:rsid w:val="001017D1"/>
    <w:rsid w:val="00101A60"/>
    <w:rsid w:val="00101A71"/>
    <w:rsid w:val="00101BB4"/>
    <w:rsid w:val="00101BFC"/>
    <w:rsid w:val="00101C8B"/>
    <w:rsid w:val="00101D6F"/>
    <w:rsid w:val="00102038"/>
    <w:rsid w:val="00102818"/>
    <w:rsid w:val="00102ACF"/>
    <w:rsid w:val="00102AF0"/>
    <w:rsid w:val="0010352F"/>
    <w:rsid w:val="001038A2"/>
    <w:rsid w:val="001042C2"/>
    <w:rsid w:val="001045F1"/>
    <w:rsid w:val="001046DB"/>
    <w:rsid w:val="00104BDB"/>
    <w:rsid w:val="001052E9"/>
    <w:rsid w:val="00105930"/>
    <w:rsid w:val="00105BB3"/>
    <w:rsid w:val="00105CD7"/>
    <w:rsid w:val="00105FA1"/>
    <w:rsid w:val="00106611"/>
    <w:rsid w:val="001066F6"/>
    <w:rsid w:val="00107145"/>
    <w:rsid w:val="00110385"/>
    <w:rsid w:val="00110709"/>
    <w:rsid w:val="0011078A"/>
    <w:rsid w:val="00110883"/>
    <w:rsid w:val="00110A27"/>
    <w:rsid w:val="00110B39"/>
    <w:rsid w:val="00110E06"/>
    <w:rsid w:val="001112A2"/>
    <w:rsid w:val="00111F56"/>
    <w:rsid w:val="0011252E"/>
    <w:rsid w:val="00112A61"/>
    <w:rsid w:val="00112DE1"/>
    <w:rsid w:val="00112E67"/>
    <w:rsid w:val="00112E99"/>
    <w:rsid w:val="00112F9B"/>
    <w:rsid w:val="001132FF"/>
    <w:rsid w:val="00114825"/>
    <w:rsid w:val="00114A9B"/>
    <w:rsid w:val="00114BD5"/>
    <w:rsid w:val="00114C45"/>
    <w:rsid w:val="001154D6"/>
    <w:rsid w:val="00115E58"/>
    <w:rsid w:val="00115FA4"/>
    <w:rsid w:val="001166E9"/>
    <w:rsid w:val="001169D2"/>
    <w:rsid w:val="00116B0B"/>
    <w:rsid w:val="00116D09"/>
    <w:rsid w:val="00116F4A"/>
    <w:rsid w:val="001177C6"/>
    <w:rsid w:val="00117BCC"/>
    <w:rsid w:val="00117E66"/>
    <w:rsid w:val="001200BA"/>
    <w:rsid w:val="00120176"/>
    <w:rsid w:val="001205F5"/>
    <w:rsid w:val="0012071F"/>
    <w:rsid w:val="00120980"/>
    <w:rsid w:val="00120BB4"/>
    <w:rsid w:val="00120D58"/>
    <w:rsid w:val="00120F2E"/>
    <w:rsid w:val="001210CB"/>
    <w:rsid w:val="0012111C"/>
    <w:rsid w:val="00121208"/>
    <w:rsid w:val="001213F5"/>
    <w:rsid w:val="001214FC"/>
    <w:rsid w:val="001216B6"/>
    <w:rsid w:val="0012190B"/>
    <w:rsid w:val="00122183"/>
    <w:rsid w:val="001224E1"/>
    <w:rsid w:val="00122AE8"/>
    <w:rsid w:val="00122B0E"/>
    <w:rsid w:val="00123797"/>
    <w:rsid w:val="0012379C"/>
    <w:rsid w:val="00123A50"/>
    <w:rsid w:val="00123A53"/>
    <w:rsid w:val="00123D77"/>
    <w:rsid w:val="00124060"/>
    <w:rsid w:val="00124385"/>
    <w:rsid w:val="001246D8"/>
    <w:rsid w:val="00124869"/>
    <w:rsid w:val="00124A0D"/>
    <w:rsid w:val="00124CFE"/>
    <w:rsid w:val="00124D21"/>
    <w:rsid w:val="00124EA1"/>
    <w:rsid w:val="001252B4"/>
    <w:rsid w:val="001255E4"/>
    <w:rsid w:val="0012597D"/>
    <w:rsid w:val="00125A96"/>
    <w:rsid w:val="00125BA7"/>
    <w:rsid w:val="00125F8A"/>
    <w:rsid w:val="001264D6"/>
    <w:rsid w:val="0012658C"/>
    <w:rsid w:val="00126E84"/>
    <w:rsid w:val="001275D3"/>
    <w:rsid w:val="00127770"/>
    <w:rsid w:val="00127D02"/>
    <w:rsid w:val="00130104"/>
    <w:rsid w:val="001308D3"/>
    <w:rsid w:val="00130BB9"/>
    <w:rsid w:val="00131346"/>
    <w:rsid w:val="00131444"/>
    <w:rsid w:val="001317C7"/>
    <w:rsid w:val="00131F42"/>
    <w:rsid w:val="00132667"/>
    <w:rsid w:val="00132DDF"/>
    <w:rsid w:val="00133058"/>
    <w:rsid w:val="00133779"/>
    <w:rsid w:val="001337A5"/>
    <w:rsid w:val="00133EBC"/>
    <w:rsid w:val="0013559A"/>
    <w:rsid w:val="001355D0"/>
    <w:rsid w:val="001358E6"/>
    <w:rsid w:val="00136430"/>
    <w:rsid w:val="00136EEB"/>
    <w:rsid w:val="00136FB7"/>
    <w:rsid w:val="001370D3"/>
    <w:rsid w:val="00137617"/>
    <w:rsid w:val="00137A8D"/>
    <w:rsid w:val="001400E0"/>
    <w:rsid w:val="00140189"/>
    <w:rsid w:val="0014023C"/>
    <w:rsid w:val="0014043F"/>
    <w:rsid w:val="00140BEF"/>
    <w:rsid w:val="0014126E"/>
    <w:rsid w:val="001415F4"/>
    <w:rsid w:val="00141B82"/>
    <w:rsid w:val="00141CC1"/>
    <w:rsid w:val="00141DC8"/>
    <w:rsid w:val="001421EF"/>
    <w:rsid w:val="00142758"/>
    <w:rsid w:val="00142D8B"/>
    <w:rsid w:val="00142F32"/>
    <w:rsid w:val="001430A7"/>
    <w:rsid w:val="001436E3"/>
    <w:rsid w:val="0014374D"/>
    <w:rsid w:val="001439B5"/>
    <w:rsid w:val="00143B4B"/>
    <w:rsid w:val="00143E4F"/>
    <w:rsid w:val="00143F07"/>
    <w:rsid w:val="00143F2F"/>
    <w:rsid w:val="00144E3F"/>
    <w:rsid w:val="00145053"/>
    <w:rsid w:val="001457D8"/>
    <w:rsid w:val="00145892"/>
    <w:rsid w:val="00145EC9"/>
    <w:rsid w:val="00145ECF"/>
    <w:rsid w:val="00145F5F"/>
    <w:rsid w:val="00146157"/>
    <w:rsid w:val="00146170"/>
    <w:rsid w:val="001464B5"/>
    <w:rsid w:val="001466C2"/>
    <w:rsid w:val="00146BA9"/>
    <w:rsid w:val="001478B9"/>
    <w:rsid w:val="00147935"/>
    <w:rsid w:val="00150196"/>
    <w:rsid w:val="001502EB"/>
    <w:rsid w:val="0015140A"/>
    <w:rsid w:val="001515C2"/>
    <w:rsid w:val="00151709"/>
    <w:rsid w:val="00151742"/>
    <w:rsid w:val="00151AB7"/>
    <w:rsid w:val="00151C95"/>
    <w:rsid w:val="00151CCE"/>
    <w:rsid w:val="00151D0B"/>
    <w:rsid w:val="00151F75"/>
    <w:rsid w:val="00152012"/>
    <w:rsid w:val="00152163"/>
    <w:rsid w:val="0015240A"/>
    <w:rsid w:val="00152448"/>
    <w:rsid w:val="00152497"/>
    <w:rsid w:val="0015259B"/>
    <w:rsid w:val="00152A89"/>
    <w:rsid w:val="001532C2"/>
    <w:rsid w:val="0015336C"/>
    <w:rsid w:val="001534F3"/>
    <w:rsid w:val="001536F8"/>
    <w:rsid w:val="001538F4"/>
    <w:rsid w:val="00153A68"/>
    <w:rsid w:val="00153F0C"/>
    <w:rsid w:val="00154213"/>
    <w:rsid w:val="0015440B"/>
    <w:rsid w:val="0015474E"/>
    <w:rsid w:val="00154A5D"/>
    <w:rsid w:val="00155081"/>
    <w:rsid w:val="0015583D"/>
    <w:rsid w:val="00155DDE"/>
    <w:rsid w:val="00156150"/>
    <w:rsid w:val="00156223"/>
    <w:rsid w:val="00156749"/>
    <w:rsid w:val="001567F4"/>
    <w:rsid w:val="00157007"/>
    <w:rsid w:val="0015715B"/>
    <w:rsid w:val="001576F6"/>
    <w:rsid w:val="001577EC"/>
    <w:rsid w:val="00160424"/>
    <w:rsid w:val="00160AC4"/>
    <w:rsid w:val="00160DBE"/>
    <w:rsid w:val="00160DFE"/>
    <w:rsid w:val="00161C03"/>
    <w:rsid w:val="001623CA"/>
    <w:rsid w:val="0016280F"/>
    <w:rsid w:val="001628EE"/>
    <w:rsid w:val="00162AE4"/>
    <w:rsid w:val="00162CA2"/>
    <w:rsid w:val="001631CD"/>
    <w:rsid w:val="00163692"/>
    <w:rsid w:val="001638A7"/>
    <w:rsid w:val="00163A8F"/>
    <w:rsid w:val="00163CD1"/>
    <w:rsid w:val="00164188"/>
    <w:rsid w:val="0016426D"/>
    <w:rsid w:val="0016440B"/>
    <w:rsid w:val="00164626"/>
    <w:rsid w:val="0016496B"/>
    <w:rsid w:val="00164DB5"/>
    <w:rsid w:val="00164E8C"/>
    <w:rsid w:val="0016596B"/>
    <w:rsid w:val="00165B19"/>
    <w:rsid w:val="00166365"/>
    <w:rsid w:val="0016637E"/>
    <w:rsid w:val="001665C9"/>
    <w:rsid w:val="00166F04"/>
    <w:rsid w:val="0016700B"/>
    <w:rsid w:val="0016767B"/>
    <w:rsid w:val="00167836"/>
    <w:rsid w:val="001702BC"/>
    <w:rsid w:val="001702E2"/>
    <w:rsid w:val="00170781"/>
    <w:rsid w:val="0017095E"/>
    <w:rsid w:val="00170BE0"/>
    <w:rsid w:val="00170E5F"/>
    <w:rsid w:val="00170F39"/>
    <w:rsid w:val="00170F87"/>
    <w:rsid w:val="00171118"/>
    <w:rsid w:val="00171223"/>
    <w:rsid w:val="001715CD"/>
    <w:rsid w:val="0017192A"/>
    <w:rsid w:val="00171BEE"/>
    <w:rsid w:val="00171E9A"/>
    <w:rsid w:val="00172DA3"/>
    <w:rsid w:val="0017328F"/>
    <w:rsid w:val="001732DA"/>
    <w:rsid w:val="00173487"/>
    <w:rsid w:val="0017370D"/>
    <w:rsid w:val="00173830"/>
    <w:rsid w:val="00173907"/>
    <w:rsid w:val="00173ADC"/>
    <w:rsid w:val="00173CD3"/>
    <w:rsid w:val="001746E6"/>
    <w:rsid w:val="00174F86"/>
    <w:rsid w:val="00175293"/>
    <w:rsid w:val="00175B3C"/>
    <w:rsid w:val="00175CAC"/>
    <w:rsid w:val="001763BB"/>
    <w:rsid w:val="00176AF6"/>
    <w:rsid w:val="00176C00"/>
    <w:rsid w:val="00176F3F"/>
    <w:rsid w:val="001772AF"/>
    <w:rsid w:val="001773B5"/>
    <w:rsid w:val="00177415"/>
    <w:rsid w:val="0017767F"/>
    <w:rsid w:val="001779F2"/>
    <w:rsid w:val="00177D23"/>
    <w:rsid w:val="00180521"/>
    <w:rsid w:val="00180997"/>
    <w:rsid w:val="00180D11"/>
    <w:rsid w:val="00180E2C"/>
    <w:rsid w:val="00181327"/>
    <w:rsid w:val="001814D1"/>
    <w:rsid w:val="00181633"/>
    <w:rsid w:val="001816B4"/>
    <w:rsid w:val="001817EF"/>
    <w:rsid w:val="00182196"/>
    <w:rsid w:val="00182210"/>
    <w:rsid w:val="0018259B"/>
    <w:rsid w:val="00182778"/>
    <w:rsid w:val="001827BE"/>
    <w:rsid w:val="00182919"/>
    <w:rsid w:val="00182A4B"/>
    <w:rsid w:val="00182CD1"/>
    <w:rsid w:val="00182D49"/>
    <w:rsid w:val="0018325E"/>
    <w:rsid w:val="001834B5"/>
    <w:rsid w:val="001837F0"/>
    <w:rsid w:val="00183ADE"/>
    <w:rsid w:val="00183B06"/>
    <w:rsid w:val="00183B28"/>
    <w:rsid w:val="00183FE0"/>
    <w:rsid w:val="0018444E"/>
    <w:rsid w:val="0018451F"/>
    <w:rsid w:val="001847DC"/>
    <w:rsid w:val="00184CEE"/>
    <w:rsid w:val="00184E66"/>
    <w:rsid w:val="00185A16"/>
    <w:rsid w:val="00185EAB"/>
    <w:rsid w:val="00185F32"/>
    <w:rsid w:val="00186134"/>
    <w:rsid w:val="00186203"/>
    <w:rsid w:val="001864D7"/>
    <w:rsid w:val="001864ED"/>
    <w:rsid w:val="001866DA"/>
    <w:rsid w:val="00186BC3"/>
    <w:rsid w:val="00186C72"/>
    <w:rsid w:val="00186E24"/>
    <w:rsid w:val="00186FE1"/>
    <w:rsid w:val="00187210"/>
    <w:rsid w:val="001900F4"/>
    <w:rsid w:val="00190A3A"/>
    <w:rsid w:val="00190AFC"/>
    <w:rsid w:val="00190EC7"/>
    <w:rsid w:val="00190F7D"/>
    <w:rsid w:val="001910A1"/>
    <w:rsid w:val="00191482"/>
    <w:rsid w:val="001915BF"/>
    <w:rsid w:val="0019229F"/>
    <w:rsid w:val="001922B8"/>
    <w:rsid w:val="00192443"/>
    <w:rsid w:val="00192736"/>
    <w:rsid w:val="00192978"/>
    <w:rsid w:val="001929DE"/>
    <w:rsid w:val="001929F0"/>
    <w:rsid w:val="00192FD6"/>
    <w:rsid w:val="001934F7"/>
    <w:rsid w:val="001935E3"/>
    <w:rsid w:val="00193B77"/>
    <w:rsid w:val="00193CDB"/>
    <w:rsid w:val="00193DDB"/>
    <w:rsid w:val="00194762"/>
    <w:rsid w:val="001948F3"/>
    <w:rsid w:val="001949AF"/>
    <w:rsid w:val="00194D07"/>
    <w:rsid w:val="0019565E"/>
    <w:rsid w:val="001959BE"/>
    <w:rsid w:val="00195CBB"/>
    <w:rsid w:val="001968BB"/>
    <w:rsid w:val="00196A48"/>
    <w:rsid w:val="00196D54"/>
    <w:rsid w:val="0019756F"/>
    <w:rsid w:val="001976FE"/>
    <w:rsid w:val="001977A6"/>
    <w:rsid w:val="00197A4A"/>
    <w:rsid w:val="00197F80"/>
    <w:rsid w:val="001A0161"/>
    <w:rsid w:val="001A022C"/>
    <w:rsid w:val="001A09BC"/>
    <w:rsid w:val="001A0A59"/>
    <w:rsid w:val="001A0C2E"/>
    <w:rsid w:val="001A1633"/>
    <w:rsid w:val="001A18A9"/>
    <w:rsid w:val="001A1BC5"/>
    <w:rsid w:val="001A1BDD"/>
    <w:rsid w:val="001A1D72"/>
    <w:rsid w:val="001A1EA3"/>
    <w:rsid w:val="001A2268"/>
    <w:rsid w:val="001A2312"/>
    <w:rsid w:val="001A2951"/>
    <w:rsid w:val="001A2A28"/>
    <w:rsid w:val="001A2C70"/>
    <w:rsid w:val="001A2DE4"/>
    <w:rsid w:val="001A3CF5"/>
    <w:rsid w:val="001A40B4"/>
    <w:rsid w:val="001A40C7"/>
    <w:rsid w:val="001A40D8"/>
    <w:rsid w:val="001A4293"/>
    <w:rsid w:val="001A440A"/>
    <w:rsid w:val="001A4572"/>
    <w:rsid w:val="001A4BCB"/>
    <w:rsid w:val="001A58A4"/>
    <w:rsid w:val="001A5BCC"/>
    <w:rsid w:val="001A6483"/>
    <w:rsid w:val="001A6790"/>
    <w:rsid w:val="001A6ACB"/>
    <w:rsid w:val="001A6B83"/>
    <w:rsid w:val="001A70E6"/>
    <w:rsid w:val="001A73CE"/>
    <w:rsid w:val="001A74AE"/>
    <w:rsid w:val="001A7718"/>
    <w:rsid w:val="001A7AA7"/>
    <w:rsid w:val="001B0104"/>
    <w:rsid w:val="001B0A58"/>
    <w:rsid w:val="001B0C36"/>
    <w:rsid w:val="001B0F49"/>
    <w:rsid w:val="001B0FCF"/>
    <w:rsid w:val="001B134C"/>
    <w:rsid w:val="001B14C1"/>
    <w:rsid w:val="001B27A7"/>
    <w:rsid w:val="001B2829"/>
    <w:rsid w:val="001B28C3"/>
    <w:rsid w:val="001B2E53"/>
    <w:rsid w:val="001B38C8"/>
    <w:rsid w:val="001B41FF"/>
    <w:rsid w:val="001B442B"/>
    <w:rsid w:val="001B44FE"/>
    <w:rsid w:val="001B4785"/>
    <w:rsid w:val="001B49B8"/>
    <w:rsid w:val="001B4B92"/>
    <w:rsid w:val="001B4D21"/>
    <w:rsid w:val="001B5009"/>
    <w:rsid w:val="001B551D"/>
    <w:rsid w:val="001B55F1"/>
    <w:rsid w:val="001B58C1"/>
    <w:rsid w:val="001B603D"/>
    <w:rsid w:val="001B6080"/>
    <w:rsid w:val="001B6365"/>
    <w:rsid w:val="001B6370"/>
    <w:rsid w:val="001B6380"/>
    <w:rsid w:val="001B6A78"/>
    <w:rsid w:val="001B6E91"/>
    <w:rsid w:val="001B6EB1"/>
    <w:rsid w:val="001B71A8"/>
    <w:rsid w:val="001C0169"/>
    <w:rsid w:val="001C02A2"/>
    <w:rsid w:val="001C0751"/>
    <w:rsid w:val="001C0F81"/>
    <w:rsid w:val="001C188F"/>
    <w:rsid w:val="001C19FE"/>
    <w:rsid w:val="001C1A64"/>
    <w:rsid w:val="001C1BB2"/>
    <w:rsid w:val="001C2408"/>
    <w:rsid w:val="001C2491"/>
    <w:rsid w:val="001C24CF"/>
    <w:rsid w:val="001C25E3"/>
    <w:rsid w:val="001C3402"/>
    <w:rsid w:val="001C39E2"/>
    <w:rsid w:val="001C3AD4"/>
    <w:rsid w:val="001C3C1C"/>
    <w:rsid w:val="001C416C"/>
    <w:rsid w:val="001C437D"/>
    <w:rsid w:val="001C4817"/>
    <w:rsid w:val="001C4F42"/>
    <w:rsid w:val="001C53DF"/>
    <w:rsid w:val="001C5441"/>
    <w:rsid w:val="001C59C7"/>
    <w:rsid w:val="001C5A34"/>
    <w:rsid w:val="001C5AB5"/>
    <w:rsid w:val="001C5D1A"/>
    <w:rsid w:val="001C5F63"/>
    <w:rsid w:val="001C63AD"/>
    <w:rsid w:val="001C6667"/>
    <w:rsid w:val="001C6790"/>
    <w:rsid w:val="001C67FD"/>
    <w:rsid w:val="001C76BB"/>
    <w:rsid w:val="001C772A"/>
    <w:rsid w:val="001C79C8"/>
    <w:rsid w:val="001D0341"/>
    <w:rsid w:val="001D0540"/>
    <w:rsid w:val="001D0883"/>
    <w:rsid w:val="001D136B"/>
    <w:rsid w:val="001D1675"/>
    <w:rsid w:val="001D1684"/>
    <w:rsid w:val="001D1997"/>
    <w:rsid w:val="001D1CA5"/>
    <w:rsid w:val="001D21EE"/>
    <w:rsid w:val="001D2A13"/>
    <w:rsid w:val="001D2B67"/>
    <w:rsid w:val="001D2CD9"/>
    <w:rsid w:val="001D332C"/>
    <w:rsid w:val="001D341D"/>
    <w:rsid w:val="001D3528"/>
    <w:rsid w:val="001D3C6A"/>
    <w:rsid w:val="001D3DA4"/>
    <w:rsid w:val="001D4557"/>
    <w:rsid w:val="001D470F"/>
    <w:rsid w:val="001D4972"/>
    <w:rsid w:val="001D4B69"/>
    <w:rsid w:val="001D4D21"/>
    <w:rsid w:val="001D4D7D"/>
    <w:rsid w:val="001D4FA1"/>
    <w:rsid w:val="001D5217"/>
    <w:rsid w:val="001D5372"/>
    <w:rsid w:val="001D55E5"/>
    <w:rsid w:val="001D5CD7"/>
    <w:rsid w:val="001D5DED"/>
    <w:rsid w:val="001D5DF9"/>
    <w:rsid w:val="001D6225"/>
    <w:rsid w:val="001D632E"/>
    <w:rsid w:val="001D657E"/>
    <w:rsid w:val="001D6CBF"/>
    <w:rsid w:val="001D6FC9"/>
    <w:rsid w:val="001D7102"/>
    <w:rsid w:val="001D7502"/>
    <w:rsid w:val="001D7AC6"/>
    <w:rsid w:val="001E00BF"/>
    <w:rsid w:val="001E0110"/>
    <w:rsid w:val="001E01C4"/>
    <w:rsid w:val="001E0419"/>
    <w:rsid w:val="001E0611"/>
    <w:rsid w:val="001E10B2"/>
    <w:rsid w:val="001E1486"/>
    <w:rsid w:val="001E14C6"/>
    <w:rsid w:val="001E1C62"/>
    <w:rsid w:val="001E2218"/>
    <w:rsid w:val="001E2C13"/>
    <w:rsid w:val="001E2F98"/>
    <w:rsid w:val="001E36AD"/>
    <w:rsid w:val="001E4549"/>
    <w:rsid w:val="001E47F9"/>
    <w:rsid w:val="001E4805"/>
    <w:rsid w:val="001E4842"/>
    <w:rsid w:val="001E4A04"/>
    <w:rsid w:val="001E4A6C"/>
    <w:rsid w:val="001E4E17"/>
    <w:rsid w:val="001E4F6B"/>
    <w:rsid w:val="001E5144"/>
    <w:rsid w:val="001E5450"/>
    <w:rsid w:val="001E56FA"/>
    <w:rsid w:val="001E5DED"/>
    <w:rsid w:val="001E5EA6"/>
    <w:rsid w:val="001E5FA0"/>
    <w:rsid w:val="001E60CD"/>
    <w:rsid w:val="001E6284"/>
    <w:rsid w:val="001E64A8"/>
    <w:rsid w:val="001E65ED"/>
    <w:rsid w:val="001E6782"/>
    <w:rsid w:val="001E6B59"/>
    <w:rsid w:val="001E6E63"/>
    <w:rsid w:val="001E725D"/>
    <w:rsid w:val="001E7987"/>
    <w:rsid w:val="001E7AE9"/>
    <w:rsid w:val="001E7D62"/>
    <w:rsid w:val="001E7E3D"/>
    <w:rsid w:val="001E7EC3"/>
    <w:rsid w:val="001E7F3D"/>
    <w:rsid w:val="001F0026"/>
    <w:rsid w:val="001F0075"/>
    <w:rsid w:val="001F07FF"/>
    <w:rsid w:val="001F0D1B"/>
    <w:rsid w:val="001F0D37"/>
    <w:rsid w:val="001F11CA"/>
    <w:rsid w:val="001F151C"/>
    <w:rsid w:val="001F1581"/>
    <w:rsid w:val="001F16FC"/>
    <w:rsid w:val="001F18E1"/>
    <w:rsid w:val="001F2202"/>
    <w:rsid w:val="001F24B2"/>
    <w:rsid w:val="001F24DC"/>
    <w:rsid w:val="001F259D"/>
    <w:rsid w:val="001F28BA"/>
    <w:rsid w:val="001F2A94"/>
    <w:rsid w:val="001F307C"/>
    <w:rsid w:val="001F3370"/>
    <w:rsid w:val="001F3E04"/>
    <w:rsid w:val="001F3FAE"/>
    <w:rsid w:val="001F4040"/>
    <w:rsid w:val="001F4342"/>
    <w:rsid w:val="001F443C"/>
    <w:rsid w:val="001F486D"/>
    <w:rsid w:val="001F4CA6"/>
    <w:rsid w:val="001F4E41"/>
    <w:rsid w:val="001F4F58"/>
    <w:rsid w:val="001F4F7C"/>
    <w:rsid w:val="001F5133"/>
    <w:rsid w:val="001F54E6"/>
    <w:rsid w:val="001F5A54"/>
    <w:rsid w:val="001F5A61"/>
    <w:rsid w:val="001F6084"/>
    <w:rsid w:val="001F66D3"/>
    <w:rsid w:val="001F69FE"/>
    <w:rsid w:val="001F6E50"/>
    <w:rsid w:val="001F6F07"/>
    <w:rsid w:val="001F7A7A"/>
    <w:rsid w:val="001F7CD0"/>
    <w:rsid w:val="001F7FCA"/>
    <w:rsid w:val="00200144"/>
    <w:rsid w:val="0020047B"/>
    <w:rsid w:val="0020063D"/>
    <w:rsid w:val="002006F1"/>
    <w:rsid w:val="00200814"/>
    <w:rsid w:val="002009E8"/>
    <w:rsid w:val="00200AA8"/>
    <w:rsid w:val="00200E9A"/>
    <w:rsid w:val="00201208"/>
    <w:rsid w:val="00201306"/>
    <w:rsid w:val="002017AE"/>
    <w:rsid w:val="00201ACD"/>
    <w:rsid w:val="00201AD0"/>
    <w:rsid w:val="00201DCC"/>
    <w:rsid w:val="00201E18"/>
    <w:rsid w:val="00201E4B"/>
    <w:rsid w:val="002020A1"/>
    <w:rsid w:val="00202227"/>
    <w:rsid w:val="00202827"/>
    <w:rsid w:val="00202B7E"/>
    <w:rsid w:val="00202D9E"/>
    <w:rsid w:val="00202FC7"/>
    <w:rsid w:val="0020334F"/>
    <w:rsid w:val="0020337E"/>
    <w:rsid w:val="00203440"/>
    <w:rsid w:val="002039CF"/>
    <w:rsid w:val="00203A8B"/>
    <w:rsid w:val="00203B51"/>
    <w:rsid w:val="00204280"/>
    <w:rsid w:val="00204843"/>
    <w:rsid w:val="002048EB"/>
    <w:rsid w:val="00205034"/>
    <w:rsid w:val="00205A4D"/>
    <w:rsid w:val="00205B34"/>
    <w:rsid w:val="00205E88"/>
    <w:rsid w:val="00205E98"/>
    <w:rsid w:val="002069B6"/>
    <w:rsid w:val="00206BD1"/>
    <w:rsid w:val="00206F47"/>
    <w:rsid w:val="00207768"/>
    <w:rsid w:val="00207D9C"/>
    <w:rsid w:val="0021026B"/>
    <w:rsid w:val="002103F5"/>
    <w:rsid w:val="00210764"/>
    <w:rsid w:val="00210BF8"/>
    <w:rsid w:val="00210D58"/>
    <w:rsid w:val="00211548"/>
    <w:rsid w:val="00211833"/>
    <w:rsid w:val="002119C6"/>
    <w:rsid w:val="00211E91"/>
    <w:rsid w:val="002120BA"/>
    <w:rsid w:val="00212148"/>
    <w:rsid w:val="00212781"/>
    <w:rsid w:val="00212EAA"/>
    <w:rsid w:val="00212F25"/>
    <w:rsid w:val="002130D4"/>
    <w:rsid w:val="0021358A"/>
    <w:rsid w:val="00213656"/>
    <w:rsid w:val="002136B6"/>
    <w:rsid w:val="00213970"/>
    <w:rsid w:val="002145C5"/>
    <w:rsid w:val="00214F59"/>
    <w:rsid w:val="0021529C"/>
    <w:rsid w:val="00215557"/>
    <w:rsid w:val="00215EE7"/>
    <w:rsid w:val="002160D8"/>
    <w:rsid w:val="00216114"/>
    <w:rsid w:val="00216128"/>
    <w:rsid w:val="00216BED"/>
    <w:rsid w:val="00216D9A"/>
    <w:rsid w:val="00216E71"/>
    <w:rsid w:val="00217752"/>
    <w:rsid w:val="00217906"/>
    <w:rsid w:val="00217A73"/>
    <w:rsid w:val="00217E4F"/>
    <w:rsid w:val="00217F0B"/>
    <w:rsid w:val="002201B4"/>
    <w:rsid w:val="00220603"/>
    <w:rsid w:val="00220620"/>
    <w:rsid w:val="00221473"/>
    <w:rsid w:val="00221715"/>
    <w:rsid w:val="002219E2"/>
    <w:rsid w:val="00221DC5"/>
    <w:rsid w:val="0022233B"/>
    <w:rsid w:val="002227FA"/>
    <w:rsid w:val="00223516"/>
    <w:rsid w:val="00223661"/>
    <w:rsid w:val="00223975"/>
    <w:rsid w:val="00223B60"/>
    <w:rsid w:val="002241AC"/>
    <w:rsid w:val="00224294"/>
    <w:rsid w:val="0022447E"/>
    <w:rsid w:val="00224795"/>
    <w:rsid w:val="0022492B"/>
    <w:rsid w:val="00225277"/>
    <w:rsid w:val="002253D9"/>
    <w:rsid w:val="00225CD6"/>
    <w:rsid w:val="00225DBC"/>
    <w:rsid w:val="00225DCC"/>
    <w:rsid w:val="00225E2F"/>
    <w:rsid w:val="0022605F"/>
    <w:rsid w:val="00226339"/>
    <w:rsid w:val="00226DA3"/>
    <w:rsid w:val="002274E1"/>
    <w:rsid w:val="00227725"/>
    <w:rsid w:val="00227E0A"/>
    <w:rsid w:val="00227E6A"/>
    <w:rsid w:val="002300F9"/>
    <w:rsid w:val="00230137"/>
    <w:rsid w:val="0023025A"/>
    <w:rsid w:val="00230DEA"/>
    <w:rsid w:val="00230F8E"/>
    <w:rsid w:val="0023127D"/>
    <w:rsid w:val="00231D79"/>
    <w:rsid w:val="002325E2"/>
    <w:rsid w:val="0023261C"/>
    <w:rsid w:val="0023262F"/>
    <w:rsid w:val="002326CF"/>
    <w:rsid w:val="00232ADC"/>
    <w:rsid w:val="00232C96"/>
    <w:rsid w:val="00232D52"/>
    <w:rsid w:val="00232F58"/>
    <w:rsid w:val="00233192"/>
    <w:rsid w:val="002331B2"/>
    <w:rsid w:val="002331D2"/>
    <w:rsid w:val="002331DC"/>
    <w:rsid w:val="002334EB"/>
    <w:rsid w:val="00233C5B"/>
    <w:rsid w:val="002340F7"/>
    <w:rsid w:val="0023436D"/>
    <w:rsid w:val="00234536"/>
    <w:rsid w:val="00234D98"/>
    <w:rsid w:val="002355D8"/>
    <w:rsid w:val="0023566E"/>
    <w:rsid w:val="00236375"/>
    <w:rsid w:val="0023687C"/>
    <w:rsid w:val="0023688D"/>
    <w:rsid w:val="00236EA0"/>
    <w:rsid w:val="00237340"/>
    <w:rsid w:val="00237C0E"/>
    <w:rsid w:val="00237DCB"/>
    <w:rsid w:val="00240177"/>
    <w:rsid w:val="00240268"/>
    <w:rsid w:val="00240307"/>
    <w:rsid w:val="0024039C"/>
    <w:rsid w:val="002409BF"/>
    <w:rsid w:val="00240BEC"/>
    <w:rsid w:val="00240C75"/>
    <w:rsid w:val="002410E1"/>
    <w:rsid w:val="00241111"/>
    <w:rsid w:val="00241E39"/>
    <w:rsid w:val="00242676"/>
    <w:rsid w:val="0024390C"/>
    <w:rsid w:val="00243F52"/>
    <w:rsid w:val="00243FA4"/>
    <w:rsid w:val="002446F3"/>
    <w:rsid w:val="002448D4"/>
    <w:rsid w:val="00244A4A"/>
    <w:rsid w:val="00244AF1"/>
    <w:rsid w:val="00244B6F"/>
    <w:rsid w:val="00244BB6"/>
    <w:rsid w:val="00244ED4"/>
    <w:rsid w:val="00245BD3"/>
    <w:rsid w:val="00246A73"/>
    <w:rsid w:val="00246DEA"/>
    <w:rsid w:val="00246EB4"/>
    <w:rsid w:val="00246EB9"/>
    <w:rsid w:val="00246F83"/>
    <w:rsid w:val="002471B7"/>
    <w:rsid w:val="002475AF"/>
    <w:rsid w:val="00247B18"/>
    <w:rsid w:val="00247E0A"/>
    <w:rsid w:val="00247E7A"/>
    <w:rsid w:val="002500C7"/>
    <w:rsid w:val="0025034F"/>
    <w:rsid w:val="00251315"/>
    <w:rsid w:val="00251951"/>
    <w:rsid w:val="00251BB7"/>
    <w:rsid w:val="0025240D"/>
    <w:rsid w:val="00252441"/>
    <w:rsid w:val="00252C1F"/>
    <w:rsid w:val="00253003"/>
    <w:rsid w:val="00253194"/>
    <w:rsid w:val="00253229"/>
    <w:rsid w:val="00253519"/>
    <w:rsid w:val="00253B74"/>
    <w:rsid w:val="00253EA1"/>
    <w:rsid w:val="002549B2"/>
    <w:rsid w:val="00254B07"/>
    <w:rsid w:val="00254FBF"/>
    <w:rsid w:val="00255636"/>
    <w:rsid w:val="00256071"/>
    <w:rsid w:val="00256AE4"/>
    <w:rsid w:val="00256F5D"/>
    <w:rsid w:val="00257513"/>
    <w:rsid w:val="00257796"/>
    <w:rsid w:val="00257A2D"/>
    <w:rsid w:val="00257C84"/>
    <w:rsid w:val="0026060A"/>
    <w:rsid w:val="0026192E"/>
    <w:rsid w:val="00262FC5"/>
    <w:rsid w:val="0026315C"/>
    <w:rsid w:val="00263A19"/>
    <w:rsid w:val="00264424"/>
    <w:rsid w:val="002644CC"/>
    <w:rsid w:val="002644F5"/>
    <w:rsid w:val="00264843"/>
    <w:rsid w:val="00264EBD"/>
    <w:rsid w:val="0026515F"/>
    <w:rsid w:val="00265677"/>
    <w:rsid w:val="00265AD8"/>
    <w:rsid w:val="00265CCB"/>
    <w:rsid w:val="00266073"/>
    <w:rsid w:val="002670B2"/>
    <w:rsid w:val="00267400"/>
    <w:rsid w:val="0026751E"/>
    <w:rsid w:val="00267E46"/>
    <w:rsid w:val="00270335"/>
    <w:rsid w:val="002705AE"/>
    <w:rsid w:val="0027062F"/>
    <w:rsid w:val="00271BEE"/>
    <w:rsid w:val="00271CD5"/>
    <w:rsid w:val="00272238"/>
    <w:rsid w:val="002723E5"/>
    <w:rsid w:val="0027279B"/>
    <w:rsid w:val="00272ACF"/>
    <w:rsid w:val="002735C6"/>
    <w:rsid w:val="00273625"/>
    <w:rsid w:val="0027376E"/>
    <w:rsid w:val="002737CC"/>
    <w:rsid w:val="002737E4"/>
    <w:rsid w:val="00273AA4"/>
    <w:rsid w:val="00273F0A"/>
    <w:rsid w:val="00273FEA"/>
    <w:rsid w:val="002742FE"/>
    <w:rsid w:val="002746A6"/>
    <w:rsid w:val="0027481E"/>
    <w:rsid w:val="00274D91"/>
    <w:rsid w:val="00275018"/>
    <w:rsid w:val="002752D1"/>
    <w:rsid w:val="00275636"/>
    <w:rsid w:val="00275B94"/>
    <w:rsid w:val="00276196"/>
    <w:rsid w:val="00276448"/>
    <w:rsid w:val="00276EBF"/>
    <w:rsid w:val="0027739B"/>
    <w:rsid w:val="0027741B"/>
    <w:rsid w:val="0027790D"/>
    <w:rsid w:val="002779E1"/>
    <w:rsid w:val="002800A6"/>
    <w:rsid w:val="00280382"/>
    <w:rsid w:val="002803FC"/>
    <w:rsid w:val="0028058F"/>
    <w:rsid w:val="00280996"/>
    <w:rsid w:val="00280E08"/>
    <w:rsid w:val="0028154F"/>
    <w:rsid w:val="002817DF"/>
    <w:rsid w:val="0028234D"/>
    <w:rsid w:val="0028254A"/>
    <w:rsid w:val="002825B2"/>
    <w:rsid w:val="00282873"/>
    <w:rsid w:val="002829B0"/>
    <w:rsid w:val="00282CAC"/>
    <w:rsid w:val="00283007"/>
    <w:rsid w:val="0028322D"/>
    <w:rsid w:val="00283515"/>
    <w:rsid w:val="00283595"/>
    <w:rsid w:val="002836AB"/>
    <w:rsid w:val="002837F3"/>
    <w:rsid w:val="00283ABC"/>
    <w:rsid w:val="00283DA9"/>
    <w:rsid w:val="00283E21"/>
    <w:rsid w:val="0028495D"/>
    <w:rsid w:val="00284CF7"/>
    <w:rsid w:val="00284F91"/>
    <w:rsid w:val="00284FD1"/>
    <w:rsid w:val="00285205"/>
    <w:rsid w:val="002854B6"/>
    <w:rsid w:val="00285588"/>
    <w:rsid w:val="00285758"/>
    <w:rsid w:val="00285C5D"/>
    <w:rsid w:val="00285FCA"/>
    <w:rsid w:val="00286108"/>
    <w:rsid w:val="00286659"/>
    <w:rsid w:val="00286DAB"/>
    <w:rsid w:val="00287275"/>
    <w:rsid w:val="00287493"/>
    <w:rsid w:val="00287589"/>
    <w:rsid w:val="0028764C"/>
    <w:rsid w:val="00287A90"/>
    <w:rsid w:val="00287DA1"/>
    <w:rsid w:val="00287E2E"/>
    <w:rsid w:val="00287F7C"/>
    <w:rsid w:val="00290023"/>
    <w:rsid w:val="00290040"/>
    <w:rsid w:val="002901DA"/>
    <w:rsid w:val="002903DF"/>
    <w:rsid w:val="0029059E"/>
    <w:rsid w:val="002906AC"/>
    <w:rsid w:val="00290744"/>
    <w:rsid w:val="00290D37"/>
    <w:rsid w:val="00290D3B"/>
    <w:rsid w:val="00290E00"/>
    <w:rsid w:val="00290E65"/>
    <w:rsid w:val="00291657"/>
    <w:rsid w:val="0029183B"/>
    <w:rsid w:val="00291906"/>
    <w:rsid w:val="00291FD0"/>
    <w:rsid w:val="002922BD"/>
    <w:rsid w:val="002929C5"/>
    <w:rsid w:val="00292A08"/>
    <w:rsid w:val="00292D93"/>
    <w:rsid w:val="002930D1"/>
    <w:rsid w:val="00293202"/>
    <w:rsid w:val="00293461"/>
    <w:rsid w:val="00293527"/>
    <w:rsid w:val="002941B8"/>
    <w:rsid w:val="00294A8B"/>
    <w:rsid w:val="00294DEF"/>
    <w:rsid w:val="00294EA7"/>
    <w:rsid w:val="00294FF7"/>
    <w:rsid w:val="00295746"/>
    <w:rsid w:val="00295D09"/>
    <w:rsid w:val="002963E4"/>
    <w:rsid w:val="00296880"/>
    <w:rsid w:val="00296A6B"/>
    <w:rsid w:val="00296F9E"/>
    <w:rsid w:val="0029706E"/>
    <w:rsid w:val="00297128"/>
    <w:rsid w:val="002972D6"/>
    <w:rsid w:val="00297F34"/>
    <w:rsid w:val="002A003D"/>
    <w:rsid w:val="002A02EE"/>
    <w:rsid w:val="002A0388"/>
    <w:rsid w:val="002A0735"/>
    <w:rsid w:val="002A078A"/>
    <w:rsid w:val="002A096A"/>
    <w:rsid w:val="002A10E2"/>
    <w:rsid w:val="002A135B"/>
    <w:rsid w:val="002A17DE"/>
    <w:rsid w:val="002A1896"/>
    <w:rsid w:val="002A25A9"/>
    <w:rsid w:val="002A2682"/>
    <w:rsid w:val="002A294F"/>
    <w:rsid w:val="002A2A6F"/>
    <w:rsid w:val="002A31E7"/>
    <w:rsid w:val="002A355A"/>
    <w:rsid w:val="002A38F1"/>
    <w:rsid w:val="002A3A20"/>
    <w:rsid w:val="002A3C81"/>
    <w:rsid w:val="002A3E8E"/>
    <w:rsid w:val="002A4B5C"/>
    <w:rsid w:val="002A4B67"/>
    <w:rsid w:val="002A4BAC"/>
    <w:rsid w:val="002A4E5D"/>
    <w:rsid w:val="002A500A"/>
    <w:rsid w:val="002A52C3"/>
    <w:rsid w:val="002A5E4C"/>
    <w:rsid w:val="002A5F7D"/>
    <w:rsid w:val="002A5FEB"/>
    <w:rsid w:val="002A602E"/>
    <w:rsid w:val="002A60E8"/>
    <w:rsid w:val="002A61FC"/>
    <w:rsid w:val="002A6573"/>
    <w:rsid w:val="002A6720"/>
    <w:rsid w:val="002A67A9"/>
    <w:rsid w:val="002A6A34"/>
    <w:rsid w:val="002A6E56"/>
    <w:rsid w:val="002A7083"/>
    <w:rsid w:val="002A7350"/>
    <w:rsid w:val="002A74B5"/>
    <w:rsid w:val="002A7D19"/>
    <w:rsid w:val="002A7E4E"/>
    <w:rsid w:val="002B00B2"/>
    <w:rsid w:val="002B02E0"/>
    <w:rsid w:val="002B0425"/>
    <w:rsid w:val="002B07E2"/>
    <w:rsid w:val="002B08F4"/>
    <w:rsid w:val="002B0A09"/>
    <w:rsid w:val="002B0E86"/>
    <w:rsid w:val="002B0E8F"/>
    <w:rsid w:val="002B1BA6"/>
    <w:rsid w:val="002B204A"/>
    <w:rsid w:val="002B2145"/>
    <w:rsid w:val="002B24F2"/>
    <w:rsid w:val="002B2BB7"/>
    <w:rsid w:val="002B2D74"/>
    <w:rsid w:val="002B2F2A"/>
    <w:rsid w:val="002B34C6"/>
    <w:rsid w:val="002B352D"/>
    <w:rsid w:val="002B39D9"/>
    <w:rsid w:val="002B3C43"/>
    <w:rsid w:val="002B3C8F"/>
    <w:rsid w:val="002B4187"/>
    <w:rsid w:val="002B431F"/>
    <w:rsid w:val="002B4338"/>
    <w:rsid w:val="002B492A"/>
    <w:rsid w:val="002B49CC"/>
    <w:rsid w:val="002B5180"/>
    <w:rsid w:val="002B5624"/>
    <w:rsid w:val="002B56B1"/>
    <w:rsid w:val="002B56C0"/>
    <w:rsid w:val="002B5FEF"/>
    <w:rsid w:val="002B6373"/>
    <w:rsid w:val="002B6398"/>
    <w:rsid w:val="002B6624"/>
    <w:rsid w:val="002B67A7"/>
    <w:rsid w:val="002B6DCE"/>
    <w:rsid w:val="002B705C"/>
    <w:rsid w:val="002B7290"/>
    <w:rsid w:val="002B7527"/>
    <w:rsid w:val="002B7B78"/>
    <w:rsid w:val="002B7F1E"/>
    <w:rsid w:val="002B7FAA"/>
    <w:rsid w:val="002C0C67"/>
    <w:rsid w:val="002C1146"/>
    <w:rsid w:val="002C139F"/>
    <w:rsid w:val="002C13AA"/>
    <w:rsid w:val="002C17F0"/>
    <w:rsid w:val="002C187D"/>
    <w:rsid w:val="002C1F27"/>
    <w:rsid w:val="002C23D3"/>
    <w:rsid w:val="002C2550"/>
    <w:rsid w:val="002C2FBA"/>
    <w:rsid w:val="002C3A02"/>
    <w:rsid w:val="002C3AF5"/>
    <w:rsid w:val="002C3D19"/>
    <w:rsid w:val="002C4318"/>
    <w:rsid w:val="002C4491"/>
    <w:rsid w:val="002C45E5"/>
    <w:rsid w:val="002C4612"/>
    <w:rsid w:val="002C46E9"/>
    <w:rsid w:val="002C481A"/>
    <w:rsid w:val="002C4B41"/>
    <w:rsid w:val="002C4B9E"/>
    <w:rsid w:val="002C50CC"/>
    <w:rsid w:val="002C5B2E"/>
    <w:rsid w:val="002C6154"/>
    <w:rsid w:val="002C656D"/>
    <w:rsid w:val="002C68A4"/>
    <w:rsid w:val="002C7329"/>
    <w:rsid w:val="002C73E0"/>
    <w:rsid w:val="002C74D8"/>
    <w:rsid w:val="002C7772"/>
    <w:rsid w:val="002C79A2"/>
    <w:rsid w:val="002C7A50"/>
    <w:rsid w:val="002D0171"/>
    <w:rsid w:val="002D0407"/>
    <w:rsid w:val="002D090B"/>
    <w:rsid w:val="002D0A13"/>
    <w:rsid w:val="002D0D49"/>
    <w:rsid w:val="002D0D50"/>
    <w:rsid w:val="002D0D66"/>
    <w:rsid w:val="002D0FF1"/>
    <w:rsid w:val="002D1DAE"/>
    <w:rsid w:val="002D2030"/>
    <w:rsid w:val="002D2113"/>
    <w:rsid w:val="002D25A8"/>
    <w:rsid w:val="002D2977"/>
    <w:rsid w:val="002D29F6"/>
    <w:rsid w:val="002D2B4A"/>
    <w:rsid w:val="002D2C43"/>
    <w:rsid w:val="002D317E"/>
    <w:rsid w:val="002D372F"/>
    <w:rsid w:val="002D38B3"/>
    <w:rsid w:val="002D39E2"/>
    <w:rsid w:val="002D3A02"/>
    <w:rsid w:val="002D4418"/>
    <w:rsid w:val="002D4ADF"/>
    <w:rsid w:val="002D4B83"/>
    <w:rsid w:val="002D4D9E"/>
    <w:rsid w:val="002D4DAF"/>
    <w:rsid w:val="002D4FF3"/>
    <w:rsid w:val="002D5412"/>
    <w:rsid w:val="002D55BD"/>
    <w:rsid w:val="002D55FB"/>
    <w:rsid w:val="002D5AB4"/>
    <w:rsid w:val="002D5F7A"/>
    <w:rsid w:val="002D61D2"/>
    <w:rsid w:val="002D6B28"/>
    <w:rsid w:val="002D6D77"/>
    <w:rsid w:val="002D6DFB"/>
    <w:rsid w:val="002D74CC"/>
    <w:rsid w:val="002D7B3A"/>
    <w:rsid w:val="002D7E0B"/>
    <w:rsid w:val="002D7E81"/>
    <w:rsid w:val="002E0549"/>
    <w:rsid w:val="002E05BE"/>
    <w:rsid w:val="002E0C0B"/>
    <w:rsid w:val="002E0D2F"/>
    <w:rsid w:val="002E0D65"/>
    <w:rsid w:val="002E0EC3"/>
    <w:rsid w:val="002E0EFA"/>
    <w:rsid w:val="002E14B9"/>
    <w:rsid w:val="002E14BE"/>
    <w:rsid w:val="002E14EF"/>
    <w:rsid w:val="002E16A1"/>
    <w:rsid w:val="002E2492"/>
    <w:rsid w:val="002E27C3"/>
    <w:rsid w:val="002E2898"/>
    <w:rsid w:val="002E291B"/>
    <w:rsid w:val="002E29C4"/>
    <w:rsid w:val="002E319C"/>
    <w:rsid w:val="002E3623"/>
    <w:rsid w:val="002E3848"/>
    <w:rsid w:val="002E3B6F"/>
    <w:rsid w:val="002E4B96"/>
    <w:rsid w:val="002E51D3"/>
    <w:rsid w:val="002E5226"/>
    <w:rsid w:val="002E52CE"/>
    <w:rsid w:val="002E5472"/>
    <w:rsid w:val="002E5AE5"/>
    <w:rsid w:val="002E5E6E"/>
    <w:rsid w:val="002E5F6D"/>
    <w:rsid w:val="002E63B3"/>
    <w:rsid w:val="002E6F5F"/>
    <w:rsid w:val="002E7CCA"/>
    <w:rsid w:val="002E7F1D"/>
    <w:rsid w:val="002E7F5A"/>
    <w:rsid w:val="002F01D6"/>
    <w:rsid w:val="002F103C"/>
    <w:rsid w:val="002F129E"/>
    <w:rsid w:val="002F1F2D"/>
    <w:rsid w:val="002F207D"/>
    <w:rsid w:val="002F214A"/>
    <w:rsid w:val="002F2192"/>
    <w:rsid w:val="002F268B"/>
    <w:rsid w:val="002F325E"/>
    <w:rsid w:val="002F3319"/>
    <w:rsid w:val="002F44B6"/>
    <w:rsid w:val="002F539C"/>
    <w:rsid w:val="002F541A"/>
    <w:rsid w:val="002F55AA"/>
    <w:rsid w:val="002F5781"/>
    <w:rsid w:val="002F59D4"/>
    <w:rsid w:val="002F5A15"/>
    <w:rsid w:val="002F5A6A"/>
    <w:rsid w:val="002F5ACC"/>
    <w:rsid w:val="002F5AD1"/>
    <w:rsid w:val="002F5C4A"/>
    <w:rsid w:val="002F5FB3"/>
    <w:rsid w:val="002F62EC"/>
    <w:rsid w:val="002F62FD"/>
    <w:rsid w:val="002F63C5"/>
    <w:rsid w:val="002F6405"/>
    <w:rsid w:val="002F66FE"/>
    <w:rsid w:val="002F693C"/>
    <w:rsid w:val="002F69F2"/>
    <w:rsid w:val="002F707B"/>
    <w:rsid w:val="002F72A9"/>
    <w:rsid w:val="002F7375"/>
    <w:rsid w:val="002F7757"/>
    <w:rsid w:val="002F77AE"/>
    <w:rsid w:val="002F7C39"/>
    <w:rsid w:val="002F7F6F"/>
    <w:rsid w:val="00300743"/>
    <w:rsid w:val="00300979"/>
    <w:rsid w:val="00300EBC"/>
    <w:rsid w:val="003016A9"/>
    <w:rsid w:val="00301936"/>
    <w:rsid w:val="00301E56"/>
    <w:rsid w:val="00301FD2"/>
    <w:rsid w:val="003021C5"/>
    <w:rsid w:val="003029B3"/>
    <w:rsid w:val="00302A87"/>
    <w:rsid w:val="00302C24"/>
    <w:rsid w:val="00302CB5"/>
    <w:rsid w:val="00302F03"/>
    <w:rsid w:val="00303709"/>
    <w:rsid w:val="003038FD"/>
    <w:rsid w:val="00303900"/>
    <w:rsid w:val="00303B57"/>
    <w:rsid w:val="00303F74"/>
    <w:rsid w:val="00303FA7"/>
    <w:rsid w:val="003040C0"/>
    <w:rsid w:val="00304538"/>
    <w:rsid w:val="00304648"/>
    <w:rsid w:val="00304825"/>
    <w:rsid w:val="003049D9"/>
    <w:rsid w:val="00304C69"/>
    <w:rsid w:val="00305B56"/>
    <w:rsid w:val="00305C00"/>
    <w:rsid w:val="00305DC9"/>
    <w:rsid w:val="00305DF9"/>
    <w:rsid w:val="00305E0F"/>
    <w:rsid w:val="003062E3"/>
    <w:rsid w:val="00306591"/>
    <w:rsid w:val="0030699F"/>
    <w:rsid w:val="003072DF"/>
    <w:rsid w:val="00307430"/>
    <w:rsid w:val="0030786C"/>
    <w:rsid w:val="003108FF"/>
    <w:rsid w:val="00310AE7"/>
    <w:rsid w:val="00310FC6"/>
    <w:rsid w:val="00311CD6"/>
    <w:rsid w:val="00311D95"/>
    <w:rsid w:val="003123DA"/>
    <w:rsid w:val="0031289E"/>
    <w:rsid w:val="00313130"/>
    <w:rsid w:val="00313172"/>
    <w:rsid w:val="00313CC7"/>
    <w:rsid w:val="00314011"/>
    <w:rsid w:val="003142BF"/>
    <w:rsid w:val="00314469"/>
    <w:rsid w:val="00314541"/>
    <w:rsid w:val="003149EE"/>
    <w:rsid w:val="00314DE6"/>
    <w:rsid w:val="00314FDB"/>
    <w:rsid w:val="00315178"/>
    <w:rsid w:val="00315248"/>
    <w:rsid w:val="0031553F"/>
    <w:rsid w:val="003159DE"/>
    <w:rsid w:val="00315C15"/>
    <w:rsid w:val="003164BB"/>
    <w:rsid w:val="0031680F"/>
    <w:rsid w:val="0031681D"/>
    <w:rsid w:val="0031687D"/>
    <w:rsid w:val="00316BA5"/>
    <w:rsid w:val="003171EE"/>
    <w:rsid w:val="003176FC"/>
    <w:rsid w:val="003219E7"/>
    <w:rsid w:val="00321CFB"/>
    <w:rsid w:val="003220CF"/>
    <w:rsid w:val="00322194"/>
    <w:rsid w:val="003221A0"/>
    <w:rsid w:val="00322545"/>
    <w:rsid w:val="00322645"/>
    <w:rsid w:val="00322EA6"/>
    <w:rsid w:val="00323555"/>
    <w:rsid w:val="00323C3C"/>
    <w:rsid w:val="00323D24"/>
    <w:rsid w:val="0032407E"/>
    <w:rsid w:val="0032442B"/>
    <w:rsid w:val="003252F2"/>
    <w:rsid w:val="0032544F"/>
    <w:rsid w:val="00325CC8"/>
    <w:rsid w:val="00326B5F"/>
    <w:rsid w:val="003270CB"/>
    <w:rsid w:val="0032713B"/>
    <w:rsid w:val="003271BE"/>
    <w:rsid w:val="0032785A"/>
    <w:rsid w:val="00327AEC"/>
    <w:rsid w:val="00330AA8"/>
    <w:rsid w:val="00330BEB"/>
    <w:rsid w:val="00331000"/>
    <w:rsid w:val="003310D7"/>
    <w:rsid w:val="003315D6"/>
    <w:rsid w:val="0033183D"/>
    <w:rsid w:val="00331EF4"/>
    <w:rsid w:val="00332127"/>
    <w:rsid w:val="00332682"/>
    <w:rsid w:val="00332AE4"/>
    <w:rsid w:val="00332B95"/>
    <w:rsid w:val="003330C2"/>
    <w:rsid w:val="0033333B"/>
    <w:rsid w:val="00333570"/>
    <w:rsid w:val="00333931"/>
    <w:rsid w:val="003342B9"/>
    <w:rsid w:val="00334605"/>
    <w:rsid w:val="00334826"/>
    <w:rsid w:val="00334837"/>
    <w:rsid w:val="00334E78"/>
    <w:rsid w:val="0033525E"/>
    <w:rsid w:val="0033579D"/>
    <w:rsid w:val="00335A10"/>
    <w:rsid w:val="00335C4F"/>
    <w:rsid w:val="00335D6C"/>
    <w:rsid w:val="00335D73"/>
    <w:rsid w:val="00335F3A"/>
    <w:rsid w:val="00336127"/>
    <w:rsid w:val="0033625E"/>
    <w:rsid w:val="003365A7"/>
    <w:rsid w:val="00336769"/>
    <w:rsid w:val="003368BD"/>
    <w:rsid w:val="00336B28"/>
    <w:rsid w:val="00336EE8"/>
    <w:rsid w:val="00336F7B"/>
    <w:rsid w:val="003372ED"/>
    <w:rsid w:val="0033746D"/>
    <w:rsid w:val="00337AB0"/>
    <w:rsid w:val="00337D25"/>
    <w:rsid w:val="00337E3D"/>
    <w:rsid w:val="003406AA"/>
    <w:rsid w:val="0034078B"/>
    <w:rsid w:val="00340868"/>
    <w:rsid w:val="00340C5C"/>
    <w:rsid w:val="00340FFE"/>
    <w:rsid w:val="00341108"/>
    <w:rsid w:val="00341227"/>
    <w:rsid w:val="00341372"/>
    <w:rsid w:val="00341478"/>
    <w:rsid w:val="003423C4"/>
    <w:rsid w:val="00342450"/>
    <w:rsid w:val="003428B0"/>
    <w:rsid w:val="00342901"/>
    <w:rsid w:val="00342A95"/>
    <w:rsid w:val="00342C2B"/>
    <w:rsid w:val="00342EA1"/>
    <w:rsid w:val="00343559"/>
    <w:rsid w:val="00344786"/>
    <w:rsid w:val="0034520A"/>
    <w:rsid w:val="00345CED"/>
    <w:rsid w:val="00345CFF"/>
    <w:rsid w:val="00345D83"/>
    <w:rsid w:val="0034704A"/>
    <w:rsid w:val="0034708F"/>
    <w:rsid w:val="0034738E"/>
    <w:rsid w:val="00347534"/>
    <w:rsid w:val="0034776B"/>
    <w:rsid w:val="00350303"/>
    <w:rsid w:val="0035033F"/>
    <w:rsid w:val="003503CD"/>
    <w:rsid w:val="00350436"/>
    <w:rsid w:val="00350447"/>
    <w:rsid w:val="00350F5E"/>
    <w:rsid w:val="00350F68"/>
    <w:rsid w:val="0035163C"/>
    <w:rsid w:val="00351A08"/>
    <w:rsid w:val="00351F6C"/>
    <w:rsid w:val="003521E0"/>
    <w:rsid w:val="0035280A"/>
    <w:rsid w:val="00353535"/>
    <w:rsid w:val="00353DBB"/>
    <w:rsid w:val="0035400E"/>
    <w:rsid w:val="00354082"/>
    <w:rsid w:val="00354274"/>
    <w:rsid w:val="00354F92"/>
    <w:rsid w:val="003554D8"/>
    <w:rsid w:val="003557B5"/>
    <w:rsid w:val="0035598F"/>
    <w:rsid w:val="003559E4"/>
    <w:rsid w:val="00355B08"/>
    <w:rsid w:val="00355C1B"/>
    <w:rsid w:val="00356507"/>
    <w:rsid w:val="00356709"/>
    <w:rsid w:val="00356E48"/>
    <w:rsid w:val="0035700B"/>
    <w:rsid w:val="003576F6"/>
    <w:rsid w:val="0035786A"/>
    <w:rsid w:val="0036004C"/>
    <w:rsid w:val="00360444"/>
    <w:rsid w:val="00360EFA"/>
    <w:rsid w:val="00361973"/>
    <w:rsid w:val="003620BE"/>
    <w:rsid w:val="003623B3"/>
    <w:rsid w:val="003624CE"/>
    <w:rsid w:val="00362A62"/>
    <w:rsid w:val="00362ACC"/>
    <w:rsid w:val="00362E38"/>
    <w:rsid w:val="003632E7"/>
    <w:rsid w:val="00363384"/>
    <w:rsid w:val="00363CC2"/>
    <w:rsid w:val="00363DD8"/>
    <w:rsid w:val="003642C5"/>
    <w:rsid w:val="00364342"/>
    <w:rsid w:val="0036441A"/>
    <w:rsid w:val="0036499C"/>
    <w:rsid w:val="00364CD3"/>
    <w:rsid w:val="00365936"/>
    <w:rsid w:val="00365D75"/>
    <w:rsid w:val="00365D83"/>
    <w:rsid w:val="0036638E"/>
    <w:rsid w:val="003664F4"/>
    <w:rsid w:val="00366F5B"/>
    <w:rsid w:val="00367AF6"/>
    <w:rsid w:val="00367C2E"/>
    <w:rsid w:val="0037079A"/>
    <w:rsid w:val="00370D5A"/>
    <w:rsid w:val="00370EFA"/>
    <w:rsid w:val="00371266"/>
    <w:rsid w:val="00371EE1"/>
    <w:rsid w:val="003721AC"/>
    <w:rsid w:val="0037233D"/>
    <w:rsid w:val="00372756"/>
    <w:rsid w:val="00372D9C"/>
    <w:rsid w:val="003732B9"/>
    <w:rsid w:val="003734F7"/>
    <w:rsid w:val="00373C36"/>
    <w:rsid w:val="00373CD8"/>
    <w:rsid w:val="003740B8"/>
    <w:rsid w:val="003745B6"/>
    <w:rsid w:val="003749DF"/>
    <w:rsid w:val="003758C1"/>
    <w:rsid w:val="00375E30"/>
    <w:rsid w:val="00376764"/>
    <w:rsid w:val="00376878"/>
    <w:rsid w:val="00376915"/>
    <w:rsid w:val="0037717B"/>
    <w:rsid w:val="003774E4"/>
    <w:rsid w:val="003779D1"/>
    <w:rsid w:val="003779D8"/>
    <w:rsid w:val="00377AB9"/>
    <w:rsid w:val="00377C19"/>
    <w:rsid w:val="00377F7B"/>
    <w:rsid w:val="00380661"/>
    <w:rsid w:val="00380B79"/>
    <w:rsid w:val="003818A7"/>
    <w:rsid w:val="00381A54"/>
    <w:rsid w:val="003820C9"/>
    <w:rsid w:val="00382595"/>
    <w:rsid w:val="00382DF1"/>
    <w:rsid w:val="00383135"/>
    <w:rsid w:val="00383370"/>
    <w:rsid w:val="003837B1"/>
    <w:rsid w:val="00383B52"/>
    <w:rsid w:val="00383D54"/>
    <w:rsid w:val="00383EA7"/>
    <w:rsid w:val="003845C9"/>
    <w:rsid w:val="00384D12"/>
    <w:rsid w:val="00384D83"/>
    <w:rsid w:val="00384EF5"/>
    <w:rsid w:val="003859B8"/>
    <w:rsid w:val="00385B9A"/>
    <w:rsid w:val="00385DEA"/>
    <w:rsid w:val="00386295"/>
    <w:rsid w:val="003864F5"/>
    <w:rsid w:val="003866E4"/>
    <w:rsid w:val="003868F9"/>
    <w:rsid w:val="00386CF4"/>
    <w:rsid w:val="003875F6"/>
    <w:rsid w:val="00390068"/>
    <w:rsid w:val="00390403"/>
    <w:rsid w:val="00390525"/>
    <w:rsid w:val="0039072F"/>
    <w:rsid w:val="003908D5"/>
    <w:rsid w:val="00390AE3"/>
    <w:rsid w:val="00390C82"/>
    <w:rsid w:val="00390E93"/>
    <w:rsid w:val="00390F2B"/>
    <w:rsid w:val="00391A06"/>
    <w:rsid w:val="00391E64"/>
    <w:rsid w:val="00391E74"/>
    <w:rsid w:val="0039242A"/>
    <w:rsid w:val="00392918"/>
    <w:rsid w:val="00392A7E"/>
    <w:rsid w:val="00392E79"/>
    <w:rsid w:val="00393453"/>
    <w:rsid w:val="003936D1"/>
    <w:rsid w:val="00394302"/>
    <w:rsid w:val="0039467F"/>
    <w:rsid w:val="00394D73"/>
    <w:rsid w:val="00395526"/>
    <w:rsid w:val="00395581"/>
    <w:rsid w:val="00395C82"/>
    <w:rsid w:val="00395CE6"/>
    <w:rsid w:val="00395D6D"/>
    <w:rsid w:val="00396048"/>
    <w:rsid w:val="0039622A"/>
    <w:rsid w:val="0039631F"/>
    <w:rsid w:val="00396421"/>
    <w:rsid w:val="003972A7"/>
    <w:rsid w:val="0039757F"/>
    <w:rsid w:val="00397C76"/>
    <w:rsid w:val="003A0711"/>
    <w:rsid w:val="003A0770"/>
    <w:rsid w:val="003A0AFE"/>
    <w:rsid w:val="003A152E"/>
    <w:rsid w:val="003A19E0"/>
    <w:rsid w:val="003A1B65"/>
    <w:rsid w:val="003A1EFF"/>
    <w:rsid w:val="003A2029"/>
    <w:rsid w:val="003A222B"/>
    <w:rsid w:val="003A287D"/>
    <w:rsid w:val="003A3114"/>
    <w:rsid w:val="003A3611"/>
    <w:rsid w:val="003A368B"/>
    <w:rsid w:val="003A36D1"/>
    <w:rsid w:val="003A3726"/>
    <w:rsid w:val="003A39CB"/>
    <w:rsid w:val="003A4347"/>
    <w:rsid w:val="003A4856"/>
    <w:rsid w:val="003A4897"/>
    <w:rsid w:val="003A5D93"/>
    <w:rsid w:val="003A5DBF"/>
    <w:rsid w:val="003A62AE"/>
    <w:rsid w:val="003A62B2"/>
    <w:rsid w:val="003A6373"/>
    <w:rsid w:val="003A6CB6"/>
    <w:rsid w:val="003A6D0C"/>
    <w:rsid w:val="003A6EC9"/>
    <w:rsid w:val="003A759E"/>
    <w:rsid w:val="003B030E"/>
    <w:rsid w:val="003B0471"/>
    <w:rsid w:val="003B0923"/>
    <w:rsid w:val="003B0AEF"/>
    <w:rsid w:val="003B15CB"/>
    <w:rsid w:val="003B16DD"/>
    <w:rsid w:val="003B1C9C"/>
    <w:rsid w:val="003B1CF2"/>
    <w:rsid w:val="003B1DB6"/>
    <w:rsid w:val="003B1E33"/>
    <w:rsid w:val="003B2963"/>
    <w:rsid w:val="003B2EEB"/>
    <w:rsid w:val="003B323B"/>
    <w:rsid w:val="003B3456"/>
    <w:rsid w:val="003B3A41"/>
    <w:rsid w:val="003B3C20"/>
    <w:rsid w:val="003B3C82"/>
    <w:rsid w:val="003B4151"/>
    <w:rsid w:val="003B42C2"/>
    <w:rsid w:val="003B46C2"/>
    <w:rsid w:val="003B46CF"/>
    <w:rsid w:val="003B4857"/>
    <w:rsid w:val="003B5414"/>
    <w:rsid w:val="003B5494"/>
    <w:rsid w:val="003B5530"/>
    <w:rsid w:val="003B559E"/>
    <w:rsid w:val="003B5B3B"/>
    <w:rsid w:val="003B5B87"/>
    <w:rsid w:val="003B6014"/>
    <w:rsid w:val="003B6AD5"/>
    <w:rsid w:val="003B6EF6"/>
    <w:rsid w:val="003B757D"/>
    <w:rsid w:val="003B75BF"/>
    <w:rsid w:val="003B7741"/>
    <w:rsid w:val="003B7774"/>
    <w:rsid w:val="003B7864"/>
    <w:rsid w:val="003B79E0"/>
    <w:rsid w:val="003C0653"/>
    <w:rsid w:val="003C0715"/>
    <w:rsid w:val="003C0967"/>
    <w:rsid w:val="003C0F01"/>
    <w:rsid w:val="003C11D4"/>
    <w:rsid w:val="003C1548"/>
    <w:rsid w:val="003C157D"/>
    <w:rsid w:val="003C1B0F"/>
    <w:rsid w:val="003C1C0B"/>
    <w:rsid w:val="003C1C68"/>
    <w:rsid w:val="003C1C94"/>
    <w:rsid w:val="003C1D03"/>
    <w:rsid w:val="003C1D3E"/>
    <w:rsid w:val="003C1F0B"/>
    <w:rsid w:val="003C20DD"/>
    <w:rsid w:val="003C21BA"/>
    <w:rsid w:val="003C21C9"/>
    <w:rsid w:val="003C2695"/>
    <w:rsid w:val="003C2D21"/>
    <w:rsid w:val="003C2EB8"/>
    <w:rsid w:val="003C2FFC"/>
    <w:rsid w:val="003C3289"/>
    <w:rsid w:val="003C359E"/>
    <w:rsid w:val="003C397D"/>
    <w:rsid w:val="003C39A8"/>
    <w:rsid w:val="003C3AAC"/>
    <w:rsid w:val="003C3C32"/>
    <w:rsid w:val="003C3EFA"/>
    <w:rsid w:val="003C426C"/>
    <w:rsid w:val="003C43C6"/>
    <w:rsid w:val="003C4664"/>
    <w:rsid w:val="003C46F0"/>
    <w:rsid w:val="003C505B"/>
    <w:rsid w:val="003C5211"/>
    <w:rsid w:val="003C5415"/>
    <w:rsid w:val="003C5A20"/>
    <w:rsid w:val="003C5B00"/>
    <w:rsid w:val="003C5E6F"/>
    <w:rsid w:val="003C6490"/>
    <w:rsid w:val="003C66D3"/>
    <w:rsid w:val="003C6CF4"/>
    <w:rsid w:val="003C77DB"/>
    <w:rsid w:val="003D0989"/>
    <w:rsid w:val="003D0B5B"/>
    <w:rsid w:val="003D0D20"/>
    <w:rsid w:val="003D108A"/>
    <w:rsid w:val="003D14E7"/>
    <w:rsid w:val="003D1E27"/>
    <w:rsid w:val="003D1F0D"/>
    <w:rsid w:val="003D20E0"/>
    <w:rsid w:val="003D2BCA"/>
    <w:rsid w:val="003D30E1"/>
    <w:rsid w:val="003D3EDA"/>
    <w:rsid w:val="003D4783"/>
    <w:rsid w:val="003D478E"/>
    <w:rsid w:val="003D4A5C"/>
    <w:rsid w:val="003D4C09"/>
    <w:rsid w:val="003D5711"/>
    <w:rsid w:val="003D5FF7"/>
    <w:rsid w:val="003D61E6"/>
    <w:rsid w:val="003D6399"/>
    <w:rsid w:val="003D6966"/>
    <w:rsid w:val="003D7132"/>
    <w:rsid w:val="003D7159"/>
    <w:rsid w:val="003D7F01"/>
    <w:rsid w:val="003E014C"/>
    <w:rsid w:val="003E02AC"/>
    <w:rsid w:val="003E0540"/>
    <w:rsid w:val="003E054C"/>
    <w:rsid w:val="003E0B2A"/>
    <w:rsid w:val="003E0D86"/>
    <w:rsid w:val="003E1124"/>
    <w:rsid w:val="003E1442"/>
    <w:rsid w:val="003E1497"/>
    <w:rsid w:val="003E1B13"/>
    <w:rsid w:val="003E1CBE"/>
    <w:rsid w:val="003E2806"/>
    <w:rsid w:val="003E2893"/>
    <w:rsid w:val="003E2987"/>
    <w:rsid w:val="003E2B56"/>
    <w:rsid w:val="003E2ECF"/>
    <w:rsid w:val="003E301D"/>
    <w:rsid w:val="003E305E"/>
    <w:rsid w:val="003E3220"/>
    <w:rsid w:val="003E372A"/>
    <w:rsid w:val="003E37EE"/>
    <w:rsid w:val="003E3914"/>
    <w:rsid w:val="003E3DF1"/>
    <w:rsid w:val="003E4003"/>
    <w:rsid w:val="003E44D7"/>
    <w:rsid w:val="003E44E6"/>
    <w:rsid w:val="003E4BBB"/>
    <w:rsid w:val="003E4C29"/>
    <w:rsid w:val="003E4FF2"/>
    <w:rsid w:val="003E5134"/>
    <w:rsid w:val="003E5551"/>
    <w:rsid w:val="003E57E6"/>
    <w:rsid w:val="003E5EF4"/>
    <w:rsid w:val="003E6108"/>
    <w:rsid w:val="003E6427"/>
    <w:rsid w:val="003E6C68"/>
    <w:rsid w:val="003E6FBC"/>
    <w:rsid w:val="003E70B8"/>
    <w:rsid w:val="003E75D6"/>
    <w:rsid w:val="003E7667"/>
    <w:rsid w:val="003F0DD2"/>
    <w:rsid w:val="003F0EA3"/>
    <w:rsid w:val="003F0FA1"/>
    <w:rsid w:val="003F1229"/>
    <w:rsid w:val="003F18AF"/>
    <w:rsid w:val="003F2001"/>
    <w:rsid w:val="003F201B"/>
    <w:rsid w:val="003F26BD"/>
    <w:rsid w:val="003F2893"/>
    <w:rsid w:val="003F2B3E"/>
    <w:rsid w:val="003F2D85"/>
    <w:rsid w:val="003F30CF"/>
    <w:rsid w:val="003F30D3"/>
    <w:rsid w:val="003F3527"/>
    <w:rsid w:val="003F37A6"/>
    <w:rsid w:val="003F3B34"/>
    <w:rsid w:val="003F3CD6"/>
    <w:rsid w:val="003F3D4C"/>
    <w:rsid w:val="003F3E42"/>
    <w:rsid w:val="003F4075"/>
    <w:rsid w:val="003F40FE"/>
    <w:rsid w:val="003F477B"/>
    <w:rsid w:val="003F4857"/>
    <w:rsid w:val="003F4F27"/>
    <w:rsid w:val="003F5484"/>
    <w:rsid w:val="003F557C"/>
    <w:rsid w:val="003F56D9"/>
    <w:rsid w:val="003F5B30"/>
    <w:rsid w:val="003F5E6C"/>
    <w:rsid w:val="003F5FF1"/>
    <w:rsid w:val="003F616E"/>
    <w:rsid w:val="003F647E"/>
    <w:rsid w:val="003F6C06"/>
    <w:rsid w:val="003F6CCE"/>
    <w:rsid w:val="003F6D90"/>
    <w:rsid w:val="003F7726"/>
    <w:rsid w:val="003F7898"/>
    <w:rsid w:val="003F7AC5"/>
    <w:rsid w:val="003F7B63"/>
    <w:rsid w:val="00400648"/>
    <w:rsid w:val="004006BD"/>
    <w:rsid w:val="004008FC"/>
    <w:rsid w:val="00400F94"/>
    <w:rsid w:val="00401093"/>
    <w:rsid w:val="00401446"/>
    <w:rsid w:val="0040184C"/>
    <w:rsid w:val="00401A2E"/>
    <w:rsid w:val="004023DC"/>
    <w:rsid w:val="004024A9"/>
    <w:rsid w:val="004024AD"/>
    <w:rsid w:val="004026EB"/>
    <w:rsid w:val="00402986"/>
    <w:rsid w:val="00402988"/>
    <w:rsid w:val="00402C45"/>
    <w:rsid w:val="00402DB0"/>
    <w:rsid w:val="004032D8"/>
    <w:rsid w:val="004032DF"/>
    <w:rsid w:val="00403740"/>
    <w:rsid w:val="00403DB5"/>
    <w:rsid w:val="0040423A"/>
    <w:rsid w:val="004044F3"/>
    <w:rsid w:val="00404632"/>
    <w:rsid w:val="004048EA"/>
    <w:rsid w:val="00404C0E"/>
    <w:rsid w:val="00404D1A"/>
    <w:rsid w:val="00405B88"/>
    <w:rsid w:val="00406118"/>
    <w:rsid w:val="00406C41"/>
    <w:rsid w:val="00406F75"/>
    <w:rsid w:val="0040708D"/>
    <w:rsid w:val="00407ADC"/>
    <w:rsid w:val="00407E67"/>
    <w:rsid w:val="0041053F"/>
    <w:rsid w:val="00410D7C"/>
    <w:rsid w:val="00410E38"/>
    <w:rsid w:val="00411865"/>
    <w:rsid w:val="00411C3C"/>
    <w:rsid w:val="00412D4A"/>
    <w:rsid w:val="00412E7E"/>
    <w:rsid w:val="004138DD"/>
    <w:rsid w:val="00413902"/>
    <w:rsid w:val="00413B09"/>
    <w:rsid w:val="00413F3F"/>
    <w:rsid w:val="004157F4"/>
    <w:rsid w:val="00415BD1"/>
    <w:rsid w:val="00415C60"/>
    <w:rsid w:val="00415F6A"/>
    <w:rsid w:val="004161B2"/>
    <w:rsid w:val="00416898"/>
    <w:rsid w:val="00416ADA"/>
    <w:rsid w:val="00416D12"/>
    <w:rsid w:val="00416DAB"/>
    <w:rsid w:val="00417137"/>
    <w:rsid w:val="004172FA"/>
    <w:rsid w:val="00417737"/>
    <w:rsid w:val="00417874"/>
    <w:rsid w:val="0042059B"/>
    <w:rsid w:val="00420622"/>
    <w:rsid w:val="00420D46"/>
    <w:rsid w:val="00420E59"/>
    <w:rsid w:val="00420F2D"/>
    <w:rsid w:val="0042137D"/>
    <w:rsid w:val="00421478"/>
    <w:rsid w:val="004218CB"/>
    <w:rsid w:val="004219A7"/>
    <w:rsid w:val="00421DE2"/>
    <w:rsid w:val="0042250F"/>
    <w:rsid w:val="00422971"/>
    <w:rsid w:val="00422FBC"/>
    <w:rsid w:val="00423907"/>
    <w:rsid w:val="00423A3D"/>
    <w:rsid w:val="00423AB0"/>
    <w:rsid w:val="00423BD9"/>
    <w:rsid w:val="00423C09"/>
    <w:rsid w:val="00423D1E"/>
    <w:rsid w:val="00424286"/>
    <w:rsid w:val="00424C6C"/>
    <w:rsid w:val="00424D43"/>
    <w:rsid w:val="00424DCE"/>
    <w:rsid w:val="00424E87"/>
    <w:rsid w:val="004250FB"/>
    <w:rsid w:val="004254CD"/>
    <w:rsid w:val="00425C13"/>
    <w:rsid w:val="00425E1A"/>
    <w:rsid w:val="00426061"/>
    <w:rsid w:val="00426064"/>
    <w:rsid w:val="00426342"/>
    <w:rsid w:val="00426385"/>
    <w:rsid w:val="0042656E"/>
    <w:rsid w:val="004269FC"/>
    <w:rsid w:val="00426E9B"/>
    <w:rsid w:val="00426EDA"/>
    <w:rsid w:val="00426F44"/>
    <w:rsid w:val="00427841"/>
    <w:rsid w:val="00427889"/>
    <w:rsid w:val="00427D0E"/>
    <w:rsid w:val="00427EBE"/>
    <w:rsid w:val="004301F7"/>
    <w:rsid w:val="0043053D"/>
    <w:rsid w:val="004307D3"/>
    <w:rsid w:val="00430CE2"/>
    <w:rsid w:val="00431881"/>
    <w:rsid w:val="004319FD"/>
    <w:rsid w:val="00431B8B"/>
    <w:rsid w:val="00431D99"/>
    <w:rsid w:val="00432140"/>
    <w:rsid w:val="004328F5"/>
    <w:rsid w:val="00432A2E"/>
    <w:rsid w:val="004336B4"/>
    <w:rsid w:val="004336C5"/>
    <w:rsid w:val="00433CDF"/>
    <w:rsid w:val="00433D0B"/>
    <w:rsid w:val="00433E0F"/>
    <w:rsid w:val="00433EC2"/>
    <w:rsid w:val="004340EA"/>
    <w:rsid w:val="00434346"/>
    <w:rsid w:val="004343D6"/>
    <w:rsid w:val="004346E3"/>
    <w:rsid w:val="00434AB3"/>
    <w:rsid w:val="00434CE9"/>
    <w:rsid w:val="00434E57"/>
    <w:rsid w:val="0043516D"/>
    <w:rsid w:val="0043578D"/>
    <w:rsid w:val="00435E91"/>
    <w:rsid w:val="00436181"/>
    <w:rsid w:val="0043619E"/>
    <w:rsid w:val="004362C7"/>
    <w:rsid w:val="00436EBA"/>
    <w:rsid w:val="004374D9"/>
    <w:rsid w:val="0043751B"/>
    <w:rsid w:val="00437714"/>
    <w:rsid w:val="00440167"/>
    <w:rsid w:val="00440181"/>
    <w:rsid w:val="00440860"/>
    <w:rsid w:val="00440E71"/>
    <w:rsid w:val="0044156F"/>
    <w:rsid w:val="004421FF"/>
    <w:rsid w:val="004423FC"/>
    <w:rsid w:val="00442DF6"/>
    <w:rsid w:val="00442F5E"/>
    <w:rsid w:val="0044322B"/>
    <w:rsid w:val="0044368D"/>
    <w:rsid w:val="0044384E"/>
    <w:rsid w:val="00443CCB"/>
    <w:rsid w:val="00443F27"/>
    <w:rsid w:val="00444243"/>
    <w:rsid w:val="00444FE8"/>
    <w:rsid w:val="00445487"/>
    <w:rsid w:val="00445FA1"/>
    <w:rsid w:val="00446066"/>
    <w:rsid w:val="00447C6E"/>
    <w:rsid w:val="00450791"/>
    <w:rsid w:val="00450885"/>
    <w:rsid w:val="004508BC"/>
    <w:rsid w:val="00450A4A"/>
    <w:rsid w:val="004513B7"/>
    <w:rsid w:val="004517CE"/>
    <w:rsid w:val="00451826"/>
    <w:rsid w:val="004518F8"/>
    <w:rsid w:val="00451EEA"/>
    <w:rsid w:val="00452132"/>
    <w:rsid w:val="004525AF"/>
    <w:rsid w:val="00452A83"/>
    <w:rsid w:val="00452A8F"/>
    <w:rsid w:val="00452BD7"/>
    <w:rsid w:val="00452FD9"/>
    <w:rsid w:val="00453168"/>
    <w:rsid w:val="004532FF"/>
    <w:rsid w:val="0045352A"/>
    <w:rsid w:val="00453AF8"/>
    <w:rsid w:val="00453B6A"/>
    <w:rsid w:val="0045432E"/>
    <w:rsid w:val="004543B5"/>
    <w:rsid w:val="00454750"/>
    <w:rsid w:val="004548C7"/>
    <w:rsid w:val="00454AD2"/>
    <w:rsid w:val="00454C7D"/>
    <w:rsid w:val="00454E3B"/>
    <w:rsid w:val="00454FD1"/>
    <w:rsid w:val="00455B3D"/>
    <w:rsid w:val="00455CD7"/>
    <w:rsid w:val="00456014"/>
    <w:rsid w:val="00456133"/>
    <w:rsid w:val="00456B03"/>
    <w:rsid w:val="00456F0B"/>
    <w:rsid w:val="004570BF"/>
    <w:rsid w:val="00457247"/>
    <w:rsid w:val="004573B7"/>
    <w:rsid w:val="0045760E"/>
    <w:rsid w:val="00460793"/>
    <w:rsid w:val="00460A87"/>
    <w:rsid w:val="00460BA1"/>
    <w:rsid w:val="00460CEC"/>
    <w:rsid w:val="00461705"/>
    <w:rsid w:val="00461AE6"/>
    <w:rsid w:val="00461B31"/>
    <w:rsid w:val="00463595"/>
    <w:rsid w:val="00463833"/>
    <w:rsid w:val="004638A9"/>
    <w:rsid w:val="004648C4"/>
    <w:rsid w:val="004648E0"/>
    <w:rsid w:val="00464DE1"/>
    <w:rsid w:val="00464FDA"/>
    <w:rsid w:val="00465727"/>
    <w:rsid w:val="00465914"/>
    <w:rsid w:val="00465EBE"/>
    <w:rsid w:val="00465FF8"/>
    <w:rsid w:val="004660AD"/>
    <w:rsid w:val="00466178"/>
    <w:rsid w:val="004662CA"/>
    <w:rsid w:val="00466B3C"/>
    <w:rsid w:val="00466B6E"/>
    <w:rsid w:val="00467BE6"/>
    <w:rsid w:val="00467CA9"/>
    <w:rsid w:val="00467DD2"/>
    <w:rsid w:val="00467EA2"/>
    <w:rsid w:val="00470435"/>
    <w:rsid w:val="0047049C"/>
    <w:rsid w:val="004711B7"/>
    <w:rsid w:val="00471330"/>
    <w:rsid w:val="004713B2"/>
    <w:rsid w:val="00471A27"/>
    <w:rsid w:val="00471B5C"/>
    <w:rsid w:val="00471C49"/>
    <w:rsid w:val="00472376"/>
    <w:rsid w:val="004726BF"/>
    <w:rsid w:val="00472E1C"/>
    <w:rsid w:val="0047349B"/>
    <w:rsid w:val="00473CD7"/>
    <w:rsid w:val="004740E0"/>
    <w:rsid w:val="004745EA"/>
    <w:rsid w:val="0047497E"/>
    <w:rsid w:val="00475D15"/>
    <w:rsid w:val="00475EEC"/>
    <w:rsid w:val="00476151"/>
    <w:rsid w:val="0047750B"/>
    <w:rsid w:val="0047779D"/>
    <w:rsid w:val="00477D29"/>
    <w:rsid w:val="00477EBA"/>
    <w:rsid w:val="00480206"/>
    <w:rsid w:val="004804E6"/>
    <w:rsid w:val="00480B13"/>
    <w:rsid w:val="00480FFB"/>
    <w:rsid w:val="00481240"/>
    <w:rsid w:val="00481C38"/>
    <w:rsid w:val="004823F2"/>
    <w:rsid w:val="00482A0C"/>
    <w:rsid w:val="004833B8"/>
    <w:rsid w:val="0048350A"/>
    <w:rsid w:val="00483B63"/>
    <w:rsid w:val="00483D5F"/>
    <w:rsid w:val="00483F4A"/>
    <w:rsid w:val="0048429B"/>
    <w:rsid w:val="004848CA"/>
    <w:rsid w:val="00484942"/>
    <w:rsid w:val="00485372"/>
    <w:rsid w:val="00486179"/>
    <w:rsid w:val="0048624F"/>
    <w:rsid w:val="00486731"/>
    <w:rsid w:val="00486D12"/>
    <w:rsid w:val="00486DED"/>
    <w:rsid w:val="00487966"/>
    <w:rsid w:val="00487AB0"/>
    <w:rsid w:val="00487BDD"/>
    <w:rsid w:val="00490459"/>
    <w:rsid w:val="00490596"/>
    <w:rsid w:val="00490708"/>
    <w:rsid w:val="0049108E"/>
    <w:rsid w:val="004912DE"/>
    <w:rsid w:val="00491E53"/>
    <w:rsid w:val="004920CC"/>
    <w:rsid w:val="00492141"/>
    <w:rsid w:val="004922C5"/>
    <w:rsid w:val="004929D0"/>
    <w:rsid w:val="00493264"/>
    <w:rsid w:val="00493382"/>
    <w:rsid w:val="004935F3"/>
    <w:rsid w:val="004938B6"/>
    <w:rsid w:val="00493A27"/>
    <w:rsid w:val="00493A47"/>
    <w:rsid w:val="00493D81"/>
    <w:rsid w:val="00493DCD"/>
    <w:rsid w:val="004941C0"/>
    <w:rsid w:val="0049449A"/>
    <w:rsid w:val="004946A7"/>
    <w:rsid w:val="00494706"/>
    <w:rsid w:val="00494D43"/>
    <w:rsid w:val="00494FE1"/>
    <w:rsid w:val="00495239"/>
    <w:rsid w:val="00495810"/>
    <w:rsid w:val="00495ACB"/>
    <w:rsid w:val="00495BF2"/>
    <w:rsid w:val="00495D08"/>
    <w:rsid w:val="00496195"/>
    <w:rsid w:val="004962DB"/>
    <w:rsid w:val="0049653A"/>
    <w:rsid w:val="004966DA"/>
    <w:rsid w:val="00496D08"/>
    <w:rsid w:val="00496D95"/>
    <w:rsid w:val="00497016"/>
    <w:rsid w:val="004976A5"/>
    <w:rsid w:val="0049771B"/>
    <w:rsid w:val="004A013D"/>
    <w:rsid w:val="004A08DC"/>
    <w:rsid w:val="004A0917"/>
    <w:rsid w:val="004A12E1"/>
    <w:rsid w:val="004A13FB"/>
    <w:rsid w:val="004A1643"/>
    <w:rsid w:val="004A16CD"/>
    <w:rsid w:val="004A1BD5"/>
    <w:rsid w:val="004A22AC"/>
    <w:rsid w:val="004A23A7"/>
    <w:rsid w:val="004A2512"/>
    <w:rsid w:val="004A257E"/>
    <w:rsid w:val="004A26DE"/>
    <w:rsid w:val="004A2873"/>
    <w:rsid w:val="004A30B7"/>
    <w:rsid w:val="004A35D5"/>
    <w:rsid w:val="004A35F8"/>
    <w:rsid w:val="004A37CC"/>
    <w:rsid w:val="004A3C3A"/>
    <w:rsid w:val="004A3D22"/>
    <w:rsid w:val="004A4124"/>
    <w:rsid w:val="004A45C6"/>
    <w:rsid w:val="004A62C2"/>
    <w:rsid w:val="004A68E2"/>
    <w:rsid w:val="004A6B3A"/>
    <w:rsid w:val="004A718C"/>
    <w:rsid w:val="004A7376"/>
    <w:rsid w:val="004A7747"/>
    <w:rsid w:val="004A78BD"/>
    <w:rsid w:val="004A7B29"/>
    <w:rsid w:val="004B0576"/>
    <w:rsid w:val="004B0A0F"/>
    <w:rsid w:val="004B0A13"/>
    <w:rsid w:val="004B133F"/>
    <w:rsid w:val="004B1402"/>
    <w:rsid w:val="004B166E"/>
    <w:rsid w:val="004B211A"/>
    <w:rsid w:val="004B3C14"/>
    <w:rsid w:val="004B3CE3"/>
    <w:rsid w:val="004B3D1E"/>
    <w:rsid w:val="004B41C6"/>
    <w:rsid w:val="004B4304"/>
    <w:rsid w:val="004B4F45"/>
    <w:rsid w:val="004B52B0"/>
    <w:rsid w:val="004B5888"/>
    <w:rsid w:val="004B58C4"/>
    <w:rsid w:val="004B5AED"/>
    <w:rsid w:val="004B5B62"/>
    <w:rsid w:val="004B5C4C"/>
    <w:rsid w:val="004B5CF5"/>
    <w:rsid w:val="004B5E4E"/>
    <w:rsid w:val="004B641C"/>
    <w:rsid w:val="004B6B59"/>
    <w:rsid w:val="004B6B9B"/>
    <w:rsid w:val="004B6D91"/>
    <w:rsid w:val="004B701A"/>
    <w:rsid w:val="004B75AE"/>
    <w:rsid w:val="004C0201"/>
    <w:rsid w:val="004C08E1"/>
    <w:rsid w:val="004C10CA"/>
    <w:rsid w:val="004C1198"/>
    <w:rsid w:val="004C1A54"/>
    <w:rsid w:val="004C216F"/>
    <w:rsid w:val="004C22F0"/>
    <w:rsid w:val="004C24D2"/>
    <w:rsid w:val="004C2DAA"/>
    <w:rsid w:val="004C3759"/>
    <w:rsid w:val="004C3789"/>
    <w:rsid w:val="004C3B62"/>
    <w:rsid w:val="004C3E06"/>
    <w:rsid w:val="004C425D"/>
    <w:rsid w:val="004C43AB"/>
    <w:rsid w:val="004C50DD"/>
    <w:rsid w:val="004C5254"/>
    <w:rsid w:val="004C528F"/>
    <w:rsid w:val="004C531B"/>
    <w:rsid w:val="004C5417"/>
    <w:rsid w:val="004C581A"/>
    <w:rsid w:val="004C5D9F"/>
    <w:rsid w:val="004C5E94"/>
    <w:rsid w:val="004C5F42"/>
    <w:rsid w:val="004C640F"/>
    <w:rsid w:val="004C64F3"/>
    <w:rsid w:val="004C67C9"/>
    <w:rsid w:val="004C6AA8"/>
    <w:rsid w:val="004C6BF3"/>
    <w:rsid w:val="004C6E90"/>
    <w:rsid w:val="004C7187"/>
    <w:rsid w:val="004C758F"/>
    <w:rsid w:val="004C783B"/>
    <w:rsid w:val="004C78F8"/>
    <w:rsid w:val="004C7B54"/>
    <w:rsid w:val="004C7BEF"/>
    <w:rsid w:val="004D014A"/>
    <w:rsid w:val="004D0577"/>
    <w:rsid w:val="004D0AA4"/>
    <w:rsid w:val="004D0C14"/>
    <w:rsid w:val="004D0D44"/>
    <w:rsid w:val="004D1377"/>
    <w:rsid w:val="004D2B6C"/>
    <w:rsid w:val="004D2B83"/>
    <w:rsid w:val="004D2C3C"/>
    <w:rsid w:val="004D333C"/>
    <w:rsid w:val="004D34C3"/>
    <w:rsid w:val="004D360D"/>
    <w:rsid w:val="004D3813"/>
    <w:rsid w:val="004D3D56"/>
    <w:rsid w:val="004D3EA5"/>
    <w:rsid w:val="004D3FD3"/>
    <w:rsid w:val="004D4004"/>
    <w:rsid w:val="004D4914"/>
    <w:rsid w:val="004D4969"/>
    <w:rsid w:val="004D5322"/>
    <w:rsid w:val="004D56CF"/>
    <w:rsid w:val="004D5AB6"/>
    <w:rsid w:val="004D600B"/>
    <w:rsid w:val="004D6568"/>
    <w:rsid w:val="004D6E3E"/>
    <w:rsid w:val="004D7BF2"/>
    <w:rsid w:val="004E0D44"/>
    <w:rsid w:val="004E0E91"/>
    <w:rsid w:val="004E0FD3"/>
    <w:rsid w:val="004E1366"/>
    <w:rsid w:val="004E2039"/>
    <w:rsid w:val="004E229D"/>
    <w:rsid w:val="004E23D1"/>
    <w:rsid w:val="004E318D"/>
    <w:rsid w:val="004E31B9"/>
    <w:rsid w:val="004E34DB"/>
    <w:rsid w:val="004E39EA"/>
    <w:rsid w:val="004E3AB9"/>
    <w:rsid w:val="004E3B77"/>
    <w:rsid w:val="004E3D5F"/>
    <w:rsid w:val="004E4D07"/>
    <w:rsid w:val="004E5276"/>
    <w:rsid w:val="004E5376"/>
    <w:rsid w:val="004E538B"/>
    <w:rsid w:val="004E544E"/>
    <w:rsid w:val="004E67B2"/>
    <w:rsid w:val="004E67CA"/>
    <w:rsid w:val="004E6912"/>
    <w:rsid w:val="004E6FA7"/>
    <w:rsid w:val="004E749D"/>
    <w:rsid w:val="004E774B"/>
    <w:rsid w:val="004F01F8"/>
    <w:rsid w:val="004F0495"/>
    <w:rsid w:val="004F08FF"/>
    <w:rsid w:val="004F09D5"/>
    <w:rsid w:val="004F0C5F"/>
    <w:rsid w:val="004F120D"/>
    <w:rsid w:val="004F188E"/>
    <w:rsid w:val="004F1C16"/>
    <w:rsid w:val="004F1CA2"/>
    <w:rsid w:val="004F20C7"/>
    <w:rsid w:val="004F2105"/>
    <w:rsid w:val="004F24CC"/>
    <w:rsid w:val="004F28FD"/>
    <w:rsid w:val="004F2BE0"/>
    <w:rsid w:val="004F3014"/>
    <w:rsid w:val="004F32B1"/>
    <w:rsid w:val="004F34AA"/>
    <w:rsid w:val="004F3561"/>
    <w:rsid w:val="004F3778"/>
    <w:rsid w:val="004F397B"/>
    <w:rsid w:val="004F3AE6"/>
    <w:rsid w:val="004F3B20"/>
    <w:rsid w:val="004F3EB0"/>
    <w:rsid w:val="004F4042"/>
    <w:rsid w:val="004F4335"/>
    <w:rsid w:val="004F5482"/>
    <w:rsid w:val="004F56E4"/>
    <w:rsid w:val="004F58EA"/>
    <w:rsid w:val="004F5DBE"/>
    <w:rsid w:val="004F6013"/>
    <w:rsid w:val="004F665A"/>
    <w:rsid w:val="004F6805"/>
    <w:rsid w:val="004F68F9"/>
    <w:rsid w:val="004F6950"/>
    <w:rsid w:val="004F6BAC"/>
    <w:rsid w:val="004F6DE1"/>
    <w:rsid w:val="004F71FD"/>
    <w:rsid w:val="004F742D"/>
    <w:rsid w:val="004F7D11"/>
    <w:rsid w:val="005005E1"/>
    <w:rsid w:val="005010BB"/>
    <w:rsid w:val="0050155B"/>
    <w:rsid w:val="00501763"/>
    <w:rsid w:val="00502485"/>
    <w:rsid w:val="00502945"/>
    <w:rsid w:val="00502964"/>
    <w:rsid w:val="00502C84"/>
    <w:rsid w:val="00502E29"/>
    <w:rsid w:val="0050340B"/>
    <w:rsid w:val="00503443"/>
    <w:rsid w:val="005035EF"/>
    <w:rsid w:val="00503704"/>
    <w:rsid w:val="00503DEF"/>
    <w:rsid w:val="005040FD"/>
    <w:rsid w:val="005047A3"/>
    <w:rsid w:val="00504D49"/>
    <w:rsid w:val="00504F13"/>
    <w:rsid w:val="005051B1"/>
    <w:rsid w:val="0050536D"/>
    <w:rsid w:val="00505B1F"/>
    <w:rsid w:val="00505EE6"/>
    <w:rsid w:val="005061B4"/>
    <w:rsid w:val="005064CD"/>
    <w:rsid w:val="00506B58"/>
    <w:rsid w:val="00506E66"/>
    <w:rsid w:val="005073C5"/>
    <w:rsid w:val="00507AD5"/>
    <w:rsid w:val="00507B4E"/>
    <w:rsid w:val="00507DF3"/>
    <w:rsid w:val="00507EE2"/>
    <w:rsid w:val="00507FB2"/>
    <w:rsid w:val="00510137"/>
    <w:rsid w:val="00510245"/>
    <w:rsid w:val="00510634"/>
    <w:rsid w:val="00510823"/>
    <w:rsid w:val="00510CC4"/>
    <w:rsid w:val="00510E3D"/>
    <w:rsid w:val="00511199"/>
    <w:rsid w:val="005117E2"/>
    <w:rsid w:val="005119B8"/>
    <w:rsid w:val="00511A57"/>
    <w:rsid w:val="00511FC7"/>
    <w:rsid w:val="005122E4"/>
    <w:rsid w:val="00512529"/>
    <w:rsid w:val="00512680"/>
    <w:rsid w:val="00512E79"/>
    <w:rsid w:val="005133C6"/>
    <w:rsid w:val="0051360C"/>
    <w:rsid w:val="0051385A"/>
    <w:rsid w:val="0051398E"/>
    <w:rsid w:val="00513A5B"/>
    <w:rsid w:val="0051441B"/>
    <w:rsid w:val="0051454A"/>
    <w:rsid w:val="0051504A"/>
    <w:rsid w:val="005153AA"/>
    <w:rsid w:val="00515596"/>
    <w:rsid w:val="00515AAF"/>
    <w:rsid w:val="00515C12"/>
    <w:rsid w:val="00515CD1"/>
    <w:rsid w:val="00516505"/>
    <w:rsid w:val="00516E80"/>
    <w:rsid w:val="005177A2"/>
    <w:rsid w:val="00517865"/>
    <w:rsid w:val="005178C9"/>
    <w:rsid w:val="0052020D"/>
    <w:rsid w:val="0052038F"/>
    <w:rsid w:val="005206D7"/>
    <w:rsid w:val="005209DF"/>
    <w:rsid w:val="00520ACD"/>
    <w:rsid w:val="0052130B"/>
    <w:rsid w:val="00521365"/>
    <w:rsid w:val="005213B6"/>
    <w:rsid w:val="00521429"/>
    <w:rsid w:val="00521757"/>
    <w:rsid w:val="00521C6A"/>
    <w:rsid w:val="00521C8C"/>
    <w:rsid w:val="00522570"/>
    <w:rsid w:val="00522667"/>
    <w:rsid w:val="00522784"/>
    <w:rsid w:val="00522929"/>
    <w:rsid w:val="00523398"/>
    <w:rsid w:val="005240CB"/>
    <w:rsid w:val="00524374"/>
    <w:rsid w:val="00524482"/>
    <w:rsid w:val="00524C05"/>
    <w:rsid w:val="00524CDF"/>
    <w:rsid w:val="00524D82"/>
    <w:rsid w:val="0052517C"/>
    <w:rsid w:val="005257F9"/>
    <w:rsid w:val="00525AF5"/>
    <w:rsid w:val="00525C03"/>
    <w:rsid w:val="00525C90"/>
    <w:rsid w:val="00525D79"/>
    <w:rsid w:val="005273D8"/>
    <w:rsid w:val="005275BE"/>
    <w:rsid w:val="00527F02"/>
    <w:rsid w:val="0053086F"/>
    <w:rsid w:val="00530AFB"/>
    <w:rsid w:val="00530EC6"/>
    <w:rsid w:val="00530F6A"/>
    <w:rsid w:val="0053150D"/>
    <w:rsid w:val="00531B27"/>
    <w:rsid w:val="00531C6E"/>
    <w:rsid w:val="0053218E"/>
    <w:rsid w:val="00532372"/>
    <w:rsid w:val="00532684"/>
    <w:rsid w:val="00532E9A"/>
    <w:rsid w:val="005334E3"/>
    <w:rsid w:val="00533DA6"/>
    <w:rsid w:val="00534181"/>
    <w:rsid w:val="00534301"/>
    <w:rsid w:val="00534798"/>
    <w:rsid w:val="005347B9"/>
    <w:rsid w:val="0053487A"/>
    <w:rsid w:val="0053558C"/>
    <w:rsid w:val="005355EF"/>
    <w:rsid w:val="0053594E"/>
    <w:rsid w:val="00536498"/>
    <w:rsid w:val="005366ED"/>
    <w:rsid w:val="00536AF2"/>
    <w:rsid w:val="00536DA4"/>
    <w:rsid w:val="00536F09"/>
    <w:rsid w:val="00540272"/>
    <w:rsid w:val="005404E9"/>
    <w:rsid w:val="00540F61"/>
    <w:rsid w:val="00540FDA"/>
    <w:rsid w:val="00541247"/>
    <w:rsid w:val="00541534"/>
    <w:rsid w:val="00541643"/>
    <w:rsid w:val="00541678"/>
    <w:rsid w:val="00541A7B"/>
    <w:rsid w:val="00541EE8"/>
    <w:rsid w:val="005422BF"/>
    <w:rsid w:val="00542349"/>
    <w:rsid w:val="005427B6"/>
    <w:rsid w:val="00542FC6"/>
    <w:rsid w:val="00543180"/>
    <w:rsid w:val="005439DB"/>
    <w:rsid w:val="00543B6E"/>
    <w:rsid w:val="00543C68"/>
    <w:rsid w:val="005445E2"/>
    <w:rsid w:val="00544650"/>
    <w:rsid w:val="005449BC"/>
    <w:rsid w:val="00544A72"/>
    <w:rsid w:val="00544C99"/>
    <w:rsid w:val="00544F79"/>
    <w:rsid w:val="00545026"/>
    <w:rsid w:val="0054524E"/>
    <w:rsid w:val="005452CB"/>
    <w:rsid w:val="00545456"/>
    <w:rsid w:val="0054579B"/>
    <w:rsid w:val="005463DB"/>
    <w:rsid w:val="00546803"/>
    <w:rsid w:val="00546C09"/>
    <w:rsid w:val="00546D58"/>
    <w:rsid w:val="00546EF6"/>
    <w:rsid w:val="00547129"/>
    <w:rsid w:val="005500A5"/>
    <w:rsid w:val="0055013F"/>
    <w:rsid w:val="005502A7"/>
    <w:rsid w:val="00550531"/>
    <w:rsid w:val="005507CB"/>
    <w:rsid w:val="00550BB1"/>
    <w:rsid w:val="00550DB9"/>
    <w:rsid w:val="00550F58"/>
    <w:rsid w:val="0055105E"/>
    <w:rsid w:val="005514E6"/>
    <w:rsid w:val="00551A40"/>
    <w:rsid w:val="00551DB7"/>
    <w:rsid w:val="00552099"/>
    <w:rsid w:val="0055236D"/>
    <w:rsid w:val="005529FC"/>
    <w:rsid w:val="00552D7B"/>
    <w:rsid w:val="00553A96"/>
    <w:rsid w:val="00553F12"/>
    <w:rsid w:val="00553FFB"/>
    <w:rsid w:val="005548E3"/>
    <w:rsid w:val="00554B44"/>
    <w:rsid w:val="00555101"/>
    <w:rsid w:val="0055577F"/>
    <w:rsid w:val="0055634F"/>
    <w:rsid w:val="0055648F"/>
    <w:rsid w:val="00557301"/>
    <w:rsid w:val="00557D8B"/>
    <w:rsid w:val="00557FD8"/>
    <w:rsid w:val="00560303"/>
    <w:rsid w:val="005607B8"/>
    <w:rsid w:val="005608A4"/>
    <w:rsid w:val="00561673"/>
    <w:rsid w:val="00562312"/>
    <w:rsid w:val="00562487"/>
    <w:rsid w:val="005629F0"/>
    <w:rsid w:val="00562AF6"/>
    <w:rsid w:val="00563141"/>
    <w:rsid w:val="005634FD"/>
    <w:rsid w:val="0056387B"/>
    <w:rsid w:val="00563D6D"/>
    <w:rsid w:val="00563E06"/>
    <w:rsid w:val="00563FB0"/>
    <w:rsid w:val="005649F0"/>
    <w:rsid w:val="00564BDD"/>
    <w:rsid w:val="005655DA"/>
    <w:rsid w:val="00565953"/>
    <w:rsid w:val="00565C92"/>
    <w:rsid w:val="00565EDC"/>
    <w:rsid w:val="005663AC"/>
    <w:rsid w:val="00566DED"/>
    <w:rsid w:val="00566E91"/>
    <w:rsid w:val="005670F6"/>
    <w:rsid w:val="0056761A"/>
    <w:rsid w:val="00567F79"/>
    <w:rsid w:val="00570608"/>
    <w:rsid w:val="00570712"/>
    <w:rsid w:val="0057111B"/>
    <w:rsid w:val="005712E9"/>
    <w:rsid w:val="005713F9"/>
    <w:rsid w:val="005716BC"/>
    <w:rsid w:val="005717CA"/>
    <w:rsid w:val="00571E69"/>
    <w:rsid w:val="005722F8"/>
    <w:rsid w:val="0057247C"/>
    <w:rsid w:val="00572B65"/>
    <w:rsid w:val="00573670"/>
    <w:rsid w:val="00573E98"/>
    <w:rsid w:val="0057469B"/>
    <w:rsid w:val="00574C5E"/>
    <w:rsid w:val="00574FAE"/>
    <w:rsid w:val="00575168"/>
    <w:rsid w:val="0057540F"/>
    <w:rsid w:val="00575740"/>
    <w:rsid w:val="00575AF4"/>
    <w:rsid w:val="00575B2D"/>
    <w:rsid w:val="00575B64"/>
    <w:rsid w:val="00575BDF"/>
    <w:rsid w:val="00575DFB"/>
    <w:rsid w:val="00575EA0"/>
    <w:rsid w:val="005762AD"/>
    <w:rsid w:val="00576E5F"/>
    <w:rsid w:val="005779AD"/>
    <w:rsid w:val="0058017A"/>
    <w:rsid w:val="00580322"/>
    <w:rsid w:val="00580E38"/>
    <w:rsid w:val="0058122B"/>
    <w:rsid w:val="005816A9"/>
    <w:rsid w:val="0058199F"/>
    <w:rsid w:val="00581AB8"/>
    <w:rsid w:val="00581E14"/>
    <w:rsid w:val="00581E6B"/>
    <w:rsid w:val="00582110"/>
    <w:rsid w:val="00582D17"/>
    <w:rsid w:val="00583600"/>
    <w:rsid w:val="00583CF6"/>
    <w:rsid w:val="00584B75"/>
    <w:rsid w:val="00585321"/>
    <w:rsid w:val="0058546F"/>
    <w:rsid w:val="0058574C"/>
    <w:rsid w:val="00585925"/>
    <w:rsid w:val="00585CB9"/>
    <w:rsid w:val="00585D10"/>
    <w:rsid w:val="00586152"/>
    <w:rsid w:val="00586273"/>
    <w:rsid w:val="00586568"/>
    <w:rsid w:val="00586A41"/>
    <w:rsid w:val="00586E6A"/>
    <w:rsid w:val="0058731A"/>
    <w:rsid w:val="005876C4"/>
    <w:rsid w:val="00587EBD"/>
    <w:rsid w:val="005902DB"/>
    <w:rsid w:val="005902FC"/>
    <w:rsid w:val="00590513"/>
    <w:rsid w:val="00590617"/>
    <w:rsid w:val="00590A66"/>
    <w:rsid w:val="00590B23"/>
    <w:rsid w:val="00590B9F"/>
    <w:rsid w:val="005912AD"/>
    <w:rsid w:val="0059132F"/>
    <w:rsid w:val="00591350"/>
    <w:rsid w:val="0059179E"/>
    <w:rsid w:val="005921E8"/>
    <w:rsid w:val="005922A3"/>
    <w:rsid w:val="00592629"/>
    <w:rsid w:val="0059285A"/>
    <w:rsid w:val="00592CDD"/>
    <w:rsid w:val="0059332E"/>
    <w:rsid w:val="005935C5"/>
    <w:rsid w:val="00593CA1"/>
    <w:rsid w:val="00593F79"/>
    <w:rsid w:val="00594505"/>
    <w:rsid w:val="005948FC"/>
    <w:rsid w:val="0059507F"/>
    <w:rsid w:val="0059579A"/>
    <w:rsid w:val="005959E8"/>
    <w:rsid w:val="00596271"/>
    <w:rsid w:val="005963A2"/>
    <w:rsid w:val="005963BD"/>
    <w:rsid w:val="00596443"/>
    <w:rsid w:val="00596604"/>
    <w:rsid w:val="005969BF"/>
    <w:rsid w:val="00597D74"/>
    <w:rsid w:val="00597DEE"/>
    <w:rsid w:val="005A000A"/>
    <w:rsid w:val="005A038F"/>
    <w:rsid w:val="005A04F2"/>
    <w:rsid w:val="005A077A"/>
    <w:rsid w:val="005A0A37"/>
    <w:rsid w:val="005A0BDA"/>
    <w:rsid w:val="005A0CDD"/>
    <w:rsid w:val="005A1013"/>
    <w:rsid w:val="005A1B0C"/>
    <w:rsid w:val="005A1B42"/>
    <w:rsid w:val="005A1BD6"/>
    <w:rsid w:val="005A1CF0"/>
    <w:rsid w:val="005A1DE2"/>
    <w:rsid w:val="005A1E14"/>
    <w:rsid w:val="005A21C0"/>
    <w:rsid w:val="005A24DD"/>
    <w:rsid w:val="005A2B43"/>
    <w:rsid w:val="005A2D1A"/>
    <w:rsid w:val="005A2DE5"/>
    <w:rsid w:val="005A338B"/>
    <w:rsid w:val="005A33D6"/>
    <w:rsid w:val="005A37FC"/>
    <w:rsid w:val="005A3CA4"/>
    <w:rsid w:val="005A3F0F"/>
    <w:rsid w:val="005A43F7"/>
    <w:rsid w:val="005A4471"/>
    <w:rsid w:val="005A47E7"/>
    <w:rsid w:val="005A4BA3"/>
    <w:rsid w:val="005A4E11"/>
    <w:rsid w:val="005A5472"/>
    <w:rsid w:val="005A588B"/>
    <w:rsid w:val="005A650D"/>
    <w:rsid w:val="005A653D"/>
    <w:rsid w:val="005A66F1"/>
    <w:rsid w:val="005A70C2"/>
    <w:rsid w:val="005A73C5"/>
    <w:rsid w:val="005A74E6"/>
    <w:rsid w:val="005A7F96"/>
    <w:rsid w:val="005B0287"/>
    <w:rsid w:val="005B0722"/>
    <w:rsid w:val="005B0EBC"/>
    <w:rsid w:val="005B1510"/>
    <w:rsid w:val="005B1696"/>
    <w:rsid w:val="005B1C9D"/>
    <w:rsid w:val="005B1E0D"/>
    <w:rsid w:val="005B1EDF"/>
    <w:rsid w:val="005B24E6"/>
    <w:rsid w:val="005B2651"/>
    <w:rsid w:val="005B2ED7"/>
    <w:rsid w:val="005B309B"/>
    <w:rsid w:val="005B36C2"/>
    <w:rsid w:val="005B373C"/>
    <w:rsid w:val="005B384D"/>
    <w:rsid w:val="005B3E74"/>
    <w:rsid w:val="005B491C"/>
    <w:rsid w:val="005B5CE5"/>
    <w:rsid w:val="005B5E48"/>
    <w:rsid w:val="005B693F"/>
    <w:rsid w:val="005B6C8B"/>
    <w:rsid w:val="005B6F7D"/>
    <w:rsid w:val="005C1AAC"/>
    <w:rsid w:val="005C1F59"/>
    <w:rsid w:val="005C21C5"/>
    <w:rsid w:val="005C2227"/>
    <w:rsid w:val="005C2245"/>
    <w:rsid w:val="005C266F"/>
    <w:rsid w:val="005C28CE"/>
    <w:rsid w:val="005C2D3F"/>
    <w:rsid w:val="005C3750"/>
    <w:rsid w:val="005C3C88"/>
    <w:rsid w:val="005C3DB8"/>
    <w:rsid w:val="005C3F8D"/>
    <w:rsid w:val="005C438C"/>
    <w:rsid w:val="005C4AA2"/>
    <w:rsid w:val="005C4CC1"/>
    <w:rsid w:val="005C4EAD"/>
    <w:rsid w:val="005C4FC3"/>
    <w:rsid w:val="005C50C0"/>
    <w:rsid w:val="005C5583"/>
    <w:rsid w:val="005C5A4A"/>
    <w:rsid w:val="005C61FB"/>
    <w:rsid w:val="005C6462"/>
    <w:rsid w:val="005C6844"/>
    <w:rsid w:val="005C6B53"/>
    <w:rsid w:val="005C6F6D"/>
    <w:rsid w:val="005C702B"/>
    <w:rsid w:val="005C70A4"/>
    <w:rsid w:val="005C72DC"/>
    <w:rsid w:val="005C73B6"/>
    <w:rsid w:val="005C7526"/>
    <w:rsid w:val="005C7A99"/>
    <w:rsid w:val="005C7ADD"/>
    <w:rsid w:val="005C7B5F"/>
    <w:rsid w:val="005C7BA3"/>
    <w:rsid w:val="005D0268"/>
    <w:rsid w:val="005D0459"/>
    <w:rsid w:val="005D05F9"/>
    <w:rsid w:val="005D0B00"/>
    <w:rsid w:val="005D0E28"/>
    <w:rsid w:val="005D0F3E"/>
    <w:rsid w:val="005D11BE"/>
    <w:rsid w:val="005D1AC2"/>
    <w:rsid w:val="005D1B06"/>
    <w:rsid w:val="005D1C12"/>
    <w:rsid w:val="005D1D3B"/>
    <w:rsid w:val="005D1E81"/>
    <w:rsid w:val="005D215C"/>
    <w:rsid w:val="005D216D"/>
    <w:rsid w:val="005D2178"/>
    <w:rsid w:val="005D277B"/>
    <w:rsid w:val="005D3126"/>
    <w:rsid w:val="005D3419"/>
    <w:rsid w:val="005D34B5"/>
    <w:rsid w:val="005D38C4"/>
    <w:rsid w:val="005D406D"/>
    <w:rsid w:val="005D489E"/>
    <w:rsid w:val="005D4B31"/>
    <w:rsid w:val="005D4EE5"/>
    <w:rsid w:val="005D5270"/>
    <w:rsid w:val="005D5ABD"/>
    <w:rsid w:val="005D5F5B"/>
    <w:rsid w:val="005D6D41"/>
    <w:rsid w:val="005D6FCB"/>
    <w:rsid w:val="005D77F1"/>
    <w:rsid w:val="005D793F"/>
    <w:rsid w:val="005D7A38"/>
    <w:rsid w:val="005D7CD3"/>
    <w:rsid w:val="005D7DB9"/>
    <w:rsid w:val="005D7E3A"/>
    <w:rsid w:val="005E0610"/>
    <w:rsid w:val="005E06C4"/>
    <w:rsid w:val="005E0B28"/>
    <w:rsid w:val="005E0DE6"/>
    <w:rsid w:val="005E104A"/>
    <w:rsid w:val="005E10D1"/>
    <w:rsid w:val="005E1A2B"/>
    <w:rsid w:val="005E1B72"/>
    <w:rsid w:val="005E2002"/>
    <w:rsid w:val="005E21CD"/>
    <w:rsid w:val="005E25CC"/>
    <w:rsid w:val="005E30D8"/>
    <w:rsid w:val="005E3323"/>
    <w:rsid w:val="005E37B9"/>
    <w:rsid w:val="005E38FF"/>
    <w:rsid w:val="005E3C96"/>
    <w:rsid w:val="005E3EC7"/>
    <w:rsid w:val="005E4173"/>
    <w:rsid w:val="005E43FD"/>
    <w:rsid w:val="005E4584"/>
    <w:rsid w:val="005E45D2"/>
    <w:rsid w:val="005E45FE"/>
    <w:rsid w:val="005E463F"/>
    <w:rsid w:val="005E4B19"/>
    <w:rsid w:val="005E4B6F"/>
    <w:rsid w:val="005E4DBF"/>
    <w:rsid w:val="005E50FB"/>
    <w:rsid w:val="005E5B7F"/>
    <w:rsid w:val="005E5E29"/>
    <w:rsid w:val="005E6021"/>
    <w:rsid w:val="005E62CD"/>
    <w:rsid w:val="005E6331"/>
    <w:rsid w:val="005E664E"/>
    <w:rsid w:val="005E6ABC"/>
    <w:rsid w:val="005E7143"/>
    <w:rsid w:val="005E7692"/>
    <w:rsid w:val="005E789E"/>
    <w:rsid w:val="005E7C47"/>
    <w:rsid w:val="005F0187"/>
    <w:rsid w:val="005F04BB"/>
    <w:rsid w:val="005F0516"/>
    <w:rsid w:val="005F06D0"/>
    <w:rsid w:val="005F071A"/>
    <w:rsid w:val="005F0DA5"/>
    <w:rsid w:val="005F0F39"/>
    <w:rsid w:val="005F1603"/>
    <w:rsid w:val="005F17D2"/>
    <w:rsid w:val="005F2490"/>
    <w:rsid w:val="005F31F2"/>
    <w:rsid w:val="005F3DF6"/>
    <w:rsid w:val="005F4110"/>
    <w:rsid w:val="005F4576"/>
    <w:rsid w:val="005F4C4A"/>
    <w:rsid w:val="005F4DDD"/>
    <w:rsid w:val="005F4FC0"/>
    <w:rsid w:val="005F5373"/>
    <w:rsid w:val="005F58EF"/>
    <w:rsid w:val="005F599E"/>
    <w:rsid w:val="005F5BF4"/>
    <w:rsid w:val="005F5D33"/>
    <w:rsid w:val="005F6319"/>
    <w:rsid w:val="005F652C"/>
    <w:rsid w:val="005F6592"/>
    <w:rsid w:val="005F661F"/>
    <w:rsid w:val="005F679E"/>
    <w:rsid w:val="005F6853"/>
    <w:rsid w:val="005F70DB"/>
    <w:rsid w:val="005F719E"/>
    <w:rsid w:val="005F744E"/>
    <w:rsid w:val="005F7741"/>
    <w:rsid w:val="005F78F6"/>
    <w:rsid w:val="005F7B0D"/>
    <w:rsid w:val="005F7E00"/>
    <w:rsid w:val="0060017C"/>
    <w:rsid w:val="0060078B"/>
    <w:rsid w:val="006008DA"/>
    <w:rsid w:val="00600932"/>
    <w:rsid w:val="0060099E"/>
    <w:rsid w:val="00600EEB"/>
    <w:rsid w:val="006010C9"/>
    <w:rsid w:val="0060172B"/>
    <w:rsid w:val="006017DF"/>
    <w:rsid w:val="00601CFF"/>
    <w:rsid w:val="00602B0C"/>
    <w:rsid w:val="0060318E"/>
    <w:rsid w:val="0060332F"/>
    <w:rsid w:val="00603ACE"/>
    <w:rsid w:val="00603B22"/>
    <w:rsid w:val="00603CEA"/>
    <w:rsid w:val="0060516C"/>
    <w:rsid w:val="00605C8E"/>
    <w:rsid w:val="00605C95"/>
    <w:rsid w:val="006061CF"/>
    <w:rsid w:val="0060645C"/>
    <w:rsid w:val="0060674A"/>
    <w:rsid w:val="00606799"/>
    <w:rsid w:val="0060681B"/>
    <w:rsid w:val="006068D9"/>
    <w:rsid w:val="00606FA8"/>
    <w:rsid w:val="0060700F"/>
    <w:rsid w:val="00607A60"/>
    <w:rsid w:val="00607AF1"/>
    <w:rsid w:val="00607BCD"/>
    <w:rsid w:val="00607BF2"/>
    <w:rsid w:val="00607C8A"/>
    <w:rsid w:val="006100BA"/>
    <w:rsid w:val="006100EB"/>
    <w:rsid w:val="006102ED"/>
    <w:rsid w:val="00611036"/>
    <w:rsid w:val="0061154E"/>
    <w:rsid w:val="00611D2B"/>
    <w:rsid w:val="00611F69"/>
    <w:rsid w:val="00612CF9"/>
    <w:rsid w:val="00612F99"/>
    <w:rsid w:val="006132F1"/>
    <w:rsid w:val="00613315"/>
    <w:rsid w:val="006133E3"/>
    <w:rsid w:val="006133E8"/>
    <w:rsid w:val="00613999"/>
    <w:rsid w:val="00613C4F"/>
    <w:rsid w:val="00613E9E"/>
    <w:rsid w:val="006144FA"/>
    <w:rsid w:val="006149AF"/>
    <w:rsid w:val="00614F17"/>
    <w:rsid w:val="00614FBA"/>
    <w:rsid w:val="00615271"/>
    <w:rsid w:val="00615984"/>
    <w:rsid w:val="00615A38"/>
    <w:rsid w:val="00615D09"/>
    <w:rsid w:val="006167D0"/>
    <w:rsid w:val="006167DA"/>
    <w:rsid w:val="00616CD6"/>
    <w:rsid w:val="00616D44"/>
    <w:rsid w:val="00616EBA"/>
    <w:rsid w:val="00617071"/>
    <w:rsid w:val="00617179"/>
    <w:rsid w:val="00617196"/>
    <w:rsid w:val="006173C8"/>
    <w:rsid w:val="00617639"/>
    <w:rsid w:val="00617F92"/>
    <w:rsid w:val="006200EA"/>
    <w:rsid w:val="00620902"/>
    <w:rsid w:val="00621039"/>
    <w:rsid w:val="00621126"/>
    <w:rsid w:val="006216B2"/>
    <w:rsid w:val="00621E9B"/>
    <w:rsid w:val="00622518"/>
    <w:rsid w:val="00622DBE"/>
    <w:rsid w:val="00622E5B"/>
    <w:rsid w:val="00622ECB"/>
    <w:rsid w:val="006231B2"/>
    <w:rsid w:val="006231B9"/>
    <w:rsid w:val="0062376B"/>
    <w:rsid w:val="00623CEF"/>
    <w:rsid w:val="0062415B"/>
    <w:rsid w:val="006248F5"/>
    <w:rsid w:val="00625160"/>
    <w:rsid w:val="00625350"/>
    <w:rsid w:val="00625616"/>
    <w:rsid w:val="00625ADE"/>
    <w:rsid w:val="00625DE3"/>
    <w:rsid w:val="00626062"/>
    <w:rsid w:val="006260D7"/>
    <w:rsid w:val="006261EC"/>
    <w:rsid w:val="006263A7"/>
    <w:rsid w:val="006265B1"/>
    <w:rsid w:val="00627245"/>
    <w:rsid w:val="006277FB"/>
    <w:rsid w:val="00627D40"/>
    <w:rsid w:val="006305FB"/>
    <w:rsid w:val="00630D48"/>
    <w:rsid w:val="00631115"/>
    <w:rsid w:val="00631545"/>
    <w:rsid w:val="00631722"/>
    <w:rsid w:val="00632089"/>
    <w:rsid w:val="00632B7E"/>
    <w:rsid w:val="00633222"/>
    <w:rsid w:val="006332FA"/>
    <w:rsid w:val="00633B25"/>
    <w:rsid w:val="00634EF8"/>
    <w:rsid w:val="0063506F"/>
    <w:rsid w:val="006357BA"/>
    <w:rsid w:val="00635945"/>
    <w:rsid w:val="00635AFC"/>
    <w:rsid w:val="00635EB9"/>
    <w:rsid w:val="00636175"/>
    <w:rsid w:val="00636328"/>
    <w:rsid w:val="00636BC5"/>
    <w:rsid w:val="00636FC1"/>
    <w:rsid w:val="00637002"/>
    <w:rsid w:val="006370F0"/>
    <w:rsid w:val="006375B3"/>
    <w:rsid w:val="006377C3"/>
    <w:rsid w:val="006378DD"/>
    <w:rsid w:val="00640314"/>
    <w:rsid w:val="00640410"/>
    <w:rsid w:val="00640451"/>
    <w:rsid w:val="006406AB"/>
    <w:rsid w:val="00640F4E"/>
    <w:rsid w:val="0064107F"/>
    <w:rsid w:val="00641106"/>
    <w:rsid w:val="00641AB6"/>
    <w:rsid w:val="00641C48"/>
    <w:rsid w:val="00641D46"/>
    <w:rsid w:val="00642243"/>
    <w:rsid w:val="006427C1"/>
    <w:rsid w:val="00642D32"/>
    <w:rsid w:val="00643A10"/>
    <w:rsid w:val="00643E41"/>
    <w:rsid w:val="00644911"/>
    <w:rsid w:val="00644AB1"/>
    <w:rsid w:val="006450BD"/>
    <w:rsid w:val="00645B10"/>
    <w:rsid w:val="00645E36"/>
    <w:rsid w:val="00646248"/>
    <w:rsid w:val="0064632B"/>
    <w:rsid w:val="00646B72"/>
    <w:rsid w:val="00646CBC"/>
    <w:rsid w:val="0064737A"/>
    <w:rsid w:val="006474C7"/>
    <w:rsid w:val="00647680"/>
    <w:rsid w:val="00647836"/>
    <w:rsid w:val="006503F3"/>
    <w:rsid w:val="006507CB"/>
    <w:rsid w:val="006512E7"/>
    <w:rsid w:val="006513DC"/>
    <w:rsid w:val="00651A5B"/>
    <w:rsid w:val="00651A65"/>
    <w:rsid w:val="0065223B"/>
    <w:rsid w:val="00652BBD"/>
    <w:rsid w:val="00652E52"/>
    <w:rsid w:val="00652E85"/>
    <w:rsid w:val="00653C72"/>
    <w:rsid w:val="00654014"/>
    <w:rsid w:val="006540D5"/>
    <w:rsid w:val="00654212"/>
    <w:rsid w:val="00654D43"/>
    <w:rsid w:val="00654DAC"/>
    <w:rsid w:val="00654EE1"/>
    <w:rsid w:val="0065510B"/>
    <w:rsid w:val="00655ACC"/>
    <w:rsid w:val="00656503"/>
    <w:rsid w:val="0065673E"/>
    <w:rsid w:val="006568C4"/>
    <w:rsid w:val="00656A4E"/>
    <w:rsid w:val="00656C9D"/>
    <w:rsid w:val="00656D03"/>
    <w:rsid w:val="006574DA"/>
    <w:rsid w:val="006577CF"/>
    <w:rsid w:val="0065785E"/>
    <w:rsid w:val="00657AED"/>
    <w:rsid w:val="00657E22"/>
    <w:rsid w:val="0066045A"/>
    <w:rsid w:val="00660C35"/>
    <w:rsid w:val="00660E27"/>
    <w:rsid w:val="00660E74"/>
    <w:rsid w:val="00661133"/>
    <w:rsid w:val="00661327"/>
    <w:rsid w:val="00661F3A"/>
    <w:rsid w:val="0066201F"/>
    <w:rsid w:val="00662021"/>
    <w:rsid w:val="006630DB"/>
    <w:rsid w:val="00663890"/>
    <w:rsid w:val="0066403A"/>
    <w:rsid w:val="00664172"/>
    <w:rsid w:val="0066469F"/>
    <w:rsid w:val="00664951"/>
    <w:rsid w:val="006649BF"/>
    <w:rsid w:val="0066501E"/>
    <w:rsid w:val="006655FE"/>
    <w:rsid w:val="00665891"/>
    <w:rsid w:val="00665FC9"/>
    <w:rsid w:val="00666311"/>
    <w:rsid w:val="0066642A"/>
    <w:rsid w:val="0066645F"/>
    <w:rsid w:val="00666630"/>
    <w:rsid w:val="00666785"/>
    <w:rsid w:val="00666E1A"/>
    <w:rsid w:val="006670A3"/>
    <w:rsid w:val="0066747B"/>
    <w:rsid w:val="00667616"/>
    <w:rsid w:val="00667EB0"/>
    <w:rsid w:val="00667F25"/>
    <w:rsid w:val="0067096F"/>
    <w:rsid w:val="00670B09"/>
    <w:rsid w:val="00671344"/>
    <w:rsid w:val="00671504"/>
    <w:rsid w:val="0067196F"/>
    <w:rsid w:val="00671A37"/>
    <w:rsid w:val="00671AA9"/>
    <w:rsid w:val="006722BD"/>
    <w:rsid w:val="0067241D"/>
    <w:rsid w:val="00672964"/>
    <w:rsid w:val="006730D7"/>
    <w:rsid w:val="006733F4"/>
    <w:rsid w:val="00673431"/>
    <w:rsid w:val="00673470"/>
    <w:rsid w:val="00673486"/>
    <w:rsid w:val="0067386C"/>
    <w:rsid w:val="00673A28"/>
    <w:rsid w:val="00673A95"/>
    <w:rsid w:val="00673C97"/>
    <w:rsid w:val="00674022"/>
    <w:rsid w:val="00674C8D"/>
    <w:rsid w:val="006753E2"/>
    <w:rsid w:val="006754CF"/>
    <w:rsid w:val="0067562A"/>
    <w:rsid w:val="006757D7"/>
    <w:rsid w:val="0067580E"/>
    <w:rsid w:val="00675FAC"/>
    <w:rsid w:val="00676584"/>
    <w:rsid w:val="00676A04"/>
    <w:rsid w:val="00676DEB"/>
    <w:rsid w:val="0067744A"/>
    <w:rsid w:val="006775B6"/>
    <w:rsid w:val="00677CBD"/>
    <w:rsid w:val="0068004B"/>
    <w:rsid w:val="006806D4"/>
    <w:rsid w:val="006807DE"/>
    <w:rsid w:val="006808C8"/>
    <w:rsid w:val="00680CD9"/>
    <w:rsid w:val="00680D35"/>
    <w:rsid w:val="00680EB3"/>
    <w:rsid w:val="00681590"/>
    <w:rsid w:val="00681C60"/>
    <w:rsid w:val="00681E53"/>
    <w:rsid w:val="00681EF0"/>
    <w:rsid w:val="006821B0"/>
    <w:rsid w:val="0068240F"/>
    <w:rsid w:val="006825FD"/>
    <w:rsid w:val="00682A02"/>
    <w:rsid w:val="00683B72"/>
    <w:rsid w:val="006842A5"/>
    <w:rsid w:val="00684655"/>
    <w:rsid w:val="00684B43"/>
    <w:rsid w:val="00685139"/>
    <w:rsid w:val="006851AB"/>
    <w:rsid w:val="0068538E"/>
    <w:rsid w:val="00685394"/>
    <w:rsid w:val="0068543C"/>
    <w:rsid w:val="00685C01"/>
    <w:rsid w:val="00685E7D"/>
    <w:rsid w:val="0068685C"/>
    <w:rsid w:val="00686A05"/>
    <w:rsid w:val="006874FD"/>
    <w:rsid w:val="0068777B"/>
    <w:rsid w:val="006879C4"/>
    <w:rsid w:val="00687ABD"/>
    <w:rsid w:val="00687AC4"/>
    <w:rsid w:val="00687DC9"/>
    <w:rsid w:val="00687EAE"/>
    <w:rsid w:val="00687F08"/>
    <w:rsid w:val="0069018D"/>
    <w:rsid w:val="006902C6"/>
    <w:rsid w:val="00690BF4"/>
    <w:rsid w:val="00691078"/>
    <w:rsid w:val="0069140B"/>
    <w:rsid w:val="006916D5"/>
    <w:rsid w:val="006916F2"/>
    <w:rsid w:val="00691747"/>
    <w:rsid w:val="00692168"/>
    <w:rsid w:val="0069268E"/>
    <w:rsid w:val="006927F2"/>
    <w:rsid w:val="006930CF"/>
    <w:rsid w:val="0069341F"/>
    <w:rsid w:val="00693713"/>
    <w:rsid w:val="006937AC"/>
    <w:rsid w:val="00693855"/>
    <w:rsid w:val="00693ACA"/>
    <w:rsid w:val="00693AE3"/>
    <w:rsid w:val="006949FC"/>
    <w:rsid w:val="00694E51"/>
    <w:rsid w:val="00695CCE"/>
    <w:rsid w:val="00696260"/>
    <w:rsid w:val="00696423"/>
    <w:rsid w:val="00696BB0"/>
    <w:rsid w:val="0069710A"/>
    <w:rsid w:val="00697137"/>
    <w:rsid w:val="006A0152"/>
    <w:rsid w:val="006A025F"/>
    <w:rsid w:val="006A08DC"/>
    <w:rsid w:val="006A0AED"/>
    <w:rsid w:val="006A0FB5"/>
    <w:rsid w:val="006A170D"/>
    <w:rsid w:val="006A1C8D"/>
    <w:rsid w:val="006A22C4"/>
    <w:rsid w:val="006A2A62"/>
    <w:rsid w:val="006A3096"/>
    <w:rsid w:val="006A3B82"/>
    <w:rsid w:val="006A3E1F"/>
    <w:rsid w:val="006A44D5"/>
    <w:rsid w:val="006A44FB"/>
    <w:rsid w:val="006A49BF"/>
    <w:rsid w:val="006A4B28"/>
    <w:rsid w:val="006A4C1F"/>
    <w:rsid w:val="006A4F40"/>
    <w:rsid w:val="006A514D"/>
    <w:rsid w:val="006A51D7"/>
    <w:rsid w:val="006A52D1"/>
    <w:rsid w:val="006A52E5"/>
    <w:rsid w:val="006A53E1"/>
    <w:rsid w:val="006A553A"/>
    <w:rsid w:val="006A5BB1"/>
    <w:rsid w:val="006A5BE5"/>
    <w:rsid w:val="006A63CC"/>
    <w:rsid w:val="006A6413"/>
    <w:rsid w:val="006A69E5"/>
    <w:rsid w:val="006A6A2E"/>
    <w:rsid w:val="006A6A8B"/>
    <w:rsid w:val="006A6C79"/>
    <w:rsid w:val="006A79AC"/>
    <w:rsid w:val="006A7C29"/>
    <w:rsid w:val="006A7E43"/>
    <w:rsid w:val="006A7FC0"/>
    <w:rsid w:val="006B05BD"/>
    <w:rsid w:val="006B0601"/>
    <w:rsid w:val="006B0ED1"/>
    <w:rsid w:val="006B1168"/>
    <w:rsid w:val="006B14DA"/>
    <w:rsid w:val="006B1C6A"/>
    <w:rsid w:val="006B1CFE"/>
    <w:rsid w:val="006B1F36"/>
    <w:rsid w:val="006B250A"/>
    <w:rsid w:val="006B254E"/>
    <w:rsid w:val="006B2665"/>
    <w:rsid w:val="006B27F9"/>
    <w:rsid w:val="006B297E"/>
    <w:rsid w:val="006B2E80"/>
    <w:rsid w:val="006B3137"/>
    <w:rsid w:val="006B3A25"/>
    <w:rsid w:val="006B3E70"/>
    <w:rsid w:val="006B3EDB"/>
    <w:rsid w:val="006B405E"/>
    <w:rsid w:val="006B4070"/>
    <w:rsid w:val="006B4286"/>
    <w:rsid w:val="006B42DA"/>
    <w:rsid w:val="006B430F"/>
    <w:rsid w:val="006B4324"/>
    <w:rsid w:val="006B4685"/>
    <w:rsid w:val="006B4971"/>
    <w:rsid w:val="006B4BF0"/>
    <w:rsid w:val="006B5166"/>
    <w:rsid w:val="006B5F5D"/>
    <w:rsid w:val="006B6044"/>
    <w:rsid w:val="006B6111"/>
    <w:rsid w:val="006B6684"/>
    <w:rsid w:val="006B6A34"/>
    <w:rsid w:val="006B6BAD"/>
    <w:rsid w:val="006B74B1"/>
    <w:rsid w:val="006B7AB9"/>
    <w:rsid w:val="006B7B62"/>
    <w:rsid w:val="006C04FB"/>
    <w:rsid w:val="006C0E99"/>
    <w:rsid w:val="006C12BA"/>
    <w:rsid w:val="006C168C"/>
    <w:rsid w:val="006C1D82"/>
    <w:rsid w:val="006C1E7B"/>
    <w:rsid w:val="006C2573"/>
    <w:rsid w:val="006C2AE3"/>
    <w:rsid w:val="006C2CD5"/>
    <w:rsid w:val="006C3236"/>
    <w:rsid w:val="006C3549"/>
    <w:rsid w:val="006C38AE"/>
    <w:rsid w:val="006C3A6D"/>
    <w:rsid w:val="006C3CE4"/>
    <w:rsid w:val="006C4030"/>
    <w:rsid w:val="006C48D7"/>
    <w:rsid w:val="006C4BBA"/>
    <w:rsid w:val="006C525E"/>
    <w:rsid w:val="006C5371"/>
    <w:rsid w:val="006C5854"/>
    <w:rsid w:val="006C5864"/>
    <w:rsid w:val="006C5EA2"/>
    <w:rsid w:val="006C613A"/>
    <w:rsid w:val="006C67AC"/>
    <w:rsid w:val="006C6A97"/>
    <w:rsid w:val="006C6AFB"/>
    <w:rsid w:val="006C6E72"/>
    <w:rsid w:val="006C71EC"/>
    <w:rsid w:val="006C77D4"/>
    <w:rsid w:val="006C7A87"/>
    <w:rsid w:val="006C7B90"/>
    <w:rsid w:val="006C7C0D"/>
    <w:rsid w:val="006D09AB"/>
    <w:rsid w:val="006D0BED"/>
    <w:rsid w:val="006D0EF1"/>
    <w:rsid w:val="006D0F9A"/>
    <w:rsid w:val="006D144A"/>
    <w:rsid w:val="006D1C11"/>
    <w:rsid w:val="006D1E9E"/>
    <w:rsid w:val="006D209F"/>
    <w:rsid w:val="006D2631"/>
    <w:rsid w:val="006D2841"/>
    <w:rsid w:val="006D2AD8"/>
    <w:rsid w:val="006D2F32"/>
    <w:rsid w:val="006D36CA"/>
    <w:rsid w:val="006D3CE8"/>
    <w:rsid w:val="006D3E1F"/>
    <w:rsid w:val="006D47B4"/>
    <w:rsid w:val="006D4812"/>
    <w:rsid w:val="006D4861"/>
    <w:rsid w:val="006D4D76"/>
    <w:rsid w:val="006D5073"/>
    <w:rsid w:val="006D53AC"/>
    <w:rsid w:val="006D53E3"/>
    <w:rsid w:val="006D5825"/>
    <w:rsid w:val="006D5AFC"/>
    <w:rsid w:val="006D5B4A"/>
    <w:rsid w:val="006D5BD7"/>
    <w:rsid w:val="006D5E82"/>
    <w:rsid w:val="006D6014"/>
    <w:rsid w:val="006D6214"/>
    <w:rsid w:val="006D65E9"/>
    <w:rsid w:val="006D6838"/>
    <w:rsid w:val="006D689D"/>
    <w:rsid w:val="006D69D0"/>
    <w:rsid w:val="006D76E8"/>
    <w:rsid w:val="006D7842"/>
    <w:rsid w:val="006D79CF"/>
    <w:rsid w:val="006D79D5"/>
    <w:rsid w:val="006D7A8F"/>
    <w:rsid w:val="006E0544"/>
    <w:rsid w:val="006E0E39"/>
    <w:rsid w:val="006E0FCF"/>
    <w:rsid w:val="006E123F"/>
    <w:rsid w:val="006E1253"/>
    <w:rsid w:val="006E13E5"/>
    <w:rsid w:val="006E1CE2"/>
    <w:rsid w:val="006E24C6"/>
    <w:rsid w:val="006E2583"/>
    <w:rsid w:val="006E2962"/>
    <w:rsid w:val="006E2B42"/>
    <w:rsid w:val="006E2EC9"/>
    <w:rsid w:val="006E336E"/>
    <w:rsid w:val="006E3789"/>
    <w:rsid w:val="006E3A73"/>
    <w:rsid w:val="006E50B3"/>
    <w:rsid w:val="006E5240"/>
    <w:rsid w:val="006E5B01"/>
    <w:rsid w:val="006E5C05"/>
    <w:rsid w:val="006E6428"/>
    <w:rsid w:val="006E69D0"/>
    <w:rsid w:val="006E6A45"/>
    <w:rsid w:val="006E6AD2"/>
    <w:rsid w:val="006E6C60"/>
    <w:rsid w:val="006E7059"/>
    <w:rsid w:val="006E7086"/>
    <w:rsid w:val="006E70EA"/>
    <w:rsid w:val="006E76D0"/>
    <w:rsid w:val="006E78BA"/>
    <w:rsid w:val="006E7C76"/>
    <w:rsid w:val="006F0135"/>
    <w:rsid w:val="006F09D5"/>
    <w:rsid w:val="006F0E3C"/>
    <w:rsid w:val="006F13F1"/>
    <w:rsid w:val="006F1611"/>
    <w:rsid w:val="006F184A"/>
    <w:rsid w:val="006F1960"/>
    <w:rsid w:val="006F1A20"/>
    <w:rsid w:val="006F20FC"/>
    <w:rsid w:val="006F2393"/>
    <w:rsid w:val="006F2414"/>
    <w:rsid w:val="006F2A81"/>
    <w:rsid w:val="006F2F5F"/>
    <w:rsid w:val="006F33B2"/>
    <w:rsid w:val="006F344A"/>
    <w:rsid w:val="006F3755"/>
    <w:rsid w:val="006F4494"/>
    <w:rsid w:val="006F454F"/>
    <w:rsid w:val="006F4B12"/>
    <w:rsid w:val="006F4C0A"/>
    <w:rsid w:val="006F4D22"/>
    <w:rsid w:val="006F4FC3"/>
    <w:rsid w:val="006F5266"/>
    <w:rsid w:val="006F55C3"/>
    <w:rsid w:val="006F5D1A"/>
    <w:rsid w:val="006F5E90"/>
    <w:rsid w:val="006F6352"/>
    <w:rsid w:val="006F63BC"/>
    <w:rsid w:val="006F65BA"/>
    <w:rsid w:val="006F693A"/>
    <w:rsid w:val="006F6A80"/>
    <w:rsid w:val="006F6AB4"/>
    <w:rsid w:val="006F70F7"/>
    <w:rsid w:val="006F7BAD"/>
    <w:rsid w:val="0070060D"/>
    <w:rsid w:val="007008B9"/>
    <w:rsid w:val="00700D4F"/>
    <w:rsid w:val="007019F6"/>
    <w:rsid w:val="00702001"/>
    <w:rsid w:val="00702340"/>
    <w:rsid w:val="00702887"/>
    <w:rsid w:val="007033BF"/>
    <w:rsid w:val="0070362E"/>
    <w:rsid w:val="00703977"/>
    <w:rsid w:val="00703CEB"/>
    <w:rsid w:val="00703FFA"/>
    <w:rsid w:val="0070451C"/>
    <w:rsid w:val="007048A5"/>
    <w:rsid w:val="0070490F"/>
    <w:rsid w:val="00704A24"/>
    <w:rsid w:val="0070533A"/>
    <w:rsid w:val="00705728"/>
    <w:rsid w:val="00705A8A"/>
    <w:rsid w:val="00705D94"/>
    <w:rsid w:val="007061A4"/>
    <w:rsid w:val="007064D2"/>
    <w:rsid w:val="00706913"/>
    <w:rsid w:val="00707BD1"/>
    <w:rsid w:val="00707EB7"/>
    <w:rsid w:val="00707ED4"/>
    <w:rsid w:val="00710015"/>
    <w:rsid w:val="00710587"/>
    <w:rsid w:val="00710751"/>
    <w:rsid w:val="00710995"/>
    <w:rsid w:val="00710FAB"/>
    <w:rsid w:val="00711455"/>
    <w:rsid w:val="0071175D"/>
    <w:rsid w:val="00711A70"/>
    <w:rsid w:val="00711A7C"/>
    <w:rsid w:val="00711C3D"/>
    <w:rsid w:val="007122EB"/>
    <w:rsid w:val="007123B0"/>
    <w:rsid w:val="007123DB"/>
    <w:rsid w:val="007139C8"/>
    <w:rsid w:val="0071408B"/>
    <w:rsid w:val="007140CE"/>
    <w:rsid w:val="00714B99"/>
    <w:rsid w:val="00714BBD"/>
    <w:rsid w:val="00714D8D"/>
    <w:rsid w:val="007152FF"/>
    <w:rsid w:val="0071538D"/>
    <w:rsid w:val="0071570D"/>
    <w:rsid w:val="007158F9"/>
    <w:rsid w:val="00715B63"/>
    <w:rsid w:val="00715C18"/>
    <w:rsid w:val="007163CD"/>
    <w:rsid w:val="0071675E"/>
    <w:rsid w:val="00716A79"/>
    <w:rsid w:val="00716B06"/>
    <w:rsid w:val="00716BF4"/>
    <w:rsid w:val="007173B1"/>
    <w:rsid w:val="00717B58"/>
    <w:rsid w:val="00717C49"/>
    <w:rsid w:val="00717C82"/>
    <w:rsid w:val="00720112"/>
    <w:rsid w:val="007201D7"/>
    <w:rsid w:val="007202CC"/>
    <w:rsid w:val="007203E2"/>
    <w:rsid w:val="00720482"/>
    <w:rsid w:val="007207B9"/>
    <w:rsid w:val="007213AE"/>
    <w:rsid w:val="00721B9C"/>
    <w:rsid w:val="00721FE4"/>
    <w:rsid w:val="0072202E"/>
    <w:rsid w:val="00722401"/>
    <w:rsid w:val="00722584"/>
    <w:rsid w:val="00722760"/>
    <w:rsid w:val="00722844"/>
    <w:rsid w:val="00722F55"/>
    <w:rsid w:val="00723315"/>
    <w:rsid w:val="00723336"/>
    <w:rsid w:val="007233B9"/>
    <w:rsid w:val="00723871"/>
    <w:rsid w:val="007239D8"/>
    <w:rsid w:val="00723A79"/>
    <w:rsid w:val="00723DD4"/>
    <w:rsid w:val="0072467B"/>
    <w:rsid w:val="00724695"/>
    <w:rsid w:val="0072491A"/>
    <w:rsid w:val="00724AFD"/>
    <w:rsid w:val="00724C2C"/>
    <w:rsid w:val="00724FB8"/>
    <w:rsid w:val="0072543F"/>
    <w:rsid w:val="00725F35"/>
    <w:rsid w:val="00726396"/>
    <w:rsid w:val="0072678F"/>
    <w:rsid w:val="00726A2D"/>
    <w:rsid w:val="00726A84"/>
    <w:rsid w:val="00726B9F"/>
    <w:rsid w:val="00727249"/>
    <w:rsid w:val="007276CC"/>
    <w:rsid w:val="007276DA"/>
    <w:rsid w:val="00727884"/>
    <w:rsid w:val="007301B1"/>
    <w:rsid w:val="0073062F"/>
    <w:rsid w:val="00730C05"/>
    <w:rsid w:val="00730C9A"/>
    <w:rsid w:val="00730D5B"/>
    <w:rsid w:val="00730D6D"/>
    <w:rsid w:val="00730D97"/>
    <w:rsid w:val="007319F3"/>
    <w:rsid w:val="007320E0"/>
    <w:rsid w:val="007324F5"/>
    <w:rsid w:val="00732918"/>
    <w:rsid w:val="00732C91"/>
    <w:rsid w:val="0073300E"/>
    <w:rsid w:val="007333A6"/>
    <w:rsid w:val="00733AF7"/>
    <w:rsid w:val="00733DB0"/>
    <w:rsid w:val="00734342"/>
    <w:rsid w:val="00734A95"/>
    <w:rsid w:val="00734D3B"/>
    <w:rsid w:val="007350E3"/>
    <w:rsid w:val="00735802"/>
    <w:rsid w:val="00735B43"/>
    <w:rsid w:val="00735F8A"/>
    <w:rsid w:val="00736034"/>
    <w:rsid w:val="0073603F"/>
    <w:rsid w:val="0073606C"/>
    <w:rsid w:val="0073678F"/>
    <w:rsid w:val="00736E17"/>
    <w:rsid w:val="00736F73"/>
    <w:rsid w:val="00737355"/>
    <w:rsid w:val="007408C1"/>
    <w:rsid w:val="00740943"/>
    <w:rsid w:val="00740E28"/>
    <w:rsid w:val="0074194D"/>
    <w:rsid w:val="00741D6A"/>
    <w:rsid w:val="00742022"/>
    <w:rsid w:val="00742104"/>
    <w:rsid w:val="0074243D"/>
    <w:rsid w:val="007425CE"/>
    <w:rsid w:val="0074285A"/>
    <w:rsid w:val="00742CFF"/>
    <w:rsid w:val="00743101"/>
    <w:rsid w:val="0074388C"/>
    <w:rsid w:val="007438B6"/>
    <w:rsid w:val="007438D8"/>
    <w:rsid w:val="00744063"/>
    <w:rsid w:val="00744072"/>
    <w:rsid w:val="0074427B"/>
    <w:rsid w:val="00744330"/>
    <w:rsid w:val="00744926"/>
    <w:rsid w:val="00744E02"/>
    <w:rsid w:val="00744EC5"/>
    <w:rsid w:val="00745094"/>
    <w:rsid w:val="007451C6"/>
    <w:rsid w:val="00745560"/>
    <w:rsid w:val="007456D8"/>
    <w:rsid w:val="00745BF5"/>
    <w:rsid w:val="00745C56"/>
    <w:rsid w:val="00745D98"/>
    <w:rsid w:val="00746188"/>
    <w:rsid w:val="007464C0"/>
    <w:rsid w:val="0074677C"/>
    <w:rsid w:val="007468CC"/>
    <w:rsid w:val="00746D3C"/>
    <w:rsid w:val="00746D6A"/>
    <w:rsid w:val="00746F27"/>
    <w:rsid w:val="00747264"/>
    <w:rsid w:val="00747348"/>
    <w:rsid w:val="0074736D"/>
    <w:rsid w:val="00747559"/>
    <w:rsid w:val="0074771E"/>
    <w:rsid w:val="0074798B"/>
    <w:rsid w:val="00747FBB"/>
    <w:rsid w:val="007504C9"/>
    <w:rsid w:val="007508C3"/>
    <w:rsid w:val="00750E73"/>
    <w:rsid w:val="007511E4"/>
    <w:rsid w:val="0075156F"/>
    <w:rsid w:val="0075192A"/>
    <w:rsid w:val="00751F14"/>
    <w:rsid w:val="00751F7B"/>
    <w:rsid w:val="007531C5"/>
    <w:rsid w:val="007535BB"/>
    <w:rsid w:val="007535C3"/>
    <w:rsid w:val="0075417C"/>
    <w:rsid w:val="007543CA"/>
    <w:rsid w:val="007547DE"/>
    <w:rsid w:val="0075499D"/>
    <w:rsid w:val="00754A71"/>
    <w:rsid w:val="00754F28"/>
    <w:rsid w:val="00755481"/>
    <w:rsid w:val="007559B0"/>
    <w:rsid w:val="00755C1E"/>
    <w:rsid w:val="00755C8A"/>
    <w:rsid w:val="007560C6"/>
    <w:rsid w:val="00756221"/>
    <w:rsid w:val="007564DC"/>
    <w:rsid w:val="007576E9"/>
    <w:rsid w:val="00757ECA"/>
    <w:rsid w:val="00757FE1"/>
    <w:rsid w:val="007604E8"/>
    <w:rsid w:val="007607E5"/>
    <w:rsid w:val="0076099A"/>
    <w:rsid w:val="00761254"/>
    <w:rsid w:val="007619F6"/>
    <w:rsid w:val="00761A44"/>
    <w:rsid w:val="00761AEC"/>
    <w:rsid w:val="00761BB7"/>
    <w:rsid w:val="00762299"/>
    <w:rsid w:val="00762C62"/>
    <w:rsid w:val="007635BF"/>
    <w:rsid w:val="00764026"/>
    <w:rsid w:val="00764108"/>
    <w:rsid w:val="0076424A"/>
    <w:rsid w:val="00764583"/>
    <w:rsid w:val="0076472A"/>
    <w:rsid w:val="007648E5"/>
    <w:rsid w:val="0076492A"/>
    <w:rsid w:val="00764996"/>
    <w:rsid w:val="0076509B"/>
    <w:rsid w:val="00765994"/>
    <w:rsid w:val="00765A1D"/>
    <w:rsid w:val="00765F5B"/>
    <w:rsid w:val="00766296"/>
    <w:rsid w:val="007667EE"/>
    <w:rsid w:val="00766D8C"/>
    <w:rsid w:val="00767230"/>
    <w:rsid w:val="00767346"/>
    <w:rsid w:val="00767BAF"/>
    <w:rsid w:val="00767E15"/>
    <w:rsid w:val="00767EDB"/>
    <w:rsid w:val="00770B2B"/>
    <w:rsid w:val="00771C0C"/>
    <w:rsid w:val="00772078"/>
    <w:rsid w:val="007722E9"/>
    <w:rsid w:val="007725B1"/>
    <w:rsid w:val="0077289F"/>
    <w:rsid w:val="007729FF"/>
    <w:rsid w:val="00772B57"/>
    <w:rsid w:val="0077343C"/>
    <w:rsid w:val="007738FC"/>
    <w:rsid w:val="00773DAA"/>
    <w:rsid w:val="007742F2"/>
    <w:rsid w:val="00774364"/>
    <w:rsid w:val="00774675"/>
    <w:rsid w:val="0077484E"/>
    <w:rsid w:val="00774865"/>
    <w:rsid w:val="00774CD6"/>
    <w:rsid w:val="00774D71"/>
    <w:rsid w:val="00774DE9"/>
    <w:rsid w:val="00775725"/>
    <w:rsid w:val="00775796"/>
    <w:rsid w:val="00776108"/>
    <w:rsid w:val="00776426"/>
    <w:rsid w:val="00776821"/>
    <w:rsid w:val="00776BE1"/>
    <w:rsid w:val="00776BEA"/>
    <w:rsid w:val="00777C80"/>
    <w:rsid w:val="007800DA"/>
    <w:rsid w:val="00780108"/>
    <w:rsid w:val="00780328"/>
    <w:rsid w:val="00780372"/>
    <w:rsid w:val="0078092D"/>
    <w:rsid w:val="00781072"/>
    <w:rsid w:val="00781190"/>
    <w:rsid w:val="00781411"/>
    <w:rsid w:val="007816EA"/>
    <w:rsid w:val="00781718"/>
    <w:rsid w:val="007819D9"/>
    <w:rsid w:val="00781CDA"/>
    <w:rsid w:val="00781D6F"/>
    <w:rsid w:val="00781EF9"/>
    <w:rsid w:val="00781FB1"/>
    <w:rsid w:val="0078200A"/>
    <w:rsid w:val="00782034"/>
    <w:rsid w:val="007820E7"/>
    <w:rsid w:val="00782117"/>
    <w:rsid w:val="00782501"/>
    <w:rsid w:val="007829FD"/>
    <w:rsid w:val="00782CB3"/>
    <w:rsid w:val="00782D7A"/>
    <w:rsid w:val="00782ECC"/>
    <w:rsid w:val="007834E4"/>
    <w:rsid w:val="00783A76"/>
    <w:rsid w:val="00783D42"/>
    <w:rsid w:val="00783E7D"/>
    <w:rsid w:val="0078455D"/>
    <w:rsid w:val="007846DF"/>
    <w:rsid w:val="007849A5"/>
    <w:rsid w:val="00784CEF"/>
    <w:rsid w:val="00785686"/>
    <w:rsid w:val="0078660D"/>
    <w:rsid w:val="007867F9"/>
    <w:rsid w:val="00786821"/>
    <w:rsid w:val="0078697F"/>
    <w:rsid w:val="00786A9C"/>
    <w:rsid w:val="00786BF3"/>
    <w:rsid w:val="00786DF8"/>
    <w:rsid w:val="00786F89"/>
    <w:rsid w:val="00787180"/>
    <w:rsid w:val="00787226"/>
    <w:rsid w:val="007877D2"/>
    <w:rsid w:val="00787970"/>
    <w:rsid w:val="007879FF"/>
    <w:rsid w:val="00787D9D"/>
    <w:rsid w:val="00787E76"/>
    <w:rsid w:val="00787F64"/>
    <w:rsid w:val="00790322"/>
    <w:rsid w:val="007906AF"/>
    <w:rsid w:val="00790C69"/>
    <w:rsid w:val="00790C9A"/>
    <w:rsid w:val="0079128C"/>
    <w:rsid w:val="00791897"/>
    <w:rsid w:val="00791DAA"/>
    <w:rsid w:val="00792840"/>
    <w:rsid w:val="0079285E"/>
    <w:rsid w:val="00792AEE"/>
    <w:rsid w:val="00792D44"/>
    <w:rsid w:val="00792D88"/>
    <w:rsid w:val="00793269"/>
    <w:rsid w:val="00793AC9"/>
    <w:rsid w:val="00793EAF"/>
    <w:rsid w:val="00793FB8"/>
    <w:rsid w:val="0079449F"/>
    <w:rsid w:val="0079455E"/>
    <w:rsid w:val="00795303"/>
    <w:rsid w:val="00795496"/>
    <w:rsid w:val="0079561B"/>
    <w:rsid w:val="00795962"/>
    <w:rsid w:val="00795E34"/>
    <w:rsid w:val="00796590"/>
    <w:rsid w:val="00797311"/>
    <w:rsid w:val="007977C0"/>
    <w:rsid w:val="00797CA1"/>
    <w:rsid w:val="00797D26"/>
    <w:rsid w:val="007A05B2"/>
    <w:rsid w:val="007A0EE8"/>
    <w:rsid w:val="007A0F9A"/>
    <w:rsid w:val="007A100D"/>
    <w:rsid w:val="007A16CD"/>
    <w:rsid w:val="007A1B71"/>
    <w:rsid w:val="007A208C"/>
    <w:rsid w:val="007A2734"/>
    <w:rsid w:val="007A27E0"/>
    <w:rsid w:val="007A295F"/>
    <w:rsid w:val="007A31FD"/>
    <w:rsid w:val="007A38E8"/>
    <w:rsid w:val="007A3A4C"/>
    <w:rsid w:val="007A40A0"/>
    <w:rsid w:val="007A4360"/>
    <w:rsid w:val="007A4D6F"/>
    <w:rsid w:val="007A540D"/>
    <w:rsid w:val="007A58DF"/>
    <w:rsid w:val="007A6035"/>
    <w:rsid w:val="007A7187"/>
    <w:rsid w:val="007A7F34"/>
    <w:rsid w:val="007B080A"/>
    <w:rsid w:val="007B0B23"/>
    <w:rsid w:val="007B0FC6"/>
    <w:rsid w:val="007B1BA0"/>
    <w:rsid w:val="007B23FF"/>
    <w:rsid w:val="007B2543"/>
    <w:rsid w:val="007B2620"/>
    <w:rsid w:val="007B28A9"/>
    <w:rsid w:val="007B2983"/>
    <w:rsid w:val="007B340E"/>
    <w:rsid w:val="007B356B"/>
    <w:rsid w:val="007B3BA7"/>
    <w:rsid w:val="007B45B5"/>
    <w:rsid w:val="007B463B"/>
    <w:rsid w:val="007B472F"/>
    <w:rsid w:val="007B4BE0"/>
    <w:rsid w:val="007B526B"/>
    <w:rsid w:val="007B529E"/>
    <w:rsid w:val="007B5418"/>
    <w:rsid w:val="007B55E9"/>
    <w:rsid w:val="007B58E8"/>
    <w:rsid w:val="007B626D"/>
    <w:rsid w:val="007B6281"/>
    <w:rsid w:val="007B631E"/>
    <w:rsid w:val="007B6424"/>
    <w:rsid w:val="007B68F9"/>
    <w:rsid w:val="007B6AE3"/>
    <w:rsid w:val="007B6D47"/>
    <w:rsid w:val="007B725E"/>
    <w:rsid w:val="007B7677"/>
    <w:rsid w:val="007B76D6"/>
    <w:rsid w:val="007B7766"/>
    <w:rsid w:val="007B7B7E"/>
    <w:rsid w:val="007B7FCF"/>
    <w:rsid w:val="007C0B9E"/>
    <w:rsid w:val="007C1261"/>
    <w:rsid w:val="007C13B2"/>
    <w:rsid w:val="007C1FE6"/>
    <w:rsid w:val="007C2F6C"/>
    <w:rsid w:val="007C2FD4"/>
    <w:rsid w:val="007C36A1"/>
    <w:rsid w:val="007C375A"/>
    <w:rsid w:val="007C3C7C"/>
    <w:rsid w:val="007C418C"/>
    <w:rsid w:val="007C472C"/>
    <w:rsid w:val="007C47FE"/>
    <w:rsid w:val="007C50F0"/>
    <w:rsid w:val="007C51B7"/>
    <w:rsid w:val="007C5252"/>
    <w:rsid w:val="007C5714"/>
    <w:rsid w:val="007C706B"/>
    <w:rsid w:val="007C711C"/>
    <w:rsid w:val="007C7F5A"/>
    <w:rsid w:val="007D0080"/>
    <w:rsid w:val="007D02B5"/>
    <w:rsid w:val="007D0609"/>
    <w:rsid w:val="007D06EA"/>
    <w:rsid w:val="007D0831"/>
    <w:rsid w:val="007D0AAA"/>
    <w:rsid w:val="007D107D"/>
    <w:rsid w:val="007D10A5"/>
    <w:rsid w:val="007D1248"/>
    <w:rsid w:val="007D138F"/>
    <w:rsid w:val="007D13AC"/>
    <w:rsid w:val="007D13E7"/>
    <w:rsid w:val="007D1B38"/>
    <w:rsid w:val="007D1D5E"/>
    <w:rsid w:val="007D1E0C"/>
    <w:rsid w:val="007D1FA5"/>
    <w:rsid w:val="007D2A11"/>
    <w:rsid w:val="007D3AB8"/>
    <w:rsid w:val="007D3E50"/>
    <w:rsid w:val="007D4DD0"/>
    <w:rsid w:val="007D5186"/>
    <w:rsid w:val="007D51E1"/>
    <w:rsid w:val="007D59DF"/>
    <w:rsid w:val="007D61C9"/>
    <w:rsid w:val="007D6236"/>
    <w:rsid w:val="007D63A1"/>
    <w:rsid w:val="007D6635"/>
    <w:rsid w:val="007D66CB"/>
    <w:rsid w:val="007D66D8"/>
    <w:rsid w:val="007D674A"/>
    <w:rsid w:val="007D6AC2"/>
    <w:rsid w:val="007D6B40"/>
    <w:rsid w:val="007D6FC3"/>
    <w:rsid w:val="007D709F"/>
    <w:rsid w:val="007D71DC"/>
    <w:rsid w:val="007D7400"/>
    <w:rsid w:val="007D7581"/>
    <w:rsid w:val="007D764C"/>
    <w:rsid w:val="007D789D"/>
    <w:rsid w:val="007D78B5"/>
    <w:rsid w:val="007D7979"/>
    <w:rsid w:val="007E0108"/>
    <w:rsid w:val="007E0419"/>
    <w:rsid w:val="007E0CB3"/>
    <w:rsid w:val="007E0D31"/>
    <w:rsid w:val="007E0D72"/>
    <w:rsid w:val="007E10EB"/>
    <w:rsid w:val="007E1822"/>
    <w:rsid w:val="007E189D"/>
    <w:rsid w:val="007E1E34"/>
    <w:rsid w:val="007E23E0"/>
    <w:rsid w:val="007E2B17"/>
    <w:rsid w:val="007E3076"/>
    <w:rsid w:val="007E3095"/>
    <w:rsid w:val="007E3660"/>
    <w:rsid w:val="007E38B6"/>
    <w:rsid w:val="007E463F"/>
    <w:rsid w:val="007E4EFD"/>
    <w:rsid w:val="007E52BA"/>
    <w:rsid w:val="007E55A8"/>
    <w:rsid w:val="007E5641"/>
    <w:rsid w:val="007E5652"/>
    <w:rsid w:val="007E5B1E"/>
    <w:rsid w:val="007E6943"/>
    <w:rsid w:val="007E6BB9"/>
    <w:rsid w:val="007E6BBF"/>
    <w:rsid w:val="007E6CEE"/>
    <w:rsid w:val="007F00F5"/>
    <w:rsid w:val="007F015A"/>
    <w:rsid w:val="007F0577"/>
    <w:rsid w:val="007F0A35"/>
    <w:rsid w:val="007F0C32"/>
    <w:rsid w:val="007F0F2B"/>
    <w:rsid w:val="007F12CC"/>
    <w:rsid w:val="007F13BF"/>
    <w:rsid w:val="007F203B"/>
    <w:rsid w:val="007F2084"/>
    <w:rsid w:val="007F2100"/>
    <w:rsid w:val="007F216D"/>
    <w:rsid w:val="007F2307"/>
    <w:rsid w:val="007F26E9"/>
    <w:rsid w:val="007F28D1"/>
    <w:rsid w:val="007F2918"/>
    <w:rsid w:val="007F355B"/>
    <w:rsid w:val="007F3577"/>
    <w:rsid w:val="007F3634"/>
    <w:rsid w:val="007F37C5"/>
    <w:rsid w:val="007F3851"/>
    <w:rsid w:val="007F38FE"/>
    <w:rsid w:val="007F3BDD"/>
    <w:rsid w:val="007F42F6"/>
    <w:rsid w:val="007F44A1"/>
    <w:rsid w:val="007F49E7"/>
    <w:rsid w:val="007F4EE2"/>
    <w:rsid w:val="007F4F8E"/>
    <w:rsid w:val="007F539B"/>
    <w:rsid w:val="007F58A2"/>
    <w:rsid w:val="007F5A30"/>
    <w:rsid w:val="007F6030"/>
    <w:rsid w:val="007F6303"/>
    <w:rsid w:val="007F6493"/>
    <w:rsid w:val="007F6556"/>
    <w:rsid w:val="007F6C73"/>
    <w:rsid w:val="007F6F74"/>
    <w:rsid w:val="007F71BF"/>
    <w:rsid w:val="007F731D"/>
    <w:rsid w:val="007F731F"/>
    <w:rsid w:val="00800034"/>
    <w:rsid w:val="00800414"/>
    <w:rsid w:val="00800456"/>
    <w:rsid w:val="00800FCA"/>
    <w:rsid w:val="008011F5"/>
    <w:rsid w:val="0080120A"/>
    <w:rsid w:val="00801C3B"/>
    <w:rsid w:val="00801EBA"/>
    <w:rsid w:val="00802427"/>
    <w:rsid w:val="00802464"/>
    <w:rsid w:val="00802698"/>
    <w:rsid w:val="00802897"/>
    <w:rsid w:val="00802A56"/>
    <w:rsid w:val="00802FF8"/>
    <w:rsid w:val="00803269"/>
    <w:rsid w:val="008033B4"/>
    <w:rsid w:val="0080349F"/>
    <w:rsid w:val="00803F12"/>
    <w:rsid w:val="00803FDB"/>
    <w:rsid w:val="00804301"/>
    <w:rsid w:val="00804D7F"/>
    <w:rsid w:val="008051FD"/>
    <w:rsid w:val="00805452"/>
    <w:rsid w:val="008055A3"/>
    <w:rsid w:val="00805957"/>
    <w:rsid w:val="008059C3"/>
    <w:rsid w:val="00805A6E"/>
    <w:rsid w:val="00805C53"/>
    <w:rsid w:val="00805F96"/>
    <w:rsid w:val="008064E9"/>
    <w:rsid w:val="00806994"/>
    <w:rsid w:val="00807139"/>
    <w:rsid w:val="00807A77"/>
    <w:rsid w:val="00807BE2"/>
    <w:rsid w:val="00810C41"/>
    <w:rsid w:val="00810D27"/>
    <w:rsid w:val="00811114"/>
    <w:rsid w:val="00811194"/>
    <w:rsid w:val="00811383"/>
    <w:rsid w:val="008117AE"/>
    <w:rsid w:val="0081182E"/>
    <w:rsid w:val="0081206F"/>
    <w:rsid w:val="00812216"/>
    <w:rsid w:val="0081231C"/>
    <w:rsid w:val="008124CE"/>
    <w:rsid w:val="00812BAE"/>
    <w:rsid w:val="00812C6B"/>
    <w:rsid w:val="008136BC"/>
    <w:rsid w:val="00813ADC"/>
    <w:rsid w:val="00813B98"/>
    <w:rsid w:val="00813F69"/>
    <w:rsid w:val="00813F7B"/>
    <w:rsid w:val="0081413E"/>
    <w:rsid w:val="008141CA"/>
    <w:rsid w:val="008142CE"/>
    <w:rsid w:val="0081451E"/>
    <w:rsid w:val="00814832"/>
    <w:rsid w:val="00814E8C"/>
    <w:rsid w:val="00814EAC"/>
    <w:rsid w:val="00814ED6"/>
    <w:rsid w:val="00814ED8"/>
    <w:rsid w:val="008150E1"/>
    <w:rsid w:val="008152D6"/>
    <w:rsid w:val="00815A81"/>
    <w:rsid w:val="00815A8C"/>
    <w:rsid w:val="00815E19"/>
    <w:rsid w:val="00815EBD"/>
    <w:rsid w:val="0081635F"/>
    <w:rsid w:val="0081684F"/>
    <w:rsid w:val="00816C34"/>
    <w:rsid w:val="008171EF"/>
    <w:rsid w:val="00820022"/>
    <w:rsid w:val="00820057"/>
    <w:rsid w:val="008202A3"/>
    <w:rsid w:val="008202DB"/>
    <w:rsid w:val="00820321"/>
    <w:rsid w:val="00820410"/>
    <w:rsid w:val="0082060F"/>
    <w:rsid w:val="00820B6F"/>
    <w:rsid w:val="00821024"/>
    <w:rsid w:val="008211D0"/>
    <w:rsid w:val="0082151C"/>
    <w:rsid w:val="0082157F"/>
    <w:rsid w:val="008216BD"/>
    <w:rsid w:val="00821881"/>
    <w:rsid w:val="00821E1C"/>
    <w:rsid w:val="008221B7"/>
    <w:rsid w:val="0082224D"/>
    <w:rsid w:val="00822412"/>
    <w:rsid w:val="008225E1"/>
    <w:rsid w:val="00822777"/>
    <w:rsid w:val="00823580"/>
    <w:rsid w:val="008236A9"/>
    <w:rsid w:val="00823872"/>
    <w:rsid w:val="00823884"/>
    <w:rsid w:val="0082418D"/>
    <w:rsid w:val="00824C81"/>
    <w:rsid w:val="008255BA"/>
    <w:rsid w:val="008257BA"/>
    <w:rsid w:val="00825918"/>
    <w:rsid w:val="008259C1"/>
    <w:rsid w:val="00825BC1"/>
    <w:rsid w:val="00825F51"/>
    <w:rsid w:val="008265D9"/>
    <w:rsid w:val="008268EF"/>
    <w:rsid w:val="00826931"/>
    <w:rsid w:val="00826957"/>
    <w:rsid w:val="00826A53"/>
    <w:rsid w:val="00826BEC"/>
    <w:rsid w:val="00826E9D"/>
    <w:rsid w:val="00826FA7"/>
    <w:rsid w:val="008270F0"/>
    <w:rsid w:val="008275E8"/>
    <w:rsid w:val="008278E4"/>
    <w:rsid w:val="00827AAA"/>
    <w:rsid w:val="00827D38"/>
    <w:rsid w:val="008303B5"/>
    <w:rsid w:val="00830657"/>
    <w:rsid w:val="0083078B"/>
    <w:rsid w:val="0083095F"/>
    <w:rsid w:val="008310AE"/>
    <w:rsid w:val="008310F3"/>
    <w:rsid w:val="008314C0"/>
    <w:rsid w:val="00831ABC"/>
    <w:rsid w:val="00831D6D"/>
    <w:rsid w:val="00831FFA"/>
    <w:rsid w:val="00832728"/>
    <w:rsid w:val="00832824"/>
    <w:rsid w:val="00832E14"/>
    <w:rsid w:val="00832EE9"/>
    <w:rsid w:val="0083321E"/>
    <w:rsid w:val="008335C9"/>
    <w:rsid w:val="0083382B"/>
    <w:rsid w:val="008343D9"/>
    <w:rsid w:val="008348CD"/>
    <w:rsid w:val="00834BDA"/>
    <w:rsid w:val="00834DC4"/>
    <w:rsid w:val="0083506A"/>
    <w:rsid w:val="008353F5"/>
    <w:rsid w:val="0083560A"/>
    <w:rsid w:val="00835668"/>
    <w:rsid w:val="008358BB"/>
    <w:rsid w:val="008359D6"/>
    <w:rsid w:val="00835B1A"/>
    <w:rsid w:val="00835ECB"/>
    <w:rsid w:val="008360AC"/>
    <w:rsid w:val="0083611B"/>
    <w:rsid w:val="008361D8"/>
    <w:rsid w:val="0083641A"/>
    <w:rsid w:val="00836833"/>
    <w:rsid w:val="00836D7B"/>
    <w:rsid w:val="008372C3"/>
    <w:rsid w:val="008375F3"/>
    <w:rsid w:val="0083786C"/>
    <w:rsid w:val="008379CD"/>
    <w:rsid w:val="00837ABB"/>
    <w:rsid w:val="00837EFA"/>
    <w:rsid w:val="008400C0"/>
    <w:rsid w:val="0084011C"/>
    <w:rsid w:val="00840493"/>
    <w:rsid w:val="008404DB"/>
    <w:rsid w:val="00840567"/>
    <w:rsid w:val="008406E1"/>
    <w:rsid w:val="00840A62"/>
    <w:rsid w:val="00840FFA"/>
    <w:rsid w:val="00841243"/>
    <w:rsid w:val="00841604"/>
    <w:rsid w:val="008418C8"/>
    <w:rsid w:val="00841F6E"/>
    <w:rsid w:val="008421EE"/>
    <w:rsid w:val="008422F5"/>
    <w:rsid w:val="00842676"/>
    <w:rsid w:val="008426AB"/>
    <w:rsid w:val="00842A0E"/>
    <w:rsid w:val="00842EB7"/>
    <w:rsid w:val="008433B7"/>
    <w:rsid w:val="0084352F"/>
    <w:rsid w:val="00843545"/>
    <w:rsid w:val="00843D5D"/>
    <w:rsid w:val="00844059"/>
    <w:rsid w:val="00844E6D"/>
    <w:rsid w:val="00845477"/>
    <w:rsid w:val="00845480"/>
    <w:rsid w:val="00845DB6"/>
    <w:rsid w:val="00845F9B"/>
    <w:rsid w:val="00846992"/>
    <w:rsid w:val="00846F55"/>
    <w:rsid w:val="00847112"/>
    <w:rsid w:val="00847AC1"/>
    <w:rsid w:val="00847BD4"/>
    <w:rsid w:val="00847D3B"/>
    <w:rsid w:val="0085037E"/>
    <w:rsid w:val="0085048F"/>
    <w:rsid w:val="0085077A"/>
    <w:rsid w:val="008508D7"/>
    <w:rsid w:val="00850A6F"/>
    <w:rsid w:val="00850BAD"/>
    <w:rsid w:val="00850FC0"/>
    <w:rsid w:val="0085145D"/>
    <w:rsid w:val="008522E2"/>
    <w:rsid w:val="008525D9"/>
    <w:rsid w:val="00852BBD"/>
    <w:rsid w:val="0085303E"/>
    <w:rsid w:val="00853730"/>
    <w:rsid w:val="00853B51"/>
    <w:rsid w:val="00854401"/>
    <w:rsid w:val="00854717"/>
    <w:rsid w:val="00854968"/>
    <w:rsid w:val="00854D38"/>
    <w:rsid w:val="0085508D"/>
    <w:rsid w:val="008557F8"/>
    <w:rsid w:val="00855DDA"/>
    <w:rsid w:val="00855F52"/>
    <w:rsid w:val="008561B8"/>
    <w:rsid w:val="00856400"/>
    <w:rsid w:val="008567E5"/>
    <w:rsid w:val="00856AD9"/>
    <w:rsid w:val="00857E15"/>
    <w:rsid w:val="00860076"/>
    <w:rsid w:val="008600ED"/>
    <w:rsid w:val="00860131"/>
    <w:rsid w:val="008602DB"/>
    <w:rsid w:val="0086089F"/>
    <w:rsid w:val="008609A5"/>
    <w:rsid w:val="00860B62"/>
    <w:rsid w:val="00860F0B"/>
    <w:rsid w:val="00860F37"/>
    <w:rsid w:val="008612E2"/>
    <w:rsid w:val="008614EC"/>
    <w:rsid w:val="0086174D"/>
    <w:rsid w:val="00861B46"/>
    <w:rsid w:val="00861BCC"/>
    <w:rsid w:val="008624B9"/>
    <w:rsid w:val="0086275A"/>
    <w:rsid w:val="00862843"/>
    <w:rsid w:val="0086299A"/>
    <w:rsid w:val="00863034"/>
    <w:rsid w:val="008638E0"/>
    <w:rsid w:val="008639B3"/>
    <w:rsid w:val="00863ADA"/>
    <w:rsid w:val="00863B01"/>
    <w:rsid w:val="00863C16"/>
    <w:rsid w:val="008641E2"/>
    <w:rsid w:val="008649EA"/>
    <w:rsid w:val="00864A9D"/>
    <w:rsid w:val="00865243"/>
    <w:rsid w:val="008652D7"/>
    <w:rsid w:val="008654B6"/>
    <w:rsid w:val="00865C81"/>
    <w:rsid w:val="008661B0"/>
    <w:rsid w:val="0086687F"/>
    <w:rsid w:val="008670B2"/>
    <w:rsid w:val="00867105"/>
    <w:rsid w:val="0086711D"/>
    <w:rsid w:val="00867376"/>
    <w:rsid w:val="0086799A"/>
    <w:rsid w:val="00867B11"/>
    <w:rsid w:val="00867BBC"/>
    <w:rsid w:val="008700EA"/>
    <w:rsid w:val="008701AE"/>
    <w:rsid w:val="00870670"/>
    <w:rsid w:val="00870A10"/>
    <w:rsid w:val="008712C7"/>
    <w:rsid w:val="0087138F"/>
    <w:rsid w:val="008713DB"/>
    <w:rsid w:val="008718DA"/>
    <w:rsid w:val="00871E1B"/>
    <w:rsid w:val="00871F9F"/>
    <w:rsid w:val="008724DA"/>
    <w:rsid w:val="0087321A"/>
    <w:rsid w:val="008736D0"/>
    <w:rsid w:val="0087396E"/>
    <w:rsid w:val="00873BC0"/>
    <w:rsid w:val="00874225"/>
    <w:rsid w:val="008744BC"/>
    <w:rsid w:val="00874616"/>
    <w:rsid w:val="00874959"/>
    <w:rsid w:val="00874A2A"/>
    <w:rsid w:val="0087564F"/>
    <w:rsid w:val="008757CE"/>
    <w:rsid w:val="0087592F"/>
    <w:rsid w:val="00875DB5"/>
    <w:rsid w:val="00876644"/>
    <w:rsid w:val="00876AED"/>
    <w:rsid w:val="00876C7F"/>
    <w:rsid w:val="00877138"/>
    <w:rsid w:val="0088009E"/>
    <w:rsid w:val="008800A5"/>
    <w:rsid w:val="008806FC"/>
    <w:rsid w:val="00880937"/>
    <w:rsid w:val="00880BC1"/>
    <w:rsid w:val="00880E4C"/>
    <w:rsid w:val="00880EDB"/>
    <w:rsid w:val="00880F31"/>
    <w:rsid w:val="008810A5"/>
    <w:rsid w:val="008816B3"/>
    <w:rsid w:val="008817AE"/>
    <w:rsid w:val="008817B2"/>
    <w:rsid w:val="00881883"/>
    <w:rsid w:val="008821E9"/>
    <w:rsid w:val="0088234A"/>
    <w:rsid w:val="0088250A"/>
    <w:rsid w:val="008826EC"/>
    <w:rsid w:val="00882E72"/>
    <w:rsid w:val="00883163"/>
    <w:rsid w:val="00883497"/>
    <w:rsid w:val="0088365A"/>
    <w:rsid w:val="00883AB0"/>
    <w:rsid w:val="00883F49"/>
    <w:rsid w:val="0088450D"/>
    <w:rsid w:val="008847C0"/>
    <w:rsid w:val="008848C3"/>
    <w:rsid w:val="00884DEF"/>
    <w:rsid w:val="008852F8"/>
    <w:rsid w:val="008857DE"/>
    <w:rsid w:val="00885B49"/>
    <w:rsid w:val="00886075"/>
    <w:rsid w:val="0088689E"/>
    <w:rsid w:val="00887283"/>
    <w:rsid w:val="00887CBF"/>
    <w:rsid w:val="00887F60"/>
    <w:rsid w:val="00890369"/>
    <w:rsid w:val="00890604"/>
    <w:rsid w:val="008906D0"/>
    <w:rsid w:val="00890747"/>
    <w:rsid w:val="00890816"/>
    <w:rsid w:val="008909C9"/>
    <w:rsid w:val="00890DA9"/>
    <w:rsid w:val="0089110A"/>
    <w:rsid w:val="00891372"/>
    <w:rsid w:val="0089167F"/>
    <w:rsid w:val="008919B8"/>
    <w:rsid w:val="00892160"/>
    <w:rsid w:val="00892164"/>
    <w:rsid w:val="0089259D"/>
    <w:rsid w:val="0089268B"/>
    <w:rsid w:val="00892990"/>
    <w:rsid w:val="00892C8E"/>
    <w:rsid w:val="00892DE0"/>
    <w:rsid w:val="00893B05"/>
    <w:rsid w:val="00893D4C"/>
    <w:rsid w:val="00894071"/>
    <w:rsid w:val="0089410C"/>
    <w:rsid w:val="00894478"/>
    <w:rsid w:val="0089471B"/>
    <w:rsid w:val="008950B2"/>
    <w:rsid w:val="008954A5"/>
    <w:rsid w:val="00895AB4"/>
    <w:rsid w:val="00895E1D"/>
    <w:rsid w:val="0089651F"/>
    <w:rsid w:val="00896876"/>
    <w:rsid w:val="00896936"/>
    <w:rsid w:val="00896CB2"/>
    <w:rsid w:val="00896CC0"/>
    <w:rsid w:val="00896D56"/>
    <w:rsid w:val="00897027"/>
    <w:rsid w:val="00897192"/>
    <w:rsid w:val="0089785C"/>
    <w:rsid w:val="0089787A"/>
    <w:rsid w:val="00897919"/>
    <w:rsid w:val="00897ACB"/>
    <w:rsid w:val="00897E68"/>
    <w:rsid w:val="00897EC0"/>
    <w:rsid w:val="008A0180"/>
    <w:rsid w:val="008A01BB"/>
    <w:rsid w:val="008A0224"/>
    <w:rsid w:val="008A0289"/>
    <w:rsid w:val="008A06A9"/>
    <w:rsid w:val="008A06CD"/>
    <w:rsid w:val="008A0D31"/>
    <w:rsid w:val="008A0D75"/>
    <w:rsid w:val="008A10AC"/>
    <w:rsid w:val="008A1291"/>
    <w:rsid w:val="008A1640"/>
    <w:rsid w:val="008A1940"/>
    <w:rsid w:val="008A1C6D"/>
    <w:rsid w:val="008A1D33"/>
    <w:rsid w:val="008A1E89"/>
    <w:rsid w:val="008A2397"/>
    <w:rsid w:val="008A23F4"/>
    <w:rsid w:val="008A2B80"/>
    <w:rsid w:val="008A2B8B"/>
    <w:rsid w:val="008A3367"/>
    <w:rsid w:val="008A34F6"/>
    <w:rsid w:val="008A45F5"/>
    <w:rsid w:val="008A4DE6"/>
    <w:rsid w:val="008A536D"/>
    <w:rsid w:val="008A578B"/>
    <w:rsid w:val="008A57D3"/>
    <w:rsid w:val="008A5E0B"/>
    <w:rsid w:val="008A6171"/>
    <w:rsid w:val="008A621B"/>
    <w:rsid w:val="008A6D1B"/>
    <w:rsid w:val="008A728B"/>
    <w:rsid w:val="008A72B7"/>
    <w:rsid w:val="008A7343"/>
    <w:rsid w:val="008A751F"/>
    <w:rsid w:val="008A7561"/>
    <w:rsid w:val="008A75C0"/>
    <w:rsid w:val="008A76BC"/>
    <w:rsid w:val="008A781C"/>
    <w:rsid w:val="008A78AF"/>
    <w:rsid w:val="008A78EC"/>
    <w:rsid w:val="008A7914"/>
    <w:rsid w:val="008A7B66"/>
    <w:rsid w:val="008A7E4C"/>
    <w:rsid w:val="008A7F6C"/>
    <w:rsid w:val="008B0A13"/>
    <w:rsid w:val="008B0C41"/>
    <w:rsid w:val="008B0C8E"/>
    <w:rsid w:val="008B0F7D"/>
    <w:rsid w:val="008B11CD"/>
    <w:rsid w:val="008B12AA"/>
    <w:rsid w:val="008B16C0"/>
    <w:rsid w:val="008B2148"/>
    <w:rsid w:val="008B2363"/>
    <w:rsid w:val="008B26B2"/>
    <w:rsid w:val="008B2782"/>
    <w:rsid w:val="008B2A34"/>
    <w:rsid w:val="008B31D7"/>
    <w:rsid w:val="008B32ED"/>
    <w:rsid w:val="008B3743"/>
    <w:rsid w:val="008B3C1D"/>
    <w:rsid w:val="008B3F12"/>
    <w:rsid w:val="008B4167"/>
    <w:rsid w:val="008B4739"/>
    <w:rsid w:val="008B4BC5"/>
    <w:rsid w:val="008B4D76"/>
    <w:rsid w:val="008B4F3B"/>
    <w:rsid w:val="008B531E"/>
    <w:rsid w:val="008B57CB"/>
    <w:rsid w:val="008B5CC3"/>
    <w:rsid w:val="008B60A7"/>
    <w:rsid w:val="008B711D"/>
    <w:rsid w:val="008B7BA8"/>
    <w:rsid w:val="008C0361"/>
    <w:rsid w:val="008C0644"/>
    <w:rsid w:val="008C0CA1"/>
    <w:rsid w:val="008C140F"/>
    <w:rsid w:val="008C148B"/>
    <w:rsid w:val="008C18BB"/>
    <w:rsid w:val="008C1BB1"/>
    <w:rsid w:val="008C1E45"/>
    <w:rsid w:val="008C2275"/>
    <w:rsid w:val="008C22B8"/>
    <w:rsid w:val="008C230D"/>
    <w:rsid w:val="008C252F"/>
    <w:rsid w:val="008C2E6B"/>
    <w:rsid w:val="008C3355"/>
    <w:rsid w:val="008C3467"/>
    <w:rsid w:val="008C3BBE"/>
    <w:rsid w:val="008C3C19"/>
    <w:rsid w:val="008C4748"/>
    <w:rsid w:val="008C495B"/>
    <w:rsid w:val="008C523A"/>
    <w:rsid w:val="008C5333"/>
    <w:rsid w:val="008C575A"/>
    <w:rsid w:val="008C5D36"/>
    <w:rsid w:val="008C62AF"/>
    <w:rsid w:val="008C69A3"/>
    <w:rsid w:val="008C6D57"/>
    <w:rsid w:val="008C6D9B"/>
    <w:rsid w:val="008C74A0"/>
    <w:rsid w:val="008D030D"/>
    <w:rsid w:val="008D0AD2"/>
    <w:rsid w:val="008D1131"/>
    <w:rsid w:val="008D12C5"/>
    <w:rsid w:val="008D12E0"/>
    <w:rsid w:val="008D1D89"/>
    <w:rsid w:val="008D1EA6"/>
    <w:rsid w:val="008D20D5"/>
    <w:rsid w:val="008D21BF"/>
    <w:rsid w:val="008D23DD"/>
    <w:rsid w:val="008D34E0"/>
    <w:rsid w:val="008D3852"/>
    <w:rsid w:val="008D3ED4"/>
    <w:rsid w:val="008D4084"/>
    <w:rsid w:val="008D4658"/>
    <w:rsid w:val="008D47CB"/>
    <w:rsid w:val="008D4C00"/>
    <w:rsid w:val="008D4C57"/>
    <w:rsid w:val="008D4F05"/>
    <w:rsid w:val="008D5022"/>
    <w:rsid w:val="008D539E"/>
    <w:rsid w:val="008D56D1"/>
    <w:rsid w:val="008D579A"/>
    <w:rsid w:val="008D5FC8"/>
    <w:rsid w:val="008D60A2"/>
    <w:rsid w:val="008D67B2"/>
    <w:rsid w:val="008D6BC0"/>
    <w:rsid w:val="008D7D83"/>
    <w:rsid w:val="008D7FDE"/>
    <w:rsid w:val="008E0309"/>
    <w:rsid w:val="008E062C"/>
    <w:rsid w:val="008E0721"/>
    <w:rsid w:val="008E08FA"/>
    <w:rsid w:val="008E0C18"/>
    <w:rsid w:val="008E0ECB"/>
    <w:rsid w:val="008E13E5"/>
    <w:rsid w:val="008E147C"/>
    <w:rsid w:val="008E166D"/>
    <w:rsid w:val="008E190D"/>
    <w:rsid w:val="008E1A75"/>
    <w:rsid w:val="008E20E0"/>
    <w:rsid w:val="008E2B64"/>
    <w:rsid w:val="008E30DB"/>
    <w:rsid w:val="008E3800"/>
    <w:rsid w:val="008E4479"/>
    <w:rsid w:val="008E447F"/>
    <w:rsid w:val="008E48A0"/>
    <w:rsid w:val="008E507E"/>
    <w:rsid w:val="008E546F"/>
    <w:rsid w:val="008E552E"/>
    <w:rsid w:val="008E622C"/>
    <w:rsid w:val="008E6233"/>
    <w:rsid w:val="008E6396"/>
    <w:rsid w:val="008E6654"/>
    <w:rsid w:val="008E66DB"/>
    <w:rsid w:val="008E67DB"/>
    <w:rsid w:val="008E7552"/>
    <w:rsid w:val="008E7772"/>
    <w:rsid w:val="008E7BFF"/>
    <w:rsid w:val="008F034E"/>
    <w:rsid w:val="008F1297"/>
    <w:rsid w:val="008F1CF1"/>
    <w:rsid w:val="008F20D1"/>
    <w:rsid w:val="008F232C"/>
    <w:rsid w:val="008F2626"/>
    <w:rsid w:val="008F2951"/>
    <w:rsid w:val="008F3393"/>
    <w:rsid w:val="008F33FE"/>
    <w:rsid w:val="008F3694"/>
    <w:rsid w:val="008F36EC"/>
    <w:rsid w:val="008F3B48"/>
    <w:rsid w:val="008F3F42"/>
    <w:rsid w:val="008F401F"/>
    <w:rsid w:val="008F424F"/>
    <w:rsid w:val="008F47B7"/>
    <w:rsid w:val="008F5019"/>
    <w:rsid w:val="008F51DB"/>
    <w:rsid w:val="008F5546"/>
    <w:rsid w:val="008F56D0"/>
    <w:rsid w:val="008F5C5D"/>
    <w:rsid w:val="008F6372"/>
    <w:rsid w:val="008F76A1"/>
    <w:rsid w:val="008F78C6"/>
    <w:rsid w:val="008F7A5D"/>
    <w:rsid w:val="008F7AB4"/>
    <w:rsid w:val="0090041D"/>
    <w:rsid w:val="00900679"/>
    <w:rsid w:val="00900AD0"/>
    <w:rsid w:val="00900FC0"/>
    <w:rsid w:val="00901803"/>
    <w:rsid w:val="00901DCB"/>
    <w:rsid w:val="00901E75"/>
    <w:rsid w:val="00901FB9"/>
    <w:rsid w:val="00902729"/>
    <w:rsid w:val="00902749"/>
    <w:rsid w:val="009029ED"/>
    <w:rsid w:val="0090300B"/>
    <w:rsid w:val="0090360B"/>
    <w:rsid w:val="00903F13"/>
    <w:rsid w:val="00904545"/>
    <w:rsid w:val="009046BF"/>
    <w:rsid w:val="00904710"/>
    <w:rsid w:val="00904B21"/>
    <w:rsid w:val="00904D27"/>
    <w:rsid w:val="00905459"/>
    <w:rsid w:val="0090562F"/>
    <w:rsid w:val="0090567F"/>
    <w:rsid w:val="009059BD"/>
    <w:rsid w:val="00905D1D"/>
    <w:rsid w:val="00906037"/>
    <w:rsid w:val="009061E6"/>
    <w:rsid w:val="00906753"/>
    <w:rsid w:val="00906F96"/>
    <w:rsid w:val="009071EF"/>
    <w:rsid w:val="009072B4"/>
    <w:rsid w:val="00907494"/>
    <w:rsid w:val="009074A8"/>
    <w:rsid w:val="0090761F"/>
    <w:rsid w:val="009076DF"/>
    <w:rsid w:val="009078B9"/>
    <w:rsid w:val="00907FCF"/>
    <w:rsid w:val="00907FF9"/>
    <w:rsid w:val="00910BDB"/>
    <w:rsid w:val="00911183"/>
    <w:rsid w:val="00911188"/>
    <w:rsid w:val="00911268"/>
    <w:rsid w:val="00911317"/>
    <w:rsid w:val="0091155D"/>
    <w:rsid w:val="00911A5C"/>
    <w:rsid w:val="009122B2"/>
    <w:rsid w:val="009125B6"/>
    <w:rsid w:val="0091263B"/>
    <w:rsid w:val="009127D9"/>
    <w:rsid w:val="0091297C"/>
    <w:rsid w:val="00912DD1"/>
    <w:rsid w:val="0091302F"/>
    <w:rsid w:val="00913270"/>
    <w:rsid w:val="00913820"/>
    <w:rsid w:val="0091382E"/>
    <w:rsid w:val="009138A6"/>
    <w:rsid w:val="00913CD3"/>
    <w:rsid w:val="00914A76"/>
    <w:rsid w:val="00914B60"/>
    <w:rsid w:val="00914B77"/>
    <w:rsid w:val="00914F12"/>
    <w:rsid w:val="009156FC"/>
    <w:rsid w:val="00915898"/>
    <w:rsid w:val="00915AEC"/>
    <w:rsid w:val="0091609D"/>
    <w:rsid w:val="009163C5"/>
    <w:rsid w:val="00916769"/>
    <w:rsid w:val="00916C83"/>
    <w:rsid w:val="00916CA9"/>
    <w:rsid w:val="009170DA"/>
    <w:rsid w:val="009176E1"/>
    <w:rsid w:val="00917A63"/>
    <w:rsid w:val="00917E63"/>
    <w:rsid w:val="00917FA4"/>
    <w:rsid w:val="0092016E"/>
    <w:rsid w:val="009208C6"/>
    <w:rsid w:val="00920BD1"/>
    <w:rsid w:val="00920FBD"/>
    <w:rsid w:val="009213DE"/>
    <w:rsid w:val="0092148C"/>
    <w:rsid w:val="00921624"/>
    <w:rsid w:val="009218D6"/>
    <w:rsid w:val="009218FE"/>
    <w:rsid w:val="009219A3"/>
    <w:rsid w:val="00921AE4"/>
    <w:rsid w:val="00921B6D"/>
    <w:rsid w:val="00921E28"/>
    <w:rsid w:val="0092217D"/>
    <w:rsid w:val="0092250C"/>
    <w:rsid w:val="009228F1"/>
    <w:rsid w:val="009231F4"/>
    <w:rsid w:val="009236F9"/>
    <w:rsid w:val="009238BC"/>
    <w:rsid w:val="00923AE3"/>
    <w:rsid w:val="00924B8F"/>
    <w:rsid w:val="00924BC3"/>
    <w:rsid w:val="009253C2"/>
    <w:rsid w:val="00925469"/>
    <w:rsid w:val="00926739"/>
    <w:rsid w:val="009268BF"/>
    <w:rsid w:val="00926DD9"/>
    <w:rsid w:val="00926FA9"/>
    <w:rsid w:val="009278A2"/>
    <w:rsid w:val="0092792E"/>
    <w:rsid w:val="00927B49"/>
    <w:rsid w:val="0093005E"/>
    <w:rsid w:val="0093022D"/>
    <w:rsid w:val="009302C5"/>
    <w:rsid w:val="0093056D"/>
    <w:rsid w:val="0093073D"/>
    <w:rsid w:val="009308DC"/>
    <w:rsid w:val="009309A1"/>
    <w:rsid w:val="00930A23"/>
    <w:rsid w:val="0093126A"/>
    <w:rsid w:val="0093164F"/>
    <w:rsid w:val="00931971"/>
    <w:rsid w:val="00931A25"/>
    <w:rsid w:val="00931CD2"/>
    <w:rsid w:val="0093317A"/>
    <w:rsid w:val="009331CF"/>
    <w:rsid w:val="0093332B"/>
    <w:rsid w:val="00933C3C"/>
    <w:rsid w:val="00933C94"/>
    <w:rsid w:val="00933CD9"/>
    <w:rsid w:val="0093401D"/>
    <w:rsid w:val="00934225"/>
    <w:rsid w:val="0093431E"/>
    <w:rsid w:val="009346F1"/>
    <w:rsid w:val="0093471A"/>
    <w:rsid w:val="009347A3"/>
    <w:rsid w:val="00934A4C"/>
    <w:rsid w:val="00934A9A"/>
    <w:rsid w:val="00934E25"/>
    <w:rsid w:val="00934FB8"/>
    <w:rsid w:val="00935804"/>
    <w:rsid w:val="0093587D"/>
    <w:rsid w:val="00935AF6"/>
    <w:rsid w:val="00935DED"/>
    <w:rsid w:val="00935FB2"/>
    <w:rsid w:val="00936110"/>
    <w:rsid w:val="009362BD"/>
    <w:rsid w:val="0093680D"/>
    <w:rsid w:val="00936CA5"/>
    <w:rsid w:val="00936F42"/>
    <w:rsid w:val="00936F67"/>
    <w:rsid w:val="009372D0"/>
    <w:rsid w:val="00937810"/>
    <w:rsid w:val="00937851"/>
    <w:rsid w:val="00937FED"/>
    <w:rsid w:val="00940087"/>
    <w:rsid w:val="00940092"/>
    <w:rsid w:val="009402FE"/>
    <w:rsid w:val="0094096D"/>
    <w:rsid w:val="00940B4F"/>
    <w:rsid w:val="00940C9E"/>
    <w:rsid w:val="0094129E"/>
    <w:rsid w:val="00942234"/>
    <w:rsid w:val="00942721"/>
    <w:rsid w:val="00942BE7"/>
    <w:rsid w:val="00942E41"/>
    <w:rsid w:val="00942FA0"/>
    <w:rsid w:val="0094330E"/>
    <w:rsid w:val="00943489"/>
    <w:rsid w:val="009434C4"/>
    <w:rsid w:val="0094363A"/>
    <w:rsid w:val="00943996"/>
    <w:rsid w:val="009445FB"/>
    <w:rsid w:val="00944600"/>
    <w:rsid w:val="00944A75"/>
    <w:rsid w:val="00944BA3"/>
    <w:rsid w:val="00944D3F"/>
    <w:rsid w:val="0094554A"/>
    <w:rsid w:val="00945F40"/>
    <w:rsid w:val="0094610C"/>
    <w:rsid w:val="00946B9E"/>
    <w:rsid w:val="009470DF"/>
    <w:rsid w:val="00947430"/>
    <w:rsid w:val="00947A69"/>
    <w:rsid w:val="0095081B"/>
    <w:rsid w:val="00950D63"/>
    <w:rsid w:val="00950D95"/>
    <w:rsid w:val="00950E28"/>
    <w:rsid w:val="00950E7C"/>
    <w:rsid w:val="0095102C"/>
    <w:rsid w:val="00951743"/>
    <w:rsid w:val="00951747"/>
    <w:rsid w:val="00951D18"/>
    <w:rsid w:val="00952191"/>
    <w:rsid w:val="00952256"/>
    <w:rsid w:val="00952E0D"/>
    <w:rsid w:val="00952F37"/>
    <w:rsid w:val="00953C2F"/>
    <w:rsid w:val="00953E9F"/>
    <w:rsid w:val="00954B23"/>
    <w:rsid w:val="00954C03"/>
    <w:rsid w:val="0095517E"/>
    <w:rsid w:val="009552CF"/>
    <w:rsid w:val="00955349"/>
    <w:rsid w:val="009554BA"/>
    <w:rsid w:val="00955662"/>
    <w:rsid w:val="009557A4"/>
    <w:rsid w:val="00955874"/>
    <w:rsid w:val="00955904"/>
    <w:rsid w:val="00955A9C"/>
    <w:rsid w:val="00955AD8"/>
    <w:rsid w:val="00955C17"/>
    <w:rsid w:val="00955C29"/>
    <w:rsid w:val="00956010"/>
    <w:rsid w:val="009560AE"/>
    <w:rsid w:val="0095683C"/>
    <w:rsid w:val="00956CEF"/>
    <w:rsid w:val="00956F25"/>
    <w:rsid w:val="00957279"/>
    <w:rsid w:val="0095744A"/>
    <w:rsid w:val="00957901"/>
    <w:rsid w:val="00960094"/>
    <w:rsid w:val="00960427"/>
    <w:rsid w:val="0096055D"/>
    <w:rsid w:val="009605C0"/>
    <w:rsid w:val="0096063B"/>
    <w:rsid w:val="009607C6"/>
    <w:rsid w:val="00960BEA"/>
    <w:rsid w:val="00960D77"/>
    <w:rsid w:val="00960D90"/>
    <w:rsid w:val="009611D7"/>
    <w:rsid w:val="009611E0"/>
    <w:rsid w:val="00961498"/>
    <w:rsid w:val="00961727"/>
    <w:rsid w:val="009618A4"/>
    <w:rsid w:val="00961903"/>
    <w:rsid w:val="0096220B"/>
    <w:rsid w:val="0096272D"/>
    <w:rsid w:val="00962A20"/>
    <w:rsid w:val="00962BF9"/>
    <w:rsid w:val="00962CC2"/>
    <w:rsid w:val="00962E0A"/>
    <w:rsid w:val="0096358D"/>
    <w:rsid w:val="00963D76"/>
    <w:rsid w:val="0096424C"/>
    <w:rsid w:val="00965E0E"/>
    <w:rsid w:val="009661DF"/>
    <w:rsid w:val="00966D06"/>
    <w:rsid w:val="00966D42"/>
    <w:rsid w:val="00966F43"/>
    <w:rsid w:val="009673AA"/>
    <w:rsid w:val="00967550"/>
    <w:rsid w:val="009675CE"/>
    <w:rsid w:val="0096799A"/>
    <w:rsid w:val="009679C8"/>
    <w:rsid w:val="00967F1C"/>
    <w:rsid w:val="00970044"/>
    <w:rsid w:val="009701AF"/>
    <w:rsid w:val="0097045C"/>
    <w:rsid w:val="0097074D"/>
    <w:rsid w:val="009708D4"/>
    <w:rsid w:val="00971007"/>
    <w:rsid w:val="00971120"/>
    <w:rsid w:val="00971170"/>
    <w:rsid w:val="0097154B"/>
    <w:rsid w:val="00971D45"/>
    <w:rsid w:val="00971F91"/>
    <w:rsid w:val="00972074"/>
    <w:rsid w:val="00972A14"/>
    <w:rsid w:val="00972D7E"/>
    <w:rsid w:val="00972F36"/>
    <w:rsid w:val="009732ED"/>
    <w:rsid w:val="00973390"/>
    <w:rsid w:val="00973509"/>
    <w:rsid w:val="009735FF"/>
    <w:rsid w:val="00973E90"/>
    <w:rsid w:val="009745C4"/>
    <w:rsid w:val="009746CF"/>
    <w:rsid w:val="00974A2F"/>
    <w:rsid w:val="00974B8A"/>
    <w:rsid w:val="00974E8C"/>
    <w:rsid w:val="00974EAC"/>
    <w:rsid w:val="00975FBA"/>
    <w:rsid w:val="0097633F"/>
    <w:rsid w:val="00976449"/>
    <w:rsid w:val="0097695B"/>
    <w:rsid w:val="00976B25"/>
    <w:rsid w:val="00976CA2"/>
    <w:rsid w:val="00976E17"/>
    <w:rsid w:val="009770CD"/>
    <w:rsid w:val="00977357"/>
    <w:rsid w:val="009774D0"/>
    <w:rsid w:val="00980043"/>
    <w:rsid w:val="009800A2"/>
    <w:rsid w:val="00980248"/>
    <w:rsid w:val="00980994"/>
    <w:rsid w:val="009809EC"/>
    <w:rsid w:val="00980A10"/>
    <w:rsid w:val="009813DE"/>
    <w:rsid w:val="009816F1"/>
    <w:rsid w:val="00981BA0"/>
    <w:rsid w:val="00981BEF"/>
    <w:rsid w:val="0098244E"/>
    <w:rsid w:val="009827D9"/>
    <w:rsid w:val="00982BCF"/>
    <w:rsid w:val="009832F3"/>
    <w:rsid w:val="009837E6"/>
    <w:rsid w:val="009838D2"/>
    <w:rsid w:val="0098392E"/>
    <w:rsid w:val="00983E8D"/>
    <w:rsid w:val="009840DC"/>
    <w:rsid w:val="009846B2"/>
    <w:rsid w:val="009847A2"/>
    <w:rsid w:val="0098493F"/>
    <w:rsid w:val="00984A9E"/>
    <w:rsid w:val="00984B0D"/>
    <w:rsid w:val="009852AD"/>
    <w:rsid w:val="0098538C"/>
    <w:rsid w:val="00985769"/>
    <w:rsid w:val="00985875"/>
    <w:rsid w:val="00985FB8"/>
    <w:rsid w:val="009860A2"/>
    <w:rsid w:val="0098617C"/>
    <w:rsid w:val="009865F6"/>
    <w:rsid w:val="00986710"/>
    <w:rsid w:val="009872F1"/>
    <w:rsid w:val="00987ED0"/>
    <w:rsid w:val="00990575"/>
    <w:rsid w:val="00990BC1"/>
    <w:rsid w:val="00990D76"/>
    <w:rsid w:val="00990D90"/>
    <w:rsid w:val="00990E68"/>
    <w:rsid w:val="00991014"/>
    <w:rsid w:val="0099163E"/>
    <w:rsid w:val="00991AFA"/>
    <w:rsid w:val="00991B95"/>
    <w:rsid w:val="00992BAE"/>
    <w:rsid w:val="00992ED5"/>
    <w:rsid w:val="00993576"/>
    <w:rsid w:val="00993FAF"/>
    <w:rsid w:val="00994312"/>
    <w:rsid w:val="00994366"/>
    <w:rsid w:val="009949F1"/>
    <w:rsid w:val="00994E18"/>
    <w:rsid w:val="00994E6E"/>
    <w:rsid w:val="0099524A"/>
    <w:rsid w:val="00995687"/>
    <w:rsid w:val="00995788"/>
    <w:rsid w:val="0099593D"/>
    <w:rsid w:val="00995E28"/>
    <w:rsid w:val="0099604E"/>
    <w:rsid w:val="00996305"/>
    <w:rsid w:val="00996E66"/>
    <w:rsid w:val="009971CD"/>
    <w:rsid w:val="009971D2"/>
    <w:rsid w:val="009A0290"/>
    <w:rsid w:val="009A0DB9"/>
    <w:rsid w:val="009A11EA"/>
    <w:rsid w:val="009A15F6"/>
    <w:rsid w:val="009A242E"/>
    <w:rsid w:val="009A2701"/>
    <w:rsid w:val="009A2702"/>
    <w:rsid w:val="009A2BEC"/>
    <w:rsid w:val="009A2C6A"/>
    <w:rsid w:val="009A2EEF"/>
    <w:rsid w:val="009A311A"/>
    <w:rsid w:val="009A359F"/>
    <w:rsid w:val="009A3683"/>
    <w:rsid w:val="009A38C0"/>
    <w:rsid w:val="009A4246"/>
    <w:rsid w:val="009A42C9"/>
    <w:rsid w:val="009A43BD"/>
    <w:rsid w:val="009A4E38"/>
    <w:rsid w:val="009A4F45"/>
    <w:rsid w:val="009A5458"/>
    <w:rsid w:val="009A57E3"/>
    <w:rsid w:val="009A59F9"/>
    <w:rsid w:val="009A5BB2"/>
    <w:rsid w:val="009A5DF5"/>
    <w:rsid w:val="009A5F5D"/>
    <w:rsid w:val="009A67C0"/>
    <w:rsid w:val="009A681F"/>
    <w:rsid w:val="009A6C95"/>
    <w:rsid w:val="009A6DD8"/>
    <w:rsid w:val="009A6EC9"/>
    <w:rsid w:val="009A711A"/>
    <w:rsid w:val="009A76C7"/>
    <w:rsid w:val="009A7735"/>
    <w:rsid w:val="009B034B"/>
    <w:rsid w:val="009B03DF"/>
    <w:rsid w:val="009B06A6"/>
    <w:rsid w:val="009B0749"/>
    <w:rsid w:val="009B0918"/>
    <w:rsid w:val="009B130E"/>
    <w:rsid w:val="009B2114"/>
    <w:rsid w:val="009B26A7"/>
    <w:rsid w:val="009B29B6"/>
    <w:rsid w:val="009B2AE8"/>
    <w:rsid w:val="009B2CA0"/>
    <w:rsid w:val="009B2F33"/>
    <w:rsid w:val="009B3641"/>
    <w:rsid w:val="009B3B79"/>
    <w:rsid w:val="009B403B"/>
    <w:rsid w:val="009B4214"/>
    <w:rsid w:val="009B461E"/>
    <w:rsid w:val="009B4ABC"/>
    <w:rsid w:val="009B4BE4"/>
    <w:rsid w:val="009B4E2B"/>
    <w:rsid w:val="009B5288"/>
    <w:rsid w:val="009B5711"/>
    <w:rsid w:val="009B599E"/>
    <w:rsid w:val="009B5A18"/>
    <w:rsid w:val="009B5A1C"/>
    <w:rsid w:val="009B5B10"/>
    <w:rsid w:val="009B5B6C"/>
    <w:rsid w:val="009B5E7F"/>
    <w:rsid w:val="009B610C"/>
    <w:rsid w:val="009B7704"/>
    <w:rsid w:val="009B7B52"/>
    <w:rsid w:val="009C025B"/>
    <w:rsid w:val="009C0410"/>
    <w:rsid w:val="009C0AFF"/>
    <w:rsid w:val="009C0E16"/>
    <w:rsid w:val="009C11EC"/>
    <w:rsid w:val="009C13F0"/>
    <w:rsid w:val="009C1612"/>
    <w:rsid w:val="009C1BB7"/>
    <w:rsid w:val="009C2044"/>
    <w:rsid w:val="009C2210"/>
    <w:rsid w:val="009C2485"/>
    <w:rsid w:val="009C2738"/>
    <w:rsid w:val="009C29AB"/>
    <w:rsid w:val="009C2E01"/>
    <w:rsid w:val="009C2F5E"/>
    <w:rsid w:val="009C30A4"/>
    <w:rsid w:val="009C3517"/>
    <w:rsid w:val="009C392F"/>
    <w:rsid w:val="009C3A9C"/>
    <w:rsid w:val="009C3B52"/>
    <w:rsid w:val="009C3DEB"/>
    <w:rsid w:val="009C4213"/>
    <w:rsid w:val="009C44C8"/>
    <w:rsid w:val="009C491D"/>
    <w:rsid w:val="009C5094"/>
    <w:rsid w:val="009C54C7"/>
    <w:rsid w:val="009C5544"/>
    <w:rsid w:val="009C5795"/>
    <w:rsid w:val="009C5B62"/>
    <w:rsid w:val="009C6187"/>
    <w:rsid w:val="009C6377"/>
    <w:rsid w:val="009C6B34"/>
    <w:rsid w:val="009C6BB6"/>
    <w:rsid w:val="009C700A"/>
    <w:rsid w:val="009C72F0"/>
    <w:rsid w:val="009C7339"/>
    <w:rsid w:val="009C761B"/>
    <w:rsid w:val="009C76EE"/>
    <w:rsid w:val="009C7B93"/>
    <w:rsid w:val="009C7C54"/>
    <w:rsid w:val="009C7CB6"/>
    <w:rsid w:val="009D010A"/>
    <w:rsid w:val="009D07D8"/>
    <w:rsid w:val="009D0CBA"/>
    <w:rsid w:val="009D1361"/>
    <w:rsid w:val="009D18BA"/>
    <w:rsid w:val="009D1B18"/>
    <w:rsid w:val="009D1F6A"/>
    <w:rsid w:val="009D246D"/>
    <w:rsid w:val="009D247F"/>
    <w:rsid w:val="009D251C"/>
    <w:rsid w:val="009D252C"/>
    <w:rsid w:val="009D2A67"/>
    <w:rsid w:val="009D2E11"/>
    <w:rsid w:val="009D3E36"/>
    <w:rsid w:val="009D3ECA"/>
    <w:rsid w:val="009D43FF"/>
    <w:rsid w:val="009D4F39"/>
    <w:rsid w:val="009D515C"/>
    <w:rsid w:val="009D5167"/>
    <w:rsid w:val="009D57A4"/>
    <w:rsid w:val="009D5D12"/>
    <w:rsid w:val="009D60A3"/>
    <w:rsid w:val="009D686B"/>
    <w:rsid w:val="009D69A0"/>
    <w:rsid w:val="009D6EEC"/>
    <w:rsid w:val="009D6EF0"/>
    <w:rsid w:val="009D734F"/>
    <w:rsid w:val="009D7886"/>
    <w:rsid w:val="009D7F9F"/>
    <w:rsid w:val="009E04CB"/>
    <w:rsid w:val="009E05B2"/>
    <w:rsid w:val="009E0611"/>
    <w:rsid w:val="009E09DC"/>
    <w:rsid w:val="009E0B04"/>
    <w:rsid w:val="009E0E2D"/>
    <w:rsid w:val="009E0EDA"/>
    <w:rsid w:val="009E0FE1"/>
    <w:rsid w:val="009E1384"/>
    <w:rsid w:val="009E194F"/>
    <w:rsid w:val="009E1E41"/>
    <w:rsid w:val="009E2085"/>
    <w:rsid w:val="009E20E9"/>
    <w:rsid w:val="009E216D"/>
    <w:rsid w:val="009E2C17"/>
    <w:rsid w:val="009E2F7C"/>
    <w:rsid w:val="009E31FD"/>
    <w:rsid w:val="009E39C1"/>
    <w:rsid w:val="009E3B2B"/>
    <w:rsid w:val="009E45E3"/>
    <w:rsid w:val="009E4803"/>
    <w:rsid w:val="009E4834"/>
    <w:rsid w:val="009E4D39"/>
    <w:rsid w:val="009E5221"/>
    <w:rsid w:val="009E549E"/>
    <w:rsid w:val="009E5604"/>
    <w:rsid w:val="009E5664"/>
    <w:rsid w:val="009E59D3"/>
    <w:rsid w:val="009E63D7"/>
    <w:rsid w:val="009E6772"/>
    <w:rsid w:val="009E68AF"/>
    <w:rsid w:val="009E6AD4"/>
    <w:rsid w:val="009E6AE2"/>
    <w:rsid w:val="009E6F3C"/>
    <w:rsid w:val="009E7149"/>
    <w:rsid w:val="009E7413"/>
    <w:rsid w:val="009E760C"/>
    <w:rsid w:val="009F0050"/>
    <w:rsid w:val="009F0FFC"/>
    <w:rsid w:val="009F16F1"/>
    <w:rsid w:val="009F19C2"/>
    <w:rsid w:val="009F1BA7"/>
    <w:rsid w:val="009F1C78"/>
    <w:rsid w:val="009F200F"/>
    <w:rsid w:val="009F2344"/>
    <w:rsid w:val="009F2525"/>
    <w:rsid w:val="009F27C5"/>
    <w:rsid w:val="009F2A35"/>
    <w:rsid w:val="009F2B2F"/>
    <w:rsid w:val="009F3390"/>
    <w:rsid w:val="009F35EE"/>
    <w:rsid w:val="009F3849"/>
    <w:rsid w:val="009F3866"/>
    <w:rsid w:val="009F3AB3"/>
    <w:rsid w:val="009F3DEA"/>
    <w:rsid w:val="009F4D08"/>
    <w:rsid w:val="009F4D3E"/>
    <w:rsid w:val="009F4D4B"/>
    <w:rsid w:val="009F5266"/>
    <w:rsid w:val="009F58D6"/>
    <w:rsid w:val="009F5F92"/>
    <w:rsid w:val="009F6180"/>
    <w:rsid w:val="009F64C3"/>
    <w:rsid w:val="009F6B59"/>
    <w:rsid w:val="009F726C"/>
    <w:rsid w:val="009F728D"/>
    <w:rsid w:val="009F7E5D"/>
    <w:rsid w:val="00A0029D"/>
    <w:rsid w:val="00A00327"/>
    <w:rsid w:val="00A00AF6"/>
    <w:rsid w:val="00A00AFB"/>
    <w:rsid w:val="00A00C1E"/>
    <w:rsid w:val="00A01161"/>
    <w:rsid w:val="00A012E7"/>
    <w:rsid w:val="00A01314"/>
    <w:rsid w:val="00A0188E"/>
    <w:rsid w:val="00A01B69"/>
    <w:rsid w:val="00A01B8F"/>
    <w:rsid w:val="00A01BC2"/>
    <w:rsid w:val="00A01E60"/>
    <w:rsid w:val="00A02277"/>
    <w:rsid w:val="00A02756"/>
    <w:rsid w:val="00A027C7"/>
    <w:rsid w:val="00A02A3D"/>
    <w:rsid w:val="00A02B49"/>
    <w:rsid w:val="00A02BED"/>
    <w:rsid w:val="00A03231"/>
    <w:rsid w:val="00A034C4"/>
    <w:rsid w:val="00A037AF"/>
    <w:rsid w:val="00A03B7A"/>
    <w:rsid w:val="00A03C1B"/>
    <w:rsid w:val="00A03CBB"/>
    <w:rsid w:val="00A03F4D"/>
    <w:rsid w:val="00A04802"/>
    <w:rsid w:val="00A0489F"/>
    <w:rsid w:val="00A05BDF"/>
    <w:rsid w:val="00A0646C"/>
    <w:rsid w:val="00A06672"/>
    <w:rsid w:val="00A06743"/>
    <w:rsid w:val="00A067C8"/>
    <w:rsid w:val="00A06813"/>
    <w:rsid w:val="00A06AC8"/>
    <w:rsid w:val="00A06BA5"/>
    <w:rsid w:val="00A06BE9"/>
    <w:rsid w:val="00A06CB3"/>
    <w:rsid w:val="00A077E0"/>
    <w:rsid w:val="00A07A59"/>
    <w:rsid w:val="00A10113"/>
    <w:rsid w:val="00A10233"/>
    <w:rsid w:val="00A108E3"/>
    <w:rsid w:val="00A10EB6"/>
    <w:rsid w:val="00A116C2"/>
    <w:rsid w:val="00A11819"/>
    <w:rsid w:val="00A12238"/>
    <w:rsid w:val="00A12336"/>
    <w:rsid w:val="00A12883"/>
    <w:rsid w:val="00A128B2"/>
    <w:rsid w:val="00A12A64"/>
    <w:rsid w:val="00A12D96"/>
    <w:rsid w:val="00A13524"/>
    <w:rsid w:val="00A1387B"/>
    <w:rsid w:val="00A13CCA"/>
    <w:rsid w:val="00A13DF2"/>
    <w:rsid w:val="00A1438E"/>
    <w:rsid w:val="00A146A3"/>
    <w:rsid w:val="00A14731"/>
    <w:rsid w:val="00A14A43"/>
    <w:rsid w:val="00A14C51"/>
    <w:rsid w:val="00A1505A"/>
    <w:rsid w:val="00A154FE"/>
    <w:rsid w:val="00A156D7"/>
    <w:rsid w:val="00A15783"/>
    <w:rsid w:val="00A15920"/>
    <w:rsid w:val="00A15A6E"/>
    <w:rsid w:val="00A15C63"/>
    <w:rsid w:val="00A16136"/>
    <w:rsid w:val="00A16446"/>
    <w:rsid w:val="00A16657"/>
    <w:rsid w:val="00A168BE"/>
    <w:rsid w:val="00A16BA5"/>
    <w:rsid w:val="00A16DC1"/>
    <w:rsid w:val="00A16E7D"/>
    <w:rsid w:val="00A175F5"/>
    <w:rsid w:val="00A17BC9"/>
    <w:rsid w:val="00A17C86"/>
    <w:rsid w:val="00A17D63"/>
    <w:rsid w:val="00A20128"/>
    <w:rsid w:val="00A2016A"/>
    <w:rsid w:val="00A20555"/>
    <w:rsid w:val="00A2093A"/>
    <w:rsid w:val="00A20DB9"/>
    <w:rsid w:val="00A20E44"/>
    <w:rsid w:val="00A20F03"/>
    <w:rsid w:val="00A214CF"/>
    <w:rsid w:val="00A21814"/>
    <w:rsid w:val="00A21815"/>
    <w:rsid w:val="00A21EC7"/>
    <w:rsid w:val="00A22115"/>
    <w:rsid w:val="00A22117"/>
    <w:rsid w:val="00A22614"/>
    <w:rsid w:val="00A22FF3"/>
    <w:rsid w:val="00A237FA"/>
    <w:rsid w:val="00A23B28"/>
    <w:rsid w:val="00A23B6D"/>
    <w:rsid w:val="00A2475E"/>
    <w:rsid w:val="00A24985"/>
    <w:rsid w:val="00A24B3B"/>
    <w:rsid w:val="00A2511A"/>
    <w:rsid w:val="00A26416"/>
    <w:rsid w:val="00A26439"/>
    <w:rsid w:val="00A264E6"/>
    <w:rsid w:val="00A26931"/>
    <w:rsid w:val="00A26A9D"/>
    <w:rsid w:val="00A26FC6"/>
    <w:rsid w:val="00A27292"/>
    <w:rsid w:val="00A27EA2"/>
    <w:rsid w:val="00A27FA3"/>
    <w:rsid w:val="00A30351"/>
    <w:rsid w:val="00A30778"/>
    <w:rsid w:val="00A31650"/>
    <w:rsid w:val="00A3185E"/>
    <w:rsid w:val="00A321C5"/>
    <w:rsid w:val="00A32C8A"/>
    <w:rsid w:val="00A32DF0"/>
    <w:rsid w:val="00A33BEC"/>
    <w:rsid w:val="00A33DD0"/>
    <w:rsid w:val="00A33E0F"/>
    <w:rsid w:val="00A33F9B"/>
    <w:rsid w:val="00A340D2"/>
    <w:rsid w:val="00A34233"/>
    <w:rsid w:val="00A342EE"/>
    <w:rsid w:val="00A343DF"/>
    <w:rsid w:val="00A3442A"/>
    <w:rsid w:val="00A34477"/>
    <w:rsid w:val="00A346D6"/>
    <w:rsid w:val="00A34B3F"/>
    <w:rsid w:val="00A34C3E"/>
    <w:rsid w:val="00A351EB"/>
    <w:rsid w:val="00A3626A"/>
    <w:rsid w:val="00A3637F"/>
    <w:rsid w:val="00A366B3"/>
    <w:rsid w:val="00A36D2B"/>
    <w:rsid w:val="00A40390"/>
    <w:rsid w:val="00A40652"/>
    <w:rsid w:val="00A409F7"/>
    <w:rsid w:val="00A40B52"/>
    <w:rsid w:val="00A40CE2"/>
    <w:rsid w:val="00A410C7"/>
    <w:rsid w:val="00A416C8"/>
    <w:rsid w:val="00A41A8F"/>
    <w:rsid w:val="00A41D5F"/>
    <w:rsid w:val="00A41FCA"/>
    <w:rsid w:val="00A4220C"/>
    <w:rsid w:val="00A42218"/>
    <w:rsid w:val="00A4249A"/>
    <w:rsid w:val="00A42AF7"/>
    <w:rsid w:val="00A42C5D"/>
    <w:rsid w:val="00A42CCC"/>
    <w:rsid w:val="00A433DD"/>
    <w:rsid w:val="00A43E3A"/>
    <w:rsid w:val="00A43F5D"/>
    <w:rsid w:val="00A44001"/>
    <w:rsid w:val="00A44284"/>
    <w:rsid w:val="00A449A5"/>
    <w:rsid w:val="00A44CA1"/>
    <w:rsid w:val="00A450A1"/>
    <w:rsid w:val="00A4519C"/>
    <w:rsid w:val="00A454C4"/>
    <w:rsid w:val="00A45622"/>
    <w:rsid w:val="00A456F0"/>
    <w:rsid w:val="00A45A83"/>
    <w:rsid w:val="00A45BF7"/>
    <w:rsid w:val="00A46457"/>
    <w:rsid w:val="00A465D4"/>
    <w:rsid w:val="00A466C7"/>
    <w:rsid w:val="00A46BBC"/>
    <w:rsid w:val="00A4715B"/>
    <w:rsid w:val="00A472C2"/>
    <w:rsid w:val="00A47367"/>
    <w:rsid w:val="00A476B5"/>
    <w:rsid w:val="00A47BD0"/>
    <w:rsid w:val="00A47C65"/>
    <w:rsid w:val="00A50239"/>
    <w:rsid w:val="00A50308"/>
    <w:rsid w:val="00A504ED"/>
    <w:rsid w:val="00A505AC"/>
    <w:rsid w:val="00A50668"/>
    <w:rsid w:val="00A506BD"/>
    <w:rsid w:val="00A50A04"/>
    <w:rsid w:val="00A50E7F"/>
    <w:rsid w:val="00A52132"/>
    <w:rsid w:val="00A522FF"/>
    <w:rsid w:val="00A52847"/>
    <w:rsid w:val="00A528C4"/>
    <w:rsid w:val="00A529A5"/>
    <w:rsid w:val="00A529FF"/>
    <w:rsid w:val="00A52C4F"/>
    <w:rsid w:val="00A52D18"/>
    <w:rsid w:val="00A53679"/>
    <w:rsid w:val="00A53D55"/>
    <w:rsid w:val="00A53F00"/>
    <w:rsid w:val="00A54055"/>
    <w:rsid w:val="00A5435C"/>
    <w:rsid w:val="00A544A5"/>
    <w:rsid w:val="00A54967"/>
    <w:rsid w:val="00A54CFE"/>
    <w:rsid w:val="00A550D3"/>
    <w:rsid w:val="00A55107"/>
    <w:rsid w:val="00A553EC"/>
    <w:rsid w:val="00A5565B"/>
    <w:rsid w:val="00A55878"/>
    <w:rsid w:val="00A55CE3"/>
    <w:rsid w:val="00A55ED4"/>
    <w:rsid w:val="00A5612D"/>
    <w:rsid w:val="00A56144"/>
    <w:rsid w:val="00A564AB"/>
    <w:rsid w:val="00A5678C"/>
    <w:rsid w:val="00A56822"/>
    <w:rsid w:val="00A5715B"/>
    <w:rsid w:val="00A57264"/>
    <w:rsid w:val="00A574A2"/>
    <w:rsid w:val="00A5757E"/>
    <w:rsid w:val="00A57745"/>
    <w:rsid w:val="00A579CC"/>
    <w:rsid w:val="00A57D96"/>
    <w:rsid w:val="00A57FA2"/>
    <w:rsid w:val="00A60608"/>
    <w:rsid w:val="00A60A55"/>
    <w:rsid w:val="00A612FD"/>
    <w:rsid w:val="00A6136A"/>
    <w:rsid w:val="00A61503"/>
    <w:rsid w:val="00A6156D"/>
    <w:rsid w:val="00A616DB"/>
    <w:rsid w:val="00A617AE"/>
    <w:rsid w:val="00A6194F"/>
    <w:rsid w:val="00A61958"/>
    <w:rsid w:val="00A61CAF"/>
    <w:rsid w:val="00A61FFB"/>
    <w:rsid w:val="00A6257E"/>
    <w:rsid w:val="00A626E7"/>
    <w:rsid w:val="00A62812"/>
    <w:rsid w:val="00A62D4E"/>
    <w:rsid w:val="00A634C5"/>
    <w:rsid w:val="00A6395B"/>
    <w:rsid w:val="00A6397A"/>
    <w:rsid w:val="00A639BE"/>
    <w:rsid w:val="00A63ACB"/>
    <w:rsid w:val="00A63B0E"/>
    <w:rsid w:val="00A63EF7"/>
    <w:rsid w:val="00A643BF"/>
    <w:rsid w:val="00A64759"/>
    <w:rsid w:val="00A651AB"/>
    <w:rsid w:val="00A65CFF"/>
    <w:rsid w:val="00A663C6"/>
    <w:rsid w:val="00A669EC"/>
    <w:rsid w:val="00A66C9B"/>
    <w:rsid w:val="00A6737C"/>
    <w:rsid w:val="00A673D5"/>
    <w:rsid w:val="00A6747B"/>
    <w:rsid w:val="00A67E2A"/>
    <w:rsid w:val="00A70289"/>
    <w:rsid w:val="00A704F2"/>
    <w:rsid w:val="00A70549"/>
    <w:rsid w:val="00A7089B"/>
    <w:rsid w:val="00A71A40"/>
    <w:rsid w:val="00A71E5F"/>
    <w:rsid w:val="00A721D0"/>
    <w:rsid w:val="00A729C0"/>
    <w:rsid w:val="00A72DA6"/>
    <w:rsid w:val="00A72DDB"/>
    <w:rsid w:val="00A73903"/>
    <w:rsid w:val="00A73D69"/>
    <w:rsid w:val="00A73D6D"/>
    <w:rsid w:val="00A73D93"/>
    <w:rsid w:val="00A744A2"/>
    <w:rsid w:val="00A74500"/>
    <w:rsid w:val="00A746AE"/>
    <w:rsid w:val="00A7483C"/>
    <w:rsid w:val="00A74CF1"/>
    <w:rsid w:val="00A74D61"/>
    <w:rsid w:val="00A7505F"/>
    <w:rsid w:val="00A750A5"/>
    <w:rsid w:val="00A751C7"/>
    <w:rsid w:val="00A754D3"/>
    <w:rsid w:val="00A7567A"/>
    <w:rsid w:val="00A7571A"/>
    <w:rsid w:val="00A75E2E"/>
    <w:rsid w:val="00A76038"/>
    <w:rsid w:val="00A760FE"/>
    <w:rsid w:val="00A76105"/>
    <w:rsid w:val="00A76313"/>
    <w:rsid w:val="00A76C82"/>
    <w:rsid w:val="00A76E8B"/>
    <w:rsid w:val="00A772E9"/>
    <w:rsid w:val="00A77504"/>
    <w:rsid w:val="00A775F1"/>
    <w:rsid w:val="00A80137"/>
    <w:rsid w:val="00A804FC"/>
    <w:rsid w:val="00A8077C"/>
    <w:rsid w:val="00A807E9"/>
    <w:rsid w:val="00A80DDC"/>
    <w:rsid w:val="00A80F8A"/>
    <w:rsid w:val="00A81523"/>
    <w:rsid w:val="00A818AF"/>
    <w:rsid w:val="00A818E6"/>
    <w:rsid w:val="00A81D42"/>
    <w:rsid w:val="00A81F2D"/>
    <w:rsid w:val="00A81FC3"/>
    <w:rsid w:val="00A82499"/>
    <w:rsid w:val="00A824CD"/>
    <w:rsid w:val="00A82B2A"/>
    <w:rsid w:val="00A82C59"/>
    <w:rsid w:val="00A82C75"/>
    <w:rsid w:val="00A82FA1"/>
    <w:rsid w:val="00A83070"/>
    <w:rsid w:val="00A8311C"/>
    <w:rsid w:val="00A83C49"/>
    <w:rsid w:val="00A83E4F"/>
    <w:rsid w:val="00A83E89"/>
    <w:rsid w:val="00A8401B"/>
    <w:rsid w:val="00A84745"/>
    <w:rsid w:val="00A84A0D"/>
    <w:rsid w:val="00A84C79"/>
    <w:rsid w:val="00A84DB9"/>
    <w:rsid w:val="00A85B38"/>
    <w:rsid w:val="00A85C85"/>
    <w:rsid w:val="00A861D3"/>
    <w:rsid w:val="00A862CF"/>
    <w:rsid w:val="00A863A2"/>
    <w:rsid w:val="00A869C7"/>
    <w:rsid w:val="00A869CB"/>
    <w:rsid w:val="00A86D2E"/>
    <w:rsid w:val="00A86E5E"/>
    <w:rsid w:val="00A870BB"/>
    <w:rsid w:val="00A877E2"/>
    <w:rsid w:val="00A87BA0"/>
    <w:rsid w:val="00A905FD"/>
    <w:rsid w:val="00A90629"/>
    <w:rsid w:val="00A907A8"/>
    <w:rsid w:val="00A909C0"/>
    <w:rsid w:val="00A90A07"/>
    <w:rsid w:val="00A90A35"/>
    <w:rsid w:val="00A91461"/>
    <w:rsid w:val="00A917AC"/>
    <w:rsid w:val="00A91860"/>
    <w:rsid w:val="00A91882"/>
    <w:rsid w:val="00A926E0"/>
    <w:rsid w:val="00A92AB2"/>
    <w:rsid w:val="00A92AFC"/>
    <w:rsid w:val="00A92F08"/>
    <w:rsid w:val="00A9316A"/>
    <w:rsid w:val="00A9359D"/>
    <w:rsid w:val="00A93A98"/>
    <w:rsid w:val="00A94091"/>
    <w:rsid w:val="00A94307"/>
    <w:rsid w:val="00A94385"/>
    <w:rsid w:val="00A94522"/>
    <w:rsid w:val="00A945C6"/>
    <w:rsid w:val="00A946A1"/>
    <w:rsid w:val="00A94928"/>
    <w:rsid w:val="00A949D5"/>
    <w:rsid w:val="00A94B0B"/>
    <w:rsid w:val="00A94B4B"/>
    <w:rsid w:val="00A94DA9"/>
    <w:rsid w:val="00A94F24"/>
    <w:rsid w:val="00A95085"/>
    <w:rsid w:val="00A95089"/>
    <w:rsid w:val="00A95095"/>
    <w:rsid w:val="00A95130"/>
    <w:rsid w:val="00A9514A"/>
    <w:rsid w:val="00A9582D"/>
    <w:rsid w:val="00A95C1F"/>
    <w:rsid w:val="00A95FA2"/>
    <w:rsid w:val="00A9613C"/>
    <w:rsid w:val="00A96380"/>
    <w:rsid w:val="00A9661F"/>
    <w:rsid w:val="00A96719"/>
    <w:rsid w:val="00A968D5"/>
    <w:rsid w:val="00A97070"/>
    <w:rsid w:val="00A97193"/>
    <w:rsid w:val="00A97715"/>
    <w:rsid w:val="00A97E7F"/>
    <w:rsid w:val="00AA0364"/>
    <w:rsid w:val="00AA0385"/>
    <w:rsid w:val="00AA048F"/>
    <w:rsid w:val="00AA049C"/>
    <w:rsid w:val="00AA0554"/>
    <w:rsid w:val="00AA0999"/>
    <w:rsid w:val="00AA09C8"/>
    <w:rsid w:val="00AA16AB"/>
    <w:rsid w:val="00AA1E80"/>
    <w:rsid w:val="00AA2377"/>
    <w:rsid w:val="00AA26B5"/>
    <w:rsid w:val="00AA2C8E"/>
    <w:rsid w:val="00AA309D"/>
    <w:rsid w:val="00AA3151"/>
    <w:rsid w:val="00AA318E"/>
    <w:rsid w:val="00AA3C0B"/>
    <w:rsid w:val="00AA3FE9"/>
    <w:rsid w:val="00AA427B"/>
    <w:rsid w:val="00AA434B"/>
    <w:rsid w:val="00AA4554"/>
    <w:rsid w:val="00AA4A0B"/>
    <w:rsid w:val="00AA5071"/>
    <w:rsid w:val="00AA5485"/>
    <w:rsid w:val="00AA55DB"/>
    <w:rsid w:val="00AA5784"/>
    <w:rsid w:val="00AA5D8B"/>
    <w:rsid w:val="00AA71A0"/>
    <w:rsid w:val="00AA74E8"/>
    <w:rsid w:val="00AA774E"/>
    <w:rsid w:val="00AA7DF3"/>
    <w:rsid w:val="00AB0F31"/>
    <w:rsid w:val="00AB1106"/>
    <w:rsid w:val="00AB121E"/>
    <w:rsid w:val="00AB1448"/>
    <w:rsid w:val="00AB1928"/>
    <w:rsid w:val="00AB1B72"/>
    <w:rsid w:val="00AB1D41"/>
    <w:rsid w:val="00AB1DDA"/>
    <w:rsid w:val="00AB1DDD"/>
    <w:rsid w:val="00AB2363"/>
    <w:rsid w:val="00AB2746"/>
    <w:rsid w:val="00AB285A"/>
    <w:rsid w:val="00AB28EE"/>
    <w:rsid w:val="00AB3261"/>
    <w:rsid w:val="00AB3411"/>
    <w:rsid w:val="00AB34ED"/>
    <w:rsid w:val="00AB387A"/>
    <w:rsid w:val="00AB38FF"/>
    <w:rsid w:val="00AB3AFE"/>
    <w:rsid w:val="00AB3BF4"/>
    <w:rsid w:val="00AB3D56"/>
    <w:rsid w:val="00AB40AA"/>
    <w:rsid w:val="00AB4AF6"/>
    <w:rsid w:val="00AB4ED7"/>
    <w:rsid w:val="00AB50B6"/>
    <w:rsid w:val="00AB5491"/>
    <w:rsid w:val="00AB558E"/>
    <w:rsid w:val="00AB5671"/>
    <w:rsid w:val="00AB59D3"/>
    <w:rsid w:val="00AB63CC"/>
    <w:rsid w:val="00AB63EE"/>
    <w:rsid w:val="00AB68B4"/>
    <w:rsid w:val="00AB6D47"/>
    <w:rsid w:val="00AB6D6A"/>
    <w:rsid w:val="00AB708B"/>
    <w:rsid w:val="00AB7149"/>
    <w:rsid w:val="00AB7465"/>
    <w:rsid w:val="00AB7856"/>
    <w:rsid w:val="00AB7A2C"/>
    <w:rsid w:val="00AB7A8A"/>
    <w:rsid w:val="00AC0066"/>
    <w:rsid w:val="00AC01EF"/>
    <w:rsid w:val="00AC04CC"/>
    <w:rsid w:val="00AC07B9"/>
    <w:rsid w:val="00AC0A0B"/>
    <w:rsid w:val="00AC0AA3"/>
    <w:rsid w:val="00AC0BCD"/>
    <w:rsid w:val="00AC0E7A"/>
    <w:rsid w:val="00AC115C"/>
    <w:rsid w:val="00AC1A2C"/>
    <w:rsid w:val="00AC1BB5"/>
    <w:rsid w:val="00AC2194"/>
    <w:rsid w:val="00AC261C"/>
    <w:rsid w:val="00AC27FA"/>
    <w:rsid w:val="00AC28F8"/>
    <w:rsid w:val="00AC2D46"/>
    <w:rsid w:val="00AC2E07"/>
    <w:rsid w:val="00AC3175"/>
    <w:rsid w:val="00AC37C6"/>
    <w:rsid w:val="00AC3968"/>
    <w:rsid w:val="00AC3EA0"/>
    <w:rsid w:val="00AC4A02"/>
    <w:rsid w:val="00AC4B6A"/>
    <w:rsid w:val="00AC4D27"/>
    <w:rsid w:val="00AC5001"/>
    <w:rsid w:val="00AC53F1"/>
    <w:rsid w:val="00AC55C1"/>
    <w:rsid w:val="00AC5D33"/>
    <w:rsid w:val="00AC7F15"/>
    <w:rsid w:val="00AC7F4B"/>
    <w:rsid w:val="00AD08F7"/>
    <w:rsid w:val="00AD0A43"/>
    <w:rsid w:val="00AD12B8"/>
    <w:rsid w:val="00AD12EB"/>
    <w:rsid w:val="00AD14B0"/>
    <w:rsid w:val="00AD15CE"/>
    <w:rsid w:val="00AD16DF"/>
    <w:rsid w:val="00AD1ADF"/>
    <w:rsid w:val="00AD21EF"/>
    <w:rsid w:val="00AD23B9"/>
    <w:rsid w:val="00AD268C"/>
    <w:rsid w:val="00AD2AEB"/>
    <w:rsid w:val="00AD301D"/>
    <w:rsid w:val="00AD35AB"/>
    <w:rsid w:val="00AD3B3D"/>
    <w:rsid w:val="00AD5073"/>
    <w:rsid w:val="00AD526D"/>
    <w:rsid w:val="00AD5768"/>
    <w:rsid w:val="00AD57F2"/>
    <w:rsid w:val="00AD5CC9"/>
    <w:rsid w:val="00AD618E"/>
    <w:rsid w:val="00AD61CD"/>
    <w:rsid w:val="00AD67A4"/>
    <w:rsid w:val="00AD68E1"/>
    <w:rsid w:val="00AD6A62"/>
    <w:rsid w:val="00AD71B3"/>
    <w:rsid w:val="00AD7349"/>
    <w:rsid w:val="00AD7467"/>
    <w:rsid w:val="00AD76A8"/>
    <w:rsid w:val="00AD7735"/>
    <w:rsid w:val="00AD7E4A"/>
    <w:rsid w:val="00AD7F79"/>
    <w:rsid w:val="00AE0484"/>
    <w:rsid w:val="00AE092B"/>
    <w:rsid w:val="00AE0B26"/>
    <w:rsid w:val="00AE0C4E"/>
    <w:rsid w:val="00AE0DB7"/>
    <w:rsid w:val="00AE0FBA"/>
    <w:rsid w:val="00AE10EC"/>
    <w:rsid w:val="00AE227F"/>
    <w:rsid w:val="00AE22D8"/>
    <w:rsid w:val="00AE2416"/>
    <w:rsid w:val="00AE26D9"/>
    <w:rsid w:val="00AE2806"/>
    <w:rsid w:val="00AE2C0B"/>
    <w:rsid w:val="00AE3236"/>
    <w:rsid w:val="00AE4441"/>
    <w:rsid w:val="00AE4754"/>
    <w:rsid w:val="00AE4F28"/>
    <w:rsid w:val="00AE6069"/>
    <w:rsid w:val="00AE616B"/>
    <w:rsid w:val="00AE6E50"/>
    <w:rsid w:val="00AE6F53"/>
    <w:rsid w:val="00AE7061"/>
    <w:rsid w:val="00AE7396"/>
    <w:rsid w:val="00AE751C"/>
    <w:rsid w:val="00AE788C"/>
    <w:rsid w:val="00AE7995"/>
    <w:rsid w:val="00AE7B83"/>
    <w:rsid w:val="00AE7FA9"/>
    <w:rsid w:val="00AF0165"/>
    <w:rsid w:val="00AF05ED"/>
    <w:rsid w:val="00AF1716"/>
    <w:rsid w:val="00AF198D"/>
    <w:rsid w:val="00AF24FE"/>
    <w:rsid w:val="00AF3693"/>
    <w:rsid w:val="00AF3F16"/>
    <w:rsid w:val="00AF4119"/>
    <w:rsid w:val="00AF4185"/>
    <w:rsid w:val="00AF4397"/>
    <w:rsid w:val="00AF4764"/>
    <w:rsid w:val="00AF4AEE"/>
    <w:rsid w:val="00AF516D"/>
    <w:rsid w:val="00AF51B0"/>
    <w:rsid w:val="00AF51EA"/>
    <w:rsid w:val="00AF58B6"/>
    <w:rsid w:val="00AF5FE1"/>
    <w:rsid w:val="00AF6680"/>
    <w:rsid w:val="00AF67B7"/>
    <w:rsid w:val="00AF6C28"/>
    <w:rsid w:val="00AF6E8E"/>
    <w:rsid w:val="00AF71E3"/>
    <w:rsid w:val="00AF72D8"/>
    <w:rsid w:val="00AF7532"/>
    <w:rsid w:val="00B00087"/>
    <w:rsid w:val="00B002DE"/>
    <w:rsid w:val="00B008BA"/>
    <w:rsid w:val="00B0113C"/>
    <w:rsid w:val="00B01429"/>
    <w:rsid w:val="00B01513"/>
    <w:rsid w:val="00B01843"/>
    <w:rsid w:val="00B0189C"/>
    <w:rsid w:val="00B01E18"/>
    <w:rsid w:val="00B02A0D"/>
    <w:rsid w:val="00B02E68"/>
    <w:rsid w:val="00B02F12"/>
    <w:rsid w:val="00B0338C"/>
    <w:rsid w:val="00B03F97"/>
    <w:rsid w:val="00B0446D"/>
    <w:rsid w:val="00B04AF3"/>
    <w:rsid w:val="00B04B31"/>
    <w:rsid w:val="00B04D7D"/>
    <w:rsid w:val="00B04F07"/>
    <w:rsid w:val="00B05490"/>
    <w:rsid w:val="00B057BD"/>
    <w:rsid w:val="00B057C7"/>
    <w:rsid w:val="00B058E4"/>
    <w:rsid w:val="00B05D8E"/>
    <w:rsid w:val="00B06240"/>
    <w:rsid w:val="00B06334"/>
    <w:rsid w:val="00B06376"/>
    <w:rsid w:val="00B06B5C"/>
    <w:rsid w:val="00B06CEA"/>
    <w:rsid w:val="00B06FD4"/>
    <w:rsid w:val="00B0774F"/>
    <w:rsid w:val="00B0785E"/>
    <w:rsid w:val="00B07ADA"/>
    <w:rsid w:val="00B10320"/>
    <w:rsid w:val="00B10349"/>
    <w:rsid w:val="00B1034A"/>
    <w:rsid w:val="00B108DC"/>
    <w:rsid w:val="00B109E9"/>
    <w:rsid w:val="00B10C21"/>
    <w:rsid w:val="00B10C4C"/>
    <w:rsid w:val="00B10D62"/>
    <w:rsid w:val="00B11075"/>
    <w:rsid w:val="00B11444"/>
    <w:rsid w:val="00B115D3"/>
    <w:rsid w:val="00B11764"/>
    <w:rsid w:val="00B11EFC"/>
    <w:rsid w:val="00B12108"/>
    <w:rsid w:val="00B12161"/>
    <w:rsid w:val="00B126EC"/>
    <w:rsid w:val="00B1275E"/>
    <w:rsid w:val="00B12F90"/>
    <w:rsid w:val="00B1327F"/>
    <w:rsid w:val="00B134F1"/>
    <w:rsid w:val="00B13DCE"/>
    <w:rsid w:val="00B13E7D"/>
    <w:rsid w:val="00B14591"/>
    <w:rsid w:val="00B14C4B"/>
    <w:rsid w:val="00B14D56"/>
    <w:rsid w:val="00B1558A"/>
    <w:rsid w:val="00B157B2"/>
    <w:rsid w:val="00B15CF1"/>
    <w:rsid w:val="00B15E1F"/>
    <w:rsid w:val="00B160BD"/>
    <w:rsid w:val="00B161FC"/>
    <w:rsid w:val="00B16CAA"/>
    <w:rsid w:val="00B171B0"/>
    <w:rsid w:val="00B1731B"/>
    <w:rsid w:val="00B200FB"/>
    <w:rsid w:val="00B201D4"/>
    <w:rsid w:val="00B203C4"/>
    <w:rsid w:val="00B2051D"/>
    <w:rsid w:val="00B20BB7"/>
    <w:rsid w:val="00B20DA5"/>
    <w:rsid w:val="00B20FBA"/>
    <w:rsid w:val="00B20FF5"/>
    <w:rsid w:val="00B2190B"/>
    <w:rsid w:val="00B21BEA"/>
    <w:rsid w:val="00B2257C"/>
    <w:rsid w:val="00B2267C"/>
    <w:rsid w:val="00B226BE"/>
    <w:rsid w:val="00B22738"/>
    <w:rsid w:val="00B22984"/>
    <w:rsid w:val="00B22B2E"/>
    <w:rsid w:val="00B23F9A"/>
    <w:rsid w:val="00B241FF"/>
    <w:rsid w:val="00B244B0"/>
    <w:rsid w:val="00B249AD"/>
    <w:rsid w:val="00B24D25"/>
    <w:rsid w:val="00B251F5"/>
    <w:rsid w:val="00B252CF"/>
    <w:rsid w:val="00B256CD"/>
    <w:rsid w:val="00B25C36"/>
    <w:rsid w:val="00B25C52"/>
    <w:rsid w:val="00B25D00"/>
    <w:rsid w:val="00B26317"/>
    <w:rsid w:val="00B267E2"/>
    <w:rsid w:val="00B26A7A"/>
    <w:rsid w:val="00B26F04"/>
    <w:rsid w:val="00B2713E"/>
    <w:rsid w:val="00B273AD"/>
    <w:rsid w:val="00B27822"/>
    <w:rsid w:val="00B2792B"/>
    <w:rsid w:val="00B30507"/>
    <w:rsid w:val="00B30735"/>
    <w:rsid w:val="00B30A32"/>
    <w:rsid w:val="00B30AAB"/>
    <w:rsid w:val="00B30BC5"/>
    <w:rsid w:val="00B30DDF"/>
    <w:rsid w:val="00B30E80"/>
    <w:rsid w:val="00B30F2D"/>
    <w:rsid w:val="00B310EA"/>
    <w:rsid w:val="00B31164"/>
    <w:rsid w:val="00B31172"/>
    <w:rsid w:val="00B311F7"/>
    <w:rsid w:val="00B31591"/>
    <w:rsid w:val="00B31C36"/>
    <w:rsid w:val="00B31E38"/>
    <w:rsid w:val="00B31E7D"/>
    <w:rsid w:val="00B32112"/>
    <w:rsid w:val="00B32121"/>
    <w:rsid w:val="00B321C1"/>
    <w:rsid w:val="00B3227F"/>
    <w:rsid w:val="00B325CF"/>
    <w:rsid w:val="00B327D9"/>
    <w:rsid w:val="00B3282B"/>
    <w:rsid w:val="00B32C15"/>
    <w:rsid w:val="00B32F4D"/>
    <w:rsid w:val="00B330FA"/>
    <w:rsid w:val="00B3311E"/>
    <w:rsid w:val="00B332E1"/>
    <w:rsid w:val="00B33A30"/>
    <w:rsid w:val="00B3480E"/>
    <w:rsid w:val="00B358BA"/>
    <w:rsid w:val="00B35B6E"/>
    <w:rsid w:val="00B35C8C"/>
    <w:rsid w:val="00B35D0B"/>
    <w:rsid w:val="00B36CA6"/>
    <w:rsid w:val="00B37D15"/>
    <w:rsid w:val="00B37F4A"/>
    <w:rsid w:val="00B404E3"/>
    <w:rsid w:val="00B40879"/>
    <w:rsid w:val="00B4092B"/>
    <w:rsid w:val="00B41257"/>
    <w:rsid w:val="00B41468"/>
    <w:rsid w:val="00B416C4"/>
    <w:rsid w:val="00B41793"/>
    <w:rsid w:val="00B41A2B"/>
    <w:rsid w:val="00B41C19"/>
    <w:rsid w:val="00B41F12"/>
    <w:rsid w:val="00B41F33"/>
    <w:rsid w:val="00B424D8"/>
    <w:rsid w:val="00B430D2"/>
    <w:rsid w:val="00B43131"/>
    <w:rsid w:val="00B43491"/>
    <w:rsid w:val="00B4362A"/>
    <w:rsid w:val="00B43C3B"/>
    <w:rsid w:val="00B441FD"/>
    <w:rsid w:val="00B44888"/>
    <w:rsid w:val="00B44A0B"/>
    <w:rsid w:val="00B44C15"/>
    <w:rsid w:val="00B4554A"/>
    <w:rsid w:val="00B45ECC"/>
    <w:rsid w:val="00B46100"/>
    <w:rsid w:val="00B46EAF"/>
    <w:rsid w:val="00B4708F"/>
    <w:rsid w:val="00B470C1"/>
    <w:rsid w:val="00B47433"/>
    <w:rsid w:val="00B47875"/>
    <w:rsid w:val="00B500A9"/>
    <w:rsid w:val="00B50BA7"/>
    <w:rsid w:val="00B51122"/>
    <w:rsid w:val="00B516E5"/>
    <w:rsid w:val="00B51703"/>
    <w:rsid w:val="00B51F97"/>
    <w:rsid w:val="00B521EE"/>
    <w:rsid w:val="00B52218"/>
    <w:rsid w:val="00B525EF"/>
    <w:rsid w:val="00B52944"/>
    <w:rsid w:val="00B52B2D"/>
    <w:rsid w:val="00B52CF5"/>
    <w:rsid w:val="00B52FDD"/>
    <w:rsid w:val="00B537B6"/>
    <w:rsid w:val="00B53904"/>
    <w:rsid w:val="00B53B99"/>
    <w:rsid w:val="00B53CEE"/>
    <w:rsid w:val="00B5405A"/>
    <w:rsid w:val="00B545B6"/>
    <w:rsid w:val="00B546C7"/>
    <w:rsid w:val="00B54735"/>
    <w:rsid w:val="00B54796"/>
    <w:rsid w:val="00B54A3E"/>
    <w:rsid w:val="00B556A3"/>
    <w:rsid w:val="00B559D4"/>
    <w:rsid w:val="00B55B43"/>
    <w:rsid w:val="00B55D4E"/>
    <w:rsid w:val="00B55ED7"/>
    <w:rsid w:val="00B5646C"/>
    <w:rsid w:val="00B56582"/>
    <w:rsid w:val="00B56986"/>
    <w:rsid w:val="00B56C6A"/>
    <w:rsid w:val="00B56E0B"/>
    <w:rsid w:val="00B571AA"/>
    <w:rsid w:val="00B574DA"/>
    <w:rsid w:val="00B5771E"/>
    <w:rsid w:val="00B57B8D"/>
    <w:rsid w:val="00B608E1"/>
    <w:rsid w:val="00B60C91"/>
    <w:rsid w:val="00B60F42"/>
    <w:rsid w:val="00B60F4F"/>
    <w:rsid w:val="00B60FE1"/>
    <w:rsid w:val="00B61197"/>
    <w:rsid w:val="00B61318"/>
    <w:rsid w:val="00B616A3"/>
    <w:rsid w:val="00B6196E"/>
    <w:rsid w:val="00B625AE"/>
    <w:rsid w:val="00B62B90"/>
    <w:rsid w:val="00B6342A"/>
    <w:rsid w:val="00B635E8"/>
    <w:rsid w:val="00B639C0"/>
    <w:rsid w:val="00B64238"/>
    <w:rsid w:val="00B6429A"/>
    <w:rsid w:val="00B64727"/>
    <w:rsid w:val="00B64790"/>
    <w:rsid w:val="00B64AF9"/>
    <w:rsid w:val="00B64C23"/>
    <w:rsid w:val="00B64D00"/>
    <w:rsid w:val="00B65378"/>
    <w:rsid w:val="00B6539B"/>
    <w:rsid w:val="00B6557A"/>
    <w:rsid w:val="00B6589A"/>
    <w:rsid w:val="00B65B6D"/>
    <w:rsid w:val="00B65D7A"/>
    <w:rsid w:val="00B65F9F"/>
    <w:rsid w:val="00B65FD2"/>
    <w:rsid w:val="00B66997"/>
    <w:rsid w:val="00B6714C"/>
    <w:rsid w:val="00B6724D"/>
    <w:rsid w:val="00B6768C"/>
    <w:rsid w:val="00B67911"/>
    <w:rsid w:val="00B67AB7"/>
    <w:rsid w:val="00B67AFC"/>
    <w:rsid w:val="00B67C8B"/>
    <w:rsid w:val="00B702F8"/>
    <w:rsid w:val="00B706A7"/>
    <w:rsid w:val="00B706E7"/>
    <w:rsid w:val="00B707AC"/>
    <w:rsid w:val="00B70D98"/>
    <w:rsid w:val="00B7191E"/>
    <w:rsid w:val="00B728BE"/>
    <w:rsid w:val="00B72F91"/>
    <w:rsid w:val="00B7397A"/>
    <w:rsid w:val="00B7401B"/>
    <w:rsid w:val="00B7433B"/>
    <w:rsid w:val="00B743FF"/>
    <w:rsid w:val="00B74734"/>
    <w:rsid w:val="00B755D6"/>
    <w:rsid w:val="00B75697"/>
    <w:rsid w:val="00B761DA"/>
    <w:rsid w:val="00B763C8"/>
    <w:rsid w:val="00B764DC"/>
    <w:rsid w:val="00B7731A"/>
    <w:rsid w:val="00B77403"/>
    <w:rsid w:val="00B77CC6"/>
    <w:rsid w:val="00B77DF3"/>
    <w:rsid w:val="00B80224"/>
    <w:rsid w:val="00B80D76"/>
    <w:rsid w:val="00B80E78"/>
    <w:rsid w:val="00B81021"/>
    <w:rsid w:val="00B81151"/>
    <w:rsid w:val="00B81365"/>
    <w:rsid w:val="00B817B2"/>
    <w:rsid w:val="00B81CB9"/>
    <w:rsid w:val="00B8205A"/>
    <w:rsid w:val="00B82099"/>
    <w:rsid w:val="00B8248E"/>
    <w:rsid w:val="00B826A8"/>
    <w:rsid w:val="00B82700"/>
    <w:rsid w:val="00B82978"/>
    <w:rsid w:val="00B82B24"/>
    <w:rsid w:val="00B82EA3"/>
    <w:rsid w:val="00B82EBF"/>
    <w:rsid w:val="00B8376E"/>
    <w:rsid w:val="00B840E2"/>
    <w:rsid w:val="00B84365"/>
    <w:rsid w:val="00B844F5"/>
    <w:rsid w:val="00B847E2"/>
    <w:rsid w:val="00B84B52"/>
    <w:rsid w:val="00B84BBC"/>
    <w:rsid w:val="00B84C43"/>
    <w:rsid w:val="00B84C62"/>
    <w:rsid w:val="00B85101"/>
    <w:rsid w:val="00B85280"/>
    <w:rsid w:val="00B853B5"/>
    <w:rsid w:val="00B856DC"/>
    <w:rsid w:val="00B85741"/>
    <w:rsid w:val="00B85837"/>
    <w:rsid w:val="00B85A3B"/>
    <w:rsid w:val="00B862C5"/>
    <w:rsid w:val="00B8672B"/>
    <w:rsid w:val="00B8678C"/>
    <w:rsid w:val="00B86B84"/>
    <w:rsid w:val="00B870E4"/>
    <w:rsid w:val="00B875F9"/>
    <w:rsid w:val="00B87811"/>
    <w:rsid w:val="00B87813"/>
    <w:rsid w:val="00B87F08"/>
    <w:rsid w:val="00B90113"/>
    <w:rsid w:val="00B90836"/>
    <w:rsid w:val="00B90B92"/>
    <w:rsid w:val="00B90E33"/>
    <w:rsid w:val="00B90E62"/>
    <w:rsid w:val="00B90F38"/>
    <w:rsid w:val="00B91469"/>
    <w:rsid w:val="00B9170D"/>
    <w:rsid w:val="00B9180A"/>
    <w:rsid w:val="00B91DEE"/>
    <w:rsid w:val="00B91EBA"/>
    <w:rsid w:val="00B920DB"/>
    <w:rsid w:val="00B92821"/>
    <w:rsid w:val="00B929F5"/>
    <w:rsid w:val="00B92A16"/>
    <w:rsid w:val="00B92F00"/>
    <w:rsid w:val="00B931F1"/>
    <w:rsid w:val="00B93DED"/>
    <w:rsid w:val="00B93F83"/>
    <w:rsid w:val="00B93FD9"/>
    <w:rsid w:val="00B941D0"/>
    <w:rsid w:val="00B94364"/>
    <w:rsid w:val="00B94504"/>
    <w:rsid w:val="00B948E8"/>
    <w:rsid w:val="00B94A5F"/>
    <w:rsid w:val="00B94B79"/>
    <w:rsid w:val="00B94BAE"/>
    <w:rsid w:val="00B94CC5"/>
    <w:rsid w:val="00B951E8"/>
    <w:rsid w:val="00B9532D"/>
    <w:rsid w:val="00B95384"/>
    <w:rsid w:val="00B9578A"/>
    <w:rsid w:val="00B9590B"/>
    <w:rsid w:val="00B95FFC"/>
    <w:rsid w:val="00B96218"/>
    <w:rsid w:val="00B9661E"/>
    <w:rsid w:val="00B967E4"/>
    <w:rsid w:val="00B96AAE"/>
    <w:rsid w:val="00B96D12"/>
    <w:rsid w:val="00B96E9D"/>
    <w:rsid w:val="00B970D1"/>
    <w:rsid w:val="00B9759D"/>
    <w:rsid w:val="00B97A14"/>
    <w:rsid w:val="00B97C0A"/>
    <w:rsid w:val="00B97D7E"/>
    <w:rsid w:val="00BA0093"/>
    <w:rsid w:val="00BA08CF"/>
    <w:rsid w:val="00BA0D20"/>
    <w:rsid w:val="00BA1727"/>
    <w:rsid w:val="00BA172A"/>
    <w:rsid w:val="00BA1966"/>
    <w:rsid w:val="00BA2887"/>
    <w:rsid w:val="00BA288B"/>
    <w:rsid w:val="00BA32D1"/>
    <w:rsid w:val="00BA3462"/>
    <w:rsid w:val="00BA3ED0"/>
    <w:rsid w:val="00BA4682"/>
    <w:rsid w:val="00BA4A4A"/>
    <w:rsid w:val="00BA4ED8"/>
    <w:rsid w:val="00BA541B"/>
    <w:rsid w:val="00BA5927"/>
    <w:rsid w:val="00BA66B3"/>
    <w:rsid w:val="00BA6928"/>
    <w:rsid w:val="00BA6E89"/>
    <w:rsid w:val="00BA6F21"/>
    <w:rsid w:val="00BA733A"/>
    <w:rsid w:val="00BA75C8"/>
    <w:rsid w:val="00BA7902"/>
    <w:rsid w:val="00BA7FB3"/>
    <w:rsid w:val="00BB001D"/>
    <w:rsid w:val="00BB038F"/>
    <w:rsid w:val="00BB0BC8"/>
    <w:rsid w:val="00BB0DA3"/>
    <w:rsid w:val="00BB0F8B"/>
    <w:rsid w:val="00BB11A3"/>
    <w:rsid w:val="00BB1B5E"/>
    <w:rsid w:val="00BB1D8C"/>
    <w:rsid w:val="00BB2200"/>
    <w:rsid w:val="00BB232A"/>
    <w:rsid w:val="00BB242D"/>
    <w:rsid w:val="00BB27A6"/>
    <w:rsid w:val="00BB2D97"/>
    <w:rsid w:val="00BB322A"/>
    <w:rsid w:val="00BB35A2"/>
    <w:rsid w:val="00BB4105"/>
    <w:rsid w:val="00BB4CBF"/>
    <w:rsid w:val="00BB5161"/>
    <w:rsid w:val="00BB57BC"/>
    <w:rsid w:val="00BB6210"/>
    <w:rsid w:val="00BB652A"/>
    <w:rsid w:val="00BB6AC5"/>
    <w:rsid w:val="00BB713B"/>
    <w:rsid w:val="00BB76D4"/>
    <w:rsid w:val="00BB7834"/>
    <w:rsid w:val="00BB7E2B"/>
    <w:rsid w:val="00BC0558"/>
    <w:rsid w:val="00BC0E20"/>
    <w:rsid w:val="00BC0E80"/>
    <w:rsid w:val="00BC1020"/>
    <w:rsid w:val="00BC13AC"/>
    <w:rsid w:val="00BC1974"/>
    <w:rsid w:val="00BC1D19"/>
    <w:rsid w:val="00BC1F53"/>
    <w:rsid w:val="00BC1FEC"/>
    <w:rsid w:val="00BC2303"/>
    <w:rsid w:val="00BC23DE"/>
    <w:rsid w:val="00BC2B1B"/>
    <w:rsid w:val="00BC33EC"/>
    <w:rsid w:val="00BC3449"/>
    <w:rsid w:val="00BC3667"/>
    <w:rsid w:val="00BC37D3"/>
    <w:rsid w:val="00BC3D21"/>
    <w:rsid w:val="00BC407D"/>
    <w:rsid w:val="00BC464C"/>
    <w:rsid w:val="00BC465D"/>
    <w:rsid w:val="00BC4F95"/>
    <w:rsid w:val="00BC5560"/>
    <w:rsid w:val="00BC5ABF"/>
    <w:rsid w:val="00BC5F91"/>
    <w:rsid w:val="00BC6201"/>
    <w:rsid w:val="00BC62D8"/>
    <w:rsid w:val="00BC6895"/>
    <w:rsid w:val="00BC6912"/>
    <w:rsid w:val="00BC75EE"/>
    <w:rsid w:val="00BC7A8A"/>
    <w:rsid w:val="00BC7EC6"/>
    <w:rsid w:val="00BD0138"/>
    <w:rsid w:val="00BD029D"/>
    <w:rsid w:val="00BD0D89"/>
    <w:rsid w:val="00BD0FB5"/>
    <w:rsid w:val="00BD111E"/>
    <w:rsid w:val="00BD2289"/>
    <w:rsid w:val="00BD2476"/>
    <w:rsid w:val="00BD25E6"/>
    <w:rsid w:val="00BD3124"/>
    <w:rsid w:val="00BD3BD6"/>
    <w:rsid w:val="00BD3FA8"/>
    <w:rsid w:val="00BD4050"/>
    <w:rsid w:val="00BD4372"/>
    <w:rsid w:val="00BD45DD"/>
    <w:rsid w:val="00BD45E7"/>
    <w:rsid w:val="00BD5FF3"/>
    <w:rsid w:val="00BD623D"/>
    <w:rsid w:val="00BD662A"/>
    <w:rsid w:val="00BD7065"/>
    <w:rsid w:val="00BD707A"/>
    <w:rsid w:val="00BD72DF"/>
    <w:rsid w:val="00BD7F86"/>
    <w:rsid w:val="00BE0266"/>
    <w:rsid w:val="00BE04EE"/>
    <w:rsid w:val="00BE0CE4"/>
    <w:rsid w:val="00BE13EC"/>
    <w:rsid w:val="00BE166F"/>
    <w:rsid w:val="00BE1864"/>
    <w:rsid w:val="00BE1B0F"/>
    <w:rsid w:val="00BE1BD3"/>
    <w:rsid w:val="00BE29B5"/>
    <w:rsid w:val="00BE2EBF"/>
    <w:rsid w:val="00BE30EC"/>
    <w:rsid w:val="00BE3317"/>
    <w:rsid w:val="00BE383F"/>
    <w:rsid w:val="00BE3EA1"/>
    <w:rsid w:val="00BE3F6A"/>
    <w:rsid w:val="00BE41B0"/>
    <w:rsid w:val="00BE4277"/>
    <w:rsid w:val="00BE4ADD"/>
    <w:rsid w:val="00BE4C5B"/>
    <w:rsid w:val="00BE4F06"/>
    <w:rsid w:val="00BE5557"/>
    <w:rsid w:val="00BE5940"/>
    <w:rsid w:val="00BE5F1A"/>
    <w:rsid w:val="00BE5F4F"/>
    <w:rsid w:val="00BE6354"/>
    <w:rsid w:val="00BE65B8"/>
    <w:rsid w:val="00BE6E8D"/>
    <w:rsid w:val="00BE7522"/>
    <w:rsid w:val="00BE753B"/>
    <w:rsid w:val="00BE7593"/>
    <w:rsid w:val="00BE77F5"/>
    <w:rsid w:val="00BE7AC2"/>
    <w:rsid w:val="00BE7FB9"/>
    <w:rsid w:val="00BF0269"/>
    <w:rsid w:val="00BF036D"/>
    <w:rsid w:val="00BF08B0"/>
    <w:rsid w:val="00BF1210"/>
    <w:rsid w:val="00BF1506"/>
    <w:rsid w:val="00BF154C"/>
    <w:rsid w:val="00BF186E"/>
    <w:rsid w:val="00BF1C4A"/>
    <w:rsid w:val="00BF1E26"/>
    <w:rsid w:val="00BF242E"/>
    <w:rsid w:val="00BF24EF"/>
    <w:rsid w:val="00BF279C"/>
    <w:rsid w:val="00BF2C37"/>
    <w:rsid w:val="00BF2DF4"/>
    <w:rsid w:val="00BF31ED"/>
    <w:rsid w:val="00BF37A8"/>
    <w:rsid w:val="00BF3D28"/>
    <w:rsid w:val="00BF4030"/>
    <w:rsid w:val="00BF43F2"/>
    <w:rsid w:val="00BF461A"/>
    <w:rsid w:val="00BF46FB"/>
    <w:rsid w:val="00BF4BED"/>
    <w:rsid w:val="00BF4CBF"/>
    <w:rsid w:val="00BF5321"/>
    <w:rsid w:val="00BF5389"/>
    <w:rsid w:val="00BF587E"/>
    <w:rsid w:val="00BF6566"/>
    <w:rsid w:val="00BF6949"/>
    <w:rsid w:val="00BF6BAF"/>
    <w:rsid w:val="00BF7727"/>
    <w:rsid w:val="00BF7FBB"/>
    <w:rsid w:val="00C0010A"/>
    <w:rsid w:val="00C001EB"/>
    <w:rsid w:val="00C0067C"/>
    <w:rsid w:val="00C00A2A"/>
    <w:rsid w:val="00C00C6C"/>
    <w:rsid w:val="00C00E46"/>
    <w:rsid w:val="00C01430"/>
    <w:rsid w:val="00C01468"/>
    <w:rsid w:val="00C015C8"/>
    <w:rsid w:val="00C0183E"/>
    <w:rsid w:val="00C019CB"/>
    <w:rsid w:val="00C01E31"/>
    <w:rsid w:val="00C01E70"/>
    <w:rsid w:val="00C01FD8"/>
    <w:rsid w:val="00C020CB"/>
    <w:rsid w:val="00C021A0"/>
    <w:rsid w:val="00C02B55"/>
    <w:rsid w:val="00C02BC0"/>
    <w:rsid w:val="00C02D7D"/>
    <w:rsid w:val="00C038E4"/>
    <w:rsid w:val="00C03AC2"/>
    <w:rsid w:val="00C0407E"/>
    <w:rsid w:val="00C0454C"/>
    <w:rsid w:val="00C04B47"/>
    <w:rsid w:val="00C05273"/>
    <w:rsid w:val="00C052EB"/>
    <w:rsid w:val="00C05342"/>
    <w:rsid w:val="00C05662"/>
    <w:rsid w:val="00C05A7F"/>
    <w:rsid w:val="00C06A51"/>
    <w:rsid w:val="00C06BF8"/>
    <w:rsid w:val="00C06BFD"/>
    <w:rsid w:val="00C06DDE"/>
    <w:rsid w:val="00C07138"/>
    <w:rsid w:val="00C07465"/>
    <w:rsid w:val="00C07562"/>
    <w:rsid w:val="00C07766"/>
    <w:rsid w:val="00C07786"/>
    <w:rsid w:val="00C078F5"/>
    <w:rsid w:val="00C07DEA"/>
    <w:rsid w:val="00C1171F"/>
    <w:rsid w:val="00C118B2"/>
    <w:rsid w:val="00C119A8"/>
    <w:rsid w:val="00C11C41"/>
    <w:rsid w:val="00C11E5C"/>
    <w:rsid w:val="00C122C3"/>
    <w:rsid w:val="00C124C4"/>
    <w:rsid w:val="00C124FE"/>
    <w:rsid w:val="00C125AF"/>
    <w:rsid w:val="00C12632"/>
    <w:rsid w:val="00C12892"/>
    <w:rsid w:val="00C12962"/>
    <w:rsid w:val="00C13179"/>
    <w:rsid w:val="00C13258"/>
    <w:rsid w:val="00C13AF4"/>
    <w:rsid w:val="00C13C8B"/>
    <w:rsid w:val="00C13E00"/>
    <w:rsid w:val="00C13ED2"/>
    <w:rsid w:val="00C13F0C"/>
    <w:rsid w:val="00C14AE8"/>
    <w:rsid w:val="00C14CB5"/>
    <w:rsid w:val="00C14D1E"/>
    <w:rsid w:val="00C1583D"/>
    <w:rsid w:val="00C15A0F"/>
    <w:rsid w:val="00C15A73"/>
    <w:rsid w:val="00C1696E"/>
    <w:rsid w:val="00C16AE4"/>
    <w:rsid w:val="00C16DE2"/>
    <w:rsid w:val="00C17848"/>
    <w:rsid w:val="00C17DDD"/>
    <w:rsid w:val="00C20789"/>
    <w:rsid w:val="00C209B6"/>
    <w:rsid w:val="00C210FF"/>
    <w:rsid w:val="00C218AB"/>
    <w:rsid w:val="00C21915"/>
    <w:rsid w:val="00C21B1F"/>
    <w:rsid w:val="00C222EB"/>
    <w:rsid w:val="00C22D2E"/>
    <w:rsid w:val="00C22F46"/>
    <w:rsid w:val="00C2402C"/>
    <w:rsid w:val="00C240C3"/>
    <w:rsid w:val="00C24638"/>
    <w:rsid w:val="00C2479A"/>
    <w:rsid w:val="00C24A71"/>
    <w:rsid w:val="00C24B46"/>
    <w:rsid w:val="00C24F42"/>
    <w:rsid w:val="00C24FBE"/>
    <w:rsid w:val="00C25071"/>
    <w:rsid w:val="00C25291"/>
    <w:rsid w:val="00C2547E"/>
    <w:rsid w:val="00C259E6"/>
    <w:rsid w:val="00C262C3"/>
    <w:rsid w:val="00C2675B"/>
    <w:rsid w:val="00C26871"/>
    <w:rsid w:val="00C26B72"/>
    <w:rsid w:val="00C26E10"/>
    <w:rsid w:val="00C27A17"/>
    <w:rsid w:val="00C303B0"/>
    <w:rsid w:val="00C30B2C"/>
    <w:rsid w:val="00C30E5D"/>
    <w:rsid w:val="00C30E8E"/>
    <w:rsid w:val="00C31074"/>
    <w:rsid w:val="00C31129"/>
    <w:rsid w:val="00C31436"/>
    <w:rsid w:val="00C31880"/>
    <w:rsid w:val="00C31A08"/>
    <w:rsid w:val="00C31A6F"/>
    <w:rsid w:val="00C32758"/>
    <w:rsid w:val="00C32792"/>
    <w:rsid w:val="00C3286B"/>
    <w:rsid w:val="00C329F0"/>
    <w:rsid w:val="00C32DDE"/>
    <w:rsid w:val="00C32F71"/>
    <w:rsid w:val="00C33285"/>
    <w:rsid w:val="00C33341"/>
    <w:rsid w:val="00C333A6"/>
    <w:rsid w:val="00C3392D"/>
    <w:rsid w:val="00C33B4D"/>
    <w:rsid w:val="00C33DE7"/>
    <w:rsid w:val="00C33E56"/>
    <w:rsid w:val="00C33FCB"/>
    <w:rsid w:val="00C342CC"/>
    <w:rsid w:val="00C3453C"/>
    <w:rsid w:val="00C346E7"/>
    <w:rsid w:val="00C34B0C"/>
    <w:rsid w:val="00C34B28"/>
    <w:rsid w:val="00C350BE"/>
    <w:rsid w:val="00C353CF"/>
    <w:rsid w:val="00C3543F"/>
    <w:rsid w:val="00C354DB"/>
    <w:rsid w:val="00C35C8B"/>
    <w:rsid w:val="00C36427"/>
    <w:rsid w:val="00C36BEC"/>
    <w:rsid w:val="00C36C7D"/>
    <w:rsid w:val="00C3728A"/>
    <w:rsid w:val="00C37879"/>
    <w:rsid w:val="00C37B94"/>
    <w:rsid w:val="00C37ED1"/>
    <w:rsid w:val="00C37EFE"/>
    <w:rsid w:val="00C40683"/>
    <w:rsid w:val="00C406C4"/>
    <w:rsid w:val="00C408BC"/>
    <w:rsid w:val="00C40959"/>
    <w:rsid w:val="00C4097C"/>
    <w:rsid w:val="00C41547"/>
    <w:rsid w:val="00C4182B"/>
    <w:rsid w:val="00C41BEE"/>
    <w:rsid w:val="00C41E32"/>
    <w:rsid w:val="00C4208D"/>
    <w:rsid w:val="00C4250C"/>
    <w:rsid w:val="00C42692"/>
    <w:rsid w:val="00C42745"/>
    <w:rsid w:val="00C42B09"/>
    <w:rsid w:val="00C42C44"/>
    <w:rsid w:val="00C42E64"/>
    <w:rsid w:val="00C43471"/>
    <w:rsid w:val="00C43A5C"/>
    <w:rsid w:val="00C43DEB"/>
    <w:rsid w:val="00C43F54"/>
    <w:rsid w:val="00C447B1"/>
    <w:rsid w:val="00C44C0E"/>
    <w:rsid w:val="00C44FED"/>
    <w:rsid w:val="00C457E6"/>
    <w:rsid w:val="00C46A08"/>
    <w:rsid w:val="00C4797C"/>
    <w:rsid w:val="00C47BC8"/>
    <w:rsid w:val="00C47DD1"/>
    <w:rsid w:val="00C50779"/>
    <w:rsid w:val="00C50863"/>
    <w:rsid w:val="00C50F09"/>
    <w:rsid w:val="00C51560"/>
    <w:rsid w:val="00C5175C"/>
    <w:rsid w:val="00C51C41"/>
    <w:rsid w:val="00C52836"/>
    <w:rsid w:val="00C530A5"/>
    <w:rsid w:val="00C5431C"/>
    <w:rsid w:val="00C54D8D"/>
    <w:rsid w:val="00C550DC"/>
    <w:rsid w:val="00C554FA"/>
    <w:rsid w:val="00C555BA"/>
    <w:rsid w:val="00C556C6"/>
    <w:rsid w:val="00C558BD"/>
    <w:rsid w:val="00C55955"/>
    <w:rsid w:val="00C55BEE"/>
    <w:rsid w:val="00C56720"/>
    <w:rsid w:val="00C56952"/>
    <w:rsid w:val="00C56C00"/>
    <w:rsid w:val="00C56D0B"/>
    <w:rsid w:val="00C570DC"/>
    <w:rsid w:val="00C57161"/>
    <w:rsid w:val="00C572AC"/>
    <w:rsid w:val="00C60633"/>
    <w:rsid w:val="00C6065E"/>
    <w:rsid w:val="00C60B32"/>
    <w:rsid w:val="00C60B52"/>
    <w:rsid w:val="00C60C02"/>
    <w:rsid w:val="00C61FB8"/>
    <w:rsid w:val="00C621FD"/>
    <w:rsid w:val="00C62632"/>
    <w:rsid w:val="00C62AEF"/>
    <w:rsid w:val="00C631DF"/>
    <w:rsid w:val="00C6370A"/>
    <w:rsid w:val="00C637EE"/>
    <w:rsid w:val="00C638FE"/>
    <w:rsid w:val="00C63DAB"/>
    <w:rsid w:val="00C6451D"/>
    <w:rsid w:val="00C64D8D"/>
    <w:rsid w:val="00C64E60"/>
    <w:rsid w:val="00C6512B"/>
    <w:rsid w:val="00C651E3"/>
    <w:rsid w:val="00C653B1"/>
    <w:rsid w:val="00C65427"/>
    <w:rsid w:val="00C6570A"/>
    <w:rsid w:val="00C65838"/>
    <w:rsid w:val="00C65A91"/>
    <w:rsid w:val="00C65C2D"/>
    <w:rsid w:val="00C65ED8"/>
    <w:rsid w:val="00C66F0A"/>
    <w:rsid w:val="00C67065"/>
    <w:rsid w:val="00C67E96"/>
    <w:rsid w:val="00C700F6"/>
    <w:rsid w:val="00C704C7"/>
    <w:rsid w:val="00C708D2"/>
    <w:rsid w:val="00C70D4D"/>
    <w:rsid w:val="00C70DBC"/>
    <w:rsid w:val="00C70ECD"/>
    <w:rsid w:val="00C713B2"/>
    <w:rsid w:val="00C7165B"/>
    <w:rsid w:val="00C716D2"/>
    <w:rsid w:val="00C719BE"/>
    <w:rsid w:val="00C71B5B"/>
    <w:rsid w:val="00C721FF"/>
    <w:rsid w:val="00C7250D"/>
    <w:rsid w:val="00C726E5"/>
    <w:rsid w:val="00C72BBE"/>
    <w:rsid w:val="00C73054"/>
    <w:rsid w:val="00C73725"/>
    <w:rsid w:val="00C73E84"/>
    <w:rsid w:val="00C740A5"/>
    <w:rsid w:val="00C7471B"/>
    <w:rsid w:val="00C74A5D"/>
    <w:rsid w:val="00C74E14"/>
    <w:rsid w:val="00C75099"/>
    <w:rsid w:val="00C75268"/>
    <w:rsid w:val="00C75301"/>
    <w:rsid w:val="00C754FC"/>
    <w:rsid w:val="00C75516"/>
    <w:rsid w:val="00C75E2F"/>
    <w:rsid w:val="00C75F29"/>
    <w:rsid w:val="00C763EC"/>
    <w:rsid w:val="00C763FB"/>
    <w:rsid w:val="00C766D4"/>
    <w:rsid w:val="00C76705"/>
    <w:rsid w:val="00C76919"/>
    <w:rsid w:val="00C769AE"/>
    <w:rsid w:val="00C76A22"/>
    <w:rsid w:val="00C76C50"/>
    <w:rsid w:val="00C76EA5"/>
    <w:rsid w:val="00C775D2"/>
    <w:rsid w:val="00C77845"/>
    <w:rsid w:val="00C77ABA"/>
    <w:rsid w:val="00C8067F"/>
    <w:rsid w:val="00C80934"/>
    <w:rsid w:val="00C809F7"/>
    <w:rsid w:val="00C80F8D"/>
    <w:rsid w:val="00C811A0"/>
    <w:rsid w:val="00C81F94"/>
    <w:rsid w:val="00C82A64"/>
    <w:rsid w:val="00C82AFE"/>
    <w:rsid w:val="00C82C7B"/>
    <w:rsid w:val="00C82EBF"/>
    <w:rsid w:val="00C82EF5"/>
    <w:rsid w:val="00C83358"/>
    <w:rsid w:val="00C83FF8"/>
    <w:rsid w:val="00C8410F"/>
    <w:rsid w:val="00C842F5"/>
    <w:rsid w:val="00C845D9"/>
    <w:rsid w:val="00C8462B"/>
    <w:rsid w:val="00C84768"/>
    <w:rsid w:val="00C84E3B"/>
    <w:rsid w:val="00C85177"/>
    <w:rsid w:val="00C851B7"/>
    <w:rsid w:val="00C855DD"/>
    <w:rsid w:val="00C855EE"/>
    <w:rsid w:val="00C8569A"/>
    <w:rsid w:val="00C857BF"/>
    <w:rsid w:val="00C8598D"/>
    <w:rsid w:val="00C85AB8"/>
    <w:rsid w:val="00C85FC2"/>
    <w:rsid w:val="00C86299"/>
    <w:rsid w:val="00C863EF"/>
    <w:rsid w:val="00C8673B"/>
    <w:rsid w:val="00C86896"/>
    <w:rsid w:val="00C869DD"/>
    <w:rsid w:val="00C86B2D"/>
    <w:rsid w:val="00C86C79"/>
    <w:rsid w:val="00C87398"/>
    <w:rsid w:val="00C8770B"/>
    <w:rsid w:val="00C87DF6"/>
    <w:rsid w:val="00C90179"/>
    <w:rsid w:val="00C90440"/>
    <w:rsid w:val="00C90B02"/>
    <w:rsid w:val="00C90DB8"/>
    <w:rsid w:val="00C9135D"/>
    <w:rsid w:val="00C9141C"/>
    <w:rsid w:val="00C917DA"/>
    <w:rsid w:val="00C91846"/>
    <w:rsid w:val="00C91D52"/>
    <w:rsid w:val="00C91E22"/>
    <w:rsid w:val="00C91FA1"/>
    <w:rsid w:val="00C92AE4"/>
    <w:rsid w:val="00C92AFA"/>
    <w:rsid w:val="00C931FE"/>
    <w:rsid w:val="00C935A9"/>
    <w:rsid w:val="00C937D0"/>
    <w:rsid w:val="00C93966"/>
    <w:rsid w:val="00C93A76"/>
    <w:rsid w:val="00C9459A"/>
    <w:rsid w:val="00C94950"/>
    <w:rsid w:val="00C94D54"/>
    <w:rsid w:val="00C94D7E"/>
    <w:rsid w:val="00C94F43"/>
    <w:rsid w:val="00C95089"/>
    <w:rsid w:val="00C9538D"/>
    <w:rsid w:val="00C9543F"/>
    <w:rsid w:val="00C956EA"/>
    <w:rsid w:val="00C958DC"/>
    <w:rsid w:val="00C959AB"/>
    <w:rsid w:val="00C95E97"/>
    <w:rsid w:val="00C9686A"/>
    <w:rsid w:val="00C972CD"/>
    <w:rsid w:val="00C97473"/>
    <w:rsid w:val="00C976DF"/>
    <w:rsid w:val="00C9797B"/>
    <w:rsid w:val="00C97BCA"/>
    <w:rsid w:val="00C97D14"/>
    <w:rsid w:val="00CA005F"/>
    <w:rsid w:val="00CA0176"/>
    <w:rsid w:val="00CA07EB"/>
    <w:rsid w:val="00CA080A"/>
    <w:rsid w:val="00CA0819"/>
    <w:rsid w:val="00CA1121"/>
    <w:rsid w:val="00CA16CE"/>
    <w:rsid w:val="00CA1E44"/>
    <w:rsid w:val="00CA2105"/>
    <w:rsid w:val="00CA2787"/>
    <w:rsid w:val="00CA2870"/>
    <w:rsid w:val="00CA2906"/>
    <w:rsid w:val="00CA2B2B"/>
    <w:rsid w:val="00CA2F72"/>
    <w:rsid w:val="00CA3415"/>
    <w:rsid w:val="00CA3428"/>
    <w:rsid w:val="00CA3517"/>
    <w:rsid w:val="00CA36D8"/>
    <w:rsid w:val="00CA379A"/>
    <w:rsid w:val="00CA3BFD"/>
    <w:rsid w:val="00CA3CA9"/>
    <w:rsid w:val="00CA3F24"/>
    <w:rsid w:val="00CA4334"/>
    <w:rsid w:val="00CA44B7"/>
    <w:rsid w:val="00CA478B"/>
    <w:rsid w:val="00CA4952"/>
    <w:rsid w:val="00CA4C35"/>
    <w:rsid w:val="00CA4FDA"/>
    <w:rsid w:val="00CA51E8"/>
    <w:rsid w:val="00CA553C"/>
    <w:rsid w:val="00CA5B0B"/>
    <w:rsid w:val="00CA5B66"/>
    <w:rsid w:val="00CA5CF3"/>
    <w:rsid w:val="00CA5E51"/>
    <w:rsid w:val="00CA656A"/>
    <w:rsid w:val="00CA7131"/>
    <w:rsid w:val="00CA7176"/>
    <w:rsid w:val="00CA769E"/>
    <w:rsid w:val="00CA780C"/>
    <w:rsid w:val="00CA7DD4"/>
    <w:rsid w:val="00CB069C"/>
    <w:rsid w:val="00CB09B7"/>
    <w:rsid w:val="00CB1459"/>
    <w:rsid w:val="00CB1540"/>
    <w:rsid w:val="00CB16D8"/>
    <w:rsid w:val="00CB1BCD"/>
    <w:rsid w:val="00CB1E41"/>
    <w:rsid w:val="00CB1E97"/>
    <w:rsid w:val="00CB2115"/>
    <w:rsid w:val="00CB296B"/>
    <w:rsid w:val="00CB33F7"/>
    <w:rsid w:val="00CB3573"/>
    <w:rsid w:val="00CB3856"/>
    <w:rsid w:val="00CB398E"/>
    <w:rsid w:val="00CB3C98"/>
    <w:rsid w:val="00CB3FDD"/>
    <w:rsid w:val="00CB4155"/>
    <w:rsid w:val="00CB4234"/>
    <w:rsid w:val="00CB43A7"/>
    <w:rsid w:val="00CB4600"/>
    <w:rsid w:val="00CB4CD1"/>
    <w:rsid w:val="00CB4DCD"/>
    <w:rsid w:val="00CB510B"/>
    <w:rsid w:val="00CB5120"/>
    <w:rsid w:val="00CB5159"/>
    <w:rsid w:val="00CB522D"/>
    <w:rsid w:val="00CB5733"/>
    <w:rsid w:val="00CB58A9"/>
    <w:rsid w:val="00CB5D58"/>
    <w:rsid w:val="00CB5E6E"/>
    <w:rsid w:val="00CB62C6"/>
    <w:rsid w:val="00CB6B56"/>
    <w:rsid w:val="00CB6D07"/>
    <w:rsid w:val="00CB7054"/>
    <w:rsid w:val="00CB751B"/>
    <w:rsid w:val="00CB7744"/>
    <w:rsid w:val="00CC014C"/>
    <w:rsid w:val="00CC03D2"/>
    <w:rsid w:val="00CC05C4"/>
    <w:rsid w:val="00CC08EA"/>
    <w:rsid w:val="00CC0E96"/>
    <w:rsid w:val="00CC11EC"/>
    <w:rsid w:val="00CC14C4"/>
    <w:rsid w:val="00CC17E8"/>
    <w:rsid w:val="00CC1F10"/>
    <w:rsid w:val="00CC2144"/>
    <w:rsid w:val="00CC235B"/>
    <w:rsid w:val="00CC2F2F"/>
    <w:rsid w:val="00CC2FA6"/>
    <w:rsid w:val="00CC3618"/>
    <w:rsid w:val="00CC3644"/>
    <w:rsid w:val="00CC3C1F"/>
    <w:rsid w:val="00CC44E7"/>
    <w:rsid w:val="00CC461D"/>
    <w:rsid w:val="00CC4F62"/>
    <w:rsid w:val="00CC50C7"/>
    <w:rsid w:val="00CC61EE"/>
    <w:rsid w:val="00CC64F2"/>
    <w:rsid w:val="00CC6896"/>
    <w:rsid w:val="00CC6A66"/>
    <w:rsid w:val="00CC7333"/>
    <w:rsid w:val="00CC769B"/>
    <w:rsid w:val="00CC7DD6"/>
    <w:rsid w:val="00CD008A"/>
    <w:rsid w:val="00CD0335"/>
    <w:rsid w:val="00CD08A2"/>
    <w:rsid w:val="00CD0B1A"/>
    <w:rsid w:val="00CD1572"/>
    <w:rsid w:val="00CD1C6F"/>
    <w:rsid w:val="00CD2048"/>
    <w:rsid w:val="00CD20D4"/>
    <w:rsid w:val="00CD2CE1"/>
    <w:rsid w:val="00CD318E"/>
    <w:rsid w:val="00CD34B2"/>
    <w:rsid w:val="00CD35FA"/>
    <w:rsid w:val="00CD3B3D"/>
    <w:rsid w:val="00CD42C6"/>
    <w:rsid w:val="00CD4495"/>
    <w:rsid w:val="00CD4A4E"/>
    <w:rsid w:val="00CD4DAF"/>
    <w:rsid w:val="00CD6223"/>
    <w:rsid w:val="00CD6428"/>
    <w:rsid w:val="00CD6631"/>
    <w:rsid w:val="00CD6668"/>
    <w:rsid w:val="00CD69AC"/>
    <w:rsid w:val="00CD6ABB"/>
    <w:rsid w:val="00CD6AED"/>
    <w:rsid w:val="00CD6CA8"/>
    <w:rsid w:val="00CD6E7C"/>
    <w:rsid w:val="00CD6F0B"/>
    <w:rsid w:val="00CD740D"/>
    <w:rsid w:val="00CD7925"/>
    <w:rsid w:val="00CD7D82"/>
    <w:rsid w:val="00CD7FD3"/>
    <w:rsid w:val="00CE079A"/>
    <w:rsid w:val="00CE07F5"/>
    <w:rsid w:val="00CE0895"/>
    <w:rsid w:val="00CE09C3"/>
    <w:rsid w:val="00CE1AED"/>
    <w:rsid w:val="00CE20F5"/>
    <w:rsid w:val="00CE2130"/>
    <w:rsid w:val="00CE2E92"/>
    <w:rsid w:val="00CE2EEE"/>
    <w:rsid w:val="00CE345D"/>
    <w:rsid w:val="00CE3798"/>
    <w:rsid w:val="00CE38A4"/>
    <w:rsid w:val="00CE39DB"/>
    <w:rsid w:val="00CE3D37"/>
    <w:rsid w:val="00CE3D52"/>
    <w:rsid w:val="00CE417F"/>
    <w:rsid w:val="00CE46C0"/>
    <w:rsid w:val="00CE4D7B"/>
    <w:rsid w:val="00CE5385"/>
    <w:rsid w:val="00CE5A71"/>
    <w:rsid w:val="00CE6018"/>
    <w:rsid w:val="00CE6458"/>
    <w:rsid w:val="00CE647F"/>
    <w:rsid w:val="00CE6874"/>
    <w:rsid w:val="00CE6A0D"/>
    <w:rsid w:val="00CE6A5A"/>
    <w:rsid w:val="00CE6E77"/>
    <w:rsid w:val="00CE74EA"/>
    <w:rsid w:val="00CF03F6"/>
    <w:rsid w:val="00CF0711"/>
    <w:rsid w:val="00CF0BF7"/>
    <w:rsid w:val="00CF0D1B"/>
    <w:rsid w:val="00CF0DD8"/>
    <w:rsid w:val="00CF1528"/>
    <w:rsid w:val="00CF16A7"/>
    <w:rsid w:val="00CF18E2"/>
    <w:rsid w:val="00CF1911"/>
    <w:rsid w:val="00CF1B93"/>
    <w:rsid w:val="00CF1F1B"/>
    <w:rsid w:val="00CF2178"/>
    <w:rsid w:val="00CF223B"/>
    <w:rsid w:val="00CF296C"/>
    <w:rsid w:val="00CF305C"/>
    <w:rsid w:val="00CF3172"/>
    <w:rsid w:val="00CF3967"/>
    <w:rsid w:val="00CF3B37"/>
    <w:rsid w:val="00CF3B84"/>
    <w:rsid w:val="00CF3F3F"/>
    <w:rsid w:val="00CF3F51"/>
    <w:rsid w:val="00CF4097"/>
    <w:rsid w:val="00CF40EA"/>
    <w:rsid w:val="00CF48B3"/>
    <w:rsid w:val="00CF492A"/>
    <w:rsid w:val="00CF4BBB"/>
    <w:rsid w:val="00CF4F68"/>
    <w:rsid w:val="00CF50F4"/>
    <w:rsid w:val="00CF51CC"/>
    <w:rsid w:val="00CF5275"/>
    <w:rsid w:val="00CF5BF3"/>
    <w:rsid w:val="00CF63DE"/>
    <w:rsid w:val="00CF679B"/>
    <w:rsid w:val="00CF7174"/>
    <w:rsid w:val="00CF783D"/>
    <w:rsid w:val="00D00400"/>
    <w:rsid w:val="00D00722"/>
    <w:rsid w:val="00D00E44"/>
    <w:rsid w:val="00D01240"/>
    <w:rsid w:val="00D0128B"/>
    <w:rsid w:val="00D01AC1"/>
    <w:rsid w:val="00D02201"/>
    <w:rsid w:val="00D0230C"/>
    <w:rsid w:val="00D02570"/>
    <w:rsid w:val="00D0257C"/>
    <w:rsid w:val="00D0284D"/>
    <w:rsid w:val="00D03249"/>
    <w:rsid w:val="00D0343B"/>
    <w:rsid w:val="00D036B0"/>
    <w:rsid w:val="00D03854"/>
    <w:rsid w:val="00D03E0B"/>
    <w:rsid w:val="00D04016"/>
    <w:rsid w:val="00D04230"/>
    <w:rsid w:val="00D043CC"/>
    <w:rsid w:val="00D044C5"/>
    <w:rsid w:val="00D045BA"/>
    <w:rsid w:val="00D04889"/>
    <w:rsid w:val="00D04A54"/>
    <w:rsid w:val="00D04CED"/>
    <w:rsid w:val="00D04D08"/>
    <w:rsid w:val="00D05D49"/>
    <w:rsid w:val="00D05D99"/>
    <w:rsid w:val="00D06AD4"/>
    <w:rsid w:val="00D06BF7"/>
    <w:rsid w:val="00D06D61"/>
    <w:rsid w:val="00D0736D"/>
    <w:rsid w:val="00D0765E"/>
    <w:rsid w:val="00D07992"/>
    <w:rsid w:val="00D07C96"/>
    <w:rsid w:val="00D101B8"/>
    <w:rsid w:val="00D1041A"/>
    <w:rsid w:val="00D1055A"/>
    <w:rsid w:val="00D1061E"/>
    <w:rsid w:val="00D10715"/>
    <w:rsid w:val="00D110B8"/>
    <w:rsid w:val="00D1116C"/>
    <w:rsid w:val="00D1135B"/>
    <w:rsid w:val="00D11675"/>
    <w:rsid w:val="00D11909"/>
    <w:rsid w:val="00D120F4"/>
    <w:rsid w:val="00D125BA"/>
    <w:rsid w:val="00D12887"/>
    <w:rsid w:val="00D12E6C"/>
    <w:rsid w:val="00D12FCC"/>
    <w:rsid w:val="00D131E3"/>
    <w:rsid w:val="00D1324D"/>
    <w:rsid w:val="00D1326C"/>
    <w:rsid w:val="00D13305"/>
    <w:rsid w:val="00D13863"/>
    <w:rsid w:val="00D13C21"/>
    <w:rsid w:val="00D13D0C"/>
    <w:rsid w:val="00D142D6"/>
    <w:rsid w:val="00D14936"/>
    <w:rsid w:val="00D14A48"/>
    <w:rsid w:val="00D14B4D"/>
    <w:rsid w:val="00D14B7A"/>
    <w:rsid w:val="00D14BAC"/>
    <w:rsid w:val="00D14D72"/>
    <w:rsid w:val="00D153A0"/>
    <w:rsid w:val="00D1570A"/>
    <w:rsid w:val="00D15E72"/>
    <w:rsid w:val="00D16068"/>
    <w:rsid w:val="00D162D7"/>
    <w:rsid w:val="00D1664E"/>
    <w:rsid w:val="00D169BF"/>
    <w:rsid w:val="00D16A34"/>
    <w:rsid w:val="00D16A67"/>
    <w:rsid w:val="00D16A6E"/>
    <w:rsid w:val="00D16D0E"/>
    <w:rsid w:val="00D16E3A"/>
    <w:rsid w:val="00D16F47"/>
    <w:rsid w:val="00D1772E"/>
    <w:rsid w:val="00D17E48"/>
    <w:rsid w:val="00D17F60"/>
    <w:rsid w:val="00D206F2"/>
    <w:rsid w:val="00D20AB0"/>
    <w:rsid w:val="00D20C72"/>
    <w:rsid w:val="00D20F17"/>
    <w:rsid w:val="00D214ED"/>
    <w:rsid w:val="00D215EE"/>
    <w:rsid w:val="00D2182E"/>
    <w:rsid w:val="00D21A93"/>
    <w:rsid w:val="00D225A5"/>
    <w:rsid w:val="00D22BAA"/>
    <w:rsid w:val="00D22DBF"/>
    <w:rsid w:val="00D23150"/>
    <w:rsid w:val="00D23577"/>
    <w:rsid w:val="00D23852"/>
    <w:rsid w:val="00D23B46"/>
    <w:rsid w:val="00D23BD5"/>
    <w:rsid w:val="00D23F2B"/>
    <w:rsid w:val="00D24239"/>
    <w:rsid w:val="00D2495B"/>
    <w:rsid w:val="00D24BDF"/>
    <w:rsid w:val="00D25566"/>
    <w:rsid w:val="00D257B5"/>
    <w:rsid w:val="00D25921"/>
    <w:rsid w:val="00D265C6"/>
    <w:rsid w:val="00D268DD"/>
    <w:rsid w:val="00D26B4C"/>
    <w:rsid w:val="00D26D07"/>
    <w:rsid w:val="00D27074"/>
    <w:rsid w:val="00D27E49"/>
    <w:rsid w:val="00D27ED0"/>
    <w:rsid w:val="00D3025A"/>
    <w:rsid w:val="00D30303"/>
    <w:rsid w:val="00D30476"/>
    <w:rsid w:val="00D30629"/>
    <w:rsid w:val="00D30D0F"/>
    <w:rsid w:val="00D30FD3"/>
    <w:rsid w:val="00D312E2"/>
    <w:rsid w:val="00D316CE"/>
    <w:rsid w:val="00D31888"/>
    <w:rsid w:val="00D31983"/>
    <w:rsid w:val="00D31EE8"/>
    <w:rsid w:val="00D31FE2"/>
    <w:rsid w:val="00D32302"/>
    <w:rsid w:val="00D3300B"/>
    <w:rsid w:val="00D3311D"/>
    <w:rsid w:val="00D33A96"/>
    <w:rsid w:val="00D341A7"/>
    <w:rsid w:val="00D34484"/>
    <w:rsid w:val="00D34A87"/>
    <w:rsid w:val="00D34DD9"/>
    <w:rsid w:val="00D3515B"/>
    <w:rsid w:val="00D356E1"/>
    <w:rsid w:val="00D35A7A"/>
    <w:rsid w:val="00D36434"/>
    <w:rsid w:val="00D3652D"/>
    <w:rsid w:val="00D36562"/>
    <w:rsid w:val="00D36581"/>
    <w:rsid w:val="00D367A8"/>
    <w:rsid w:val="00D36962"/>
    <w:rsid w:val="00D369A7"/>
    <w:rsid w:val="00D36AD5"/>
    <w:rsid w:val="00D36F65"/>
    <w:rsid w:val="00D37111"/>
    <w:rsid w:val="00D376C8"/>
    <w:rsid w:val="00D377A2"/>
    <w:rsid w:val="00D37E7F"/>
    <w:rsid w:val="00D40E06"/>
    <w:rsid w:val="00D4127C"/>
    <w:rsid w:val="00D41BAD"/>
    <w:rsid w:val="00D421E9"/>
    <w:rsid w:val="00D422CD"/>
    <w:rsid w:val="00D4235B"/>
    <w:rsid w:val="00D427E4"/>
    <w:rsid w:val="00D4373D"/>
    <w:rsid w:val="00D43B87"/>
    <w:rsid w:val="00D44209"/>
    <w:rsid w:val="00D44645"/>
    <w:rsid w:val="00D447C6"/>
    <w:rsid w:val="00D44C1F"/>
    <w:rsid w:val="00D45112"/>
    <w:rsid w:val="00D453A2"/>
    <w:rsid w:val="00D4544A"/>
    <w:rsid w:val="00D45531"/>
    <w:rsid w:val="00D45ACA"/>
    <w:rsid w:val="00D46146"/>
    <w:rsid w:val="00D46544"/>
    <w:rsid w:val="00D469FD"/>
    <w:rsid w:val="00D46B08"/>
    <w:rsid w:val="00D46D6C"/>
    <w:rsid w:val="00D46D8A"/>
    <w:rsid w:val="00D47300"/>
    <w:rsid w:val="00D4743C"/>
    <w:rsid w:val="00D47B83"/>
    <w:rsid w:val="00D47C93"/>
    <w:rsid w:val="00D47EA5"/>
    <w:rsid w:val="00D47F89"/>
    <w:rsid w:val="00D50392"/>
    <w:rsid w:val="00D503DF"/>
    <w:rsid w:val="00D503E7"/>
    <w:rsid w:val="00D50F26"/>
    <w:rsid w:val="00D50FDC"/>
    <w:rsid w:val="00D51616"/>
    <w:rsid w:val="00D51EFB"/>
    <w:rsid w:val="00D51F16"/>
    <w:rsid w:val="00D51FD4"/>
    <w:rsid w:val="00D5201B"/>
    <w:rsid w:val="00D52111"/>
    <w:rsid w:val="00D52A6E"/>
    <w:rsid w:val="00D52DEB"/>
    <w:rsid w:val="00D5348C"/>
    <w:rsid w:val="00D53806"/>
    <w:rsid w:val="00D53A67"/>
    <w:rsid w:val="00D53E08"/>
    <w:rsid w:val="00D54818"/>
    <w:rsid w:val="00D54E67"/>
    <w:rsid w:val="00D5526A"/>
    <w:rsid w:val="00D55392"/>
    <w:rsid w:val="00D5540E"/>
    <w:rsid w:val="00D55510"/>
    <w:rsid w:val="00D5574A"/>
    <w:rsid w:val="00D55A1D"/>
    <w:rsid w:val="00D55C91"/>
    <w:rsid w:val="00D5654D"/>
    <w:rsid w:val="00D569DC"/>
    <w:rsid w:val="00D56EF3"/>
    <w:rsid w:val="00D573F5"/>
    <w:rsid w:val="00D57576"/>
    <w:rsid w:val="00D57644"/>
    <w:rsid w:val="00D57690"/>
    <w:rsid w:val="00D57B77"/>
    <w:rsid w:val="00D57FDE"/>
    <w:rsid w:val="00D60DB2"/>
    <w:rsid w:val="00D61028"/>
    <w:rsid w:val="00D612CF"/>
    <w:rsid w:val="00D6137F"/>
    <w:rsid w:val="00D6159E"/>
    <w:rsid w:val="00D615EF"/>
    <w:rsid w:val="00D6178C"/>
    <w:rsid w:val="00D61941"/>
    <w:rsid w:val="00D61A0B"/>
    <w:rsid w:val="00D62059"/>
    <w:rsid w:val="00D626F9"/>
    <w:rsid w:val="00D62A94"/>
    <w:rsid w:val="00D62B59"/>
    <w:rsid w:val="00D6317F"/>
    <w:rsid w:val="00D632FB"/>
    <w:rsid w:val="00D63715"/>
    <w:rsid w:val="00D6459A"/>
    <w:rsid w:val="00D64A9F"/>
    <w:rsid w:val="00D64BA5"/>
    <w:rsid w:val="00D64E4B"/>
    <w:rsid w:val="00D65061"/>
    <w:rsid w:val="00D652D2"/>
    <w:rsid w:val="00D65D5E"/>
    <w:rsid w:val="00D65F00"/>
    <w:rsid w:val="00D65F4C"/>
    <w:rsid w:val="00D66605"/>
    <w:rsid w:val="00D668F4"/>
    <w:rsid w:val="00D669FB"/>
    <w:rsid w:val="00D66BC7"/>
    <w:rsid w:val="00D66E35"/>
    <w:rsid w:val="00D67757"/>
    <w:rsid w:val="00D700A4"/>
    <w:rsid w:val="00D705A8"/>
    <w:rsid w:val="00D708C6"/>
    <w:rsid w:val="00D70B16"/>
    <w:rsid w:val="00D713B5"/>
    <w:rsid w:val="00D714F7"/>
    <w:rsid w:val="00D71892"/>
    <w:rsid w:val="00D71D29"/>
    <w:rsid w:val="00D72586"/>
    <w:rsid w:val="00D726A0"/>
    <w:rsid w:val="00D729E6"/>
    <w:rsid w:val="00D72FDE"/>
    <w:rsid w:val="00D73556"/>
    <w:rsid w:val="00D738C5"/>
    <w:rsid w:val="00D73D44"/>
    <w:rsid w:val="00D74207"/>
    <w:rsid w:val="00D745E3"/>
    <w:rsid w:val="00D7465D"/>
    <w:rsid w:val="00D74688"/>
    <w:rsid w:val="00D747B1"/>
    <w:rsid w:val="00D74EEE"/>
    <w:rsid w:val="00D7548B"/>
    <w:rsid w:val="00D755A6"/>
    <w:rsid w:val="00D7579B"/>
    <w:rsid w:val="00D75949"/>
    <w:rsid w:val="00D76126"/>
    <w:rsid w:val="00D769C6"/>
    <w:rsid w:val="00D76BD1"/>
    <w:rsid w:val="00D76EC1"/>
    <w:rsid w:val="00D77066"/>
    <w:rsid w:val="00D77D13"/>
    <w:rsid w:val="00D77F2F"/>
    <w:rsid w:val="00D80395"/>
    <w:rsid w:val="00D803FD"/>
    <w:rsid w:val="00D80DE5"/>
    <w:rsid w:val="00D8145D"/>
    <w:rsid w:val="00D819D2"/>
    <w:rsid w:val="00D81EA7"/>
    <w:rsid w:val="00D820F0"/>
    <w:rsid w:val="00D821F3"/>
    <w:rsid w:val="00D83319"/>
    <w:rsid w:val="00D833F7"/>
    <w:rsid w:val="00D836CD"/>
    <w:rsid w:val="00D8381B"/>
    <w:rsid w:val="00D83B5E"/>
    <w:rsid w:val="00D83C16"/>
    <w:rsid w:val="00D83CB8"/>
    <w:rsid w:val="00D83E87"/>
    <w:rsid w:val="00D83ED9"/>
    <w:rsid w:val="00D84366"/>
    <w:rsid w:val="00D85C0D"/>
    <w:rsid w:val="00D86459"/>
    <w:rsid w:val="00D8665A"/>
    <w:rsid w:val="00D86C8A"/>
    <w:rsid w:val="00D86D7A"/>
    <w:rsid w:val="00D8729A"/>
    <w:rsid w:val="00D87381"/>
    <w:rsid w:val="00D87849"/>
    <w:rsid w:val="00D87A88"/>
    <w:rsid w:val="00D87AA5"/>
    <w:rsid w:val="00D87C8A"/>
    <w:rsid w:val="00D902FD"/>
    <w:rsid w:val="00D9040F"/>
    <w:rsid w:val="00D908E4"/>
    <w:rsid w:val="00D90B8B"/>
    <w:rsid w:val="00D91162"/>
    <w:rsid w:val="00D91298"/>
    <w:rsid w:val="00D914C4"/>
    <w:rsid w:val="00D9196D"/>
    <w:rsid w:val="00D91DEE"/>
    <w:rsid w:val="00D922FF"/>
    <w:rsid w:val="00D9240D"/>
    <w:rsid w:val="00D92480"/>
    <w:rsid w:val="00D9256C"/>
    <w:rsid w:val="00D92BAE"/>
    <w:rsid w:val="00D93083"/>
    <w:rsid w:val="00D930F9"/>
    <w:rsid w:val="00D932F8"/>
    <w:rsid w:val="00D93501"/>
    <w:rsid w:val="00D93B19"/>
    <w:rsid w:val="00D93BEB"/>
    <w:rsid w:val="00D93FDD"/>
    <w:rsid w:val="00D94AD5"/>
    <w:rsid w:val="00D955B2"/>
    <w:rsid w:val="00D95CE0"/>
    <w:rsid w:val="00D95DB6"/>
    <w:rsid w:val="00D95F0A"/>
    <w:rsid w:val="00D95F37"/>
    <w:rsid w:val="00D962EA"/>
    <w:rsid w:val="00D963B1"/>
    <w:rsid w:val="00D96B05"/>
    <w:rsid w:val="00D96CE0"/>
    <w:rsid w:val="00D96EF9"/>
    <w:rsid w:val="00D9766E"/>
    <w:rsid w:val="00D977A3"/>
    <w:rsid w:val="00DA0127"/>
    <w:rsid w:val="00DA01E0"/>
    <w:rsid w:val="00DA0282"/>
    <w:rsid w:val="00DA0417"/>
    <w:rsid w:val="00DA05B1"/>
    <w:rsid w:val="00DA0DE7"/>
    <w:rsid w:val="00DA0FDB"/>
    <w:rsid w:val="00DA1649"/>
    <w:rsid w:val="00DA16BC"/>
    <w:rsid w:val="00DA1D39"/>
    <w:rsid w:val="00DA1F0B"/>
    <w:rsid w:val="00DA22D0"/>
    <w:rsid w:val="00DA239D"/>
    <w:rsid w:val="00DA2431"/>
    <w:rsid w:val="00DA2559"/>
    <w:rsid w:val="00DA2647"/>
    <w:rsid w:val="00DA2A70"/>
    <w:rsid w:val="00DA2CC4"/>
    <w:rsid w:val="00DA3094"/>
    <w:rsid w:val="00DA330E"/>
    <w:rsid w:val="00DA360A"/>
    <w:rsid w:val="00DA42E5"/>
    <w:rsid w:val="00DA44C7"/>
    <w:rsid w:val="00DA4D2D"/>
    <w:rsid w:val="00DA4EBE"/>
    <w:rsid w:val="00DA4F0E"/>
    <w:rsid w:val="00DA51B1"/>
    <w:rsid w:val="00DA53FA"/>
    <w:rsid w:val="00DA5506"/>
    <w:rsid w:val="00DA6328"/>
    <w:rsid w:val="00DA6630"/>
    <w:rsid w:val="00DA66CA"/>
    <w:rsid w:val="00DA66FC"/>
    <w:rsid w:val="00DA6B4D"/>
    <w:rsid w:val="00DA7043"/>
    <w:rsid w:val="00DA7543"/>
    <w:rsid w:val="00DA75E7"/>
    <w:rsid w:val="00DA7805"/>
    <w:rsid w:val="00DA7E68"/>
    <w:rsid w:val="00DB0159"/>
    <w:rsid w:val="00DB095B"/>
    <w:rsid w:val="00DB0A0E"/>
    <w:rsid w:val="00DB0A56"/>
    <w:rsid w:val="00DB13FC"/>
    <w:rsid w:val="00DB164E"/>
    <w:rsid w:val="00DB1899"/>
    <w:rsid w:val="00DB2169"/>
    <w:rsid w:val="00DB21C2"/>
    <w:rsid w:val="00DB21DB"/>
    <w:rsid w:val="00DB232C"/>
    <w:rsid w:val="00DB2470"/>
    <w:rsid w:val="00DB2987"/>
    <w:rsid w:val="00DB29E1"/>
    <w:rsid w:val="00DB2B38"/>
    <w:rsid w:val="00DB34B1"/>
    <w:rsid w:val="00DB37E2"/>
    <w:rsid w:val="00DB3DEA"/>
    <w:rsid w:val="00DB42F2"/>
    <w:rsid w:val="00DB4AA7"/>
    <w:rsid w:val="00DB4EC6"/>
    <w:rsid w:val="00DB55D2"/>
    <w:rsid w:val="00DB5D9E"/>
    <w:rsid w:val="00DB630A"/>
    <w:rsid w:val="00DB6F23"/>
    <w:rsid w:val="00DB7036"/>
    <w:rsid w:val="00DB7396"/>
    <w:rsid w:val="00DB74AB"/>
    <w:rsid w:val="00DB767E"/>
    <w:rsid w:val="00DB77DB"/>
    <w:rsid w:val="00DB7E63"/>
    <w:rsid w:val="00DC044E"/>
    <w:rsid w:val="00DC0940"/>
    <w:rsid w:val="00DC0970"/>
    <w:rsid w:val="00DC0A9B"/>
    <w:rsid w:val="00DC0F2B"/>
    <w:rsid w:val="00DC143C"/>
    <w:rsid w:val="00DC14D5"/>
    <w:rsid w:val="00DC1745"/>
    <w:rsid w:val="00DC179B"/>
    <w:rsid w:val="00DC1DF7"/>
    <w:rsid w:val="00DC1E42"/>
    <w:rsid w:val="00DC2027"/>
    <w:rsid w:val="00DC216A"/>
    <w:rsid w:val="00DC2363"/>
    <w:rsid w:val="00DC2695"/>
    <w:rsid w:val="00DC2D4A"/>
    <w:rsid w:val="00DC31AF"/>
    <w:rsid w:val="00DC33E5"/>
    <w:rsid w:val="00DC3683"/>
    <w:rsid w:val="00DC3CC5"/>
    <w:rsid w:val="00DC4513"/>
    <w:rsid w:val="00DC480D"/>
    <w:rsid w:val="00DC4855"/>
    <w:rsid w:val="00DC4881"/>
    <w:rsid w:val="00DC490D"/>
    <w:rsid w:val="00DC531B"/>
    <w:rsid w:val="00DC55CE"/>
    <w:rsid w:val="00DC5936"/>
    <w:rsid w:val="00DC5ACA"/>
    <w:rsid w:val="00DC5C78"/>
    <w:rsid w:val="00DC5CD7"/>
    <w:rsid w:val="00DC731E"/>
    <w:rsid w:val="00DC7551"/>
    <w:rsid w:val="00DC764C"/>
    <w:rsid w:val="00DC7DBE"/>
    <w:rsid w:val="00DD0222"/>
    <w:rsid w:val="00DD0244"/>
    <w:rsid w:val="00DD063E"/>
    <w:rsid w:val="00DD09E2"/>
    <w:rsid w:val="00DD0A02"/>
    <w:rsid w:val="00DD0C0E"/>
    <w:rsid w:val="00DD0C29"/>
    <w:rsid w:val="00DD0E23"/>
    <w:rsid w:val="00DD0E9E"/>
    <w:rsid w:val="00DD11CD"/>
    <w:rsid w:val="00DD1703"/>
    <w:rsid w:val="00DD2009"/>
    <w:rsid w:val="00DD255A"/>
    <w:rsid w:val="00DD2593"/>
    <w:rsid w:val="00DD29FC"/>
    <w:rsid w:val="00DD2C93"/>
    <w:rsid w:val="00DD2F75"/>
    <w:rsid w:val="00DD32E5"/>
    <w:rsid w:val="00DD3B57"/>
    <w:rsid w:val="00DD3C46"/>
    <w:rsid w:val="00DD3CEF"/>
    <w:rsid w:val="00DD3F3F"/>
    <w:rsid w:val="00DD4524"/>
    <w:rsid w:val="00DD4568"/>
    <w:rsid w:val="00DD4844"/>
    <w:rsid w:val="00DD4963"/>
    <w:rsid w:val="00DD5697"/>
    <w:rsid w:val="00DD5874"/>
    <w:rsid w:val="00DD5B85"/>
    <w:rsid w:val="00DD64C0"/>
    <w:rsid w:val="00DD6A3E"/>
    <w:rsid w:val="00DD764D"/>
    <w:rsid w:val="00DD7C6D"/>
    <w:rsid w:val="00DE00D7"/>
    <w:rsid w:val="00DE0D1F"/>
    <w:rsid w:val="00DE0D54"/>
    <w:rsid w:val="00DE115A"/>
    <w:rsid w:val="00DE137E"/>
    <w:rsid w:val="00DE1740"/>
    <w:rsid w:val="00DE1D86"/>
    <w:rsid w:val="00DE200F"/>
    <w:rsid w:val="00DE20FB"/>
    <w:rsid w:val="00DE2139"/>
    <w:rsid w:val="00DE22CC"/>
    <w:rsid w:val="00DE23DF"/>
    <w:rsid w:val="00DE27CA"/>
    <w:rsid w:val="00DE2869"/>
    <w:rsid w:val="00DE3090"/>
    <w:rsid w:val="00DE30F8"/>
    <w:rsid w:val="00DE3784"/>
    <w:rsid w:val="00DE37CE"/>
    <w:rsid w:val="00DE3961"/>
    <w:rsid w:val="00DE3CF1"/>
    <w:rsid w:val="00DE4013"/>
    <w:rsid w:val="00DE44E4"/>
    <w:rsid w:val="00DE4C96"/>
    <w:rsid w:val="00DE5237"/>
    <w:rsid w:val="00DE548C"/>
    <w:rsid w:val="00DE5541"/>
    <w:rsid w:val="00DE5593"/>
    <w:rsid w:val="00DE58AD"/>
    <w:rsid w:val="00DE5963"/>
    <w:rsid w:val="00DE599C"/>
    <w:rsid w:val="00DE5F10"/>
    <w:rsid w:val="00DE6603"/>
    <w:rsid w:val="00DE68A5"/>
    <w:rsid w:val="00DE6A98"/>
    <w:rsid w:val="00DE7205"/>
    <w:rsid w:val="00DE7287"/>
    <w:rsid w:val="00DE7A9B"/>
    <w:rsid w:val="00DE7AD3"/>
    <w:rsid w:val="00DF00C5"/>
    <w:rsid w:val="00DF032E"/>
    <w:rsid w:val="00DF03F8"/>
    <w:rsid w:val="00DF042B"/>
    <w:rsid w:val="00DF0458"/>
    <w:rsid w:val="00DF0979"/>
    <w:rsid w:val="00DF0D77"/>
    <w:rsid w:val="00DF13EA"/>
    <w:rsid w:val="00DF221B"/>
    <w:rsid w:val="00DF24D1"/>
    <w:rsid w:val="00DF3105"/>
    <w:rsid w:val="00DF3723"/>
    <w:rsid w:val="00DF39A7"/>
    <w:rsid w:val="00DF39B4"/>
    <w:rsid w:val="00DF3A45"/>
    <w:rsid w:val="00DF45C8"/>
    <w:rsid w:val="00DF47E5"/>
    <w:rsid w:val="00DF4E16"/>
    <w:rsid w:val="00DF4EC0"/>
    <w:rsid w:val="00DF53DD"/>
    <w:rsid w:val="00DF59BE"/>
    <w:rsid w:val="00DF5AB0"/>
    <w:rsid w:val="00DF65E9"/>
    <w:rsid w:val="00DF66B3"/>
    <w:rsid w:val="00DF6B69"/>
    <w:rsid w:val="00DF724F"/>
    <w:rsid w:val="00DF76EE"/>
    <w:rsid w:val="00DF7FDC"/>
    <w:rsid w:val="00E000AB"/>
    <w:rsid w:val="00E0055D"/>
    <w:rsid w:val="00E006C1"/>
    <w:rsid w:val="00E00AAB"/>
    <w:rsid w:val="00E00FD5"/>
    <w:rsid w:val="00E01021"/>
    <w:rsid w:val="00E018FB"/>
    <w:rsid w:val="00E01B6C"/>
    <w:rsid w:val="00E01C33"/>
    <w:rsid w:val="00E01D1D"/>
    <w:rsid w:val="00E0243C"/>
    <w:rsid w:val="00E025E0"/>
    <w:rsid w:val="00E02B82"/>
    <w:rsid w:val="00E02EAC"/>
    <w:rsid w:val="00E03283"/>
    <w:rsid w:val="00E03449"/>
    <w:rsid w:val="00E03537"/>
    <w:rsid w:val="00E03BC2"/>
    <w:rsid w:val="00E03FEA"/>
    <w:rsid w:val="00E0400C"/>
    <w:rsid w:val="00E041D0"/>
    <w:rsid w:val="00E04738"/>
    <w:rsid w:val="00E0491B"/>
    <w:rsid w:val="00E04CEE"/>
    <w:rsid w:val="00E05736"/>
    <w:rsid w:val="00E05F82"/>
    <w:rsid w:val="00E06342"/>
    <w:rsid w:val="00E06897"/>
    <w:rsid w:val="00E06CD8"/>
    <w:rsid w:val="00E075E3"/>
    <w:rsid w:val="00E076B9"/>
    <w:rsid w:val="00E10230"/>
    <w:rsid w:val="00E103B5"/>
    <w:rsid w:val="00E10828"/>
    <w:rsid w:val="00E10BC7"/>
    <w:rsid w:val="00E10D49"/>
    <w:rsid w:val="00E10FE9"/>
    <w:rsid w:val="00E110E8"/>
    <w:rsid w:val="00E118B1"/>
    <w:rsid w:val="00E11BD3"/>
    <w:rsid w:val="00E12192"/>
    <w:rsid w:val="00E12653"/>
    <w:rsid w:val="00E12FA5"/>
    <w:rsid w:val="00E131C2"/>
    <w:rsid w:val="00E13416"/>
    <w:rsid w:val="00E134C5"/>
    <w:rsid w:val="00E13500"/>
    <w:rsid w:val="00E13A50"/>
    <w:rsid w:val="00E13DD8"/>
    <w:rsid w:val="00E13DFD"/>
    <w:rsid w:val="00E142E2"/>
    <w:rsid w:val="00E14391"/>
    <w:rsid w:val="00E1440F"/>
    <w:rsid w:val="00E14DC8"/>
    <w:rsid w:val="00E14F7B"/>
    <w:rsid w:val="00E14FB1"/>
    <w:rsid w:val="00E1504E"/>
    <w:rsid w:val="00E1566D"/>
    <w:rsid w:val="00E15C6B"/>
    <w:rsid w:val="00E15D5E"/>
    <w:rsid w:val="00E1609E"/>
    <w:rsid w:val="00E160A2"/>
    <w:rsid w:val="00E161ED"/>
    <w:rsid w:val="00E16264"/>
    <w:rsid w:val="00E16337"/>
    <w:rsid w:val="00E16784"/>
    <w:rsid w:val="00E16BCF"/>
    <w:rsid w:val="00E16D01"/>
    <w:rsid w:val="00E16D64"/>
    <w:rsid w:val="00E17586"/>
    <w:rsid w:val="00E17695"/>
    <w:rsid w:val="00E20040"/>
    <w:rsid w:val="00E200AB"/>
    <w:rsid w:val="00E205DA"/>
    <w:rsid w:val="00E206A0"/>
    <w:rsid w:val="00E20A00"/>
    <w:rsid w:val="00E20D6B"/>
    <w:rsid w:val="00E21054"/>
    <w:rsid w:val="00E21687"/>
    <w:rsid w:val="00E21811"/>
    <w:rsid w:val="00E21838"/>
    <w:rsid w:val="00E21932"/>
    <w:rsid w:val="00E21F27"/>
    <w:rsid w:val="00E22025"/>
    <w:rsid w:val="00E22220"/>
    <w:rsid w:val="00E22E90"/>
    <w:rsid w:val="00E2313A"/>
    <w:rsid w:val="00E233E4"/>
    <w:rsid w:val="00E235A2"/>
    <w:rsid w:val="00E23A88"/>
    <w:rsid w:val="00E242F5"/>
    <w:rsid w:val="00E248B2"/>
    <w:rsid w:val="00E24B92"/>
    <w:rsid w:val="00E25353"/>
    <w:rsid w:val="00E253EC"/>
    <w:rsid w:val="00E25A22"/>
    <w:rsid w:val="00E25BA8"/>
    <w:rsid w:val="00E26031"/>
    <w:rsid w:val="00E26164"/>
    <w:rsid w:val="00E263D1"/>
    <w:rsid w:val="00E26D03"/>
    <w:rsid w:val="00E27D8C"/>
    <w:rsid w:val="00E30220"/>
    <w:rsid w:val="00E30692"/>
    <w:rsid w:val="00E30A38"/>
    <w:rsid w:val="00E30F0F"/>
    <w:rsid w:val="00E30F74"/>
    <w:rsid w:val="00E30FF7"/>
    <w:rsid w:val="00E31341"/>
    <w:rsid w:val="00E31352"/>
    <w:rsid w:val="00E31865"/>
    <w:rsid w:val="00E318D6"/>
    <w:rsid w:val="00E31C77"/>
    <w:rsid w:val="00E31E2C"/>
    <w:rsid w:val="00E320FB"/>
    <w:rsid w:val="00E32A83"/>
    <w:rsid w:val="00E32B88"/>
    <w:rsid w:val="00E32FC1"/>
    <w:rsid w:val="00E335FE"/>
    <w:rsid w:val="00E33833"/>
    <w:rsid w:val="00E34009"/>
    <w:rsid w:val="00E3401C"/>
    <w:rsid w:val="00E340AC"/>
    <w:rsid w:val="00E34486"/>
    <w:rsid w:val="00E347B4"/>
    <w:rsid w:val="00E357E6"/>
    <w:rsid w:val="00E35F32"/>
    <w:rsid w:val="00E35F9D"/>
    <w:rsid w:val="00E366FB"/>
    <w:rsid w:val="00E36703"/>
    <w:rsid w:val="00E3672C"/>
    <w:rsid w:val="00E36980"/>
    <w:rsid w:val="00E36E26"/>
    <w:rsid w:val="00E37A55"/>
    <w:rsid w:val="00E37B54"/>
    <w:rsid w:val="00E4039F"/>
    <w:rsid w:val="00E409CD"/>
    <w:rsid w:val="00E40C22"/>
    <w:rsid w:val="00E410AE"/>
    <w:rsid w:val="00E411DB"/>
    <w:rsid w:val="00E4146E"/>
    <w:rsid w:val="00E420F2"/>
    <w:rsid w:val="00E421AB"/>
    <w:rsid w:val="00E42608"/>
    <w:rsid w:val="00E427CD"/>
    <w:rsid w:val="00E42A9F"/>
    <w:rsid w:val="00E43243"/>
    <w:rsid w:val="00E433B9"/>
    <w:rsid w:val="00E43711"/>
    <w:rsid w:val="00E43BCC"/>
    <w:rsid w:val="00E440AF"/>
    <w:rsid w:val="00E4547C"/>
    <w:rsid w:val="00E456BF"/>
    <w:rsid w:val="00E457DD"/>
    <w:rsid w:val="00E45868"/>
    <w:rsid w:val="00E45D38"/>
    <w:rsid w:val="00E45D4A"/>
    <w:rsid w:val="00E461CD"/>
    <w:rsid w:val="00E46467"/>
    <w:rsid w:val="00E466B7"/>
    <w:rsid w:val="00E467B0"/>
    <w:rsid w:val="00E4689B"/>
    <w:rsid w:val="00E47783"/>
    <w:rsid w:val="00E47C5C"/>
    <w:rsid w:val="00E47C60"/>
    <w:rsid w:val="00E47C97"/>
    <w:rsid w:val="00E47E05"/>
    <w:rsid w:val="00E503B8"/>
    <w:rsid w:val="00E50692"/>
    <w:rsid w:val="00E506AD"/>
    <w:rsid w:val="00E5079F"/>
    <w:rsid w:val="00E50DFB"/>
    <w:rsid w:val="00E50E8F"/>
    <w:rsid w:val="00E51117"/>
    <w:rsid w:val="00E5130F"/>
    <w:rsid w:val="00E519A6"/>
    <w:rsid w:val="00E52108"/>
    <w:rsid w:val="00E52598"/>
    <w:rsid w:val="00E52775"/>
    <w:rsid w:val="00E528BB"/>
    <w:rsid w:val="00E528CD"/>
    <w:rsid w:val="00E538A8"/>
    <w:rsid w:val="00E53979"/>
    <w:rsid w:val="00E53E03"/>
    <w:rsid w:val="00E541FE"/>
    <w:rsid w:val="00E543AA"/>
    <w:rsid w:val="00E54CFC"/>
    <w:rsid w:val="00E54D20"/>
    <w:rsid w:val="00E54F58"/>
    <w:rsid w:val="00E551F0"/>
    <w:rsid w:val="00E553EF"/>
    <w:rsid w:val="00E559F6"/>
    <w:rsid w:val="00E55A96"/>
    <w:rsid w:val="00E55C4D"/>
    <w:rsid w:val="00E55C5B"/>
    <w:rsid w:val="00E55DC8"/>
    <w:rsid w:val="00E56732"/>
    <w:rsid w:val="00E56E86"/>
    <w:rsid w:val="00E571A1"/>
    <w:rsid w:val="00E57ACD"/>
    <w:rsid w:val="00E60084"/>
    <w:rsid w:val="00E601EC"/>
    <w:rsid w:val="00E602C7"/>
    <w:rsid w:val="00E61393"/>
    <w:rsid w:val="00E613B7"/>
    <w:rsid w:val="00E61E95"/>
    <w:rsid w:val="00E626A2"/>
    <w:rsid w:val="00E62BEF"/>
    <w:rsid w:val="00E62E8F"/>
    <w:rsid w:val="00E635B2"/>
    <w:rsid w:val="00E63D17"/>
    <w:rsid w:val="00E64445"/>
    <w:rsid w:val="00E64A97"/>
    <w:rsid w:val="00E64AD6"/>
    <w:rsid w:val="00E64D88"/>
    <w:rsid w:val="00E64E02"/>
    <w:rsid w:val="00E64F8F"/>
    <w:rsid w:val="00E653AB"/>
    <w:rsid w:val="00E656D3"/>
    <w:rsid w:val="00E659AF"/>
    <w:rsid w:val="00E666B4"/>
    <w:rsid w:val="00E669C8"/>
    <w:rsid w:val="00E66D32"/>
    <w:rsid w:val="00E67221"/>
    <w:rsid w:val="00E677C4"/>
    <w:rsid w:val="00E678C9"/>
    <w:rsid w:val="00E67DCD"/>
    <w:rsid w:val="00E70065"/>
    <w:rsid w:val="00E70075"/>
    <w:rsid w:val="00E700E6"/>
    <w:rsid w:val="00E70531"/>
    <w:rsid w:val="00E70C15"/>
    <w:rsid w:val="00E71255"/>
    <w:rsid w:val="00E71335"/>
    <w:rsid w:val="00E71B9C"/>
    <w:rsid w:val="00E71F9C"/>
    <w:rsid w:val="00E72863"/>
    <w:rsid w:val="00E728A7"/>
    <w:rsid w:val="00E73196"/>
    <w:rsid w:val="00E7341E"/>
    <w:rsid w:val="00E73719"/>
    <w:rsid w:val="00E73904"/>
    <w:rsid w:val="00E73949"/>
    <w:rsid w:val="00E73970"/>
    <w:rsid w:val="00E73D82"/>
    <w:rsid w:val="00E740E5"/>
    <w:rsid w:val="00E74132"/>
    <w:rsid w:val="00E7421B"/>
    <w:rsid w:val="00E74619"/>
    <w:rsid w:val="00E74A59"/>
    <w:rsid w:val="00E74A9C"/>
    <w:rsid w:val="00E74FB1"/>
    <w:rsid w:val="00E74FFE"/>
    <w:rsid w:val="00E75439"/>
    <w:rsid w:val="00E755E9"/>
    <w:rsid w:val="00E75BDF"/>
    <w:rsid w:val="00E76088"/>
    <w:rsid w:val="00E76238"/>
    <w:rsid w:val="00E76DF5"/>
    <w:rsid w:val="00E773B1"/>
    <w:rsid w:val="00E77660"/>
    <w:rsid w:val="00E77877"/>
    <w:rsid w:val="00E7791F"/>
    <w:rsid w:val="00E77C14"/>
    <w:rsid w:val="00E8004B"/>
    <w:rsid w:val="00E8017B"/>
    <w:rsid w:val="00E8056E"/>
    <w:rsid w:val="00E81258"/>
    <w:rsid w:val="00E81261"/>
    <w:rsid w:val="00E812A0"/>
    <w:rsid w:val="00E81367"/>
    <w:rsid w:val="00E81468"/>
    <w:rsid w:val="00E814E6"/>
    <w:rsid w:val="00E817ED"/>
    <w:rsid w:val="00E82602"/>
    <w:rsid w:val="00E8287B"/>
    <w:rsid w:val="00E82B77"/>
    <w:rsid w:val="00E8307A"/>
    <w:rsid w:val="00E83219"/>
    <w:rsid w:val="00E83353"/>
    <w:rsid w:val="00E838F5"/>
    <w:rsid w:val="00E84EA4"/>
    <w:rsid w:val="00E85095"/>
    <w:rsid w:val="00E850C5"/>
    <w:rsid w:val="00E85107"/>
    <w:rsid w:val="00E85B87"/>
    <w:rsid w:val="00E85CED"/>
    <w:rsid w:val="00E8645A"/>
    <w:rsid w:val="00E865EA"/>
    <w:rsid w:val="00E87328"/>
    <w:rsid w:val="00E87639"/>
    <w:rsid w:val="00E87D00"/>
    <w:rsid w:val="00E87ED9"/>
    <w:rsid w:val="00E90619"/>
    <w:rsid w:val="00E906F4"/>
    <w:rsid w:val="00E907D7"/>
    <w:rsid w:val="00E9097B"/>
    <w:rsid w:val="00E9099F"/>
    <w:rsid w:val="00E9111C"/>
    <w:rsid w:val="00E9116B"/>
    <w:rsid w:val="00E9161D"/>
    <w:rsid w:val="00E9177A"/>
    <w:rsid w:val="00E91874"/>
    <w:rsid w:val="00E918D9"/>
    <w:rsid w:val="00E91A9B"/>
    <w:rsid w:val="00E91B44"/>
    <w:rsid w:val="00E92A4B"/>
    <w:rsid w:val="00E92C5F"/>
    <w:rsid w:val="00E92F29"/>
    <w:rsid w:val="00E93117"/>
    <w:rsid w:val="00E93544"/>
    <w:rsid w:val="00E93896"/>
    <w:rsid w:val="00E93989"/>
    <w:rsid w:val="00E93E8A"/>
    <w:rsid w:val="00E94497"/>
    <w:rsid w:val="00E945F1"/>
    <w:rsid w:val="00E94783"/>
    <w:rsid w:val="00E94860"/>
    <w:rsid w:val="00E9559D"/>
    <w:rsid w:val="00E9575E"/>
    <w:rsid w:val="00E9581F"/>
    <w:rsid w:val="00E958C2"/>
    <w:rsid w:val="00E95EB1"/>
    <w:rsid w:val="00E965D7"/>
    <w:rsid w:val="00E966CB"/>
    <w:rsid w:val="00E9687D"/>
    <w:rsid w:val="00E96F37"/>
    <w:rsid w:val="00E9708E"/>
    <w:rsid w:val="00E970B9"/>
    <w:rsid w:val="00E9771D"/>
    <w:rsid w:val="00E97743"/>
    <w:rsid w:val="00E979A6"/>
    <w:rsid w:val="00E97BAF"/>
    <w:rsid w:val="00EA03CA"/>
    <w:rsid w:val="00EA0449"/>
    <w:rsid w:val="00EA08CE"/>
    <w:rsid w:val="00EA08D2"/>
    <w:rsid w:val="00EA0AB6"/>
    <w:rsid w:val="00EA0B07"/>
    <w:rsid w:val="00EA12F9"/>
    <w:rsid w:val="00EA155D"/>
    <w:rsid w:val="00EA1941"/>
    <w:rsid w:val="00EA1D53"/>
    <w:rsid w:val="00EA22E9"/>
    <w:rsid w:val="00EA230C"/>
    <w:rsid w:val="00EA2808"/>
    <w:rsid w:val="00EA2B18"/>
    <w:rsid w:val="00EA2BD9"/>
    <w:rsid w:val="00EA2E59"/>
    <w:rsid w:val="00EA3411"/>
    <w:rsid w:val="00EA3B78"/>
    <w:rsid w:val="00EA3D16"/>
    <w:rsid w:val="00EA3D8A"/>
    <w:rsid w:val="00EA3E7E"/>
    <w:rsid w:val="00EA4324"/>
    <w:rsid w:val="00EA4B37"/>
    <w:rsid w:val="00EA4BAB"/>
    <w:rsid w:val="00EA4BD9"/>
    <w:rsid w:val="00EA4CA3"/>
    <w:rsid w:val="00EA4CC9"/>
    <w:rsid w:val="00EA548A"/>
    <w:rsid w:val="00EA553D"/>
    <w:rsid w:val="00EA55FC"/>
    <w:rsid w:val="00EA5947"/>
    <w:rsid w:val="00EA5948"/>
    <w:rsid w:val="00EA650C"/>
    <w:rsid w:val="00EA743E"/>
    <w:rsid w:val="00EB00D8"/>
    <w:rsid w:val="00EB039E"/>
    <w:rsid w:val="00EB0D55"/>
    <w:rsid w:val="00EB0E67"/>
    <w:rsid w:val="00EB0EEF"/>
    <w:rsid w:val="00EB109B"/>
    <w:rsid w:val="00EB1241"/>
    <w:rsid w:val="00EB12A7"/>
    <w:rsid w:val="00EB1711"/>
    <w:rsid w:val="00EB18C8"/>
    <w:rsid w:val="00EB20EF"/>
    <w:rsid w:val="00EB2EC0"/>
    <w:rsid w:val="00EB2FB5"/>
    <w:rsid w:val="00EB3571"/>
    <w:rsid w:val="00EB38C3"/>
    <w:rsid w:val="00EB3D1B"/>
    <w:rsid w:val="00EB3E0D"/>
    <w:rsid w:val="00EB3E4C"/>
    <w:rsid w:val="00EB3E7F"/>
    <w:rsid w:val="00EB4DA1"/>
    <w:rsid w:val="00EB4DD7"/>
    <w:rsid w:val="00EB4E95"/>
    <w:rsid w:val="00EB4F42"/>
    <w:rsid w:val="00EB4FD6"/>
    <w:rsid w:val="00EB5772"/>
    <w:rsid w:val="00EB5892"/>
    <w:rsid w:val="00EB5963"/>
    <w:rsid w:val="00EB654D"/>
    <w:rsid w:val="00EB6921"/>
    <w:rsid w:val="00EB6BD3"/>
    <w:rsid w:val="00EB6ECF"/>
    <w:rsid w:val="00EB7208"/>
    <w:rsid w:val="00EB72DC"/>
    <w:rsid w:val="00EB78EB"/>
    <w:rsid w:val="00EB797C"/>
    <w:rsid w:val="00EB7AE3"/>
    <w:rsid w:val="00EB7DA3"/>
    <w:rsid w:val="00EB7F1A"/>
    <w:rsid w:val="00EB7F6E"/>
    <w:rsid w:val="00EC0307"/>
    <w:rsid w:val="00EC05A0"/>
    <w:rsid w:val="00EC074F"/>
    <w:rsid w:val="00EC0979"/>
    <w:rsid w:val="00EC099F"/>
    <w:rsid w:val="00EC0C63"/>
    <w:rsid w:val="00EC0E2F"/>
    <w:rsid w:val="00EC1243"/>
    <w:rsid w:val="00EC1433"/>
    <w:rsid w:val="00EC24F1"/>
    <w:rsid w:val="00EC2983"/>
    <w:rsid w:val="00EC2F3B"/>
    <w:rsid w:val="00EC3132"/>
    <w:rsid w:val="00EC339D"/>
    <w:rsid w:val="00EC351F"/>
    <w:rsid w:val="00EC383B"/>
    <w:rsid w:val="00EC3BA8"/>
    <w:rsid w:val="00EC3BDA"/>
    <w:rsid w:val="00EC3C0B"/>
    <w:rsid w:val="00EC3E28"/>
    <w:rsid w:val="00EC446F"/>
    <w:rsid w:val="00EC45B3"/>
    <w:rsid w:val="00EC4683"/>
    <w:rsid w:val="00EC50CC"/>
    <w:rsid w:val="00EC50DC"/>
    <w:rsid w:val="00EC56AB"/>
    <w:rsid w:val="00EC56D6"/>
    <w:rsid w:val="00EC573D"/>
    <w:rsid w:val="00EC60CD"/>
    <w:rsid w:val="00EC656A"/>
    <w:rsid w:val="00EC6F44"/>
    <w:rsid w:val="00EC6FB7"/>
    <w:rsid w:val="00EC745D"/>
    <w:rsid w:val="00EC7963"/>
    <w:rsid w:val="00ED0092"/>
    <w:rsid w:val="00ED03AD"/>
    <w:rsid w:val="00ED0434"/>
    <w:rsid w:val="00ED04F5"/>
    <w:rsid w:val="00ED0609"/>
    <w:rsid w:val="00ED08BB"/>
    <w:rsid w:val="00ED0BCD"/>
    <w:rsid w:val="00ED0E98"/>
    <w:rsid w:val="00ED0F49"/>
    <w:rsid w:val="00ED1693"/>
    <w:rsid w:val="00ED18B8"/>
    <w:rsid w:val="00ED1C2B"/>
    <w:rsid w:val="00ED2008"/>
    <w:rsid w:val="00ED2069"/>
    <w:rsid w:val="00ED218D"/>
    <w:rsid w:val="00ED232A"/>
    <w:rsid w:val="00ED268C"/>
    <w:rsid w:val="00ED289E"/>
    <w:rsid w:val="00ED2AD0"/>
    <w:rsid w:val="00ED2BD4"/>
    <w:rsid w:val="00ED2C9B"/>
    <w:rsid w:val="00ED34A6"/>
    <w:rsid w:val="00ED4512"/>
    <w:rsid w:val="00ED4533"/>
    <w:rsid w:val="00ED45B7"/>
    <w:rsid w:val="00ED4BE3"/>
    <w:rsid w:val="00ED5206"/>
    <w:rsid w:val="00ED54DF"/>
    <w:rsid w:val="00ED577A"/>
    <w:rsid w:val="00ED5FDB"/>
    <w:rsid w:val="00ED6394"/>
    <w:rsid w:val="00ED68C5"/>
    <w:rsid w:val="00ED6D5A"/>
    <w:rsid w:val="00ED6F5D"/>
    <w:rsid w:val="00ED7773"/>
    <w:rsid w:val="00ED7BA1"/>
    <w:rsid w:val="00ED7C98"/>
    <w:rsid w:val="00ED7F35"/>
    <w:rsid w:val="00EE0003"/>
    <w:rsid w:val="00EE00E1"/>
    <w:rsid w:val="00EE01A3"/>
    <w:rsid w:val="00EE0A50"/>
    <w:rsid w:val="00EE0B92"/>
    <w:rsid w:val="00EE0F9E"/>
    <w:rsid w:val="00EE0FF6"/>
    <w:rsid w:val="00EE11E2"/>
    <w:rsid w:val="00EE1212"/>
    <w:rsid w:val="00EE1CBF"/>
    <w:rsid w:val="00EE2473"/>
    <w:rsid w:val="00EE2D1A"/>
    <w:rsid w:val="00EE3032"/>
    <w:rsid w:val="00EE3667"/>
    <w:rsid w:val="00EE3901"/>
    <w:rsid w:val="00EE3B5C"/>
    <w:rsid w:val="00EE3ECB"/>
    <w:rsid w:val="00EE40D4"/>
    <w:rsid w:val="00EE4290"/>
    <w:rsid w:val="00EE4578"/>
    <w:rsid w:val="00EE45E6"/>
    <w:rsid w:val="00EE45FB"/>
    <w:rsid w:val="00EE4666"/>
    <w:rsid w:val="00EE48C5"/>
    <w:rsid w:val="00EE4C13"/>
    <w:rsid w:val="00EE4E2A"/>
    <w:rsid w:val="00EE526D"/>
    <w:rsid w:val="00EE56F7"/>
    <w:rsid w:val="00EE58C2"/>
    <w:rsid w:val="00EE5BCC"/>
    <w:rsid w:val="00EE6347"/>
    <w:rsid w:val="00EE69AC"/>
    <w:rsid w:val="00EE6BBD"/>
    <w:rsid w:val="00EE6C26"/>
    <w:rsid w:val="00EE6F07"/>
    <w:rsid w:val="00EE6F32"/>
    <w:rsid w:val="00EF07A9"/>
    <w:rsid w:val="00EF08CF"/>
    <w:rsid w:val="00EF11E4"/>
    <w:rsid w:val="00EF1223"/>
    <w:rsid w:val="00EF170B"/>
    <w:rsid w:val="00EF1AA0"/>
    <w:rsid w:val="00EF1C66"/>
    <w:rsid w:val="00EF219B"/>
    <w:rsid w:val="00EF21DB"/>
    <w:rsid w:val="00EF23EA"/>
    <w:rsid w:val="00EF25C7"/>
    <w:rsid w:val="00EF26EB"/>
    <w:rsid w:val="00EF2A04"/>
    <w:rsid w:val="00EF3153"/>
    <w:rsid w:val="00EF3584"/>
    <w:rsid w:val="00EF35C3"/>
    <w:rsid w:val="00EF37E0"/>
    <w:rsid w:val="00EF3924"/>
    <w:rsid w:val="00EF39E3"/>
    <w:rsid w:val="00EF3DD9"/>
    <w:rsid w:val="00EF4285"/>
    <w:rsid w:val="00EF469D"/>
    <w:rsid w:val="00EF4836"/>
    <w:rsid w:val="00EF497C"/>
    <w:rsid w:val="00EF4A26"/>
    <w:rsid w:val="00EF4BC4"/>
    <w:rsid w:val="00EF4CCB"/>
    <w:rsid w:val="00EF557E"/>
    <w:rsid w:val="00EF566A"/>
    <w:rsid w:val="00EF597C"/>
    <w:rsid w:val="00EF5D32"/>
    <w:rsid w:val="00EF5E09"/>
    <w:rsid w:val="00EF758A"/>
    <w:rsid w:val="00EF7953"/>
    <w:rsid w:val="00EF7D9D"/>
    <w:rsid w:val="00EF7FC5"/>
    <w:rsid w:val="00F0038A"/>
    <w:rsid w:val="00F01AFE"/>
    <w:rsid w:val="00F01B34"/>
    <w:rsid w:val="00F01FE7"/>
    <w:rsid w:val="00F02005"/>
    <w:rsid w:val="00F02264"/>
    <w:rsid w:val="00F024DC"/>
    <w:rsid w:val="00F03095"/>
    <w:rsid w:val="00F03248"/>
    <w:rsid w:val="00F03556"/>
    <w:rsid w:val="00F03DFB"/>
    <w:rsid w:val="00F03EEB"/>
    <w:rsid w:val="00F03F89"/>
    <w:rsid w:val="00F043CA"/>
    <w:rsid w:val="00F057D3"/>
    <w:rsid w:val="00F058AC"/>
    <w:rsid w:val="00F05DDA"/>
    <w:rsid w:val="00F06413"/>
    <w:rsid w:val="00F06737"/>
    <w:rsid w:val="00F06A3D"/>
    <w:rsid w:val="00F06B9E"/>
    <w:rsid w:val="00F06CFD"/>
    <w:rsid w:val="00F06E29"/>
    <w:rsid w:val="00F071ED"/>
    <w:rsid w:val="00F07334"/>
    <w:rsid w:val="00F073EE"/>
    <w:rsid w:val="00F076E2"/>
    <w:rsid w:val="00F07F51"/>
    <w:rsid w:val="00F07FCB"/>
    <w:rsid w:val="00F100EB"/>
    <w:rsid w:val="00F101E8"/>
    <w:rsid w:val="00F10463"/>
    <w:rsid w:val="00F1083C"/>
    <w:rsid w:val="00F10E35"/>
    <w:rsid w:val="00F1142D"/>
    <w:rsid w:val="00F116EE"/>
    <w:rsid w:val="00F11755"/>
    <w:rsid w:val="00F117B6"/>
    <w:rsid w:val="00F120BD"/>
    <w:rsid w:val="00F1261D"/>
    <w:rsid w:val="00F12744"/>
    <w:rsid w:val="00F12980"/>
    <w:rsid w:val="00F12B77"/>
    <w:rsid w:val="00F13664"/>
    <w:rsid w:val="00F136E3"/>
    <w:rsid w:val="00F13EC4"/>
    <w:rsid w:val="00F13ED1"/>
    <w:rsid w:val="00F14377"/>
    <w:rsid w:val="00F14ED6"/>
    <w:rsid w:val="00F15091"/>
    <w:rsid w:val="00F155AB"/>
    <w:rsid w:val="00F15682"/>
    <w:rsid w:val="00F1576C"/>
    <w:rsid w:val="00F15811"/>
    <w:rsid w:val="00F15877"/>
    <w:rsid w:val="00F15E5E"/>
    <w:rsid w:val="00F16256"/>
    <w:rsid w:val="00F163FA"/>
    <w:rsid w:val="00F17027"/>
    <w:rsid w:val="00F171BC"/>
    <w:rsid w:val="00F17473"/>
    <w:rsid w:val="00F1794A"/>
    <w:rsid w:val="00F17DBD"/>
    <w:rsid w:val="00F2025C"/>
    <w:rsid w:val="00F207DB"/>
    <w:rsid w:val="00F211AA"/>
    <w:rsid w:val="00F21804"/>
    <w:rsid w:val="00F219A9"/>
    <w:rsid w:val="00F21B38"/>
    <w:rsid w:val="00F21CC5"/>
    <w:rsid w:val="00F21DF3"/>
    <w:rsid w:val="00F21E7F"/>
    <w:rsid w:val="00F22317"/>
    <w:rsid w:val="00F2245D"/>
    <w:rsid w:val="00F22523"/>
    <w:rsid w:val="00F2353F"/>
    <w:rsid w:val="00F236EC"/>
    <w:rsid w:val="00F242AE"/>
    <w:rsid w:val="00F24B73"/>
    <w:rsid w:val="00F24E1A"/>
    <w:rsid w:val="00F25326"/>
    <w:rsid w:val="00F256F5"/>
    <w:rsid w:val="00F2581A"/>
    <w:rsid w:val="00F25BED"/>
    <w:rsid w:val="00F25F32"/>
    <w:rsid w:val="00F25FCE"/>
    <w:rsid w:val="00F261E5"/>
    <w:rsid w:val="00F2620A"/>
    <w:rsid w:val="00F26360"/>
    <w:rsid w:val="00F26571"/>
    <w:rsid w:val="00F26721"/>
    <w:rsid w:val="00F268B8"/>
    <w:rsid w:val="00F26943"/>
    <w:rsid w:val="00F27037"/>
    <w:rsid w:val="00F271C8"/>
    <w:rsid w:val="00F274DF"/>
    <w:rsid w:val="00F27650"/>
    <w:rsid w:val="00F27808"/>
    <w:rsid w:val="00F300E8"/>
    <w:rsid w:val="00F30452"/>
    <w:rsid w:val="00F305BB"/>
    <w:rsid w:val="00F3099F"/>
    <w:rsid w:val="00F30BB0"/>
    <w:rsid w:val="00F31325"/>
    <w:rsid w:val="00F31371"/>
    <w:rsid w:val="00F3146C"/>
    <w:rsid w:val="00F3199A"/>
    <w:rsid w:val="00F31A19"/>
    <w:rsid w:val="00F31A3D"/>
    <w:rsid w:val="00F31F10"/>
    <w:rsid w:val="00F31F1A"/>
    <w:rsid w:val="00F323FD"/>
    <w:rsid w:val="00F32B5E"/>
    <w:rsid w:val="00F32D4F"/>
    <w:rsid w:val="00F32F0B"/>
    <w:rsid w:val="00F33082"/>
    <w:rsid w:val="00F33673"/>
    <w:rsid w:val="00F33975"/>
    <w:rsid w:val="00F33C30"/>
    <w:rsid w:val="00F3417B"/>
    <w:rsid w:val="00F342E8"/>
    <w:rsid w:val="00F34348"/>
    <w:rsid w:val="00F343FD"/>
    <w:rsid w:val="00F346C7"/>
    <w:rsid w:val="00F35511"/>
    <w:rsid w:val="00F35967"/>
    <w:rsid w:val="00F35C6E"/>
    <w:rsid w:val="00F35DAE"/>
    <w:rsid w:val="00F362BD"/>
    <w:rsid w:val="00F36521"/>
    <w:rsid w:val="00F368CB"/>
    <w:rsid w:val="00F36BFB"/>
    <w:rsid w:val="00F36FE5"/>
    <w:rsid w:val="00F37062"/>
    <w:rsid w:val="00F37414"/>
    <w:rsid w:val="00F3789F"/>
    <w:rsid w:val="00F37A41"/>
    <w:rsid w:val="00F4030F"/>
    <w:rsid w:val="00F40453"/>
    <w:rsid w:val="00F406A4"/>
    <w:rsid w:val="00F406D0"/>
    <w:rsid w:val="00F40852"/>
    <w:rsid w:val="00F40AC8"/>
    <w:rsid w:val="00F40D67"/>
    <w:rsid w:val="00F410A2"/>
    <w:rsid w:val="00F410F3"/>
    <w:rsid w:val="00F4123C"/>
    <w:rsid w:val="00F412C6"/>
    <w:rsid w:val="00F41405"/>
    <w:rsid w:val="00F41675"/>
    <w:rsid w:val="00F42098"/>
    <w:rsid w:val="00F429C4"/>
    <w:rsid w:val="00F42E7A"/>
    <w:rsid w:val="00F42EAD"/>
    <w:rsid w:val="00F43338"/>
    <w:rsid w:val="00F43BE7"/>
    <w:rsid w:val="00F43D83"/>
    <w:rsid w:val="00F441B7"/>
    <w:rsid w:val="00F44236"/>
    <w:rsid w:val="00F44316"/>
    <w:rsid w:val="00F443D2"/>
    <w:rsid w:val="00F445CB"/>
    <w:rsid w:val="00F448C7"/>
    <w:rsid w:val="00F458DD"/>
    <w:rsid w:val="00F45B54"/>
    <w:rsid w:val="00F45D22"/>
    <w:rsid w:val="00F464C7"/>
    <w:rsid w:val="00F46678"/>
    <w:rsid w:val="00F46908"/>
    <w:rsid w:val="00F46FB8"/>
    <w:rsid w:val="00F4749B"/>
    <w:rsid w:val="00F47FFD"/>
    <w:rsid w:val="00F501EA"/>
    <w:rsid w:val="00F50929"/>
    <w:rsid w:val="00F5095D"/>
    <w:rsid w:val="00F50BBD"/>
    <w:rsid w:val="00F511D6"/>
    <w:rsid w:val="00F5136C"/>
    <w:rsid w:val="00F516C1"/>
    <w:rsid w:val="00F51811"/>
    <w:rsid w:val="00F51899"/>
    <w:rsid w:val="00F51F06"/>
    <w:rsid w:val="00F5312C"/>
    <w:rsid w:val="00F53278"/>
    <w:rsid w:val="00F536F9"/>
    <w:rsid w:val="00F53885"/>
    <w:rsid w:val="00F53B17"/>
    <w:rsid w:val="00F53D27"/>
    <w:rsid w:val="00F53F82"/>
    <w:rsid w:val="00F542E1"/>
    <w:rsid w:val="00F543F1"/>
    <w:rsid w:val="00F545A2"/>
    <w:rsid w:val="00F545FA"/>
    <w:rsid w:val="00F54D78"/>
    <w:rsid w:val="00F54DD0"/>
    <w:rsid w:val="00F5581E"/>
    <w:rsid w:val="00F55A25"/>
    <w:rsid w:val="00F55C0A"/>
    <w:rsid w:val="00F55E6F"/>
    <w:rsid w:val="00F55EDD"/>
    <w:rsid w:val="00F56114"/>
    <w:rsid w:val="00F56553"/>
    <w:rsid w:val="00F57835"/>
    <w:rsid w:val="00F60B8B"/>
    <w:rsid w:val="00F60FC0"/>
    <w:rsid w:val="00F61707"/>
    <w:rsid w:val="00F61905"/>
    <w:rsid w:val="00F61AF1"/>
    <w:rsid w:val="00F61B7F"/>
    <w:rsid w:val="00F61D6D"/>
    <w:rsid w:val="00F61E4D"/>
    <w:rsid w:val="00F6232F"/>
    <w:rsid w:val="00F6258F"/>
    <w:rsid w:val="00F627B5"/>
    <w:rsid w:val="00F627EA"/>
    <w:rsid w:val="00F62873"/>
    <w:rsid w:val="00F62CC3"/>
    <w:rsid w:val="00F62E9E"/>
    <w:rsid w:val="00F64129"/>
    <w:rsid w:val="00F64343"/>
    <w:rsid w:val="00F643A8"/>
    <w:rsid w:val="00F64432"/>
    <w:rsid w:val="00F6473B"/>
    <w:rsid w:val="00F64897"/>
    <w:rsid w:val="00F64CA6"/>
    <w:rsid w:val="00F64E90"/>
    <w:rsid w:val="00F65280"/>
    <w:rsid w:val="00F652C0"/>
    <w:rsid w:val="00F654DA"/>
    <w:rsid w:val="00F6594C"/>
    <w:rsid w:val="00F66002"/>
    <w:rsid w:val="00F661D9"/>
    <w:rsid w:val="00F6679A"/>
    <w:rsid w:val="00F6681A"/>
    <w:rsid w:val="00F6695B"/>
    <w:rsid w:val="00F66D3D"/>
    <w:rsid w:val="00F67131"/>
    <w:rsid w:val="00F6755D"/>
    <w:rsid w:val="00F675A7"/>
    <w:rsid w:val="00F677E4"/>
    <w:rsid w:val="00F67CD2"/>
    <w:rsid w:val="00F70534"/>
    <w:rsid w:val="00F70667"/>
    <w:rsid w:val="00F70690"/>
    <w:rsid w:val="00F7073D"/>
    <w:rsid w:val="00F71210"/>
    <w:rsid w:val="00F713B5"/>
    <w:rsid w:val="00F71810"/>
    <w:rsid w:val="00F7187D"/>
    <w:rsid w:val="00F71C09"/>
    <w:rsid w:val="00F72003"/>
    <w:rsid w:val="00F72231"/>
    <w:rsid w:val="00F72705"/>
    <w:rsid w:val="00F727F5"/>
    <w:rsid w:val="00F729F6"/>
    <w:rsid w:val="00F72D4E"/>
    <w:rsid w:val="00F731DE"/>
    <w:rsid w:val="00F7358C"/>
    <w:rsid w:val="00F739A0"/>
    <w:rsid w:val="00F73B8E"/>
    <w:rsid w:val="00F73CBA"/>
    <w:rsid w:val="00F73DBA"/>
    <w:rsid w:val="00F73E6E"/>
    <w:rsid w:val="00F74755"/>
    <w:rsid w:val="00F7585E"/>
    <w:rsid w:val="00F75942"/>
    <w:rsid w:val="00F75FC5"/>
    <w:rsid w:val="00F760BB"/>
    <w:rsid w:val="00F76598"/>
    <w:rsid w:val="00F76682"/>
    <w:rsid w:val="00F76C8D"/>
    <w:rsid w:val="00F76E09"/>
    <w:rsid w:val="00F772C9"/>
    <w:rsid w:val="00F77792"/>
    <w:rsid w:val="00F77B8C"/>
    <w:rsid w:val="00F77DCD"/>
    <w:rsid w:val="00F80DA4"/>
    <w:rsid w:val="00F80F14"/>
    <w:rsid w:val="00F811F8"/>
    <w:rsid w:val="00F81288"/>
    <w:rsid w:val="00F81356"/>
    <w:rsid w:val="00F819EF"/>
    <w:rsid w:val="00F81AAC"/>
    <w:rsid w:val="00F81AF2"/>
    <w:rsid w:val="00F8237F"/>
    <w:rsid w:val="00F823BF"/>
    <w:rsid w:val="00F8269A"/>
    <w:rsid w:val="00F826AA"/>
    <w:rsid w:val="00F826D7"/>
    <w:rsid w:val="00F827EC"/>
    <w:rsid w:val="00F82849"/>
    <w:rsid w:val="00F82AB1"/>
    <w:rsid w:val="00F82BE9"/>
    <w:rsid w:val="00F82D9E"/>
    <w:rsid w:val="00F82FAC"/>
    <w:rsid w:val="00F83050"/>
    <w:rsid w:val="00F83318"/>
    <w:rsid w:val="00F83353"/>
    <w:rsid w:val="00F83750"/>
    <w:rsid w:val="00F83ADA"/>
    <w:rsid w:val="00F83E91"/>
    <w:rsid w:val="00F8434E"/>
    <w:rsid w:val="00F8465B"/>
    <w:rsid w:val="00F84798"/>
    <w:rsid w:val="00F84BF0"/>
    <w:rsid w:val="00F84FA0"/>
    <w:rsid w:val="00F8528B"/>
    <w:rsid w:val="00F853C5"/>
    <w:rsid w:val="00F85B10"/>
    <w:rsid w:val="00F85B7C"/>
    <w:rsid w:val="00F8604D"/>
    <w:rsid w:val="00F86148"/>
    <w:rsid w:val="00F86232"/>
    <w:rsid w:val="00F867C5"/>
    <w:rsid w:val="00F867D3"/>
    <w:rsid w:val="00F8696C"/>
    <w:rsid w:val="00F86BAF"/>
    <w:rsid w:val="00F87253"/>
    <w:rsid w:val="00F87382"/>
    <w:rsid w:val="00F87B3B"/>
    <w:rsid w:val="00F90005"/>
    <w:rsid w:val="00F90D40"/>
    <w:rsid w:val="00F91954"/>
    <w:rsid w:val="00F91A83"/>
    <w:rsid w:val="00F91CFE"/>
    <w:rsid w:val="00F91E43"/>
    <w:rsid w:val="00F91E68"/>
    <w:rsid w:val="00F9229D"/>
    <w:rsid w:val="00F927A6"/>
    <w:rsid w:val="00F92A49"/>
    <w:rsid w:val="00F92BCC"/>
    <w:rsid w:val="00F93247"/>
    <w:rsid w:val="00F933F6"/>
    <w:rsid w:val="00F934B5"/>
    <w:rsid w:val="00F934F7"/>
    <w:rsid w:val="00F935B5"/>
    <w:rsid w:val="00F93A1C"/>
    <w:rsid w:val="00F93AF2"/>
    <w:rsid w:val="00F93D75"/>
    <w:rsid w:val="00F93DED"/>
    <w:rsid w:val="00F93E52"/>
    <w:rsid w:val="00F94040"/>
    <w:rsid w:val="00F94098"/>
    <w:rsid w:val="00F94133"/>
    <w:rsid w:val="00F9481B"/>
    <w:rsid w:val="00F95065"/>
    <w:rsid w:val="00F95300"/>
    <w:rsid w:val="00F95335"/>
    <w:rsid w:val="00F95575"/>
    <w:rsid w:val="00F95B0F"/>
    <w:rsid w:val="00F96066"/>
    <w:rsid w:val="00F9607C"/>
    <w:rsid w:val="00F960EE"/>
    <w:rsid w:val="00F962FF"/>
    <w:rsid w:val="00F964EC"/>
    <w:rsid w:val="00F96871"/>
    <w:rsid w:val="00F96978"/>
    <w:rsid w:val="00F969EA"/>
    <w:rsid w:val="00F97307"/>
    <w:rsid w:val="00F97B19"/>
    <w:rsid w:val="00F97C31"/>
    <w:rsid w:val="00FA0548"/>
    <w:rsid w:val="00FA0677"/>
    <w:rsid w:val="00FA0720"/>
    <w:rsid w:val="00FA07AD"/>
    <w:rsid w:val="00FA0919"/>
    <w:rsid w:val="00FA09AB"/>
    <w:rsid w:val="00FA13EE"/>
    <w:rsid w:val="00FA2182"/>
    <w:rsid w:val="00FA2507"/>
    <w:rsid w:val="00FA2EFA"/>
    <w:rsid w:val="00FA3499"/>
    <w:rsid w:val="00FA3693"/>
    <w:rsid w:val="00FA37F9"/>
    <w:rsid w:val="00FA3B4F"/>
    <w:rsid w:val="00FA3F03"/>
    <w:rsid w:val="00FA4050"/>
    <w:rsid w:val="00FA49E0"/>
    <w:rsid w:val="00FA4B42"/>
    <w:rsid w:val="00FA4E05"/>
    <w:rsid w:val="00FA4E73"/>
    <w:rsid w:val="00FA5121"/>
    <w:rsid w:val="00FA5305"/>
    <w:rsid w:val="00FA5890"/>
    <w:rsid w:val="00FA5919"/>
    <w:rsid w:val="00FA5D31"/>
    <w:rsid w:val="00FA5DD0"/>
    <w:rsid w:val="00FA6524"/>
    <w:rsid w:val="00FA66E6"/>
    <w:rsid w:val="00FA6799"/>
    <w:rsid w:val="00FA6AF8"/>
    <w:rsid w:val="00FA6E64"/>
    <w:rsid w:val="00FA725F"/>
    <w:rsid w:val="00FA7394"/>
    <w:rsid w:val="00FA77CC"/>
    <w:rsid w:val="00FA78FC"/>
    <w:rsid w:val="00FA7D26"/>
    <w:rsid w:val="00FB0162"/>
    <w:rsid w:val="00FB0B31"/>
    <w:rsid w:val="00FB0B79"/>
    <w:rsid w:val="00FB0C5C"/>
    <w:rsid w:val="00FB0EE6"/>
    <w:rsid w:val="00FB1158"/>
    <w:rsid w:val="00FB118A"/>
    <w:rsid w:val="00FB147E"/>
    <w:rsid w:val="00FB1542"/>
    <w:rsid w:val="00FB1951"/>
    <w:rsid w:val="00FB19F4"/>
    <w:rsid w:val="00FB1A44"/>
    <w:rsid w:val="00FB1D25"/>
    <w:rsid w:val="00FB1EAB"/>
    <w:rsid w:val="00FB1FC9"/>
    <w:rsid w:val="00FB2003"/>
    <w:rsid w:val="00FB2338"/>
    <w:rsid w:val="00FB2341"/>
    <w:rsid w:val="00FB2DEE"/>
    <w:rsid w:val="00FB31AC"/>
    <w:rsid w:val="00FB335D"/>
    <w:rsid w:val="00FB3A6E"/>
    <w:rsid w:val="00FB3A8D"/>
    <w:rsid w:val="00FB3D84"/>
    <w:rsid w:val="00FB436A"/>
    <w:rsid w:val="00FB4641"/>
    <w:rsid w:val="00FB4836"/>
    <w:rsid w:val="00FB4A5E"/>
    <w:rsid w:val="00FB5C33"/>
    <w:rsid w:val="00FB5FA7"/>
    <w:rsid w:val="00FB6458"/>
    <w:rsid w:val="00FB646C"/>
    <w:rsid w:val="00FB6560"/>
    <w:rsid w:val="00FB65BA"/>
    <w:rsid w:val="00FB66C3"/>
    <w:rsid w:val="00FB6948"/>
    <w:rsid w:val="00FB6E3E"/>
    <w:rsid w:val="00FB701F"/>
    <w:rsid w:val="00FB769E"/>
    <w:rsid w:val="00FB7991"/>
    <w:rsid w:val="00FB79AB"/>
    <w:rsid w:val="00FC0871"/>
    <w:rsid w:val="00FC0D94"/>
    <w:rsid w:val="00FC0DEB"/>
    <w:rsid w:val="00FC0F81"/>
    <w:rsid w:val="00FC104C"/>
    <w:rsid w:val="00FC105A"/>
    <w:rsid w:val="00FC13ED"/>
    <w:rsid w:val="00FC14E2"/>
    <w:rsid w:val="00FC1859"/>
    <w:rsid w:val="00FC1D3D"/>
    <w:rsid w:val="00FC1E03"/>
    <w:rsid w:val="00FC1E16"/>
    <w:rsid w:val="00FC21A6"/>
    <w:rsid w:val="00FC21EB"/>
    <w:rsid w:val="00FC23A6"/>
    <w:rsid w:val="00FC2432"/>
    <w:rsid w:val="00FC2836"/>
    <w:rsid w:val="00FC2A83"/>
    <w:rsid w:val="00FC2B64"/>
    <w:rsid w:val="00FC2BA6"/>
    <w:rsid w:val="00FC2D88"/>
    <w:rsid w:val="00FC3250"/>
    <w:rsid w:val="00FC339D"/>
    <w:rsid w:val="00FC35BD"/>
    <w:rsid w:val="00FC36C6"/>
    <w:rsid w:val="00FC38DA"/>
    <w:rsid w:val="00FC3E6E"/>
    <w:rsid w:val="00FC3F8B"/>
    <w:rsid w:val="00FC4740"/>
    <w:rsid w:val="00FC486D"/>
    <w:rsid w:val="00FC4978"/>
    <w:rsid w:val="00FC4B02"/>
    <w:rsid w:val="00FC4B72"/>
    <w:rsid w:val="00FC4DF9"/>
    <w:rsid w:val="00FC5156"/>
    <w:rsid w:val="00FC522D"/>
    <w:rsid w:val="00FC54F1"/>
    <w:rsid w:val="00FC55F7"/>
    <w:rsid w:val="00FC5B0C"/>
    <w:rsid w:val="00FC5C5A"/>
    <w:rsid w:val="00FC6155"/>
    <w:rsid w:val="00FC6ECF"/>
    <w:rsid w:val="00FC727B"/>
    <w:rsid w:val="00FC73BA"/>
    <w:rsid w:val="00FD00DF"/>
    <w:rsid w:val="00FD128B"/>
    <w:rsid w:val="00FD1A1C"/>
    <w:rsid w:val="00FD1A63"/>
    <w:rsid w:val="00FD1B02"/>
    <w:rsid w:val="00FD27A0"/>
    <w:rsid w:val="00FD374A"/>
    <w:rsid w:val="00FD37F2"/>
    <w:rsid w:val="00FD381B"/>
    <w:rsid w:val="00FD4164"/>
    <w:rsid w:val="00FD47D1"/>
    <w:rsid w:val="00FD4E3C"/>
    <w:rsid w:val="00FD4F62"/>
    <w:rsid w:val="00FD50FF"/>
    <w:rsid w:val="00FD535F"/>
    <w:rsid w:val="00FD55EC"/>
    <w:rsid w:val="00FD5CA0"/>
    <w:rsid w:val="00FD615B"/>
    <w:rsid w:val="00FD63A3"/>
    <w:rsid w:val="00FD727A"/>
    <w:rsid w:val="00FD7359"/>
    <w:rsid w:val="00FD7ECA"/>
    <w:rsid w:val="00FD7F4D"/>
    <w:rsid w:val="00FD7F7B"/>
    <w:rsid w:val="00FE00E2"/>
    <w:rsid w:val="00FE058D"/>
    <w:rsid w:val="00FE08CF"/>
    <w:rsid w:val="00FE0A5B"/>
    <w:rsid w:val="00FE0EB9"/>
    <w:rsid w:val="00FE12C8"/>
    <w:rsid w:val="00FE1841"/>
    <w:rsid w:val="00FE190A"/>
    <w:rsid w:val="00FE19D2"/>
    <w:rsid w:val="00FE1E55"/>
    <w:rsid w:val="00FE2C87"/>
    <w:rsid w:val="00FE2F41"/>
    <w:rsid w:val="00FE2F88"/>
    <w:rsid w:val="00FE30F2"/>
    <w:rsid w:val="00FE3398"/>
    <w:rsid w:val="00FE3E19"/>
    <w:rsid w:val="00FE55D2"/>
    <w:rsid w:val="00FE5A74"/>
    <w:rsid w:val="00FE5D75"/>
    <w:rsid w:val="00FE6BAE"/>
    <w:rsid w:val="00FE6FA7"/>
    <w:rsid w:val="00FE72DD"/>
    <w:rsid w:val="00FE7755"/>
    <w:rsid w:val="00FE7B6F"/>
    <w:rsid w:val="00FE7D29"/>
    <w:rsid w:val="00FE7E65"/>
    <w:rsid w:val="00FF0085"/>
    <w:rsid w:val="00FF0E29"/>
    <w:rsid w:val="00FF0F1D"/>
    <w:rsid w:val="00FF1135"/>
    <w:rsid w:val="00FF1461"/>
    <w:rsid w:val="00FF19FB"/>
    <w:rsid w:val="00FF1A91"/>
    <w:rsid w:val="00FF1AAB"/>
    <w:rsid w:val="00FF1BDE"/>
    <w:rsid w:val="00FF1C79"/>
    <w:rsid w:val="00FF1E22"/>
    <w:rsid w:val="00FF2068"/>
    <w:rsid w:val="00FF2343"/>
    <w:rsid w:val="00FF2693"/>
    <w:rsid w:val="00FF2B06"/>
    <w:rsid w:val="00FF3028"/>
    <w:rsid w:val="00FF3323"/>
    <w:rsid w:val="00FF35AB"/>
    <w:rsid w:val="00FF3C4A"/>
    <w:rsid w:val="00FF3E19"/>
    <w:rsid w:val="00FF40C9"/>
    <w:rsid w:val="00FF4834"/>
    <w:rsid w:val="00FF51D4"/>
    <w:rsid w:val="00FF5C13"/>
    <w:rsid w:val="00FF5CB1"/>
    <w:rsid w:val="00FF5FB8"/>
    <w:rsid w:val="00FF62CA"/>
    <w:rsid w:val="00FF65C2"/>
    <w:rsid w:val="00FF6A27"/>
    <w:rsid w:val="00FF6DB2"/>
    <w:rsid w:val="00FF7043"/>
    <w:rsid w:val="00FF732A"/>
    <w:rsid w:val="00FF7389"/>
    <w:rsid w:val="00FF75B6"/>
    <w:rsid w:val="00FF7F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FC1"/>
  </w:style>
  <w:style w:type="paragraph" w:styleId="Heading1">
    <w:name w:val="heading 1"/>
    <w:basedOn w:val="Normal"/>
    <w:next w:val="Normal"/>
    <w:qFormat/>
    <w:rsid w:val="00FC339D"/>
    <w:pPr>
      <w:keepNext/>
      <w:ind w:left="720" w:hanging="720"/>
      <w:outlineLvl w:val="0"/>
    </w:pPr>
    <w:rPr>
      <w:b/>
      <w:color w:val="FF0000"/>
      <w:sz w:val="24"/>
    </w:rPr>
  </w:style>
  <w:style w:type="paragraph" w:styleId="Heading2">
    <w:name w:val="heading 2"/>
    <w:basedOn w:val="Normal"/>
    <w:next w:val="Normal"/>
    <w:qFormat/>
    <w:rsid w:val="00FC339D"/>
    <w:pPr>
      <w:spacing w:before="120"/>
      <w:outlineLvl w:val="1"/>
    </w:pPr>
    <w:rPr>
      <w:b/>
      <w:sz w:val="24"/>
      <w:lang w:val="en-GB"/>
    </w:rPr>
  </w:style>
  <w:style w:type="paragraph" w:styleId="Heading3">
    <w:name w:val="heading 3"/>
    <w:basedOn w:val="Normal"/>
    <w:next w:val="Normal"/>
    <w:qFormat/>
    <w:rsid w:val="00FC339D"/>
    <w:pPr>
      <w:keepNext/>
      <w:spacing w:before="240" w:after="60"/>
      <w:outlineLvl w:val="2"/>
    </w:pPr>
    <w:rPr>
      <w:b/>
      <w:sz w:val="24"/>
    </w:rPr>
  </w:style>
  <w:style w:type="paragraph" w:styleId="Heading4">
    <w:name w:val="heading 4"/>
    <w:basedOn w:val="Normal"/>
    <w:next w:val="Normal"/>
    <w:qFormat/>
    <w:rsid w:val="00FC339D"/>
    <w:pPr>
      <w:keepNext/>
      <w:tabs>
        <w:tab w:val="right" w:pos="2700"/>
        <w:tab w:val="right" w:pos="3600"/>
        <w:tab w:val="right" w:pos="4320"/>
        <w:tab w:val="right" w:pos="5040"/>
        <w:tab w:val="right" w:pos="5940"/>
        <w:tab w:val="right" w:pos="6840"/>
        <w:tab w:val="right" w:pos="7740"/>
        <w:tab w:val="right" w:pos="8789"/>
      </w:tabs>
      <w:ind w:left="720" w:hanging="720"/>
      <w:outlineLvl w:val="3"/>
    </w:pPr>
    <w:rPr>
      <w:sz w:val="24"/>
    </w:rPr>
  </w:style>
  <w:style w:type="paragraph" w:styleId="Heading5">
    <w:name w:val="heading 5"/>
    <w:basedOn w:val="Normal"/>
    <w:next w:val="Normal"/>
    <w:qFormat/>
    <w:rsid w:val="00FC339D"/>
    <w:pPr>
      <w:keepNext/>
      <w:jc w:val="right"/>
      <w:outlineLvl w:val="4"/>
    </w:pPr>
    <w:rPr>
      <w:sz w:val="24"/>
      <w:u w:val="single"/>
    </w:rPr>
  </w:style>
  <w:style w:type="paragraph" w:styleId="Heading6">
    <w:name w:val="heading 6"/>
    <w:basedOn w:val="Normal"/>
    <w:next w:val="Normal"/>
    <w:qFormat/>
    <w:rsid w:val="00FC339D"/>
    <w:pPr>
      <w:keepNext/>
      <w:ind w:left="709" w:right="-211" w:hanging="709"/>
      <w:outlineLvl w:val="5"/>
    </w:pPr>
    <w:rPr>
      <w:sz w:val="24"/>
    </w:rPr>
  </w:style>
  <w:style w:type="paragraph" w:styleId="Heading7">
    <w:name w:val="heading 7"/>
    <w:basedOn w:val="Normal"/>
    <w:next w:val="Normal"/>
    <w:qFormat/>
    <w:rsid w:val="00FC339D"/>
    <w:pPr>
      <w:keepNext/>
      <w:spacing w:line="240" w:lineRule="exact"/>
      <w:ind w:left="720"/>
      <w:outlineLvl w:val="6"/>
    </w:pPr>
    <w:rPr>
      <w:b/>
      <w:sz w:val="24"/>
    </w:rPr>
  </w:style>
  <w:style w:type="paragraph" w:styleId="Heading8">
    <w:name w:val="heading 8"/>
    <w:basedOn w:val="Normal"/>
    <w:next w:val="Normal"/>
    <w:qFormat/>
    <w:rsid w:val="00FC339D"/>
    <w:pPr>
      <w:keepNext/>
      <w:outlineLvl w:val="7"/>
    </w:pPr>
    <w:rPr>
      <w:rFonts w:ascii="CG Times (WT)" w:hAnsi="CG Times (WT)"/>
      <w:u w:val="single"/>
    </w:rPr>
  </w:style>
  <w:style w:type="paragraph" w:styleId="Heading9">
    <w:name w:val="heading 9"/>
    <w:basedOn w:val="Normal"/>
    <w:next w:val="Normal"/>
    <w:link w:val="Heading9Char"/>
    <w:qFormat/>
    <w:rsid w:val="00FC339D"/>
    <w:pPr>
      <w:keepNext/>
      <w:tabs>
        <w:tab w:val="decimal" w:pos="1082"/>
      </w:tabs>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339D"/>
    <w:pPr>
      <w:tabs>
        <w:tab w:val="center" w:pos="4320"/>
        <w:tab w:val="right" w:pos="8640"/>
      </w:tabs>
    </w:pPr>
  </w:style>
  <w:style w:type="paragraph" w:styleId="Footer">
    <w:name w:val="footer"/>
    <w:basedOn w:val="Normal"/>
    <w:link w:val="FooterChar"/>
    <w:uiPriority w:val="99"/>
    <w:rsid w:val="00FC339D"/>
    <w:pPr>
      <w:tabs>
        <w:tab w:val="center" w:pos="4320"/>
        <w:tab w:val="right" w:pos="8640"/>
      </w:tabs>
    </w:pPr>
  </w:style>
  <w:style w:type="character" w:styleId="PageNumber">
    <w:name w:val="page number"/>
    <w:basedOn w:val="DefaultParagraphFont"/>
    <w:rsid w:val="00FC339D"/>
  </w:style>
  <w:style w:type="paragraph" w:styleId="BodyTextIndent">
    <w:name w:val="Body Text Indent"/>
    <w:basedOn w:val="Normal"/>
    <w:link w:val="BodyTextIndentChar"/>
    <w:rsid w:val="00FC339D"/>
    <w:pPr>
      <w:ind w:left="720" w:hanging="720"/>
    </w:pPr>
    <w:rPr>
      <w:sz w:val="24"/>
    </w:rPr>
  </w:style>
  <w:style w:type="paragraph" w:styleId="BodyTextIndent2">
    <w:name w:val="Body Text Indent 2"/>
    <w:basedOn w:val="Normal"/>
    <w:rsid w:val="00FC339D"/>
    <w:pPr>
      <w:tabs>
        <w:tab w:val="right" w:pos="6840"/>
        <w:tab w:val="right" w:pos="8640"/>
      </w:tabs>
      <w:ind w:left="720"/>
    </w:pPr>
    <w:rPr>
      <w:sz w:val="24"/>
    </w:rPr>
  </w:style>
  <w:style w:type="paragraph" w:styleId="BodyTextIndent3">
    <w:name w:val="Body Text Indent 3"/>
    <w:basedOn w:val="Normal"/>
    <w:rsid w:val="00FC339D"/>
    <w:pPr>
      <w:tabs>
        <w:tab w:val="right" w:pos="6840"/>
        <w:tab w:val="right" w:pos="8640"/>
      </w:tabs>
      <w:ind w:left="720"/>
    </w:pPr>
    <w:rPr>
      <w:i/>
      <w:color w:val="FF0000"/>
      <w:sz w:val="24"/>
    </w:rPr>
  </w:style>
  <w:style w:type="paragraph" w:styleId="BodyText2">
    <w:name w:val="Body Text 2"/>
    <w:basedOn w:val="Normal"/>
    <w:link w:val="BodyText2Char"/>
    <w:rsid w:val="00FC339D"/>
    <w:pPr>
      <w:tabs>
        <w:tab w:val="left" w:pos="-720"/>
        <w:tab w:val="left" w:pos="0"/>
      </w:tabs>
      <w:suppressAutoHyphens/>
      <w:jc w:val="both"/>
    </w:pPr>
    <w:rPr>
      <w:spacing w:val="-3"/>
      <w:sz w:val="24"/>
    </w:rPr>
  </w:style>
  <w:style w:type="paragraph" w:styleId="BodyText">
    <w:name w:val="Body Text"/>
    <w:basedOn w:val="Normal"/>
    <w:link w:val="BodyTextChar"/>
    <w:rsid w:val="00FC339D"/>
    <w:rPr>
      <w:sz w:val="24"/>
      <w:lang w:val="tr-TR"/>
    </w:rPr>
  </w:style>
  <w:style w:type="paragraph" w:styleId="DocumentMap">
    <w:name w:val="Document Map"/>
    <w:basedOn w:val="Normal"/>
    <w:semiHidden/>
    <w:rsid w:val="00FC339D"/>
    <w:pPr>
      <w:shd w:val="clear" w:color="auto" w:fill="000080"/>
    </w:pPr>
    <w:rPr>
      <w:rFonts w:ascii="Tahoma" w:hAnsi="Tahoma"/>
    </w:rPr>
  </w:style>
  <w:style w:type="paragraph" w:styleId="BodyText3">
    <w:name w:val="Body Text 3"/>
    <w:basedOn w:val="Normal"/>
    <w:rsid w:val="00FC339D"/>
    <w:pPr>
      <w:tabs>
        <w:tab w:val="left" w:pos="1481"/>
        <w:tab w:val="right" w:pos="2700"/>
        <w:tab w:val="right" w:pos="3600"/>
        <w:tab w:val="right" w:pos="4320"/>
        <w:tab w:val="right" w:pos="5040"/>
        <w:tab w:val="right" w:pos="5940"/>
        <w:tab w:val="right" w:pos="6840"/>
        <w:tab w:val="right" w:pos="7740"/>
        <w:tab w:val="right" w:pos="8640"/>
      </w:tabs>
      <w:jc w:val="right"/>
    </w:pPr>
    <w:rPr>
      <w:sz w:val="24"/>
    </w:rPr>
  </w:style>
  <w:style w:type="paragraph" w:customStyle="1" w:styleId="bodytext0">
    <w:name w:val="body_text"/>
    <w:basedOn w:val="Normal"/>
    <w:rsid w:val="00FC339D"/>
    <w:pPr>
      <w:spacing w:after="120"/>
    </w:pPr>
    <w:rPr>
      <w:sz w:val="22"/>
    </w:rPr>
  </w:style>
  <w:style w:type="paragraph" w:styleId="BlockText">
    <w:name w:val="Block Text"/>
    <w:basedOn w:val="Normal"/>
    <w:rsid w:val="00FC339D"/>
    <w:pPr>
      <w:tabs>
        <w:tab w:val="right" w:pos="4320"/>
        <w:tab w:val="right" w:pos="7020"/>
        <w:tab w:val="right" w:pos="8460"/>
      </w:tabs>
      <w:ind w:left="720" w:right="540" w:hanging="630"/>
    </w:pPr>
    <w:rPr>
      <w:sz w:val="24"/>
    </w:rPr>
  </w:style>
  <w:style w:type="paragraph" w:customStyle="1" w:styleId="Style0">
    <w:name w:val="Style0"/>
    <w:rsid w:val="00FC339D"/>
    <w:pPr>
      <w:autoSpaceDE w:val="0"/>
      <w:autoSpaceDN w:val="0"/>
      <w:adjustRightInd w:val="0"/>
    </w:pPr>
    <w:rPr>
      <w:rFonts w:ascii="MS Sans Serif" w:hAnsi="MS Sans Serif"/>
      <w:szCs w:val="24"/>
    </w:rPr>
  </w:style>
  <w:style w:type="paragraph" w:customStyle="1" w:styleId="xl25">
    <w:name w:val="xl25"/>
    <w:basedOn w:val="Normal"/>
    <w:rsid w:val="00FC339D"/>
    <w:pPr>
      <w:spacing w:before="100" w:beforeAutospacing="1" w:after="100" w:afterAutospacing="1"/>
      <w:jc w:val="center"/>
    </w:pPr>
    <w:rPr>
      <w:rFonts w:eastAsia="Arial Unicode MS"/>
      <w:b/>
      <w:bCs/>
      <w:sz w:val="22"/>
      <w:szCs w:val="22"/>
    </w:rPr>
  </w:style>
  <w:style w:type="paragraph" w:customStyle="1" w:styleId="xl26">
    <w:name w:val="xl26"/>
    <w:basedOn w:val="Normal"/>
    <w:rsid w:val="00FC339D"/>
    <w:pPr>
      <w:pBdr>
        <w:bottom w:val="single" w:sz="8" w:space="0" w:color="auto"/>
      </w:pBdr>
      <w:spacing w:before="100" w:beforeAutospacing="1" w:after="100" w:afterAutospacing="1"/>
      <w:jc w:val="center"/>
    </w:pPr>
    <w:rPr>
      <w:rFonts w:eastAsia="Arial Unicode MS"/>
      <w:b/>
      <w:bCs/>
      <w:sz w:val="22"/>
      <w:szCs w:val="22"/>
    </w:rPr>
  </w:style>
  <w:style w:type="paragraph" w:customStyle="1" w:styleId="xl27">
    <w:name w:val="xl27"/>
    <w:basedOn w:val="Normal"/>
    <w:rsid w:val="00FC339D"/>
    <w:pPr>
      <w:spacing w:before="100" w:beforeAutospacing="1" w:after="100" w:afterAutospacing="1"/>
    </w:pPr>
    <w:rPr>
      <w:rFonts w:eastAsia="Arial Unicode MS"/>
      <w:b/>
      <w:bCs/>
      <w:sz w:val="24"/>
      <w:szCs w:val="24"/>
    </w:rPr>
  </w:style>
  <w:style w:type="paragraph" w:customStyle="1" w:styleId="xl28">
    <w:name w:val="xl28"/>
    <w:basedOn w:val="Normal"/>
    <w:rsid w:val="00FC339D"/>
    <w:pPr>
      <w:spacing w:before="100" w:beforeAutospacing="1" w:after="100" w:afterAutospacing="1"/>
      <w:jc w:val="center"/>
    </w:pPr>
    <w:rPr>
      <w:rFonts w:eastAsia="Arial Unicode MS"/>
      <w:b/>
      <w:bCs/>
      <w:sz w:val="24"/>
      <w:szCs w:val="24"/>
    </w:rPr>
  </w:style>
  <w:style w:type="paragraph" w:customStyle="1" w:styleId="xl29">
    <w:name w:val="xl29"/>
    <w:basedOn w:val="Normal"/>
    <w:rsid w:val="00FC339D"/>
    <w:pPr>
      <w:spacing w:before="100" w:beforeAutospacing="1" w:after="100" w:afterAutospacing="1"/>
    </w:pPr>
    <w:rPr>
      <w:rFonts w:eastAsia="Arial Unicode MS"/>
      <w:sz w:val="24"/>
      <w:szCs w:val="24"/>
    </w:rPr>
  </w:style>
  <w:style w:type="paragraph" w:customStyle="1" w:styleId="xl30">
    <w:name w:val="xl30"/>
    <w:basedOn w:val="Normal"/>
    <w:rsid w:val="00FC339D"/>
    <w:pPr>
      <w:spacing w:before="100" w:beforeAutospacing="1" w:after="100" w:afterAutospacing="1"/>
    </w:pPr>
    <w:rPr>
      <w:rFonts w:eastAsia="Arial Unicode MS"/>
      <w:sz w:val="24"/>
      <w:szCs w:val="24"/>
    </w:rPr>
  </w:style>
  <w:style w:type="paragraph" w:customStyle="1" w:styleId="xl31">
    <w:name w:val="xl31"/>
    <w:basedOn w:val="Normal"/>
    <w:rsid w:val="00FC339D"/>
    <w:pPr>
      <w:spacing w:before="100" w:beforeAutospacing="1" w:after="100" w:afterAutospacing="1"/>
    </w:pPr>
    <w:rPr>
      <w:rFonts w:eastAsia="Arial Unicode MS"/>
      <w:b/>
      <w:bCs/>
      <w:sz w:val="24"/>
      <w:szCs w:val="24"/>
    </w:rPr>
  </w:style>
  <w:style w:type="paragraph" w:customStyle="1" w:styleId="xl32">
    <w:name w:val="xl32"/>
    <w:basedOn w:val="Normal"/>
    <w:rsid w:val="00FC339D"/>
    <w:pPr>
      <w:spacing w:before="100" w:beforeAutospacing="1" w:after="100" w:afterAutospacing="1"/>
    </w:pPr>
    <w:rPr>
      <w:rFonts w:eastAsia="Arial Unicode MS"/>
      <w:b/>
      <w:bCs/>
      <w:sz w:val="24"/>
      <w:szCs w:val="24"/>
    </w:rPr>
  </w:style>
  <w:style w:type="paragraph" w:customStyle="1" w:styleId="xl33">
    <w:name w:val="xl33"/>
    <w:basedOn w:val="Normal"/>
    <w:rsid w:val="00FC339D"/>
    <w:pPr>
      <w:pBdr>
        <w:top w:val="single" w:sz="4" w:space="0" w:color="auto"/>
        <w:bottom w:val="single" w:sz="4" w:space="0" w:color="auto"/>
      </w:pBdr>
      <w:spacing w:before="100" w:beforeAutospacing="1" w:after="100" w:afterAutospacing="1"/>
    </w:pPr>
    <w:rPr>
      <w:rFonts w:eastAsia="Arial Unicode MS"/>
      <w:b/>
      <w:bCs/>
      <w:sz w:val="24"/>
      <w:szCs w:val="24"/>
    </w:rPr>
  </w:style>
  <w:style w:type="paragraph" w:customStyle="1" w:styleId="xl34">
    <w:name w:val="xl34"/>
    <w:basedOn w:val="Normal"/>
    <w:rsid w:val="00FC339D"/>
    <w:pPr>
      <w:pBdr>
        <w:top w:val="single" w:sz="4" w:space="0" w:color="auto"/>
        <w:bottom w:val="single" w:sz="4" w:space="0" w:color="auto"/>
      </w:pBdr>
      <w:spacing w:before="100" w:beforeAutospacing="1" w:after="100" w:afterAutospacing="1"/>
    </w:pPr>
    <w:rPr>
      <w:rFonts w:eastAsia="Arial Unicode MS"/>
      <w:b/>
      <w:bCs/>
      <w:sz w:val="24"/>
      <w:szCs w:val="24"/>
    </w:rPr>
  </w:style>
  <w:style w:type="paragraph" w:customStyle="1" w:styleId="xl35">
    <w:name w:val="xl35"/>
    <w:basedOn w:val="Normal"/>
    <w:rsid w:val="00FC339D"/>
    <w:pPr>
      <w:spacing w:before="100" w:beforeAutospacing="1" w:after="100" w:afterAutospacing="1"/>
    </w:pPr>
    <w:rPr>
      <w:rFonts w:eastAsia="Arial Unicode MS"/>
      <w:b/>
      <w:bCs/>
      <w:sz w:val="24"/>
      <w:szCs w:val="24"/>
    </w:rPr>
  </w:style>
  <w:style w:type="paragraph" w:customStyle="1" w:styleId="xl36">
    <w:name w:val="xl36"/>
    <w:basedOn w:val="Normal"/>
    <w:rsid w:val="00FC339D"/>
    <w:pPr>
      <w:pBdr>
        <w:top w:val="single" w:sz="4" w:space="0" w:color="auto"/>
      </w:pBdr>
      <w:spacing w:before="100" w:beforeAutospacing="1" w:after="100" w:afterAutospacing="1"/>
    </w:pPr>
    <w:rPr>
      <w:rFonts w:eastAsia="Arial Unicode MS"/>
      <w:b/>
      <w:bCs/>
      <w:sz w:val="24"/>
      <w:szCs w:val="24"/>
    </w:rPr>
  </w:style>
  <w:style w:type="paragraph" w:customStyle="1" w:styleId="xl37">
    <w:name w:val="xl37"/>
    <w:basedOn w:val="Normal"/>
    <w:rsid w:val="00FC339D"/>
    <w:pPr>
      <w:pBdr>
        <w:top w:val="single" w:sz="4" w:space="0" w:color="auto"/>
      </w:pBdr>
      <w:spacing w:before="100" w:beforeAutospacing="1" w:after="100" w:afterAutospacing="1"/>
    </w:pPr>
    <w:rPr>
      <w:rFonts w:eastAsia="Arial Unicode MS"/>
      <w:b/>
      <w:bCs/>
      <w:sz w:val="24"/>
      <w:szCs w:val="24"/>
    </w:rPr>
  </w:style>
  <w:style w:type="paragraph" w:customStyle="1" w:styleId="xl38">
    <w:name w:val="xl38"/>
    <w:basedOn w:val="Normal"/>
    <w:rsid w:val="00FC339D"/>
    <w:pPr>
      <w:pBdr>
        <w:top w:val="single" w:sz="4" w:space="0" w:color="auto"/>
        <w:bottom w:val="double" w:sz="6" w:space="0" w:color="auto"/>
      </w:pBdr>
      <w:spacing w:before="100" w:beforeAutospacing="1" w:after="100" w:afterAutospacing="1"/>
    </w:pPr>
    <w:rPr>
      <w:rFonts w:eastAsia="Arial Unicode MS"/>
      <w:b/>
      <w:bCs/>
      <w:sz w:val="24"/>
      <w:szCs w:val="24"/>
    </w:rPr>
  </w:style>
  <w:style w:type="paragraph" w:customStyle="1" w:styleId="1AutoList1">
    <w:name w:val="1AutoList1"/>
    <w:rsid w:val="00FC339D"/>
    <w:pPr>
      <w:widowControl w:val="0"/>
      <w:tabs>
        <w:tab w:val="left" w:pos="720"/>
      </w:tabs>
      <w:autoSpaceDE w:val="0"/>
      <w:autoSpaceDN w:val="0"/>
      <w:adjustRightInd w:val="0"/>
      <w:ind w:left="720" w:hanging="720"/>
      <w:jc w:val="both"/>
    </w:pPr>
    <w:rPr>
      <w:sz w:val="24"/>
      <w:szCs w:val="24"/>
    </w:rPr>
  </w:style>
  <w:style w:type="paragraph" w:customStyle="1" w:styleId="Body">
    <w:name w:val="Body"/>
    <w:aliases w:val="by,BD"/>
    <w:rsid w:val="00FC339D"/>
    <w:pPr>
      <w:keepLines/>
      <w:spacing w:after="130" w:line="260" w:lineRule="exact"/>
      <w:jc w:val="both"/>
    </w:pPr>
    <w:rPr>
      <w:rFonts w:ascii="Times" w:hAnsi="Times"/>
      <w:sz w:val="22"/>
      <w:lang w:val="en-GB"/>
    </w:rPr>
  </w:style>
  <w:style w:type="paragraph" w:customStyle="1" w:styleId="000normal">
    <w:name w:val="000normal"/>
    <w:basedOn w:val="Normal"/>
    <w:rsid w:val="00FC339D"/>
    <w:pPr>
      <w:spacing w:before="180" w:after="100" w:afterAutospacing="1"/>
      <w:jc w:val="both"/>
    </w:pPr>
    <w:rPr>
      <w:rFonts w:ascii="Arial" w:eastAsia="Arial Unicode MS" w:hAnsi="Arial" w:cs="Arial"/>
    </w:rPr>
  </w:style>
  <w:style w:type="paragraph" w:customStyle="1" w:styleId="xl24">
    <w:name w:val="xl24"/>
    <w:basedOn w:val="Normal"/>
    <w:rsid w:val="00FC339D"/>
    <w:pPr>
      <w:pBdr>
        <w:bottom w:val="single" w:sz="8" w:space="0" w:color="auto"/>
      </w:pBdr>
      <w:spacing w:before="100" w:beforeAutospacing="1" w:after="100" w:afterAutospacing="1"/>
      <w:jc w:val="center"/>
      <w:textAlignment w:val="center"/>
    </w:pPr>
    <w:rPr>
      <w:rFonts w:eastAsia="Arial Unicode MS"/>
      <w:b/>
      <w:bCs/>
      <w:sz w:val="24"/>
      <w:szCs w:val="24"/>
    </w:rPr>
  </w:style>
  <w:style w:type="character" w:styleId="Hyperlink">
    <w:name w:val="Hyperlink"/>
    <w:basedOn w:val="DefaultParagraphFont"/>
    <w:rsid w:val="00FC339D"/>
    <w:rPr>
      <w:strike w:val="0"/>
      <w:dstrike w:val="0"/>
      <w:color w:val="000066"/>
      <w:u w:val="none"/>
      <w:effect w:val="none"/>
    </w:rPr>
  </w:style>
  <w:style w:type="character" w:styleId="FollowedHyperlink">
    <w:name w:val="FollowedHyperlink"/>
    <w:basedOn w:val="DefaultParagraphFont"/>
    <w:rsid w:val="00FC339D"/>
    <w:rPr>
      <w:color w:val="800080"/>
      <w:u w:val="single"/>
    </w:rPr>
  </w:style>
  <w:style w:type="paragraph" w:styleId="BalloonText">
    <w:name w:val="Balloon Text"/>
    <w:basedOn w:val="Normal"/>
    <w:link w:val="BalloonTextChar"/>
    <w:semiHidden/>
    <w:rsid w:val="00337E3D"/>
    <w:rPr>
      <w:rFonts w:ascii="Tahoma" w:hAnsi="Tahoma" w:cs="Tahoma"/>
      <w:sz w:val="16"/>
      <w:szCs w:val="16"/>
    </w:rPr>
  </w:style>
  <w:style w:type="table" w:styleId="TableGrid">
    <w:name w:val="Table Grid"/>
    <w:basedOn w:val="TableNormal"/>
    <w:rsid w:val="001C1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0">
    <w:name w:val="body"/>
    <w:basedOn w:val="Normal"/>
    <w:link w:val="bodyChar"/>
    <w:rsid w:val="003C505B"/>
    <w:pPr>
      <w:spacing w:after="120" w:line="260" w:lineRule="exact"/>
      <w:jc w:val="both"/>
    </w:pPr>
    <w:rPr>
      <w:sz w:val="22"/>
      <w:szCs w:val="24"/>
    </w:rPr>
  </w:style>
  <w:style w:type="paragraph" w:customStyle="1" w:styleId="BodybyBD">
    <w:name w:val="Body.by.BD"/>
    <w:rsid w:val="00234536"/>
    <w:pPr>
      <w:keepLines/>
      <w:spacing w:after="130" w:line="260" w:lineRule="exact"/>
      <w:jc w:val="both"/>
    </w:pPr>
    <w:rPr>
      <w:rFonts w:ascii="Times" w:hAnsi="Times"/>
      <w:sz w:val="22"/>
      <w:lang w:val="en-GB"/>
    </w:rPr>
  </w:style>
  <w:style w:type="paragraph" w:customStyle="1" w:styleId="DefaultParagraphFontParaCharChar">
    <w:name w:val="Default Paragraph Font Para Char Char"/>
    <w:aliases w:val="Default Paragraph Font Para Char Para Char Char"/>
    <w:basedOn w:val="Normal"/>
    <w:rsid w:val="00C52836"/>
  </w:style>
  <w:style w:type="paragraph" w:customStyle="1" w:styleId="bodycopyindent">
    <w:name w:val="body copy indent"/>
    <w:basedOn w:val="Normal"/>
    <w:rsid w:val="009C1BB7"/>
    <w:pPr>
      <w:spacing w:before="20" w:line="210" w:lineRule="exact"/>
      <w:ind w:left="510"/>
    </w:pPr>
    <w:rPr>
      <w:rFonts w:ascii="Arial" w:hAnsi="Arial" w:cs="Arial"/>
      <w:color w:val="000000"/>
      <w:sz w:val="17"/>
      <w:szCs w:val="17"/>
      <w:lang w:val="tr-TR"/>
    </w:rPr>
  </w:style>
  <w:style w:type="paragraph" w:customStyle="1" w:styleId="Bodycopyheader1">
    <w:name w:val="Body copy header 1"/>
    <w:basedOn w:val="Normal"/>
    <w:rsid w:val="00D5540E"/>
    <w:pPr>
      <w:spacing w:before="20" w:line="210" w:lineRule="exact"/>
    </w:pPr>
    <w:rPr>
      <w:rFonts w:ascii="Arial" w:hAnsi="Arial" w:cs="Arial"/>
      <w:b/>
      <w:color w:val="000000"/>
      <w:sz w:val="17"/>
      <w:szCs w:val="17"/>
    </w:rPr>
  </w:style>
  <w:style w:type="paragraph" w:customStyle="1" w:styleId="Dividerline">
    <w:name w:val="Divider line"/>
    <w:basedOn w:val="Normal"/>
    <w:rsid w:val="00D5540E"/>
    <w:rPr>
      <w:rFonts w:ascii="Arial" w:hAnsi="Arial" w:cs="Tahoma"/>
      <w:sz w:val="15"/>
      <w:szCs w:val="15"/>
      <w:lang w:val="en-AU"/>
    </w:rPr>
  </w:style>
  <w:style w:type="paragraph" w:customStyle="1" w:styleId="Bodycopybullet">
    <w:name w:val="Body copy bullet"/>
    <w:basedOn w:val="Normal"/>
    <w:rsid w:val="00D5540E"/>
    <w:pPr>
      <w:numPr>
        <w:numId w:val="4"/>
      </w:numPr>
      <w:spacing w:before="20" w:line="210" w:lineRule="exact"/>
    </w:pPr>
    <w:rPr>
      <w:rFonts w:ascii="Arial" w:hAnsi="Arial" w:cs="Arial"/>
      <w:color w:val="000000"/>
      <w:sz w:val="17"/>
      <w:szCs w:val="17"/>
      <w:lang w:val="en-AU"/>
    </w:rPr>
  </w:style>
  <w:style w:type="paragraph" w:customStyle="1" w:styleId="Bodycopy">
    <w:name w:val="Body copy"/>
    <w:rsid w:val="00D5540E"/>
    <w:pPr>
      <w:spacing w:before="20" w:line="210" w:lineRule="exact"/>
    </w:pPr>
    <w:rPr>
      <w:rFonts w:ascii="Arial" w:hAnsi="Arial" w:cs="Arial"/>
      <w:color w:val="000000"/>
      <w:sz w:val="17"/>
      <w:szCs w:val="17"/>
    </w:rPr>
  </w:style>
  <w:style w:type="paragraph" w:styleId="FootnoteText">
    <w:name w:val="footnote text"/>
    <w:basedOn w:val="Normal"/>
    <w:semiHidden/>
    <w:rsid w:val="00A50239"/>
    <w:pPr>
      <w:widowControl w:val="0"/>
    </w:pPr>
    <w:rPr>
      <w:rFonts w:ascii="Courier New" w:hAnsi="Courier New"/>
      <w:sz w:val="24"/>
      <w:lang w:val="tr-TR"/>
    </w:rPr>
  </w:style>
  <w:style w:type="paragraph" w:customStyle="1" w:styleId="CharChar1">
    <w:name w:val="Char Char1"/>
    <w:basedOn w:val="Normal"/>
    <w:rsid w:val="00E1504E"/>
  </w:style>
  <w:style w:type="character" w:customStyle="1" w:styleId="Normal11ptChar">
    <w:name w:val="Normal + 11 pt Char"/>
    <w:aliases w:val="Black Char"/>
    <w:basedOn w:val="DefaultParagraphFont"/>
    <w:rsid w:val="00782501"/>
    <w:rPr>
      <w:sz w:val="24"/>
      <w:szCs w:val="24"/>
      <w:lang w:val="tr-TR" w:eastAsia="en-US" w:bidi="ar-SA"/>
    </w:rPr>
  </w:style>
  <w:style w:type="character" w:styleId="CommentReference">
    <w:name w:val="annotation reference"/>
    <w:basedOn w:val="DefaultParagraphFont"/>
    <w:semiHidden/>
    <w:rsid w:val="00CB751B"/>
    <w:rPr>
      <w:sz w:val="16"/>
      <w:szCs w:val="16"/>
    </w:rPr>
  </w:style>
  <w:style w:type="paragraph" w:styleId="CommentText">
    <w:name w:val="annotation text"/>
    <w:basedOn w:val="Normal"/>
    <w:semiHidden/>
    <w:rsid w:val="00CB751B"/>
  </w:style>
  <w:style w:type="paragraph" w:customStyle="1" w:styleId="Teknik4">
    <w:name w:val="Teknik 4"/>
    <w:uiPriority w:val="99"/>
    <w:rsid w:val="00CB751B"/>
    <w:pPr>
      <w:widowControl w:val="0"/>
      <w:tabs>
        <w:tab w:val="left" w:pos="-720"/>
      </w:tabs>
      <w:suppressAutoHyphens/>
    </w:pPr>
    <w:rPr>
      <w:rFonts w:ascii="Courier New" w:hAnsi="Courier New"/>
      <w:b/>
      <w:sz w:val="24"/>
      <w:lang w:val="en-AU"/>
    </w:rPr>
  </w:style>
  <w:style w:type="paragraph" w:customStyle="1" w:styleId="1tipi">
    <w:name w:val="(1) tipi"/>
    <w:basedOn w:val="Normal"/>
    <w:rsid w:val="004A26DE"/>
    <w:pPr>
      <w:tabs>
        <w:tab w:val="left" w:pos="1134"/>
      </w:tabs>
      <w:autoSpaceDE w:val="0"/>
      <w:autoSpaceDN w:val="0"/>
      <w:jc w:val="both"/>
    </w:pPr>
    <w:rPr>
      <w:rFonts w:ascii="Arial" w:hAnsi="Arial" w:cs="Arial"/>
      <w:sz w:val="24"/>
      <w:szCs w:val="24"/>
      <w:lang w:val="en-GB"/>
    </w:rPr>
  </w:style>
  <w:style w:type="paragraph" w:styleId="CommentSubject">
    <w:name w:val="annotation subject"/>
    <w:basedOn w:val="CommentText"/>
    <w:next w:val="CommentText"/>
    <w:semiHidden/>
    <w:rsid w:val="00900679"/>
    <w:rPr>
      <w:b/>
      <w:bCs/>
    </w:rPr>
  </w:style>
  <w:style w:type="character" w:customStyle="1" w:styleId="BalloonTextChar">
    <w:name w:val="Balloon Text Char"/>
    <w:basedOn w:val="DefaultParagraphFont"/>
    <w:link w:val="BalloonText"/>
    <w:semiHidden/>
    <w:locked/>
    <w:rsid w:val="002409BF"/>
    <w:rPr>
      <w:rFonts w:ascii="Tahoma" w:hAnsi="Tahoma" w:cs="Tahoma"/>
      <w:sz w:val="16"/>
      <w:szCs w:val="16"/>
      <w:lang w:val="en-US" w:eastAsia="en-US" w:bidi="ar-SA"/>
    </w:rPr>
  </w:style>
  <w:style w:type="paragraph" w:customStyle="1" w:styleId="001normalbold">
    <w:name w:val="001normalbold"/>
    <w:basedOn w:val="Normal"/>
    <w:rsid w:val="00245BD3"/>
    <w:pPr>
      <w:spacing w:before="40" w:after="80"/>
      <w:jc w:val="both"/>
    </w:pPr>
    <w:rPr>
      <w:rFonts w:ascii="Arial" w:eastAsia="Arial Unicode MS" w:hAnsi="Arial" w:cs="Arial"/>
      <w:b/>
      <w:bCs/>
    </w:rPr>
  </w:style>
  <w:style w:type="paragraph" w:styleId="EndnoteText">
    <w:name w:val="endnote text"/>
    <w:basedOn w:val="Normal"/>
    <w:semiHidden/>
    <w:rsid w:val="00245BD3"/>
    <w:pPr>
      <w:widowControl w:val="0"/>
    </w:pPr>
    <w:rPr>
      <w:rFonts w:ascii="Courier New" w:hAnsi="Courier New"/>
      <w:sz w:val="24"/>
      <w:lang w:val="en-GB"/>
    </w:rPr>
  </w:style>
  <w:style w:type="paragraph" w:customStyle="1" w:styleId="Normaltext">
    <w:name w:val="Normal text"/>
    <w:basedOn w:val="Normal"/>
    <w:rsid w:val="00245BD3"/>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240" w:line="240" w:lineRule="atLeast"/>
    </w:pPr>
    <w:rPr>
      <w:rFonts w:ascii="Arial" w:hAnsi="Arial"/>
      <w:lang w:val="en-GB"/>
    </w:rPr>
  </w:style>
  <w:style w:type="paragraph" w:customStyle="1" w:styleId="DokGman1">
    <w:name w:val="DokÀGÀman 1"/>
    <w:rsid w:val="00245BD3"/>
    <w:pPr>
      <w:keepNext/>
      <w:keepLines/>
      <w:tabs>
        <w:tab w:val="left" w:pos="-720"/>
      </w:tabs>
      <w:suppressAutoHyphens/>
    </w:pPr>
    <w:rPr>
      <w:rFonts w:ascii="Courier New" w:hAnsi="Courier New"/>
      <w:sz w:val="24"/>
    </w:rPr>
  </w:style>
  <w:style w:type="paragraph" w:customStyle="1" w:styleId="atipi">
    <w:name w:val="(a) tipi"/>
    <w:basedOn w:val="Normal"/>
    <w:rsid w:val="00245BD3"/>
    <w:pPr>
      <w:ind w:left="1134" w:hanging="567"/>
      <w:jc w:val="both"/>
    </w:pPr>
    <w:rPr>
      <w:rFonts w:ascii="Arial" w:hAnsi="Arial"/>
      <w:sz w:val="24"/>
      <w:lang w:val="tr-TR" w:eastAsia="tr-TR"/>
    </w:rPr>
  </w:style>
  <w:style w:type="paragraph" w:styleId="HTMLPreformatted">
    <w:name w:val="HTML Preformatted"/>
    <w:basedOn w:val="Normal"/>
    <w:rsid w:val="0024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tr-TR" w:eastAsia="tr-TR" w:bidi="bn-IN"/>
    </w:rPr>
  </w:style>
  <w:style w:type="paragraph" w:styleId="PlainText">
    <w:name w:val="Plain Text"/>
    <w:basedOn w:val="Normal"/>
    <w:rsid w:val="00245BD3"/>
    <w:pPr>
      <w:overflowPunct w:val="0"/>
      <w:autoSpaceDE w:val="0"/>
      <w:autoSpaceDN w:val="0"/>
      <w:adjustRightInd w:val="0"/>
      <w:textAlignment w:val="baseline"/>
    </w:pPr>
    <w:rPr>
      <w:rFonts w:ascii="Courier New" w:hAnsi="Courier New"/>
      <w:lang w:val="tr-TR"/>
    </w:rPr>
  </w:style>
  <w:style w:type="paragraph" w:styleId="NormalWeb">
    <w:name w:val="Normal (Web)"/>
    <w:basedOn w:val="Normal"/>
    <w:rsid w:val="00245BD3"/>
    <w:pPr>
      <w:spacing w:before="100" w:beforeAutospacing="1" w:after="100" w:afterAutospacing="1"/>
    </w:pPr>
    <w:rPr>
      <w:sz w:val="24"/>
      <w:szCs w:val="24"/>
      <w:lang w:val="tr-TR" w:eastAsia="tr-TR"/>
    </w:rPr>
  </w:style>
  <w:style w:type="character" w:customStyle="1" w:styleId="FooterChar">
    <w:name w:val="Footer Char"/>
    <w:basedOn w:val="DefaultParagraphFont"/>
    <w:link w:val="Footer"/>
    <w:uiPriority w:val="99"/>
    <w:rsid w:val="00D4743C"/>
    <w:rPr>
      <w:lang w:val="en-US" w:eastAsia="en-US"/>
    </w:rPr>
  </w:style>
  <w:style w:type="character" w:customStyle="1" w:styleId="BodyTextChar">
    <w:name w:val="Body Text Char"/>
    <w:basedOn w:val="DefaultParagraphFont"/>
    <w:link w:val="BodyText"/>
    <w:rsid w:val="00823580"/>
    <w:rPr>
      <w:sz w:val="24"/>
      <w:lang w:eastAsia="en-US"/>
    </w:rPr>
  </w:style>
  <w:style w:type="character" w:customStyle="1" w:styleId="BodyTextIndentChar">
    <w:name w:val="Body Text Indent Char"/>
    <w:basedOn w:val="DefaultParagraphFont"/>
    <w:link w:val="BodyTextIndent"/>
    <w:rsid w:val="00C406C4"/>
    <w:rPr>
      <w:sz w:val="24"/>
    </w:rPr>
  </w:style>
  <w:style w:type="character" w:customStyle="1" w:styleId="HeaderChar">
    <w:name w:val="Header Char"/>
    <w:basedOn w:val="DefaultParagraphFont"/>
    <w:link w:val="Header"/>
    <w:locked/>
    <w:rsid w:val="00C406C4"/>
  </w:style>
  <w:style w:type="paragraph" w:customStyle="1" w:styleId="ABLOCKPARA10">
    <w:name w:val="A BLOCK PARA 10"/>
    <w:basedOn w:val="Normal"/>
    <w:rsid w:val="00257513"/>
    <w:rPr>
      <w:rFonts w:ascii="Book Antiqua" w:hAnsi="Book Antiqua"/>
    </w:rPr>
  </w:style>
  <w:style w:type="paragraph" w:styleId="ListParagraph">
    <w:name w:val="List Paragraph"/>
    <w:basedOn w:val="Normal"/>
    <w:uiPriority w:val="34"/>
    <w:qFormat/>
    <w:rsid w:val="009231F4"/>
    <w:pPr>
      <w:spacing w:after="200" w:line="276" w:lineRule="auto"/>
      <w:ind w:left="708"/>
    </w:pPr>
    <w:rPr>
      <w:rFonts w:ascii="Calibri" w:eastAsia="Calibri" w:hAnsi="Calibri"/>
      <w:sz w:val="22"/>
      <w:szCs w:val="22"/>
      <w:lang w:val="tr-TR"/>
    </w:rPr>
  </w:style>
  <w:style w:type="paragraph" w:customStyle="1" w:styleId="Default">
    <w:name w:val="Default"/>
    <w:rsid w:val="00B134F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E19D2"/>
  </w:style>
  <w:style w:type="character" w:customStyle="1" w:styleId="bodyChar">
    <w:name w:val="body Char"/>
    <w:basedOn w:val="DefaultParagraphFont"/>
    <w:link w:val="body0"/>
    <w:rsid w:val="003F5B30"/>
    <w:rPr>
      <w:sz w:val="22"/>
      <w:szCs w:val="24"/>
    </w:rPr>
  </w:style>
  <w:style w:type="character" w:customStyle="1" w:styleId="Heading9Char">
    <w:name w:val="Heading 9 Char"/>
    <w:basedOn w:val="DefaultParagraphFont"/>
    <w:link w:val="Heading9"/>
    <w:rsid w:val="00A70549"/>
    <w:rPr>
      <w:sz w:val="24"/>
      <w:u w:val="single"/>
    </w:rPr>
  </w:style>
  <w:style w:type="character" w:customStyle="1" w:styleId="BodyText2Char">
    <w:name w:val="Body Text 2 Char"/>
    <w:basedOn w:val="DefaultParagraphFont"/>
    <w:link w:val="BodyText2"/>
    <w:rsid w:val="004362C7"/>
    <w:rPr>
      <w:spacing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FC1"/>
  </w:style>
  <w:style w:type="paragraph" w:styleId="Heading1">
    <w:name w:val="heading 1"/>
    <w:basedOn w:val="Normal"/>
    <w:next w:val="Normal"/>
    <w:qFormat/>
    <w:rsid w:val="00FC339D"/>
    <w:pPr>
      <w:keepNext/>
      <w:ind w:left="720" w:hanging="720"/>
      <w:outlineLvl w:val="0"/>
    </w:pPr>
    <w:rPr>
      <w:b/>
      <w:color w:val="FF0000"/>
      <w:sz w:val="24"/>
    </w:rPr>
  </w:style>
  <w:style w:type="paragraph" w:styleId="Heading2">
    <w:name w:val="heading 2"/>
    <w:basedOn w:val="Normal"/>
    <w:next w:val="Normal"/>
    <w:qFormat/>
    <w:rsid w:val="00FC339D"/>
    <w:pPr>
      <w:spacing w:before="120"/>
      <w:outlineLvl w:val="1"/>
    </w:pPr>
    <w:rPr>
      <w:b/>
      <w:sz w:val="24"/>
      <w:lang w:val="en-GB"/>
    </w:rPr>
  </w:style>
  <w:style w:type="paragraph" w:styleId="Heading3">
    <w:name w:val="heading 3"/>
    <w:basedOn w:val="Normal"/>
    <w:next w:val="Normal"/>
    <w:qFormat/>
    <w:rsid w:val="00FC339D"/>
    <w:pPr>
      <w:keepNext/>
      <w:spacing w:before="240" w:after="60"/>
      <w:outlineLvl w:val="2"/>
    </w:pPr>
    <w:rPr>
      <w:b/>
      <w:sz w:val="24"/>
    </w:rPr>
  </w:style>
  <w:style w:type="paragraph" w:styleId="Heading4">
    <w:name w:val="heading 4"/>
    <w:basedOn w:val="Normal"/>
    <w:next w:val="Normal"/>
    <w:qFormat/>
    <w:rsid w:val="00FC339D"/>
    <w:pPr>
      <w:keepNext/>
      <w:tabs>
        <w:tab w:val="right" w:pos="2700"/>
        <w:tab w:val="right" w:pos="3600"/>
        <w:tab w:val="right" w:pos="4320"/>
        <w:tab w:val="right" w:pos="5040"/>
        <w:tab w:val="right" w:pos="5940"/>
        <w:tab w:val="right" w:pos="6840"/>
        <w:tab w:val="right" w:pos="7740"/>
        <w:tab w:val="right" w:pos="8789"/>
      </w:tabs>
      <w:ind w:left="720" w:hanging="720"/>
      <w:outlineLvl w:val="3"/>
    </w:pPr>
    <w:rPr>
      <w:sz w:val="24"/>
    </w:rPr>
  </w:style>
  <w:style w:type="paragraph" w:styleId="Heading5">
    <w:name w:val="heading 5"/>
    <w:basedOn w:val="Normal"/>
    <w:next w:val="Normal"/>
    <w:qFormat/>
    <w:rsid w:val="00FC339D"/>
    <w:pPr>
      <w:keepNext/>
      <w:jc w:val="right"/>
      <w:outlineLvl w:val="4"/>
    </w:pPr>
    <w:rPr>
      <w:sz w:val="24"/>
      <w:u w:val="single"/>
    </w:rPr>
  </w:style>
  <w:style w:type="paragraph" w:styleId="Heading6">
    <w:name w:val="heading 6"/>
    <w:basedOn w:val="Normal"/>
    <w:next w:val="Normal"/>
    <w:qFormat/>
    <w:rsid w:val="00FC339D"/>
    <w:pPr>
      <w:keepNext/>
      <w:ind w:left="709" w:right="-211" w:hanging="709"/>
      <w:outlineLvl w:val="5"/>
    </w:pPr>
    <w:rPr>
      <w:sz w:val="24"/>
    </w:rPr>
  </w:style>
  <w:style w:type="paragraph" w:styleId="Heading7">
    <w:name w:val="heading 7"/>
    <w:basedOn w:val="Normal"/>
    <w:next w:val="Normal"/>
    <w:qFormat/>
    <w:rsid w:val="00FC339D"/>
    <w:pPr>
      <w:keepNext/>
      <w:spacing w:line="240" w:lineRule="exact"/>
      <w:ind w:left="720"/>
      <w:outlineLvl w:val="6"/>
    </w:pPr>
    <w:rPr>
      <w:b/>
      <w:sz w:val="24"/>
    </w:rPr>
  </w:style>
  <w:style w:type="paragraph" w:styleId="Heading8">
    <w:name w:val="heading 8"/>
    <w:basedOn w:val="Normal"/>
    <w:next w:val="Normal"/>
    <w:qFormat/>
    <w:rsid w:val="00FC339D"/>
    <w:pPr>
      <w:keepNext/>
      <w:outlineLvl w:val="7"/>
    </w:pPr>
    <w:rPr>
      <w:rFonts w:ascii="CG Times (WT)" w:hAnsi="CG Times (WT)"/>
      <w:u w:val="single"/>
    </w:rPr>
  </w:style>
  <w:style w:type="paragraph" w:styleId="Heading9">
    <w:name w:val="heading 9"/>
    <w:basedOn w:val="Normal"/>
    <w:next w:val="Normal"/>
    <w:link w:val="Heading9Char"/>
    <w:qFormat/>
    <w:rsid w:val="00FC339D"/>
    <w:pPr>
      <w:keepNext/>
      <w:tabs>
        <w:tab w:val="decimal" w:pos="1082"/>
      </w:tabs>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339D"/>
    <w:pPr>
      <w:tabs>
        <w:tab w:val="center" w:pos="4320"/>
        <w:tab w:val="right" w:pos="8640"/>
      </w:tabs>
    </w:pPr>
  </w:style>
  <w:style w:type="paragraph" w:styleId="Footer">
    <w:name w:val="footer"/>
    <w:basedOn w:val="Normal"/>
    <w:link w:val="FooterChar"/>
    <w:uiPriority w:val="99"/>
    <w:rsid w:val="00FC339D"/>
    <w:pPr>
      <w:tabs>
        <w:tab w:val="center" w:pos="4320"/>
        <w:tab w:val="right" w:pos="8640"/>
      </w:tabs>
    </w:pPr>
  </w:style>
  <w:style w:type="character" w:styleId="PageNumber">
    <w:name w:val="page number"/>
    <w:basedOn w:val="DefaultParagraphFont"/>
    <w:rsid w:val="00FC339D"/>
  </w:style>
  <w:style w:type="paragraph" w:styleId="BodyTextIndent">
    <w:name w:val="Body Text Indent"/>
    <w:basedOn w:val="Normal"/>
    <w:link w:val="BodyTextIndentChar"/>
    <w:rsid w:val="00FC339D"/>
    <w:pPr>
      <w:ind w:left="720" w:hanging="720"/>
    </w:pPr>
    <w:rPr>
      <w:sz w:val="24"/>
    </w:rPr>
  </w:style>
  <w:style w:type="paragraph" w:styleId="BodyTextIndent2">
    <w:name w:val="Body Text Indent 2"/>
    <w:basedOn w:val="Normal"/>
    <w:rsid w:val="00FC339D"/>
    <w:pPr>
      <w:tabs>
        <w:tab w:val="right" w:pos="6840"/>
        <w:tab w:val="right" w:pos="8640"/>
      </w:tabs>
      <w:ind w:left="720"/>
    </w:pPr>
    <w:rPr>
      <w:sz w:val="24"/>
    </w:rPr>
  </w:style>
  <w:style w:type="paragraph" w:styleId="BodyTextIndent3">
    <w:name w:val="Body Text Indent 3"/>
    <w:basedOn w:val="Normal"/>
    <w:rsid w:val="00FC339D"/>
    <w:pPr>
      <w:tabs>
        <w:tab w:val="right" w:pos="6840"/>
        <w:tab w:val="right" w:pos="8640"/>
      </w:tabs>
      <w:ind w:left="720"/>
    </w:pPr>
    <w:rPr>
      <w:i/>
      <w:color w:val="FF0000"/>
      <w:sz w:val="24"/>
    </w:rPr>
  </w:style>
  <w:style w:type="paragraph" w:styleId="BodyText2">
    <w:name w:val="Body Text 2"/>
    <w:basedOn w:val="Normal"/>
    <w:link w:val="BodyText2Char"/>
    <w:rsid w:val="00FC339D"/>
    <w:pPr>
      <w:tabs>
        <w:tab w:val="left" w:pos="-720"/>
        <w:tab w:val="left" w:pos="0"/>
      </w:tabs>
      <w:suppressAutoHyphens/>
      <w:jc w:val="both"/>
    </w:pPr>
    <w:rPr>
      <w:spacing w:val="-3"/>
      <w:sz w:val="24"/>
    </w:rPr>
  </w:style>
  <w:style w:type="paragraph" w:styleId="BodyText">
    <w:name w:val="Body Text"/>
    <w:basedOn w:val="Normal"/>
    <w:link w:val="BodyTextChar"/>
    <w:rsid w:val="00FC339D"/>
    <w:rPr>
      <w:sz w:val="24"/>
      <w:lang w:val="tr-TR"/>
    </w:rPr>
  </w:style>
  <w:style w:type="paragraph" w:styleId="DocumentMap">
    <w:name w:val="Document Map"/>
    <w:basedOn w:val="Normal"/>
    <w:semiHidden/>
    <w:rsid w:val="00FC339D"/>
    <w:pPr>
      <w:shd w:val="clear" w:color="auto" w:fill="000080"/>
    </w:pPr>
    <w:rPr>
      <w:rFonts w:ascii="Tahoma" w:hAnsi="Tahoma"/>
    </w:rPr>
  </w:style>
  <w:style w:type="paragraph" w:styleId="BodyText3">
    <w:name w:val="Body Text 3"/>
    <w:basedOn w:val="Normal"/>
    <w:rsid w:val="00FC339D"/>
    <w:pPr>
      <w:tabs>
        <w:tab w:val="left" w:pos="1481"/>
        <w:tab w:val="right" w:pos="2700"/>
        <w:tab w:val="right" w:pos="3600"/>
        <w:tab w:val="right" w:pos="4320"/>
        <w:tab w:val="right" w:pos="5040"/>
        <w:tab w:val="right" w:pos="5940"/>
        <w:tab w:val="right" w:pos="6840"/>
        <w:tab w:val="right" w:pos="7740"/>
        <w:tab w:val="right" w:pos="8640"/>
      </w:tabs>
      <w:jc w:val="right"/>
    </w:pPr>
    <w:rPr>
      <w:sz w:val="24"/>
    </w:rPr>
  </w:style>
  <w:style w:type="paragraph" w:customStyle="1" w:styleId="bodytext0">
    <w:name w:val="body_text"/>
    <w:basedOn w:val="Normal"/>
    <w:rsid w:val="00FC339D"/>
    <w:pPr>
      <w:spacing w:after="120"/>
    </w:pPr>
    <w:rPr>
      <w:sz w:val="22"/>
    </w:rPr>
  </w:style>
  <w:style w:type="paragraph" w:styleId="BlockText">
    <w:name w:val="Block Text"/>
    <w:basedOn w:val="Normal"/>
    <w:rsid w:val="00FC339D"/>
    <w:pPr>
      <w:tabs>
        <w:tab w:val="right" w:pos="4320"/>
        <w:tab w:val="right" w:pos="7020"/>
        <w:tab w:val="right" w:pos="8460"/>
      </w:tabs>
      <w:ind w:left="720" w:right="540" w:hanging="630"/>
    </w:pPr>
    <w:rPr>
      <w:sz w:val="24"/>
    </w:rPr>
  </w:style>
  <w:style w:type="paragraph" w:customStyle="1" w:styleId="Style0">
    <w:name w:val="Style0"/>
    <w:rsid w:val="00FC339D"/>
    <w:pPr>
      <w:autoSpaceDE w:val="0"/>
      <w:autoSpaceDN w:val="0"/>
      <w:adjustRightInd w:val="0"/>
    </w:pPr>
    <w:rPr>
      <w:rFonts w:ascii="MS Sans Serif" w:hAnsi="MS Sans Serif"/>
      <w:szCs w:val="24"/>
    </w:rPr>
  </w:style>
  <w:style w:type="paragraph" w:customStyle="1" w:styleId="xl25">
    <w:name w:val="xl25"/>
    <w:basedOn w:val="Normal"/>
    <w:rsid w:val="00FC339D"/>
    <w:pPr>
      <w:spacing w:before="100" w:beforeAutospacing="1" w:after="100" w:afterAutospacing="1"/>
      <w:jc w:val="center"/>
    </w:pPr>
    <w:rPr>
      <w:rFonts w:eastAsia="Arial Unicode MS"/>
      <w:b/>
      <w:bCs/>
      <w:sz w:val="22"/>
      <w:szCs w:val="22"/>
    </w:rPr>
  </w:style>
  <w:style w:type="paragraph" w:customStyle="1" w:styleId="xl26">
    <w:name w:val="xl26"/>
    <w:basedOn w:val="Normal"/>
    <w:rsid w:val="00FC339D"/>
    <w:pPr>
      <w:pBdr>
        <w:bottom w:val="single" w:sz="8" w:space="0" w:color="auto"/>
      </w:pBdr>
      <w:spacing w:before="100" w:beforeAutospacing="1" w:after="100" w:afterAutospacing="1"/>
      <w:jc w:val="center"/>
    </w:pPr>
    <w:rPr>
      <w:rFonts w:eastAsia="Arial Unicode MS"/>
      <w:b/>
      <w:bCs/>
      <w:sz w:val="22"/>
      <w:szCs w:val="22"/>
    </w:rPr>
  </w:style>
  <w:style w:type="paragraph" w:customStyle="1" w:styleId="xl27">
    <w:name w:val="xl27"/>
    <w:basedOn w:val="Normal"/>
    <w:rsid w:val="00FC339D"/>
    <w:pPr>
      <w:spacing w:before="100" w:beforeAutospacing="1" w:after="100" w:afterAutospacing="1"/>
    </w:pPr>
    <w:rPr>
      <w:rFonts w:eastAsia="Arial Unicode MS"/>
      <w:b/>
      <w:bCs/>
      <w:sz w:val="24"/>
      <w:szCs w:val="24"/>
    </w:rPr>
  </w:style>
  <w:style w:type="paragraph" w:customStyle="1" w:styleId="xl28">
    <w:name w:val="xl28"/>
    <w:basedOn w:val="Normal"/>
    <w:rsid w:val="00FC339D"/>
    <w:pPr>
      <w:spacing w:before="100" w:beforeAutospacing="1" w:after="100" w:afterAutospacing="1"/>
      <w:jc w:val="center"/>
    </w:pPr>
    <w:rPr>
      <w:rFonts w:eastAsia="Arial Unicode MS"/>
      <w:b/>
      <w:bCs/>
      <w:sz w:val="24"/>
      <w:szCs w:val="24"/>
    </w:rPr>
  </w:style>
  <w:style w:type="paragraph" w:customStyle="1" w:styleId="xl29">
    <w:name w:val="xl29"/>
    <w:basedOn w:val="Normal"/>
    <w:rsid w:val="00FC339D"/>
    <w:pPr>
      <w:spacing w:before="100" w:beforeAutospacing="1" w:after="100" w:afterAutospacing="1"/>
    </w:pPr>
    <w:rPr>
      <w:rFonts w:eastAsia="Arial Unicode MS"/>
      <w:sz w:val="24"/>
      <w:szCs w:val="24"/>
    </w:rPr>
  </w:style>
  <w:style w:type="paragraph" w:customStyle="1" w:styleId="xl30">
    <w:name w:val="xl30"/>
    <w:basedOn w:val="Normal"/>
    <w:rsid w:val="00FC339D"/>
    <w:pPr>
      <w:spacing w:before="100" w:beforeAutospacing="1" w:after="100" w:afterAutospacing="1"/>
    </w:pPr>
    <w:rPr>
      <w:rFonts w:eastAsia="Arial Unicode MS"/>
      <w:sz w:val="24"/>
      <w:szCs w:val="24"/>
    </w:rPr>
  </w:style>
  <w:style w:type="paragraph" w:customStyle="1" w:styleId="xl31">
    <w:name w:val="xl31"/>
    <w:basedOn w:val="Normal"/>
    <w:rsid w:val="00FC339D"/>
    <w:pPr>
      <w:spacing w:before="100" w:beforeAutospacing="1" w:after="100" w:afterAutospacing="1"/>
    </w:pPr>
    <w:rPr>
      <w:rFonts w:eastAsia="Arial Unicode MS"/>
      <w:b/>
      <w:bCs/>
      <w:sz w:val="24"/>
      <w:szCs w:val="24"/>
    </w:rPr>
  </w:style>
  <w:style w:type="paragraph" w:customStyle="1" w:styleId="xl32">
    <w:name w:val="xl32"/>
    <w:basedOn w:val="Normal"/>
    <w:rsid w:val="00FC339D"/>
    <w:pPr>
      <w:spacing w:before="100" w:beforeAutospacing="1" w:after="100" w:afterAutospacing="1"/>
    </w:pPr>
    <w:rPr>
      <w:rFonts w:eastAsia="Arial Unicode MS"/>
      <w:b/>
      <w:bCs/>
      <w:sz w:val="24"/>
      <w:szCs w:val="24"/>
    </w:rPr>
  </w:style>
  <w:style w:type="paragraph" w:customStyle="1" w:styleId="xl33">
    <w:name w:val="xl33"/>
    <w:basedOn w:val="Normal"/>
    <w:rsid w:val="00FC339D"/>
    <w:pPr>
      <w:pBdr>
        <w:top w:val="single" w:sz="4" w:space="0" w:color="auto"/>
        <w:bottom w:val="single" w:sz="4" w:space="0" w:color="auto"/>
      </w:pBdr>
      <w:spacing w:before="100" w:beforeAutospacing="1" w:after="100" w:afterAutospacing="1"/>
    </w:pPr>
    <w:rPr>
      <w:rFonts w:eastAsia="Arial Unicode MS"/>
      <w:b/>
      <w:bCs/>
      <w:sz w:val="24"/>
      <w:szCs w:val="24"/>
    </w:rPr>
  </w:style>
  <w:style w:type="paragraph" w:customStyle="1" w:styleId="xl34">
    <w:name w:val="xl34"/>
    <w:basedOn w:val="Normal"/>
    <w:rsid w:val="00FC339D"/>
    <w:pPr>
      <w:pBdr>
        <w:top w:val="single" w:sz="4" w:space="0" w:color="auto"/>
        <w:bottom w:val="single" w:sz="4" w:space="0" w:color="auto"/>
      </w:pBdr>
      <w:spacing w:before="100" w:beforeAutospacing="1" w:after="100" w:afterAutospacing="1"/>
    </w:pPr>
    <w:rPr>
      <w:rFonts w:eastAsia="Arial Unicode MS"/>
      <w:b/>
      <w:bCs/>
      <w:sz w:val="24"/>
      <w:szCs w:val="24"/>
    </w:rPr>
  </w:style>
  <w:style w:type="paragraph" w:customStyle="1" w:styleId="xl35">
    <w:name w:val="xl35"/>
    <w:basedOn w:val="Normal"/>
    <w:rsid w:val="00FC339D"/>
    <w:pPr>
      <w:spacing w:before="100" w:beforeAutospacing="1" w:after="100" w:afterAutospacing="1"/>
    </w:pPr>
    <w:rPr>
      <w:rFonts w:eastAsia="Arial Unicode MS"/>
      <w:b/>
      <w:bCs/>
      <w:sz w:val="24"/>
      <w:szCs w:val="24"/>
    </w:rPr>
  </w:style>
  <w:style w:type="paragraph" w:customStyle="1" w:styleId="xl36">
    <w:name w:val="xl36"/>
    <w:basedOn w:val="Normal"/>
    <w:rsid w:val="00FC339D"/>
    <w:pPr>
      <w:pBdr>
        <w:top w:val="single" w:sz="4" w:space="0" w:color="auto"/>
      </w:pBdr>
      <w:spacing w:before="100" w:beforeAutospacing="1" w:after="100" w:afterAutospacing="1"/>
    </w:pPr>
    <w:rPr>
      <w:rFonts w:eastAsia="Arial Unicode MS"/>
      <w:b/>
      <w:bCs/>
      <w:sz w:val="24"/>
      <w:szCs w:val="24"/>
    </w:rPr>
  </w:style>
  <w:style w:type="paragraph" w:customStyle="1" w:styleId="xl37">
    <w:name w:val="xl37"/>
    <w:basedOn w:val="Normal"/>
    <w:rsid w:val="00FC339D"/>
    <w:pPr>
      <w:pBdr>
        <w:top w:val="single" w:sz="4" w:space="0" w:color="auto"/>
      </w:pBdr>
      <w:spacing w:before="100" w:beforeAutospacing="1" w:after="100" w:afterAutospacing="1"/>
    </w:pPr>
    <w:rPr>
      <w:rFonts w:eastAsia="Arial Unicode MS"/>
      <w:b/>
      <w:bCs/>
      <w:sz w:val="24"/>
      <w:szCs w:val="24"/>
    </w:rPr>
  </w:style>
  <w:style w:type="paragraph" w:customStyle="1" w:styleId="xl38">
    <w:name w:val="xl38"/>
    <w:basedOn w:val="Normal"/>
    <w:rsid w:val="00FC339D"/>
    <w:pPr>
      <w:pBdr>
        <w:top w:val="single" w:sz="4" w:space="0" w:color="auto"/>
        <w:bottom w:val="double" w:sz="6" w:space="0" w:color="auto"/>
      </w:pBdr>
      <w:spacing w:before="100" w:beforeAutospacing="1" w:after="100" w:afterAutospacing="1"/>
    </w:pPr>
    <w:rPr>
      <w:rFonts w:eastAsia="Arial Unicode MS"/>
      <w:b/>
      <w:bCs/>
      <w:sz w:val="24"/>
      <w:szCs w:val="24"/>
    </w:rPr>
  </w:style>
  <w:style w:type="paragraph" w:customStyle="1" w:styleId="1AutoList1">
    <w:name w:val="1AutoList1"/>
    <w:rsid w:val="00FC339D"/>
    <w:pPr>
      <w:widowControl w:val="0"/>
      <w:tabs>
        <w:tab w:val="left" w:pos="720"/>
      </w:tabs>
      <w:autoSpaceDE w:val="0"/>
      <w:autoSpaceDN w:val="0"/>
      <w:adjustRightInd w:val="0"/>
      <w:ind w:left="720" w:hanging="720"/>
      <w:jc w:val="both"/>
    </w:pPr>
    <w:rPr>
      <w:sz w:val="24"/>
      <w:szCs w:val="24"/>
    </w:rPr>
  </w:style>
  <w:style w:type="paragraph" w:customStyle="1" w:styleId="Body">
    <w:name w:val="Body"/>
    <w:aliases w:val="by,BD"/>
    <w:rsid w:val="00FC339D"/>
    <w:pPr>
      <w:keepLines/>
      <w:spacing w:after="130" w:line="260" w:lineRule="exact"/>
      <w:jc w:val="both"/>
    </w:pPr>
    <w:rPr>
      <w:rFonts w:ascii="Times" w:hAnsi="Times"/>
      <w:sz w:val="22"/>
      <w:lang w:val="en-GB"/>
    </w:rPr>
  </w:style>
  <w:style w:type="paragraph" w:customStyle="1" w:styleId="000normal">
    <w:name w:val="000normal"/>
    <w:basedOn w:val="Normal"/>
    <w:rsid w:val="00FC339D"/>
    <w:pPr>
      <w:spacing w:before="180" w:after="100" w:afterAutospacing="1"/>
      <w:jc w:val="both"/>
    </w:pPr>
    <w:rPr>
      <w:rFonts w:ascii="Arial" w:eastAsia="Arial Unicode MS" w:hAnsi="Arial" w:cs="Arial"/>
    </w:rPr>
  </w:style>
  <w:style w:type="paragraph" w:customStyle="1" w:styleId="xl24">
    <w:name w:val="xl24"/>
    <w:basedOn w:val="Normal"/>
    <w:rsid w:val="00FC339D"/>
    <w:pPr>
      <w:pBdr>
        <w:bottom w:val="single" w:sz="8" w:space="0" w:color="auto"/>
      </w:pBdr>
      <w:spacing w:before="100" w:beforeAutospacing="1" w:after="100" w:afterAutospacing="1"/>
      <w:jc w:val="center"/>
      <w:textAlignment w:val="center"/>
    </w:pPr>
    <w:rPr>
      <w:rFonts w:eastAsia="Arial Unicode MS"/>
      <w:b/>
      <w:bCs/>
      <w:sz w:val="24"/>
      <w:szCs w:val="24"/>
    </w:rPr>
  </w:style>
  <w:style w:type="character" w:styleId="Hyperlink">
    <w:name w:val="Hyperlink"/>
    <w:basedOn w:val="DefaultParagraphFont"/>
    <w:rsid w:val="00FC339D"/>
    <w:rPr>
      <w:strike w:val="0"/>
      <w:dstrike w:val="0"/>
      <w:color w:val="000066"/>
      <w:u w:val="none"/>
      <w:effect w:val="none"/>
    </w:rPr>
  </w:style>
  <w:style w:type="character" w:styleId="FollowedHyperlink">
    <w:name w:val="FollowedHyperlink"/>
    <w:basedOn w:val="DefaultParagraphFont"/>
    <w:rsid w:val="00FC339D"/>
    <w:rPr>
      <w:color w:val="800080"/>
      <w:u w:val="single"/>
    </w:rPr>
  </w:style>
  <w:style w:type="paragraph" w:styleId="BalloonText">
    <w:name w:val="Balloon Text"/>
    <w:basedOn w:val="Normal"/>
    <w:link w:val="BalloonTextChar"/>
    <w:semiHidden/>
    <w:rsid w:val="00337E3D"/>
    <w:rPr>
      <w:rFonts w:ascii="Tahoma" w:hAnsi="Tahoma" w:cs="Tahoma"/>
      <w:sz w:val="16"/>
      <w:szCs w:val="16"/>
    </w:rPr>
  </w:style>
  <w:style w:type="table" w:styleId="TableGrid">
    <w:name w:val="Table Grid"/>
    <w:basedOn w:val="TableNormal"/>
    <w:rsid w:val="001C1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0">
    <w:name w:val="body"/>
    <w:basedOn w:val="Normal"/>
    <w:link w:val="bodyChar"/>
    <w:rsid w:val="003C505B"/>
    <w:pPr>
      <w:spacing w:after="120" w:line="260" w:lineRule="exact"/>
      <w:jc w:val="both"/>
    </w:pPr>
    <w:rPr>
      <w:sz w:val="22"/>
      <w:szCs w:val="24"/>
    </w:rPr>
  </w:style>
  <w:style w:type="paragraph" w:customStyle="1" w:styleId="BodybyBD">
    <w:name w:val="Body.by.BD"/>
    <w:rsid w:val="00234536"/>
    <w:pPr>
      <w:keepLines/>
      <w:spacing w:after="130" w:line="260" w:lineRule="exact"/>
      <w:jc w:val="both"/>
    </w:pPr>
    <w:rPr>
      <w:rFonts w:ascii="Times" w:hAnsi="Times"/>
      <w:sz w:val="22"/>
      <w:lang w:val="en-GB"/>
    </w:rPr>
  </w:style>
  <w:style w:type="paragraph" w:customStyle="1" w:styleId="DefaultParagraphFontParaCharChar">
    <w:name w:val="Default Paragraph Font Para Char Char"/>
    <w:aliases w:val="Default Paragraph Font Para Char Para Char Char"/>
    <w:basedOn w:val="Normal"/>
    <w:rsid w:val="00C52836"/>
  </w:style>
  <w:style w:type="paragraph" w:customStyle="1" w:styleId="bodycopyindent">
    <w:name w:val="body copy indent"/>
    <w:basedOn w:val="Normal"/>
    <w:rsid w:val="009C1BB7"/>
    <w:pPr>
      <w:spacing w:before="20" w:line="210" w:lineRule="exact"/>
      <w:ind w:left="510"/>
    </w:pPr>
    <w:rPr>
      <w:rFonts w:ascii="Arial" w:hAnsi="Arial" w:cs="Arial"/>
      <w:color w:val="000000"/>
      <w:sz w:val="17"/>
      <w:szCs w:val="17"/>
      <w:lang w:val="tr-TR"/>
    </w:rPr>
  </w:style>
  <w:style w:type="paragraph" w:customStyle="1" w:styleId="Bodycopyheader1">
    <w:name w:val="Body copy header 1"/>
    <w:basedOn w:val="Normal"/>
    <w:rsid w:val="00D5540E"/>
    <w:pPr>
      <w:spacing w:before="20" w:line="210" w:lineRule="exact"/>
    </w:pPr>
    <w:rPr>
      <w:rFonts w:ascii="Arial" w:hAnsi="Arial" w:cs="Arial"/>
      <w:b/>
      <w:color w:val="000000"/>
      <w:sz w:val="17"/>
      <w:szCs w:val="17"/>
    </w:rPr>
  </w:style>
  <w:style w:type="paragraph" w:customStyle="1" w:styleId="Dividerline">
    <w:name w:val="Divider line"/>
    <w:basedOn w:val="Normal"/>
    <w:rsid w:val="00D5540E"/>
    <w:rPr>
      <w:rFonts w:ascii="Arial" w:hAnsi="Arial" w:cs="Tahoma"/>
      <w:sz w:val="15"/>
      <w:szCs w:val="15"/>
      <w:lang w:val="en-AU"/>
    </w:rPr>
  </w:style>
  <w:style w:type="paragraph" w:customStyle="1" w:styleId="Bodycopybullet">
    <w:name w:val="Body copy bullet"/>
    <w:basedOn w:val="Normal"/>
    <w:rsid w:val="00D5540E"/>
    <w:pPr>
      <w:numPr>
        <w:numId w:val="4"/>
      </w:numPr>
      <w:spacing w:before="20" w:line="210" w:lineRule="exact"/>
    </w:pPr>
    <w:rPr>
      <w:rFonts w:ascii="Arial" w:hAnsi="Arial" w:cs="Arial"/>
      <w:color w:val="000000"/>
      <w:sz w:val="17"/>
      <w:szCs w:val="17"/>
      <w:lang w:val="en-AU"/>
    </w:rPr>
  </w:style>
  <w:style w:type="paragraph" w:customStyle="1" w:styleId="Bodycopy">
    <w:name w:val="Body copy"/>
    <w:rsid w:val="00D5540E"/>
    <w:pPr>
      <w:spacing w:before="20" w:line="210" w:lineRule="exact"/>
    </w:pPr>
    <w:rPr>
      <w:rFonts w:ascii="Arial" w:hAnsi="Arial" w:cs="Arial"/>
      <w:color w:val="000000"/>
      <w:sz w:val="17"/>
      <w:szCs w:val="17"/>
    </w:rPr>
  </w:style>
  <w:style w:type="paragraph" w:styleId="FootnoteText">
    <w:name w:val="footnote text"/>
    <w:basedOn w:val="Normal"/>
    <w:semiHidden/>
    <w:rsid w:val="00A50239"/>
    <w:pPr>
      <w:widowControl w:val="0"/>
    </w:pPr>
    <w:rPr>
      <w:rFonts w:ascii="Courier New" w:hAnsi="Courier New"/>
      <w:sz w:val="24"/>
      <w:lang w:val="tr-TR"/>
    </w:rPr>
  </w:style>
  <w:style w:type="paragraph" w:customStyle="1" w:styleId="CharChar1">
    <w:name w:val="Char Char1"/>
    <w:basedOn w:val="Normal"/>
    <w:rsid w:val="00E1504E"/>
  </w:style>
  <w:style w:type="character" w:customStyle="1" w:styleId="Normal11ptChar">
    <w:name w:val="Normal + 11 pt Char"/>
    <w:aliases w:val="Black Char"/>
    <w:basedOn w:val="DefaultParagraphFont"/>
    <w:rsid w:val="00782501"/>
    <w:rPr>
      <w:sz w:val="24"/>
      <w:szCs w:val="24"/>
      <w:lang w:val="tr-TR" w:eastAsia="en-US" w:bidi="ar-SA"/>
    </w:rPr>
  </w:style>
  <w:style w:type="character" w:styleId="CommentReference">
    <w:name w:val="annotation reference"/>
    <w:basedOn w:val="DefaultParagraphFont"/>
    <w:semiHidden/>
    <w:rsid w:val="00CB751B"/>
    <w:rPr>
      <w:sz w:val="16"/>
      <w:szCs w:val="16"/>
    </w:rPr>
  </w:style>
  <w:style w:type="paragraph" w:styleId="CommentText">
    <w:name w:val="annotation text"/>
    <w:basedOn w:val="Normal"/>
    <w:semiHidden/>
    <w:rsid w:val="00CB751B"/>
  </w:style>
  <w:style w:type="paragraph" w:customStyle="1" w:styleId="Teknik4">
    <w:name w:val="Teknik 4"/>
    <w:uiPriority w:val="99"/>
    <w:rsid w:val="00CB751B"/>
    <w:pPr>
      <w:widowControl w:val="0"/>
      <w:tabs>
        <w:tab w:val="left" w:pos="-720"/>
      </w:tabs>
      <w:suppressAutoHyphens/>
    </w:pPr>
    <w:rPr>
      <w:rFonts w:ascii="Courier New" w:hAnsi="Courier New"/>
      <w:b/>
      <w:sz w:val="24"/>
      <w:lang w:val="en-AU"/>
    </w:rPr>
  </w:style>
  <w:style w:type="paragraph" w:customStyle="1" w:styleId="1tipi">
    <w:name w:val="(1) tipi"/>
    <w:basedOn w:val="Normal"/>
    <w:rsid w:val="004A26DE"/>
    <w:pPr>
      <w:tabs>
        <w:tab w:val="left" w:pos="1134"/>
      </w:tabs>
      <w:autoSpaceDE w:val="0"/>
      <w:autoSpaceDN w:val="0"/>
      <w:jc w:val="both"/>
    </w:pPr>
    <w:rPr>
      <w:rFonts w:ascii="Arial" w:hAnsi="Arial" w:cs="Arial"/>
      <w:sz w:val="24"/>
      <w:szCs w:val="24"/>
      <w:lang w:val="en-GB"/>
    </w:rPr>
  </w:style>
  <w:style w:type="paragraph" w:styleId="CommentSubject">
    <w:name w:val="annotation subject"/>
    <w:basedOn w:val="CommentText"/>
    <w:next w:val="CommentText"/>
    <w:semiHidden/>
    <w:rsid w:val="00900679"/>
    <w:rPr>
      <w:b/>
      <w:bCs/>
    </w:rPr>
  </w:style>
  <w:style w:type="character" w:customStyle="1" w:styleId="BalloonTextChar">
    <w:name w:val="Balloon Text Char"/>
    <w:basedOn w:val="DefaultParagraphFont"/>
    <w:link w:val="BalloonText"/>
    <w:semiHidden/>
    <w:locked/>
    <w:rsid w:val="002409BF"/>
    <w:rPr>
      <w:rFonts w:ascii="Tahoma" w:hAnsi="Tahoma" w:cs="Tahoma"/>
      <w:sz w:val="16"/>
      <w:szCs w:val="16"/>
      <w:lang w:val="en-US" w:eastAsia="en-US" w:bidi="ar-SA"/>
    </w:rPr>
  </w:style>
  <w:style w:type="paragraph" w:customStyle="1" w:styleId="001normalbold">
    <w:name w:val="001normalbold"/>
    <w:basedOn w:val="Normal"/>
    <w:rsid w:val="00245BD3"/>
    <w:pPr>
      <w:spacing w:before="40" w:after="80"/>
      <w:jc w:val="both"/>
    </w:pPr>
    <w:rPr>
      <w:rFonts w:ascii="Arial" w:eastAsia="Arial Unicode MS" w:hAnsi="Arial" w:cs="Arial"/>
      <w:b/>
      <w:bCs/>
    </w:rPr>
  </w:style>
  <w:style w:type="paragraph" w:styleId="EndnoteText">
    <w:name w:val="endnote text"/>
    <w:basedOn w:val="Normal"/>
    <w:semiHidden/>
    <w:rsid w:val="00245BD3"/>
    <w:pPr>
      <w:widowControl w:val="0"/>
    </w:pPr>
    <w:rPr>
      <w:rFonts w:ascii="Courier New" w:hAnsi="Courier New"/>
      <w:sz w:val="24"/>
      <w:lang w:val="en-GB"/>
    </w:rPr>
  </w:style>
  <w:style w:type="paragraph" w:customStyle="1" w:styleId="Normaltext">
    <w:name w:val="Normal text"/>
    <w:basedOn w:val="Normal"/>
    <w:rsid w:val="00245BD3"/>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240" w:line="240" w:lineRule="atLeast"/>
    </w:pPr>
    <w:rPr>
      <w:rFonts w:ascii="Arial" w:hAnsi="Arial"/>
      <w:lang w:val="en-GB"/>
    </w:rPr>
  </w:style>
  <w:style w:type="paragraph" w:customStyle="1" w:styleId="DokGman1">
    <w:name w:val="DokÀGÀman 1"/>
    <w:rsid w:val="00245BD3"/>
    <w:pPr>
      <w:keepNext/>
      <w:keepLines/>
      <w:tabs>
        <w:tab w:val="left" w:pos="-720"/>
      </w:tabs>
      <w:suppressAutoHyphens/>
    </w:pPr>
    <w:rPr>
      <w:rFonts w:ascii="Courier New" w:hAnsi="Courier New"/>
      <w:sz w:val="24"/>
    </w:rPr>
  </w:style>
  <w:style w:type="paragraph" w:customStyle="1" w:styleId="atipi">
    <w:name w:val="(a) tipi"/>
    <w:basedOn w:val="Normal"/>
    <w:rsid w:val="00245BD3"/>
    <w:pPr>
      <w:ind w:left="1134" w:hanging="567"/>
      <w:jc w:val="both"/>
    </w:pPr>
    <w:rPr>
      <w:rFonts w:ascii="Arial" w:hAnsi="Arial"/>
      <w:sz w:val="24"/>
      <w:lang w:val="tr-TR" w:eastAsia="tr-TR"/>
    </w:rPr>
  </w:style>
  <w:style w:type="paragraph" w:styleId="HTMLPreformatted">
    <w:name w:val="HTML Preformatted"/>
    <w:basedOn w:val="Normal"/>
    <w:rsid w:val="0024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tr-TR" w:eastAsia="tr-TR" w:bidi="bn-IN"/>
    </w:rPr>
  </w:style>
  <w:style w:type="paragraph" w:styleId="PlainText">
    <w:name w:val="Plain Text"/>
    <w:basedOn w:val="Normal"/>
    <w:rsid w:val="00245BD3"/>
    <w:pPr>
      <w:overflowPunct w:val="0"/>
      <w:autoSpaceDE w:val="0"/>
      <w:autoSpaceDN w:val="0"/>
      <w:adjustRightInd w:val="0"/>
      <w:textAlignment w:val="baseline"/>
    </w:pPr>
    <w:rPr>
      <w:rFonts w:ascii="Courier New" w:hAnsi="Courier New"/>
      <w:lang w:val="tr-TR"/>
    </w:rPr>
  </w:style>
  <w:style w:type="paragraph" w:styleId="NormalWeb">
    <w:name w:val="Normal (Web)"/>
    <w:basedOn w:val="Normal"/>
    <w:rsid w:val="00245BD3"/>
    <w:pPr>
      <w:spacing w:before="100" w:beforeAutospacing="1" w:after="100" w:afterAutospacing="1"/>
    </w:pPr>
    <w:rPr>
      <w:sz w:val="24"/>
      <w:szCs w:val="24"/>
      <w:lang w:val="tr-TR" w:eastAsia="tr-TR"/>
    </w:rPr>
  </w:style>
  <w:style w:type="character" w:customStyle="1" w:styleId="FooterChar">
    <w:name w:val="Footer Char"/>
    <w:basedOn w:val="DefaultParagraphFont"/>
    <w:link w:val="Footer"/>
    <w:uiPriority w:val="99"/>
    <w:rsid w:val="00D4743C"/>
    <w:rPr>
      <w:lang w:val="en-US" w:eastAsia="en-US"/>
    </w:rPr>
  </w:style>
  <w:style w:type="character" w:customStyle="1" w:styleId="BodyTextChar">
    <w:name w:val="Body Text Char"/>
    <w:basedOn w:val="DefaultParagraphFont"/>
    <w:link w:val="BodyText"/>
    <w:rsid w:val="00823580"/>
    <w:rPr>
      <w:sz w:val="24"/>
      <w:lang w:eastAsia="en-US"/>
    </w:rPr>
  </w:style>
  <w:style w:type="character" w:customStyle="1" w:styleId="BodyTextIndentChar">
    <w:name w:val="Body Text Indent Char"/>
    <w:basedOn w:val="DefaultParagraphFont"/>
    <w:link w:val="BodyTextIndent"/>
    <w:rsid w:val="00C406C4"/>
    <w:rPr>
      <w:sz w:val="24"/>
    </w:rPr>
  </w:style>
  <w:style w:type="character" w:customStyle="1" w:styleId="HeaderChar">
    <w:name w:val="Header Char"/>
    <w:basedOn w:val="DefaultParagraphFont"/>
    <w:link w:val="Header"/>
    <w:locked/>
    <w:rsid w:val="00C406C4"/>
  </w:style>
  <w:style w:type="paragraph" w:customStyle="1" w:styleId="ABLOCKPARA10">
    <w:name w:val="A BLOCK PARA 10"/>
    <w:basedOn w:val="Normal"/>
    <w:rsid w:val="00257513"/>
    <w:rPr>
      <w:rFonts w:ascii="Book Antiqua" w:hAnsi="Book Antiqua"/>
    </w:rPr>
  </w:style>
  <w:style w:type="paragraph" w:styleId="ListParagraph">
    <w:name w:val="List Paragraph"/>
    <w:basedOn w:val="Normal"/>
    <w:uiPriority w:val="34"/>
    <w:qFormat/>
    <w:rsid w:val="009231F4"/>
    <w:pPr>
      <w:spacing w:after="200" w:line="276" w:lineRule="auto"/>
      <w:ind w:left="708"/>
    </w:pPr>
    <w:rPr>
      <w:rFonts w:ascii="Calibri" w:eastAsia="Calibri" w:hAnsi="Calibri"/>
      <w:sz w:val="22"/>
      <w:szCs w:val="22"/>
      <w:lang w:val="tr-TR"/>
    </w:rPr>
  </w:style>
  <w:style w:type="paragraph" w:customStyle="1" w:styleId="Default">
    <w:name w:val="Default"/>
    <w:rsid w:val="00B134F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E19D2"/>
  </w:style>
  <w:style w:type="character" w:customStyle="1" w:styleId="bodyChar">
    <w:name w:val="body Char"/>
    <w:basedOn w:val="DefaultParagraphFont"/>
    <w:link w:val="body0"/>
    <w:rsid w:val="003F5B30"/>
    <w:rPr>
      <w:sz w:val="22"/>
      <w:szCs w:val="24"/>
    </w:rPr>
  </w:style>
  <w:style w:type="character" w:customStyle="1" w:styleId="Heading9Char">
    <w:name w:val="Heading 9 Char"/>
    <w:basedOn w:val="DefaultParagraphFont"/>
    <w:link w:val="Heading9"/>
    <w:rsid w:val="00A70549"/>
    <w:rPr>
      <w:sz w:val="24"/>
      <w:u w:val="single"/>
    </w:rPr>
  </w:style>
  <w:style w:type="character" w:customStyle="1" w:styleId="BodyText2Char">
    <w:name w:val="Body Text 2 Char"/>
    <w:basedOn w:val="DefaultParagraphFont"/>
    <w:link w:val="BodyText2"/>
    <w:rsid w:val="004362C7"/>
    <w:rPr>
      <w:spacing w:val="-3"/>
      <w:sz w:val="24"/>
    </w:rPr>
  </w:style>
</w:styles>
</file>

<file path=word/webSettings.xml><?xml version="1.0" encoding="utf-8"?>
<w:webSettings xmlns:r="http://schemas.openxmlformats.org/officeDocument/2006/relationships" xmlns:w="http://schemas.openxmlformats.org/wordprocessingml/2006/main">
  <w:divs>
    <w:div w:id="16346452">
      <w:bodyDiv w:val="1"/>
      <w:marLeft w:val="0"/>
      <w:marRight w:val="0"/>
      <w:marTop w:val="0"/>
      <w:marBottom w:val="0"/>
      <w:divBdr>
        <w:top w:val="none" w:sz="0" w:space="0" w:color="auto"/>
        <w:left w:val="none" w:sz="0" w:space="0" w:color="auto"/>
        <w:bottom w:val="none" w:sz="0" w:space="0" w:color="auto"/>
        <w:right w:val="none" w:sz="0" w:space="0" w:color="auto"/>
      </w:divBdr>
    </w:div>
    <w:div w:id="22831902">
      <w:bodyDiv w:val="1"/>
      <w:marLeft w:val="0"/>
      <w:marRight w:val="0"/>
      <w:marTop w:val="0"/>
      <w:marBottom w:val="0"/>
      <w:divBdr>
        <w:top w:val="none" w:sz="0" w:space="0" w:color="auto"/>
        <w:left w:val="none" w:sz="0" w:space="0" w:color="auto"/>
        <w:bottom w:val="none" w:sz="0" w:space="0" w:color="auto"/>
        <w:right w:val="none" w:sz="0" w:space="0" w:color="auto"/>
      </w:divBdr>
    </w:div>
    <w:div w:id="31855899">
      <w:bodyDiv w:val="1"/>
      <w:marLeft w:val="0"/>
      <w:marRight w:val="0"/>
      <w:marTop w:val="0"/>
      <w:marBottom w:val="0"/>
      <w:divBdr>
        <w:top w:val="none" w:sz="0" w:space="0" w:color="auto"/>
        <w:left w:val="none" w:sz="0" w:space="0" w:color="auto"/>
        <w:bottom w:val="none" w:sz="0" w:space="0" w:color="auto"/>
        <w:right w:val="none" w:sz="0" w:space="0" w:color="auto"/>
      </w:divBdr>
    </w:div>
    <w:div w:id="49230093">
      <w:bodyDiv w:val="1"/>
      <w:marLeft w:val="0"/>
      <w:marRight w:val="0"/>
      <w:marTop w:val="0"/>
      <w:marBottom w:val="0"/>
      <w:divBdr>
        <w:top w:val="none" w:sz="0" w:space="0" w:color="auto"/>
        <w:left w:val="none" w:sz="0" w:space="0" w:color="auto"/>
        <w:bottom w:val="none" w:sz="0" w:space="0" w:color="auto"/>
        <w:right w:val="none" w:sz="0" w:space="0" w:color="auto"/>
      </w:divBdr>
    </w:div>
    <w:div w:id="57217826">
      <w:bodyDiv w:val="1"/>
      <w:marLeft w:val="0"/>
      <w:marRight w:val="0"/>
      <w:marTop w:val="0"/>
      <w:marBottom w:val="0"/>
      <w:divBdr>
        <w:top w:val="none" w:sz="0" w:space="0" w:color="auto"/>
        <w:left w:val="none" w:sz="0" w:space="0" w:color="auto"/>
        <w:bottom w:val="none" w:sz="0" w:space="0" w:color="auto"/>
        <w:right w:val="none" w:sz="0" w:space="0" w:color="auto"/>
      </w:divBdr>
    </w:div>
    <w:div w:id="81462633">
      <w:bodyDiv w:val="1"/>
      <w:marLeft w:val="0"/>
      <w:marRight w:val="0"/>
      <w:marTop w:val="0"/>
      <w:marBottom w:val="0"/>
      <w:divBdr>
        <w:top w:val="none" w:sz="0" w:space="0" w:color="auto"/>
        <w:left w:val="none" w:sz="0" w:space="0" w:color="auto"/>
        <w:bottom w:val="none" w:sz="0" w:space="0" w:color="auto"/>
        <w:right w:val="none" w:sz="0" w:space="0" w:color="auto"/>
      </w:divBdr>
    </w:div>
    <w:div w:id="85032135">
      <w:bodyDiv w:val="1"/>
      <w:marLeft w:val="0"/>
      <w:marRight w:val="0"/>
      <w:marTop w:val="0"/>
      <w:marBottom w:val="0"/>
      <w:divBdr>
        <w:top w:val="none" w:sz="0" w:space="0" w:color="auto"/>
        <w:left w:val="none" w:sz="0" w:space="0" w:color="auto"/>
        <w:bottom w:val="none" w:sz="0" w:space="0" w:color="auto"/>
        <w:right w:val="none" w:sz="0" w:space="0" w:color="auto"/>
      </w:divBdr>
    </w:div>
    <w:div w:id="87046332">
      <w:bodyDiv w:val="1"/>
      <w:marLeft w:val="0"/>
      <w:marRight w:val="0"/>
      <w:marTop w:val="0"/>
      <w:marBottom w:val="0"/>
      <w:divBdr>
        <w:top w:val="none" w:sz="0" w:space="0" w:color="auto"/>
        <w:left w:val="none" w:sz="0" w:space="0" w:color="auto"/>
        <w:bottom w:val="none" w:sz="0" w:space="0" w:color="auto"/>
        <w:right w:val="none" w:sz="0" w:space="0" w:color="auto"/>
      </w:divBdr>
    </w:div>
    <w:div w:id="90316177">
      <w:bodyDiv w:val="1"/>
      <w:marLeft w:val="0"/>
      <w:marRight w:val="0"/>
      <w:marTop w:val="0"/>
      <w:marBottom w:val="0"/>
      <w:divBdr>
        <w:top w:val="none" w:sz="0" w:space="0" w:color="auto"/>
        <w:left w:val="none" w:sz="0" w:space="0" w:color="auto"/>
        <w:bottom w:val="none" w:sz="0" w:space="0" w:color="auto"/>
        <w:right w:val="none" w:sz="0" w:space="0" w:color="auto"/>
      </w:divBdr>
    </w:div>
    <w:div w:id="95445302">
      <w:bodyDiv w:val="1"/>
      <w:marLeft w:val="0"/>
      <w:marRight w:val="0"/>
      <w:marTop w:val="0"/>
      <w:marBottom w:val="0"/>
      <w:divBdr>
        <w:top w:val="none" w:sz="0" w:space="0" w:color="auto"/>
        <w:left w:val="none" w:sz="0" w:space="0" w:color="auto"/>
        <w:bottom w:val="none" w:sz="0" w:space="0" w:color="auto"/>
        <w:right w:val="none" w:sz="0" w:space="0" w:color="auto"/>
      </w:divBdr>
    </w:div>
    <w:div w:id="96488713">
      <w:bodyDiv w:val="1"/>
      <w:marLeft w:val="0"/>
      <w:marRight w:val="0"/>
      <w:marTop w:val="0"/>
      <w:marBottom w:val="0"/>
      <w:divBdr>
        <w:top w:val="none" w:sz="0" w:space="0" w:color="auto"/>
        <w:left w:val="none" w:sz="0" w:space="0" w:color="auto"/>
        <w:bottom w:val="none" w:sz="0" w:space="0" w:color="auto"/>
        <w:right w:val="none" w:sz="0" w:space="0" w:color="auto"/>
      </w:divBdr>
    </w:div>
    <w:div w:id="100152796">
      <w:bodyDiv w:val="1"/>
      <w:marLeft w:val="0"/>
      <w:marRight w:val="0"/>
      <w:marTop w:val="0"/>
      <w:marBottom w:val="0"/>
      <w:divBdr>
        <w:top w:val="none" w:sz="0" w:space="0" w:color="auto"/>
        <w:left w:val="none" w:sz="0" w:space="0" w:color="auto"/>
        <w:bottom w:val="none" w:sz="0" w:space="0" w:color="auto"/>
        <w:right w:val="none" w:sz="0" w:space="0" w:color="auto"/>
      </w:divBdr>
    </w:div>
    <w:div w:id="101658156">
      <w:bodyDiv w:val="1"/>
      <w:marLeft w:val="0"/>
      <w:marRight w:val="0"/>
      <w:marTop w:val="0"/>
      <w:marBottom w:val="0"/>
      <w:divBdr>
        <w:top w:val="none" w:sz="0" w:space="0" w:color="auto"/>
        <w:left w:val="none" w:sz="0" w:space="0" w:color="auto"/>
        <w:bottom w:val="none" w:sz="0" w:space="0" w:color="auto"/>
        <w:right w:val="none" w:sz="0" w:space="0" w:color="auto"/>
      </w:divBdr>
    </w:div>
    <w:div w:id="104621592">
      <w:bodyDiv w:val="1"/>
      <w:marLeft w:val="0"/>
      <w:marRight w:val="0"/>
      <w:marTop w:val="0"/>
      <w:marBottom w:val="0"/>
      <w:divBdr>
        <w:top w:val="none" w:sz="0" w:space="0" w:color="auto"/>
        <w:left w:val="none" w:sz="0" w:space="0" w:color="auto"/>
        <w:bottom w:val="none" w:sz="0" w:space="0" w:color="auto"/>
        <w:right w:val="none" w:sz="0" w:space="0" w:color="auto"/>
      </w:divBdr>
    </w:div>
    <w:div w:id="117992507">
      <w:bodyDiv w:val="1"/>
      <w:marLeft w:val="0"/>
      <w:marRight w:val="0"/>
      <w:marTop w:val="0"/>
      <w:marBottom w:val="0"/>
      <w:divBdr>
        <w:top w:val="none" w:sz="0" w:space="0" w:color="auto"/>
        <w:left w:val="none" w:sz="0" w:space="0" w:color="auto"/>
        <w:bottom w:val="none" w:sz="0" w:space="0" w:color="auto"/>
        <w:right w:val="none" w:sz="0" w:space="0" w:color="auto"/>
      </w:divBdr>
    </w:div>
    <w:div w:id="124079697">
      <w:bodyDiv w:val="1"/>
      <w:marLeft w:val="0"/>
      <w:marRight w:val="0"/>
      <w:marTop w:val="0"/>
      <w:marBottom w:val="0"/>
      <w:divBdr>
        <w:top w:val="none" w:sz="0" w:space="0" w:color="auto"/>
        <w:left w:val="none" w:sz="0" w:space="0" w:color="auto"/>
        <w:bottom w:val="none" w:sz="0" w:space="0" w:color="auto"/>
        <w:right w:val="none" w:sz="0" w:space="0" w:color="auto"/>
      </w:divBdr>
    </w:div>
    <w:div w:id="125047058">
      <w:bodyDiv w:val="1"/>
      <w:marLeft w:val="0"/>
      <w:marRight w:val="0"/>
      <w:marTop w:val="0"/>
      <w:marBottom w:val="0"/>
      <w:divBdr>
        <w:top w:val="none" w:sz="0" w:space="0" w:color="auto"/>
        <w:left w:val="none" w:sz="0" w:space="0" w:color="auto"/>
        <w:bottom w:val="none" w:sz="0" w:space="0" w:color="auto"/>
        <w:right w:val="none" w:sz="0" w:space="0" w:color="auto"/>
      </w:divBdr>
    </w:div>
    <w:div w:id="133761578">
      <w:bodyDiv w:val="1"/>
      <w:marLeft w:val="0"/>
      <w:marRight w:val="0"/>
      <w:marTop w:val="0"/>
      <w:marBottom w:val="0"/>
      <w:divBdr>
        <w:top w:val="none" w:sz="0" w:space="0" w:color="auto"/>
        <w:left w:val="none" w:sz="0" w:space="0" w:color="auto"/>
        <w:bottom w:val="none" w:sz="0" w:space="0" w:color="auto"/>
        <w:right w:val="none" w:sz="0" w:space="0" w:color="auto"/>
      </w:divBdr>
    </w:div>
    <w:div w:id="148178603">
      <w:bodyDiv w:val="1"/>
      <w:marLeft w:val="0"/>
      <w:marRight w:val="0"/>
      <w:marTop w:val="0"/>
      <w:marBottom w:val="0"/>
      <w:divBdr>
        <w:top w:val="none" w:sz="0" w:space="0" w:color="auto"/>
        <w:left w:val="none" w:sz="0" w:space="0" w:color="auto"/>
        <w:bottom w:val="none" w:sz="0" w:space="0" w:color="auto"/>
        <w:right w:val="none" w:sz="0" w:space="0" w:color="auto"/>
      </w:divBdr>
    </w:div>
    <w:div w:id="170797403">
      <w:bodyDiv w:val="1"/>
      <w:marLeft w:val="0"/>
      <w:marRight w:val="0"/>
      <w:marTop w:val="0"/>
      <w:marBottom w:val="0"/>
      <w:divBdr>
        <w:top w:val="none" w:sz="0" w:space="0" w:color="auto"/>
        <w:left w:val="none" w:sz="0" w:space="0" w:color="auto"/>
        <w:bottom w:val="none" w:sz="0" w:space="0" w:color="auto"/>
        <w:right w:val="none" w:sz="0" w:space="0" w:color="auto"/>
      </w:divBdr>
    </w:div>
    <w:div w:id="192958154">
      <w:bodyDiv w:val="1"/>
      <w:marLeft w:val="0"/>
      <w:marRight w:val="0"/>
      <w:marTop w:val="0"/>
      <w:marBottom w:val="0"/>
      <w:divBdr>
        <w:top w:val="none" w:sz="0" w:space="0" w:color="auto"/>
        <w:left w:val="none" w:sz="0" w:space="0" w:color="auto"/>
        <w:bottom w:val="none" w:sz="0" w:space="0" w:color="auto"/>
        <w:right w:val="none" w:sz="0" w:space="0" w:color="auto"/>
      </w:divBdr>
    </w:div>
    <w:div w:id="203031892">
      <w:bodyDiv w:val="1"/>
      <w:marLeft w:val="0"/>
      <w:marRight w:val="0"/>
      <w:marTop w:val="0"/>
      <w:marBottom w:val="0"/>
      <w:divBdr>
        <w:top w:val="none" w:sz="0" w:space="0" w:color="auto"/>
        <w:left w:val="none" w:sz="0" w:space="0" w:color="auto"/>
        <w:bottom w:val="none" w:sz="0" w:space="0" w:color="auto"/>
        <w:right w:val="none" w:sz="0" w:space="0" w:color="auto"/>
      </w:divBdr>
    </w:div>
    <w:div w:id="212811536">
      <w:bodyDiv w:val="1"/>
      <w:marLeft w:val="0"/>
      <w:marRight w:val="0"/>
      <w:marTop w:val="0"/>
      <w:marBottom w:val="0"/>
      <w:divBdr>
        <w:top w:val="none" w:sz="0" w:space="0" w:color="auto"/>
        <w:left w:val="none" w:sz="0" w:space="0" w:color="auto"/>
        <w:bottom w:val="none" w:sz="0" w:space="0" w:color="auto"/>
        <w:right w:val="none" w:sz="0" w:space="0" w:color="auto"/>
      </w:divBdr>
    </w:div>
    <w:div w:id="213582181">
      <w:bodyDiv w:val="1"/>
      <w:marLeft w:val="0"/>
      <w:marRight w:val="0"/>
      <w:marTop w:val="0"/>
      <w:marBottom w:val="0"/>
      <w:divBdr>
        <w:top w:val="none" w:sz="0" w:space="0" w:color="auto"/>
        <w:left w:val="none" w:sz="0" w:space="0" w:color="auto"/>
        <w:bottom w:val="none" w:sz="0" w:space="0" w:color="auto"/>
        <w:right w:val="none" w:sz="0" w:space="0" w:color="auto"/>
      </w:divBdr>
    </w:div>
    <w:div w:id="219563925">
      <w:bodyDiv w:val="1"/>
      <w:marLeft w:val="0"/>
      <w:marRight w:val="0"/>
      <w:marTop w:val="0"/>
      <w:marBottom w:val="0"/>
      <w:divBdr>
        <w:top w:val="none" w:sz="0" w:space="0" w:color="auto"/>
        <w:left w:val="none" w:sz="0" w:space="0" w:color="auto"/>
        <w:bottom w:val="none" w:sz="0" w:space="0" w:color="auto"/>
        <w:right w:val="none" w:sz="0" w:space="0" w:color="auto"/>
      </w:divBdr>
    </w:div>
    <w:div w:id="233006187">
      <w:bodyDiv w:val="1"/>
      <w:marLeft w:val="0"/>
      <w:marRight w:val="0"/>
      <w:marTop w:val="0"/>
      <w:marBottom w:val="0"/>
      <w:divBdr>
        <w:top w:val="none" w:sz="0" w:space="0" w:color="auto"/>
        <w:left w:val="none" w:sz="0" w:space="0" w:color="auto"/>
        <w:bottom w:val="none" w:sz="0" w:space="0" w:color="auto"/>
        <w:right w:val="none" w:sz="0" w:space="0" w:color="auto"/>
      </w:divBdr>
    </w:div>
    <w:div w:id="234630340">
      <w:bodyDiv w:val="1"/>
      <w:marLeft w:val="0"/>
      <w:marRight w:val="0"/>
      <w:marTop w:val="0"/>
      <w:marBottom w:val="0"/>
      <w:divBdr>
        <w:top w:val="none" w:sz="0" w:space="0" w:color="auto"/>
        <w:left w:val="none" w:sz="0" w:space="0" w:color="auto"/>
        <w:bottom w:val="none" w:sz="0" w:space="0" w:color="auto"/>
        <w:right w:val="none" w:sz="0" w:space="0" w:color="auto"/>
      </w:divBdr>
    </w:div>
    <w:div w:id="239102539">
      <w:bodyDiv w:val="1"/>
      <w:marLeft w:val="0"/>
      <w:marRight w:val="0"/>
      <w:marTop w:val="0"/>
      <w:marBottom w:val="0"/>
      <w:divBdr>
        <w:top w:val="none" w:sz="0" w:space="0" w:color="auto"/>
        <w:left w:val="none" w:sz="0" w:space="0" w:color="auto"/>
        <w:bottom w:val="none" w:sz="0" w:space="0" w:color="auto"/>
        <w:right w:val="none" w:sz="0" w:space="0" w:color="auto"/>
      </w:divBdr>
    </w:div>
    <w:div w:id="249629320">
      <w:bodyDiv w:val="1"/>
      <w:marLeft w:val="0"/>
      <w:marRight w:val="0"/>
      <w:marTop w:val="0"/>
      <w:marBottom w:val="0"/>
      <w:divBdr>
        <w:top w:val="none" w:sz="0" w:space="0" w:color="auto"/>
        <w:left w:val="none" w:sz="0" w:space="0" w:color="auto"/>
        <w:bottom w:val="none" w:sz="0" w:space="0" w:color="auto"/>
        <w:right w:val="none" w:sz="0" w:space="0" w:color="auto"/>
      </w:divBdr>
    </w:div>
    <w:div w:id="250893095">
      <w:bodyDiv w:val="1"/>
      <w:marLeft w:val="0"/>
      <w:marRight w:val="0"/>
      <w:marTop w:val="0"/>
      <w:marBottom w:val="0"/>
      <w:divBdr>
        <w:top w:val="none" w:sz="0" w:space="0" w:color="auto"/>
        <w:left w:val="none" w:sz="0" w:space="0" w:color="auto"/>
        <w:bottom w:val="none" w:sz="0" w:space="0" w:color="auto"/>
        <w:right w:val="none" w:sz="0" w:space="0" w:color="auto"/>
      </w:divBdr>
    </w:div>
    <w:div w:id="254940356">
      <w:bodyDiv w:val="1"/>
      <w:marLeft w:val="0"/>
      <w:marRight w:val="0"/>
      <w:marTop w:val="0"/>
      <w:marBottom w:val="0"/>
      <w:divBdr>
        <w:top w:val="none" w:sz="0" w:space="0" w:color="auto"/>
        <w:left w:val="none" w:sz="0" w:space="0" w:color="auto"/>
        <w:bottom w:val="none" w:sz="0" w:space="0" w:color="auto"/>
        <w:right w:val="none" w:sz="0" w:space="0" w:color="auto"/>
      </w:divBdr>
    </w:div>
    <w:div w:id="264122132">
      <w:bodyDiv w:val="1"/>
      <w:marLeft w:val="0"/>
      <w:marRight w:val="0"/>
      <w:marTop w:val="0"/>
      <w:marBottom w:val="0"/>
      <w:divBdr>
        <w:top w:val="none" w:sz="0" w:space="0" w:color="auto"/>
        <w:left w:val="none" w:sz="0" w:space="0" w:color="auto"/>
        <w:bottom w:val="none" w:sz="0" w:space="0" w:color="auto"/>
        <w:right w:val="none" w:sz="0" w:space="0" w:color="auto"/>
      </w:divBdr>
    </w:div>
    <w:div w:id="264464762">
      <w:bodyDiv w:val="1"/>
      <w:marLeft w:val="0"/>
      <w:marRight w:val="0"/>
      <w:marTop w:val="0"/>
      <w:marBottom w:val="0"/>
      <w:divBdr>
        <w:top w:val="none" w:sz="0" w:space="0" w:color="auto"/>
        <w:left w:val="none" w:sz="0" w:space="0" w:color="auto"/>
        <w:bottom w:val="none" w:sz="0" w:space="0" w:color="auto"/>
        <w:right w:val="none" w:sz="0" w:space="0" w:color="auto"/>
      </w:divBdr>
    </w:div>
    <w:div w:id="278149362">
      <w:bodyDiv w:val="1"/>
      <w:marLeft w:val="0"/>
      <w:marRight w:val="0"/>
      <w:marTop w:val="0"/>
      <w:marBottom w:val="0"/>
      <w:divBdr>
        <w:top w:val="none" w:sz="0" w:space="0" w:color="auto"/>
        <w:left w:val="none" w:sz="0" w:space="0" w:color="auto"/>
        <w:bottom w:val="none" w:sz="0" w:space="0" w:color="auto"/>
        <w:right w:val="none" w:sz="0" w:space="0" w:color="auto"/>
      </w:divBdr>
    </w:div>
    <w:div w:id="294793404">
      <w:bodyDiv w:val="1"/>
      <w:marLeft w:val="0"/>
      <w:marRight w:val="0"/>
      <w:marTop w:val="0"/>
      <w:marBottom w:val="0"/>
      <w:divBdr>
        <w:top w:val="none" w:sz="0" w:space="0" w:color="auto"/>
        <w:left w:val="none" w:sz="0" w:space="0" w:color="auto"/>
        <w:bottom w:val="none" w:sz="0" w:space="0" w:color="auto"/>
        <w:right w:val="none" w:sz="0" w:space="0" w:color="auto"/>
      </w:divBdr>
    </w:div>
    <w:div w:id="298926092">
      <w:bodyDiv w:val="1"/>
      <w:marLeft w:val="0"/>
      <w:marRight w:val="0"/>
      <w:marTop w:val="0"/>
      <w:marBottom w:val="0"/>
      <w:divBdr>
        <w:top w:val="none" w:sz="0" w:space="0" w:color="auto"/>
        <w:left w:val="none" w:sz="0" w:space="0" w:color="auto"/>
        <w:bottom w:val="none" w:sz="0" w:space="0" w:color="auto"/>
        <w:right w:val="none" w:sz="0" w:space="0" w:color="auto"/>
      </w:divBdr>
    </w:div>
    <w:div w:id="307788215">
      <w:bodyDiv w:val="1"/>
      <w:marLeft w:val="0"/>
      <w:marRight w:val="0"/>
      <w:marTop w:val="0"/>
      <w:marBottom w:val="0"/>
      <w:divBdr>
        <w:top w:val="none" w:sz="0" w:space="0" w:color="auto"/>
        <w:left w:val="none" w:sz="0" w:space="0" w:color="auto"/>
        <w:bottom w:val="none" w:sz="0" w:space="0" w:color="auto"/>
        <w:right w:val="none" w:sz="0" w:space="0" w:color="auto"/>
      </w:divBdr>
    </w:div>
    <w:div w:id="316232582">
      <w:bodyDiv w:val="1"/>
      <w:marLeft w:val="0"/>
      <w:marRight w:val="0"/>
      <w:marTop w:val="0"/>
      <w:marBottom w:val="0"/>
      <w:divBdr>
        <w:top w:val="none" w:sz="0" w:space="0" w:color="auto"/>
        <w:left w:val="none" w:sz="0" w:space="0" w:color="auto"/>
        <w:bottom w:val="none" w:sz="0" w:space="0" w:color="auto"/>
        <w:right w:val="none" w:sz="0" w:space="0" w:color="auto"/>
      </w:divBdr>
    </w:div>
    <w:div w:id="316495291">
      <w:bodyDiv w:val="1"/>
      <w:marLeft w:val="0"/>
      <w:marRight w:val="0"/>
      <w:marTop w:val="0"/>
      <w:marBottom w:val="0"/>
      <w:divBdr>
        <w:top w:val="none" w:sz="0" w:space="0" w:color="auto"/>
        <w:left w:val="none" w:sz="0" w:space="0" w:color="auto"/>
        <w:bottom w:val="none" w:sz="0" w:space="0" w:color="auto"/>
        <w:right w:val="none" w:sz="0" w:space="0" w:color="auto"/>
      </w:divBdr>
    </w:div>
    <w:div w:id="323707780">
      <w:bodyDiv w:val="1"/>
      <w:marLeft w:val="0"/>
      <w:marRight w:val="0"/>
      <w:marTop w:val="0"/>
      <w:marBottom w:val="0"/>
      <w:divBdr>
        <w:top w:val="none" w:sz="0" w:space="0" w:color="auto"/>
        <w:left w:val="none" w:sz="0" w:space="0" w:color="auto"/>
        <w:bottom w:val="none" w:sz="0" w:space="0" w:color="auto"/>
        <w:right w:val="none" w:sz="0" w:space="0" w:color="auto"/>
      </w:divBdr>
    </w:div>
    <w:div w:id="337847265">
      <w:bodyDiv w:val="1"/>
      <w:marLeft w:val="0"/>
      <w:marRight w:val="0"/>
      <w:marTop w:val="0"/>
      <w:marBottom w:val="0"/>
      <w:divBdr>
        <w:top w:val="none" w:sz="0" w:space="0" w:color="auto"/>
        <w:left w:val="none" w:sz="0" w:space="0" w:color="auto"/>
        <w:bottom w:val="none" w:sz="0" w:space="0" w:color="auto"/>
        <w:right w:val="none" w:sz="0" w:space="0" w:color="auto"/>
      </w:divBdr>
    </w:div>
    <w:div w:id="350567261">
      <w:bodyDiv w:val="1"/>
      <w:marLeft w:val="0"/>
      <w:marRight w:val="0"/>
      <w:marTop w:val="0"/>
      <w:marBottom w:val="0"/>
      <w:divBdr>
        <w:top w:val="none" w:sz="0" w:space="0" w:color="auto"/>
        <w:left w:val="none" w:sz="0" w:space="0" w:color="auto"/>
        <w:bottom w:val="none" w:sz="0" w:space="0" w:color="auto"/>
        <w:right w:val="none" w:sz="0" w:space="0" w:color="auto"/>
      </w:divBdr>
    </w:div>
    <w:div w:id="380206719">
      <w:bodyDiv w:val="1"/>
      <w:marLeft w:val="0"/>
      <w:marRight w:val="0"/>
      <w:marTop w:val="0"/>
      <w:marBottom w:val="0"/>
      <w:divBdr>
        <w:top w:val="none" w:sz="0" w:space="0" w:color="auto"/>
        <w:left w:val="none" w:sz="0" w:space="0" w:color="auto"/>
        <w:bottom w:val="none" w:sz="0" w:space="0" w:color="auto"/>
        <w:right w:val="none" w:sz="0" w:space="0" w:color="auto"/>
      </w:divBdr>
    </w:div>
    <w:div w:id="384330486">
      <w:bodyDiv w:val="1"/>
      <w:marLeft w:val="0"/>
      <w:marRight w:val="0"/>
      <w:marTop w:val="0"/>
      <w:marBottom w:val="0"/>
      <w:divBdr>
        <w:top w:val="none" w:sz="0" w:space="0" w:color="auto"/>
        <w:left w:val="none" w:sz="0" w:space="0" w:color="auto"/>
        <w:bottom w:val="none" w:sz="0" w:space="0" w:color="auto"/>
        <w:right w:val="none" w:sz="0" w:space="0" w:color="auto"/>
      </w:divBdr>
    </w:div>
    <w:div w:id="389499240">
      <w:bodyDiv w:val="1"/>
      <w:marLeft w:val="0"/>
      <w:marRight w:val="0"/>
      <w:marTop w:val="0"/>
      <w:marBottom w:val="0"/>
      <w:divBdr>
        <w:top w:val="none" w:sz="0" w:space="0" w:color="auto"/>
        <w:left w:val="none" w:sz="0" w:space="0" w:color="auto"/>
        <w:bottom w:val="none" w:sz="0" w:space="0" w:color="auto"/>
        <w:right w:val="none" w:sz="0" w:space="0" w:color="auto"/>
      </w:divBdr>
    </w:div>
    <w:div w:id="390422704">
      <w:bodyDiv w:val="1"/>
      <w:marLeft w:val="0"/>
      <w:marRight w:val="0"/>
      <w:marTop w:val="0"/>
      <w:marBottom w:val="0"/>
      <w:divBdr>
        <w:top w:val="none" w:sz="0" w:space="0" w:color="auto"/>
        <w:left w:val="none" w:sz="0" w:space="0" w:color="auto"/>
        <w:bottom w:val="none" w:sz="0" w:space="0" w:color="auto"/>
        <w:right w:val="none" w:sz="0" w:space="0" w:color="auto"/>
      </w:divBdr>
    </w:div>
    <w:div w:id="396518864">
      <w:bodyDiv w:val="1"/>
      <w:marLeft w:val="0"/>
      <w:marRight w:val="0"/>
      <w:marTop w:val="0"/>
      <w:marBottom w:val="0"/>
      <w:divBdr>
        <w:top w:val="none" w:sz="0" w:space="0" w:color="auto"/>
        <w:left w:val="none" w:sz="0" w:space="0" w:color="auto"/>
        <w:bottom w:val="none" w:sz="0" w:space="0" w:color="auto"/>
        <w:right w:val="none" w:sz="0" w:space="0" w:color="auto"/>
      </w:divBdr>
    </w:div>
    <w:div w:id="412288194">
      <w:bodyDiv w:val="1"/>
      <w:marLeft w:val="0"/>
      <w:marRight w:val="0"/>
      <w:marTop w:val="0"/>
      <w:marBottom w:val="0"/>
      <w:divBdr>
        <w:top w:val="none" w:sz="0" w:space="0" w:color="auto"/>
        <w:left w:val="none" w:sz="0" w:space="0" w:color="auto"/>
        <w:bottom w:val="none" w:sz="0" w:space="0" w:color="auto"/>
        <w:right w:val="none" w:sz="0" w:space="0" w:color="auto"/>
      </w:divBdr>
    </w:div>
    <w:div w:id="433404041">
      <w:bodyDiv w:val="1"/>
      <w:marLeft w:val="0"/>
      <w:marRight w:val="0"/>
      <w:marTop w:val="0"/>
      <w:marBottom w:val="0"/>
      <w:divBdr>
        <w:top w:val="none" w:sz="0" w:space="0" w:color="auto"/>
        <w:left w:val="none" w:sz="0" w:space="0" w:color="auto"/>
        <w:bottom w:val="none" w:sz="0" w:space="0" w:color="auto"/>
        <w:right w:val="none" w:sz="0" w:space="0" w:color="auto"/>
      </w:divBdr>
    </w:div>
    <w:div w:id="433481400">
      <w:bodyDiv w:val="1"/>
      <w:marLeft w:val="0"/>
      <w:marRight w:val="0"/>
      <w:marTop w:val="0"/>
      <w:marBottom w:val="0"/>
      <w:divBdr>
        <w:top w:val="none" w:sz="0" w:space="0" w:color="auto"/>
        <w:left w:val="none" w:sz="0" w:space="0" w:color="auto"/>
        <w:bottom w:val="none" w:sz="0" w:space="0" w:color="auto"/>
        <w:right w:val="none" w:sz="0" w:space="0" w:color="auto"/>
      </w:divBdr>
    </w:div>
    <w:div w:id="434911683">
      <w:bodyDiv w:val="1"/>
      <w:marLeft w:val="0"/>
      <w:marRight w:val="0"/>
      <w:marTop w:val="0"/>
      <w:marBottom w:val="0"/>
      <w:divBdr>
        <w:top w:val="none" w:sz="0" w:space="0" w:color="auto"/>
        <w:left w:val="none" w:sz="0" w:space="0" w:color="auto"/>
        <w:bottom w:val="none" w:sz="0" w:space="0" w:color="auto"/>
        <w:right w:val="none" w:sz="0" w:space="0" w:color="auto"/>
      </w:divBdr>
    </w:div>
    <w:div w:id="438843488">
      <w:bodyDiv w:val="1"/>
      <w:marLeft w:val="0"/>
      <w:marRight w:val="0"/>
      <w:marTop w:val="0"/>
      <w:marBottom w:val="0"/>
      <w:divBdr>
        <w:top w:val="none" w:sz="0" w:space="0" w:color="auto"/>
        <w:left w:val="none" w:sz="0" w:space="0" w:color="auto"/>
        <w:bottom w:val="none" w:sz="0" w:space="0" w:color="auto"/>
        <w:right w:val="none" w:sz="0" w:space="0" w:color="auto"/>
      </w:divBdr>
    </w:div>
    <w:div w:id="438914993">
      <w:bodyDiv w:val="1"/>
      <w:marLeft w:val="0"/>
      <w:marRight w:val="0"/>
      <w:marTop w:val="0"/>
      <w:marBottom w:val="0"/>
      <w:divBdr>
        <w:top w:val="none" w:sz="0" w:space="0" w:color="auto"/>
        <w:left w:val="none" w:sz="0" w:space="0" w:color="auto"/>
        <w:bottom w:val="none" w:sz="0" w:space="0" w:color="auto"/>
        <w:right w:val="none" w:sz="0" w:space="0" w:color="auto"/>
      </w:divBdr>
    </w:div>
    <w:div w:id="442042823">
      <w:bodyDiv w:val="1"/>
      <w:marLeft w:val="0"/>
      <w:marRight w:val="0"/>
      <w:marTop w:val="0"/>
      <w:marBottom w:val="0"/>
      <w:divBdr>
        <w:top w:val="none" w:sz="0" w:space="0" w:color="auto"/>
        <w:left w:val="none" w:sz="0" w:space="0" w:color="auto"/>
        <w:bottom w:val="none" w:sz="0" w:space="0" w:color="auto"/>
        <w:right w:val="none" w:sz="0" w:space="0" w:color="auto"/>
      </w:divBdr>
    </w:div>
    <w:div w:id="449204241">
      <w:bodyDiv w:val="1"/>
      <w:marLeft w:val="0"/>
      <w:marRight w:val="0"/>
      <w:marTop w:val="0"/>
      <w:marBottom w:val="0"/>
      <w:divBdr>
        <w:top w:val="none" w:sz="0" w:space="0" w:color="auto"/>
        <w:left w:val="none" w:sz="0" w:space="0" w:color="auto"/>
        <w:bottom w:val="none" w:sz="0" w:space="0" w:color="auto"/>
        <w:right w:val="none" w:sz="0" w:space="0" w:color="auto"/>
      </w:divBdr>
    </w:div>
    <w:div w:id="452287117">
      <w:bodyDiv w:val="1"/>
      <w:marLeft w:val="0"/>
      <w:marRight w:val="0"/>
      <w:marTop w:val="0"/>
      <w:marBottom w:val="0"/>
      <w:divBdr>
        <w:top w:val="none" w:sz="0" w:space="0" w:color="auto"/>
        <w:left w:val="none" w:sz="0" w:space="0" w:color="auto"/>
        <w:bottom w:val="none" w:sz="0" w:space="0" w:color="auto"/>
        <w:right w:val="none" w:sz="0" w:space="0" w:color="auto"/>
      </w:divBdr>
    </w:div>
    <w:div w:id="454717257">
      <w:bodyDiv w:val="1"/>
      <w:marLeft w:val="0"/>
      <w:marRight w:val="0"/>
      <w:marTop w:val="0"/>
      <w:marBottom w:val="0"/>
      <w:divBdr>
        <w:top w:val="none" w:sz="0" w:space="0" w:color="auto"/>
        <w:left w:val="none" w:sz="0" w:space="0" w:color="auto"/>
        <w:bottom w:val="none" w:sz="0" w:space="0" w:color="auto"/>
        <w:right w:val="none" w:sz="0" w:space="0" w:color="auto"/>
      </w:divBdr>
    </w:div>
    <w:div w:id="460616186">
      <w:bodyDiv w:val="1"/>
      <w:marLeft w:val="0"/>
      <w:marRight w:val="0"/>
      <w:marTop w:val="0"/>
      <w:marBottom w:val="0"/>
      <w:divBdr>
        <w:top w:val="none" w:sz="0" w:space="0" w:color="auto"/>
        <w:left w:val="none" w:sz="0" w:space="0" w:color="auto"/>
        <w:bottom w:val="none" w:sz="0" w:space="0" w:color="auto"/>
        <w:right w:val="none" w:sz="0" w:space="0" w:color="auto"/>
      </w:divBdr>
    </w:div>
    <w:div w:id="466241849">
      <w:bodyDiv w:val="1"/>
      <w:marLeft w:val="0"/>
      <w:marRight w:val="0"/>
      <w:marTop w:val="0"/>
      <w:marBottom w:val="0"/>
      <w:divBdr>
        <w:top w:val="none" w:sz="0" w:space="0" w:color="auto"/>
        <w:left w:val="none" w:sz="0" w:space="0" w:color="auto"/>
        <w:bottom w:val="none" w:sz="0" w:space="0" w:color="auto"/>
        <w:right w:val="none" w:sz="0" w:space="0" w:color="auto"/>
      </w:divBdr>
    </w:div>
    <w:div w:id="470635364">
      <w:bodyDiv w:val="1"/>
      <w:marLeft w:val="0"/>
      <w:marRight w:val="0"/>
      <w:marTop w:val="0"/>
      <w:marBottom w:val="0"/>
      <w:divBdr>
        <w:top w:val="none" w:sz="0" w:space="0" w:color="auto"/>
        <w:left w:val="none" w:sz="0" w:space="0" w:color="auto"/>
        <w:bottom w:val="none" w:sz="0" w:space="0" w:color="auto"/>
        <w:right w:val="none" w:sz="0" w:space="0" w:color="auto"/>
      </w:divBdr>
    </w:div>
    <w:div w:id="470757696">
      <w:bodyDiv w:val="1"/>
      <w:marLeft w:val="0"/>
      <w:marRight w:val="0"/>
      <w:marTop w:val="0"/>
      <w:marBottom w:val="0"/>
      <w:divBdr>
        <w:top w:val="none" w:sz="0" w:space="0" w:color="auto"/>
        <w:left w:val="none" w:sz="0" w:space="0" w:color="auto"/>
        <w:bottom w:val="none" w:sz="0" w:space="0" w:color="auto"/>
        <w:right w:val="none" w:sz="0" w:space="0" w:color="auto"/>
      </w:divBdr>
    </w:div>
    <w:div w:id="474637947">
      <w:bodyDiv w:val="1"/>
      <w:marLeft w:val="0"/>
      <w:marRight w:val="0"/>
      <w:marTop w:val="0"/>
      <w:marBottom w:val="0"/>
      <w:divBdr>
        <w:top w:val="none" w:sz="0" w:space="0" w:color="auto"/>
        <w:left w:val="none" w:sz="0" w:space="0" w:color="auto"/>
        <w:bottom w:val="none" w:sz="0" w:space="0" w:color="auto"/>
        <w:right w:val="none" w:sz="0" w:space="0" w:color="auto"/>
      </w:divBdr>
    </w:div>
    <w:div w:id="478154381">
      <w:bodyDiv w:val="1"/>
      <w:marLeft w:val="0"/>
      <w:marRight w:val="0"/>
      <w:marTop w:val="0"/>
      <w:marBottom w:val="0"/>
      <w:divBdr>
        <w:top w:val="none" w:sz="0" w:space="0" w:color="auto"/>
        <w:left w:val="none" w:sz="0" w:space="0" w:color="auto"/>
        <w:bottom w:val="none" w:sz="0" w:space="0" w:color="auto"/>
        <w:right w:val="none" w:sz="0" w:space="0" w:color="auto"/>
      </w:divBdr>
    </w:div>
    <w:div w:id="480273907">
      <w:bodyDiv w:val="1"/>
      <w:marLeft w:val="0"/>
      <w:marRight w:val="0"/>
      <w:marTop w:val="0"/>
      <w:marBottom w:val="0"/>
      <w:divBdr>
        <w:top w:val="none" w:sz="0" w:space="0" w:color="auto"/>
        <w:left w:val="none" w:sz="0" w:space="0" w:color="auto"/>
        <w:bottom w:val="none" w:sz="0" w:space="0" w:color="auto"/>
        <w:right w:val="none" w:sz="0" w:space="0" w:color="auto"/>
      </w:divBdr>
    </w:div>
    <w:div w:id="494734139">
      <w:bodyDiv w:val="1"/>
      <w:marLeft w:val="0"/>
      <w:marRight w:val="0"/>
      <w:marTop w:val="0"/>
      <w:marBottom w:val="0"/>
      <w:divBdr>
        <w:top w:val="none" w:sz="0" w:space="0" w:color="auto"/>
        <w:left w:val="none" w:sz="0" w:space="0" w:color="auto"/>
        <w:bottom w:val="none" w:sz="0" w:space="0" w:color="auto"/>
        <w:right w:val="none" w:sz="0" w:space="0" w:color="auto"/>
      </w:divBdr>
    </w:div>
    <w:div w:id="507718958">
      <w:bodyDiv w:val="1"/>
      <w:marLeft w:val="0"/>
      <w:marRight w:val="0"/>
      <w:marTop w:val="0"/>
      <w:marBottom w:val="0"/>
      <w:divBdr>
        <w:top w:val="none" w:sz="0" w:space="0" w:color="auto"/>
        <w:left w:val="none" w:sz="0" w:space="0" w:color="auto"/>
        <w:bottom w:val="none" w:sz="0" w:space="0" w:color="auto"/>
        <w:right w:val="none" w:sz="0" w:space="0" w:color="auto"/>
      </w:divBdr>
    </w:div>
    <w:div w:id="509493848">
      <w:bodyDiv w:val="1"/>
      <w:marLeft w:val="0"/>
      <w:marRight w:val="0"/>
      <w:marTop w:val="0"/>
      <w:marBottom w:val="0"/>
      <w:divBdr>
        <w:top w:val="none" w:sz="0" w:space="0" w:color="auto"/>
        <w:left w:val="none" w:sz="0" w:space="0" w:color="auto"/>
        <w:bottom w:val="none" w:sz="0" w:space="0" w:color="auto"/>
        <w:right w:val="none" w:sz="0" w:space="0" w:color="auto"/>
      </w:divBdr>
    </w:div>
    <w:div w:id="510488950">
      <w:bodyDiv w:val="1"/>
      <w:marLeft w:val="0"/>
      <w:marRight w:val="0"/>
      <w:marTop w:val="0"/>
      <w:marBottom w:val="0"/>
      <w:divBdr>
        <w:top w:val="none" w:sz="0" w:space="0" w:color="auto"/>
        <w:left w:val="none" w:sz="0" w:space="0" w:color="auto"/>
        <w:bottom w:val="none" w:sz="0" w:space="0" w:color="auto"/>
        <w:right w:val="none" w:sz="0" w:space="0" w:color="auto"/>
      </w:divBdr>
    </w:div>
    <w:div w:id="522481070">
      <w:bodyDiv w:val="1"/>
      <w:marLeft w:val="0"/>
      <w:marRight w:val="0"/>
      <w:marTop w:val="0"/>
      <w:marBottom w:val="0"/>
      <w:divBdr>
        <w:top w:val="none" w:sz="0" w:space="0" w:color="auto"/>
        <w:left w:val="none" w:sz="0" w:space="0" w:color="auto"/>
        <w:bottom w:val="none" w:sz="0" w:space="0" w:color="auto"/>
        <w:right w:val="none" w:sz="0" w:space="0" w:color="auto"/>
      </w:divBdr>
    </w:div>
    <w:div w:id="524484893">
      <w:bodyDiv w:val="1"/>
      <w:marLeft w:val="0"/>
      <w:marRight w:val="0"/>
      <w:marTop w:val="0"/>
      <w:marBottom w:val="0"/>
      <w:divBdr>
        <w:top w:val="none" w:sz="0" w:space="0" w:color="auto"/>
        <w:left w:val="none" w:sz="0" w:space="0" w:color="auto"/>
        <w:bottom w:val="none" w:sz="0" w:space="0" w:color="auto"/>
        <w:right w:val="none" w:sz="0" w:space="0" w:color="auto"/>
      </w:divBdr>
    </w:div>
    <w:div w:id="527334500">
      <w:bodyDiv w:val="1"/>
      <w:marLeft w:val="0"/>
      <w:marRight w:val="0"/>
      <w:marTop w:val="0"/>
      <w:marBottom w:val="0"/>
      <w:divBdr>
        <w:top w:val="none" w:sz="0" w:space="0" w:color="auto"/>
        <w:left w:val="none" w:sz="0" w:space="0" w:color="auto"/>
        <w:bottom w:val="none" w:sz="0" w:space="0" w:color="auto"/>
        <w:right w:val="none" w:sz="0" w:space="0" w:color="auto"/>
      </w:divBdr>
    </w:div>
    <w:div w:id="533077810">
      <w:bodyDiv w:val="1"/>
      <w:marLeft w:val="0"/>
      <w:marRight w:val="0"/>
      <w:marTop w:val="0"/>
      <w:marBottom w:val="0"/>
      <w:divBdr>
        <w:top w:val="none" w:sz="0" w:space="0" w:color="auto"/>
        <w:left w:val="none" w:sz="0" w:space="0" w:color="auto"/>
        <w:bottom w:val="none" w:sz="0" w:space="0" w:color="auto"/>
        <w:right w:val="none" w:sz="0" w:space="0" w:color="auto"/>
      </w:divBdr>
    </w:div>
    <w:div w:id="537015491">
      <w:bodyDiv w:val="1"/>
      <w:marLeft w:val="0"/>
      <w:marRight w:val="0"/>
      <w:marTop w:val="0"/>
      <w:marBottom w:val="0"/>
      <w:divBdr>
        <w:top w:val="none" w:sz="0" w:space="0" w:color="auto"/>
        <w:left w:val="none" w:sz="0" w:space="0" w:color="auto"/>
        <w:bottom w:val="none" w:sz="0" w:space="0" w:color="auto"/>
        <w:right w:val="none" w:sz="0" w:space="0" w:color="auto"/>
      </w:divBdr>
    </w:div>
    <w:div w:id="546382407">
      <w:bodyDiv w:val="1"/>
      <w:marLeft w:val="0"/>
      <w:marRight w:val="0"/>
      <w:marTop w:val="0"/>
      <w:marBottom w:val="0"/>
      <w:divBdr>
        <w:top w:val="none" w:sz="0" w:space="0" w:color="auto"/>
        <w:left w:val="none" w:sz="0" w:space="0" w:color="auto"/>
        <w:bottom w:val="none" w:sz="0" w:space="0" w:color="auto"/>
        <w:right w:val="none" w:sz="0" w:space="0" w:color="auto"/>
      </w:divBdr>
    </w:div>
    <w:div w:id="548542123">
      <w:bodyDiv w:val="1"/>
      <w:marLeft w:val="0"/>
      <w:marRight w:val="0"/>
      <w:marTop w:val="0"/>
      <w:marBottom w:val="0"/>
      <w:divBdr>
        <w:top w:val="none" w:sz="0" w:space="0" w:color="auto"/>
        <w:left w:val="none" w:sz="0" w:space="0" w:color="auto"/>
        <w:bottom w:val="none" w:sz="0" w:space="0" w:color="auto"/>
        <w:right w:val="none" w:sz="0" w:space="0" w:color="auto"/>
      </w:divBdr>
    </w:div>
    <w:div w:id="553586443">
      <w:bodyDiv w:val="1"/>
      <w:marLeft w:val="0"/>
      <w:marRight w:val="0"/>
      <w:marTop w:val="0"/>
      <w:marBottom w:val="0"/>
      <w:divBdr>
        <w:top w:val="none" w:sz="0" w:space="0" w:color="auto"/>
        <w:left w:val="none" w:sz="0" w:space="0" w:color="auto"/>
        <w:bottom w:val="none" w:sz="0" w:space="0" w:color="auto"/>
        <w:right w:val="none" w:sz="0" w:space="0" w:color="auto"/>
      </w:divBdr>
    </w:div>
    <w:div w:id="556891555">
      <w:bodyDiv w:val="1"/>
      <w:marLeft w:val="0"/>
      <w:marRight w:val="0"/>
      <w:marTop w:val="0"/>
      <w:marBottom w:val="0"/>
      <w:divBdr>
        <w:top w:val="none" w:sz="0" w:space="0" w:color="auto"/>
        <w:left w:val="none" w:sz="0" w:space="0" w:color="auto"/>
        <w:bottom w:val="none" w:sz="0" w:space="0" w:color="auto"/>
        <w:right w:val="none" w:sz="0" w:space="0" w:color="auto"/>
      </w:divBdr>
    </w:div>
    <w:div w:id="564948783">
      <w:bodyDiv w:val="1"/>
      <w:marLeft w:val="0"/>
      <w:marRight w:val="0"/>
      <w:marTop w:val="0"/>
      <w:marBottom w:val="0"/>
      <w:divBdr>
        <w:top w:val="none" w:sz="0" w:space="0" w:color="auto"/>
        <w:left w:val="none" w:sz="0" w:space="0" w:color="auto"/>
        <w:bottom w:val="none" w:sz="0" w:space="0" w:color="auto"/>
        <w:right w:val="none" w:sz="0" w:space="0" w:color="auto"/>
      </w:divBdr>
    </w:div>
    <w:div w:id="567226800">
      <w:bodyDiv w:val="1"/>
      <w:marLeft w:val="0"/>
      <w:marRight w:val="0"/>
      <w:marTop w:val="0"/>
      <w:marBottom w:val="0"/>
      <w:divBdr>
        <w:top w:val="none" w:sz="0" w:space="0" w:color="auto"/>
        <w:left w:val="none" w:sz="0" w:space="0" w:color="auto"/>
        <w:bottom w:val="none" w:sz="0" w:space="0" w:color="auto"/>
        <w:right w:val="none" w:sz="0" w:space="0" w:color="auto"/>
      </w:divBdr>
    </w:div>
    <w:div w:id="572080097">
      <w:bodyDiv w:val="1"/>
      <w:marLeft w:val="0"/>
      <w:marRight w:val="0"/>
      <w:marTop w:val="0"/>
      <w:marBottom w:val="0"/>
      <w:divBdr>
        <w:top w:val="none" w:sz="0" w:space="0" w:color="auto"/>
        <w:left w:val="none" w:sz="0" w:space="0" w:color="auto"/>
        <w:bottom w:val="none" w:sz="0" w:space="0" w:color="auto"/>
        <w:right w:val="none" w:sz="0" w:space="0" w:color="auto"/>
      </w:divBdr>
    </w:div>
    <w:div w:id="579606273">
      <w:bodyDiv w:val="1"/>
      <w:marLeft w:val="0"/>
      <w:marRight w:val="0"/>
      <w:marTop w:val="0"/>
      <w:marBottom w:val="0"/>
      <w:divBdr>
        <w:top w:val="none" w:sz="0" w:space="0" w:color="auto"/>
        <w:left w:val="none" w:sz="0" w:space="0" w:color="auto"/>
        <w:bottom w:val="none" w:sz="0" w:space="0" w:color="auto"/>
        <w:right w:val="none" w:sz="0" w:space="0" w:color="auto"/>
      </w:divBdr>
    </w:div>
    <w:div w:id="581833541">
      <w:bodyDiv w:val="1"/>
      <w:marLeft w:val="0"/>
      <w:marRight w:val="0"/>
      <w:marTop w:val="0"/>
      <w:marBottom w:val="0"/>
      <w:divBdr>
        <w:top w:val="none" w:sz="0" w:space="0" w:color="auto"/>
        <w:left w:val="none" w:sz="0" w:space="0" w:color="auto"/>
        <w:bottom w:val="none" w:sz="0" w:space="0" w:color="auto"/>
        <w:right w:val="none" w:sz="0" w:space="0" w:color="auto"/>
      </w:divBdr>
    </w:div>
    <w:div w:id="582759618">
      <w:bodyDiv w:val="1"/>
      <w:marLeft w:val="0"/>
      <w:marRight w:val="0"/>
      <w:marTop w:val="0"/>
      <w:marBottom w:val="0"/>
      <w:divBdr>
        <w:top w:val="none" w:sz="0" w:space="0" w:color="auto"/>
        <w:left w:val="none" w:sz="0" w:space="0" w:color="auto"/>
        <w:bottom w:val="none" w:sz="0" w:space="0" w:color="auto"/>
        <w:right w:val="none" w:sz="0" w:space="0" w:color="auto"/>
      </w:divBdr>
    </w:div>
    <w:div w:id="583607334">
      <w:bodyDiv w:val="1"/>
      <w:marLeft w:val="0"/>
      <w:marRight w:val="0"/>
      <w:marTop w:val="0"/>
      <w:marBottom w:val="0"/>
      <w:divBdr>
        <w:top w:val="none" w:sz="0" w:space="0" w:color="auto"/>
        <w:left w:val="none" w:sz="0" w:space="0" w:color="auto"/>
        <w:bottom w:val="none" w:sz="0" w:space="0" w:color="auto"/>
        <w:right w:val="none" w:sz="0" w:space="0" w:color="auto"/>
      </w:divBdr>
    </w:div>
    <w:div w:id="584001425">
      <w:bodyDiv w:val="1"/>
      <w:marLeft w:val="0"/>
      <w:marRight w:val="0"/>
      <w:marTop w:val="0"/>
      <w:marBottom w:val="0"/>
      <w:divBdr>
        <w:top w:val="none" w:sz="0" w:space="0" w:color="auto"/>
        <w:left w:val="none" w:sz="0" w:space="0" w:color="auto"/>
        <w:bottom w:val="none" w:sz="0" w:space="0" w:color="auto"/>
        <w:right w:val="none" w:sz="0" w:space="0" w:color="auto"/>
      </w:divBdr>
    </w:div>
    <w:div w:id="588579812">
      <w:bodyDiv w:val="1"/>
      <w:marLeft w:val="0"/>
      <w:marRight w:val="0"/>
      <w:marTop w:val="0"/>
      <w:marBottom w:val="0"/>
      <w:divBdr>
        <w:top w:val="none" w:sz="0" w:space="0" w:color="auto"/>
        <w:left w:val="none" w:sz="0" w:space="0" w:color="auto"/>
        <w:bottom w:val="none" w:sz="0" w:space="0" w:color="auto"/>
        <w:right w:val="none" w:sz="0" w:space="0" w:color="auto"/>
      </w:divBdr>
    </w:div>
    <w:div w:id="590816527">
      <w:bodyDiv w:val="1"/>
      <w:marLeft w:val="0"/>
      <w:marRight w:val="0"/>
      <w:marTop w:val="0"/>
      <w:marBottom w:val="0"/>
      <w:divBdr>
        <w:top w:val="none" w:sz="0" w:space="0" w:color="auto"/>
        <w:left w:val="none" w:sz="0" w:space="0" w:color="auto"/>
        <w:bottom w:val="none" w:sz="0" w:space="0" w:color="auto"/>
        <w:right w:val="none" w:sz="0" w:space="0" w:color="auto"/>
      </w:divBdr>
    </w:div>
    <w:div w:id="591478255">
      <w:bodyDiv w:val="1"/>
      <w:marLeft w:val="0"/>
      <w:marRight w:val="0"/>
      <w:marTop w:val="0"/>
      <w:marBottom w:val="0"/>
      <w:divBdr>
        <w:top w:val="none" w:sz="0" w:space="0" w:color="auto"/>
        <w:left w:val="none" w:sz="0" w:space="0" w:color="auto"/>
        <w:bottom w:val="none" w:sz="0" w:space="0" w:color="auto"/>
        <w:right w:val="none" w:sz="0" w:space="0" w:color="auto"/>
      </w:divBdr>
    </w:div>
    <w:div w:id="594367897">
      <w:bodyDiv w:val="1"/>
      <w:marLeft w:val="0"/>
      <w:marRight w:val="0"/>
      <w:marTop w:val="0"/>
      <w:marBottom w:val="0"/>
      <w:divBdr>
        <w:top w:val="none" w:sz="0" w:space="0" w:color="auto"/>
        <w:left w:val="none" w:sz="0" w:space="0" w:color="auto"/>
        <w:bottom w:val="none" w:sz="0" w:space="0" w:color="auto"/>
        <w:right w:val="none" w:sz="0" w:space="0" w:color="auto"/>
      </w:divBdr>
    </w:div>
    <w:div w:id="594484325">
      <w:bodyDiv w:val="1"/>
      <w:marLeft w:val="0"/>
      <w:marRight w:val="0"/>
      <w:marTop w:val="0"/>
      <w:marBottom w:val="0"/>
      <w:divBdr>
        <w:top w:val="none" w:sz="0" w:space="0" w:color="auto"/>
        <w:left w:val="none" w:sz="0" w:space="0" w:color="auto"/>
        <w:bottom w:val="none" w:sz="0" w:space="0" w:color="auto"/>
        <w:right w:val="none" w:sz="0" w:space="0" w:color="auto"/>
      </w:divBdr>
    </w:div>
    <w:div w:id="596598000">
      <w:bodyDiv w:val="1"/>
      <w:marLeft w:val="0"/>
      <w:marRight w:val="0"/>
      <w:marTop w:val="0"/>
      <w:marBottom w:val="0"/>
      <w:divBdr>
        <w:top w:val="none" w:sz="0" w:space="0" w:color="auto"/>
        <w:left w:val="none" w:sz="0" w:space="0" w:color="auto"/>
        <w:bottom w:val="none" w:sz="0" w:space="0" w:color="auto"/>
        <w:right w:val="none" w:sz="0" w:space="0" w:color="auto"/>
      </w:divBdr>
    </w:div>
    <w:div w:id="603995697">
      <w:bodyDiv w:val="1"/>
      <w:marLeft w:val="0"/>
      <w:marRight w:val="0"/>
      <w:marTop w:val="0"/>
      <w:marBottom w:val="0"/>
      <w:divBdr>
        <w:top w:val="none" w:sz="0" w:space="0" w:color="auto"/>
        <w:left w:val="none" w:sz="0" w:space="0" w:color="auto"/>
        <w:bottom w:val="none" w:sz="0" w:space="0" w:color="auto"/>
        <w:right w:val="none" w:sz="0" w:space="0" w:color="auto"/>
      </w:divBdr>
    </w:div>
    <w:div w:id="606810661">
      <w:bodyDiv w:val="1"/>
      <w:marLeft w:val="0"/>
      <w:marRight w:val="0"/>
      <w:marTop w:val="0"/>
      <w:marBottom w:val="0"/>
      <w:divBdr>
        <w:top w:val="none" w:sz="0" w:space="0" w:color="auto"/>
        <w:left w:val="none" w:sz="0" w:space="0" w:color="auto"/>
        <w:bottom w:val="none" w:sz="0" w:space="0" w:color="auto"/>
        <w:right w:val="none" w:sz="0" w:space="0" w:color="auto"/>
      </w:divBdr>
    </w:div>
    <w:div w:id="607125755">
      <w:bodyDiv w:val="1"/>
      <w:marLeft w:val="0"/>
      <w:marRight w:val="0"/>
      <w:marTop w:val="0"/>
      <w:marBottom w:val="0"/>
      <w:divBdr>
        <w:top w:val="none" w:sz="0" w:space="0" w:color="auto"/>
        <w:left w:val="none" w:sz="0" w:space="0" w:color="auto"/>
        <w:bottom w:val="none" w:sz="0" w:space="0" w:color="auto"/>
        <w:right w:val="none" w:sz="0" w:space="0" w:color="auto"/>
      </w:divBdr>
    </w:div>
    <w:div w:id="611132225">
      <w:bodyDiv w:val="1"/>
      <w:marLeft w:val="0"/>
      <w:marRight w:val="0"/>
      <w:marTop w:val="0"/>
      <w:marBottom w:val="0"/>
      <w:divBdr>
        <w:top w:val="none" w:sz="0" w:space="0" w:color="auto"/>
        <w:left w:val="none" w:sz="0" w:space="0" w:color="auto"/>
        <w:bottom w:val="none" w:sz="0" w:space="0" w:color="auto"/>
        <w:right w:val="none" w:sz="0" w:space="0" w:color="auto"/>
      </w:divBdr>
    </w:div>
    <w:div w:id="611327924">
      <w:bodyDiv w:val="1"/>
      <w:marLeft w:val="0"/>
      <w:marRight w:val="0"/>
      <w:marTop w:val="0"/>
      <w:marBottom w:val="0"/>
      <w:divBdr>
        <w:top w:val="none" w:sz="0" w:space="0" w:color="auto"/>
        <w:left w:val="none" w:sz="0" w:space="0" w:color="auto"/>
        <w:bottom w:val="none" w:sz="0" w:space="0" w:color="auto"/>
        <w:right w:val="none" w:sz="0" w:space="0" w:color="auto"/>
      </w:divBdr>
    </w:div>
    <w:div w:id="617032433">
      <w:bodyDiv w:val="1"/>
      <w:marLeft w:val="0"/>
      <w:marRight w:val="0"/>
      <w:marTop w:val="0"/>
      <w:marBottom w:val="0"/>
      <w:divBdr>
        <w:top w:val="none" w:sz="0" w:space="0" w:color="auto"/>
        <w:left w:val="none" w:sz="0" w:space="0" w:color="auto"/>
        <w:bottom w:val="none" w:sz="0" w:space="0" w:color="auto"/>
        <w:right w:val="none" w:sz="0" w:space="0" w:color="auto"/>
      </w:divBdr>
    </w:div>
    <w:div w:id="617956444">
      <w:bodyDiv w:val="1"/>
      <w:marLeft w:val="0"/>
      <w:marRight w:val="0"/>
      <w:marTop w:val="0"/>
      <w:marBottom w:val="0"/>
      <w:divBdr>
        <w:top w:val="none" w:sz="0" w:space="0" w:color="auto"/>
        <w:left w:val="none" w:sz="0" w:space="0" w:color="auto"/>
        <w:bottom w:val="none" w:sz="0" w:space="0" w:color="auto"/>
        <w:right w:val="none" w:sz="0" w:space="0" w:color="auto"/>
      </w:divBdr>
    </w:div>
    <w:div w:id="620650109">
      <w:bodyDiv w:val="1"/>
      <w:marLeft w:val="0"/>
      <w:marRight w:val="0"/>
      <w:marTop w:val="0"/>
      <w:marBottom w:val="0"/>
      <w:divBdr>
        <w:top w:val="none" w:sz="0" w:space="0" w:color="auto"/>
        <w:left w:val="none" w:sz="0" w:space="0" w:color="auto"/>
        <w:bottom w:val="none" w:sz="0" w:space="0" w:color="auto"/>
        <w:right w:val="none" w:sz="0" w:space="0" w:color="auto"/>
      </w:divBdr>
    </w:div>
    <w:div w:id="630137172">
      <w:bodyDiv w:val="1"/>
      <w:marLeft w:val="0"/>
      <w:marRight w:val="0"/>
      <w:marTop w:val="0"/>
      <w:marBottom w:val="0"/>
      <w:divBdr>
        <w:top w:val="none" w:sz="0" w:space="0" w:color="auto"/>
        <w:left w:val="none" w:sz="0" w:space="0" w:color="auto"/>
        <w:bottom w:val="none" w:sz="0" w:space="0" w:color="auto"/>
        <w:right w:val="none" w:sz="0" w:space="0" w:color="auto"/>
      </w:divBdr>
    </w:div>
    <w:div w:id="637146206">
      <w:bodyDiv w:val="1"/>
      <w:marLeft w:val="0"/>
      <w:marRight w:val="0"/>
      <w:marTop w:val="0"/>
      <w:marBottom w:val="0"/>
      <w:divBdr>
        <w:top w:val="none" w:sz="0" w:space="0" w:color="auto"/>
        <w:left w:val="none" w:sz="0" w:space="0" w:color="auto"/>
        <w:bottom w:val="none" w:sz="0" w:space="0" w:color="auto"/>
        <w:right w:val="none" w:sz="0" w:space="0" w:color="auto"/>
      </w:divBdr>
    </w:div>
    <w:div w:id="647320328">
      <w:bodyDiv w:val="1"/>
      <w:marLeft w:val="0"/>
      <w:marRight w:val="0"/>
      <w:marTop w:val="0"/>
      <w:marBottom w:val="0"/>
      <w:divBdr>
        <w:top w:val="none" w:sz="0" w:space="0" w:color="auto"/>
        <w:left w:val="none" w:sz="0" w:space="0" w:color="auto"/>
        <w:bottom w:val="none" w:sz="0" w:space="0" w:color="auto"/>
        <w:right w:val="none" w:sz="0" w:space="0" w:color="auto"/>
      </w:divBdr>
    </w:div>
    <w:div w:id="651838665">
      <w:bodyDiv w:val="1"/>
      <w:marLeft w:val="0"/>
      <w:marRight w:val="0"/>
      <w:marTop w:val="0"/>
      <w:marBottom w:val="0"/>
      <w:divBdr>
        <w:top w:val="none" w:sz="0" w:space="0" w:color="auto"/>
        <w:left w:val="none" w:sz="0" w:space="0" w:color="auto"/>
        <w:bottom w:val="none" w:sz="0" w:space="0" w:color="auto"/>
        <w:right w:val="none" w:sz="0" w:space="0" w:color="auto"/>
      </w:divBdr>
    </w:div>
    <w:div w:id="652950309">
      <w:bodyDiv w:val="1"/>
      <w:marLeft w:val="0"/>
      <w:marRight w:val="0"/>
      <w:marTop w:val="0"/>
      <w:marBottom w:val="0"/>
      <w:divBdr>
        <w:top w:val="none" w:sz="0" w:space="0" w:color="auto"/>
        <w:left w:val="none" w:sz="0" w:space="0" w:color="auto"/>
        <w:bottom w:val="none" w:sz="0" w:space="0" w:color="auto"/>
        <w:right w:val="none" w:sz="0" w:space="0" w:color="auto"/>
      </w:divBdr>
    </w:div>
    <w:div w:id="657879094">
      <w:bodyDiv w:val="1"/>
      <w:marLeft w:val="0"/>
      <w:marRight w:val="0"/>
      <w:marTop w:val="0"/>
      <w:marBottom w:val="0"/>
      <w:divBdr>
        <w:top w:val="none" w:sz="0" w:space="0" w:color="auto"/>
        <w:left w:val="none" w:sz="0" w:space="0" w:color="auto"/>
        <w:bottom w:val="none" w:sz="0" w:space="0" w:color="auto"/>
        <w:right w:val="none" w:sz="0" w:space="0" w:color="auto"/>
      </w:divBdr>
    </w:div>
    <w:div w:id="658926455">
      <w:bodyDiv w:val="1"/>
      <w:marLeft w:val="0"/>
      <w:marRight w:val="0"/>
      <w:marTop w:val="0"/>
      <w:marBottom w:val="0"/>
      <w:divBdr>
        <w:top w:val="none" w:sz="0" w:space="0" w:color="auto"/>
        <w:left w:val="none" w:sz="0" w:space="0" w:color="auto"/>
        <w:bottom w:val="none" w:sz="0" w:space="0" w:color="auto"/>
        <w:right w:val="none" w:sz="0" w:space="0" w:color="auto"/>
      </w:divBdr>
    </w:div>
    <w:div w:id="671031757">
      <w:bodyDiv w:val="1"/>
      <w:marLeft w:val="0"/>
      <w:marRight w:val="0"/>
      <w:marTop w:val="0"/>
      <w:marBottom w:val="0"/>
      <w:divBdr>
        <w:top w:val="none" w:sz="0" w:space="0" w:color="auto"/>
        <w:left w:val="none" w:sz="0" w:space="0" w:color="auto"/>
        <w:bottom w:val="none" w:sz="0" w:space="0" w:color="auto"/>
        <w:right w:val="none" w:sz="0" w:space="0" w:color="auto"/>
      </w:divBdr>
    </w:div>
    <w:div w:id="671492571">
      <w:bodyDiv w:val="1"/>
      <w:marLeft w:val="0"/>
      <w:marRight w:val="0"/>
      <w:marTop w:val="0"/>
      <w:marBottom w:val="0"/>
      <w:divBdr>
        <w:top w:val="none" w:sz="0" w:space="0" w:color="auto"/>
        <w:left w:val="none" w:sz="0" w:space="0" w:color="auto"/>
        <w:bottom w:val="none" w:sz="0" w:space="0" w:color="auto"/>
        <w:right w:val="none" w:sz="0" w:space="0" w:color="auto"/>
      </w:divBdr>
    </w:div>
    <w:div w:id="671685878">
      <w:bodyDiv w:val="1"/>
      <w:marLeft w:val="0"/>
      <w:marRight w:val="0"/>
      <w:marTop w:val="0"/>
      <w:marBottom w:val="0"/>
      <w:divBdr>
        <w:top w:val="none" w:sz="0" w:space="0" w:color="auto"/>
        <w:left w:val="none" w:sz="0" w:space="0" w:color="auto"/>
        <w:bottom w:val="none" w:sz="0" w:space="0" w:color="auto"/>
        <w:right w:val="none" w:sz="0" w:space="0" w:color="auto"/>
      </w:divBdr>
    </w:div>
    <w:div w:id="680397094">
      <w:bodyDiv w:val="1"/>
      <w:marLeft w:val="0"/>
      <w:marRight w:val="0"/>
      <w:marTop w:val="0"/>
      <w:marBottom w:val="0"/>
      <w:divBdr>
        <w:top w:val="none" w:sz="0" w:space="0" w:color="auto"/>
        <w:left w:val="none" w:sz="0" w:space="0" w:color="auto"/>
        <w:bottom w:val="none" w:sz="0" w:space="0" w:color="auto"/>
        <w:right w:val="none" w:sz="0" w:space="0" w:color="auto"/>
      </w:divBdr>
    </w:div>
    <w:div w:id="689648476">
      <w:bodyDiv w:val="1"/>
      <w:marLeft w:val="0"/>
      <w:marRight w:val="0"/>
      <w:marTop w:val="0"/>
      <w:marBottom w:val="0"/>
      <w:divBdr>
        <w:top w:val="none" w:sz="0" w:space="0" w:color="auto"/>
        <w:left w:val="none" w:sz="0" w:space="0" w:color="auto"/>
        <w:bottom w:val="none" w:sz="0" w:space="0" w:color="auto"/>
        <w:right w:val="none" w:sz="0" w:space="0" w:color="auto"/>
      </w:divBdr>
    </w:div>
    <w:div w:id="693120803">
      <w:bodyDiv w:val="1"/>
      <w:marLeft w:val="0"/>
      <w:marRight w:val="0"/>
      <w:marTop w:val="0"/>
      <w:marBottom w:val="0"/>
      <w:divBdr>
        <w:top w:val="none" w:sz="0" w:space="0" w:color="auto"/>
        <w:left w:val="none" w:sz="0" w:space="0" w:color="auto"/>
        <w:bottom w:val="none" w:sz="0" w:space="0" w:color="auto"/>
        <w:right w:val="none" w:sz="0" w:space="0" w:color="auto"/>
      </w:divBdr>
    </w:div>
    <w:div w:id="699935316">
      <w:bodyDiv w:val="1"/>
      <w:marLeft w:val="0"/>
      <w:marRight w:val="0"/>
      <w:marTop w:val="0"/>
      <w:marBottom w:val="0"/>
      <w:divBdr>
        <w:top w:val="none" w:sz="0" w:space="0" w:color="auto"/>
        <w:left w:val="none" w:sz="0" w:space="0" w:color="auto"/>
        <w:bottom w:val="none" w:sz="0" w:space="0" w:color="auto"/>
        <w:right w:val="none" w:sz="0" w:space="0" w:color="auto"/>
      </w:divBdr>
    </w:div>
    <w:div w:id="713819924">
      <w:bodyDiv w:val="1"/>
      <w:marLeft w:val="0"/>
      <w:marRight w:val="0"/>
      <w:marTop w:val="0"/>
      <w:marBottom w:val="0"/>
      <w:divBdr>
        <w:top w:val="none" w:sz="0" w:space="0" w:color="auto"/>
        <w:left w:val="none" w:sz="0" w:space="0" w:color="auto"/>
        <w:bottom w:val="none" w:sz="0" w:space="0" w:color="auto"/>
        <w:right w:val="none" w:sz="0" w:space="0" w:color="auto"/>
      </w:divBdr>
    </w:div>
    <w:div w:id="718821438">
      <w:bodyDiv w:val="1"/>
      <w:marLeft w:val="0"/>
      <w:marRight w:val="0"/>
      <w:marTop w:val="0"/>
      <w:marBottom w:val="0"/>
      <w:divBdr>
        <w:top w:val="none" w:sz="0" w:space="0" w:color="auto"/>
        <w:left w:val="none" w:sz="0" w:space="0" w:color="auto"/>
        <w:bottom w:val="none" w:sz="0" w:space="0" w:color="auto"/>
        <w:right w:val="none" w:sz="0" w:space="0" w:color="auto"/>
      </w:divBdr>
    </w:div>
    <w:div w:id="722027464">
      <w:bodyDiv w:val="1"/>
      <w:marLeft w:val="0"/>
      <w:marRight w:val="0"/>
      <w:marTop w:val="0"/>
      <w:marBottom w:val="0"/>
      <w:divBdr>
        <w:top w:val="none" w:sz="0" w:space="0" w:color="auto"/>
        <w:left w:val="none" w:sz="0" w:space="0" w:color="auto"/>
        <w:bottom w:val="none" w:sz="0" w:space="0" w:color="auto"/>
        <w:right w:val="none" w:sz="0" w:space="0" w:color="auto"/>
      </w:divBdr>
    </w:div>
    <w:div w:id="727149978">
      <w:bodyDiv w:val="1"/>
      <w:marLeft w:val="0"/>
      <w:marRight w:val="0"/>
      <w:marTop w:val="0"/>
      <w:marBottom w:val="0"/>
      <w:divBdr>
        <w:top w:val="none" w:sz="0" w:space="0" w:color="auto"/>
        <w:left w:val="none" w:sz="0" w:space="0" w:color="auto"/>
        <w:bottom w:val="none" w:sz="0" w:space="0" w:color="auto"/>
        <w:right w:val="none" w:sz="0" w:space="0" w:color="auto"/>
      </w:divBdr>
    </w:div>
    <w:div w:id="735250236">
      <w:bodyDiv w:val="1"/>
      <w:marLeft w:val="0"/>
      <w:marRight w:val="0"/>
      <w:marTop w:val="0"/>
      <w:marBottom w:val="0"/>
      <w:divBdr>
        <w:top w:val="none" w:sz="0" w:space="0" w:color="auto"/>
        <w:left w:val="none" w:sz="0" w:space="0" w:color="auto"/>
        <w:bottom w:val="none" w:sz="0" w:space="0" w:color="auto"/>
        <w:right w:val="none" w:sz="0" w:space="0" w:color="auto"/>
      </w:divBdr>
    </w:div>
    <w:div w:id="740374057">
      <w:bodyDiv w:val="1"/>
      <w:marLeft w:val="0"/>
      <w:marRight w:val="0"/>
      <w:marTop w:val="0"/>
      <w:marBottom w:val="0"/>
      <w:divBdr>
        <w:top w:val="none" w:sz="0" w:space="0" w:color="auto"/>
        <w:left w:val="none" w:sz="0" w:space="0" w:color="auto"/>
        <w:bottom w:val="none" w:sz="0" w:space="0" w:color="auto"/>
        <w:right w:val="none" w:sz="0" w:space="0" w:color="auto"/>
      </w:divBdr>
    </w:div>
    <w:div w:id="752626167">
      <w:bodyDiv w:val="1"/>
      <w:marLeft w:val="0"/>
      <w:marRight w:val="0"/>
      <w:marTop w:val="0"/>
      <w:marBottom w:val="0"/>
      <w:divBdr>
        <w:top w:val="none" w:sz="0" w:space="0" w:color="auto"/>
        <w:left w:val="none" w:sz="0" w:space="0" w:color="auto"/>
        <w:bottom w:val="none" w:sz="0" w:space="0" w:color="auto"/>
        <w:right w:val="none" w:sz="0" w:space="0" w:color="auto"/>
      </w:divBdr>
    </w:div>
    <w:div w:id="754015414">
      <w:bodyDiv w:val="1"/>
      <w:marLeft w:val="0"/>
      <w:marRight w:val="0"/>
      <w:marTop w:val="0"/>
      <w:marBottom w:val="0"/>
      <w:divBdr>
        <w:top w:val="none" w:sz="0" w:space="0" w:color="auto"/>
        <w:left w:val="none" w:sz="0" w:space="0" w:color="auto"/>
        <w:bottom w:val="none" w:sz="0" w:space="0" w:color="auto"/>
        <w:right w:val="none" w:sz="0" w:space="0" w:color="auto"/>
      </w:divBdr>
    </w:div>
    <w:div w:id="769543768">
      <w:bodyDiv w:val="1"/>
      <w:marLeft w:val="0"/>
      <w:marRight w:val="0"/>
      <w:marTop w:val="0"/>
      <w:marBottom w:val="0"/>
      <w:divBdr>
        <w:top w:val="none" w:sz="0" w:space="0" w:color="auto"/>
        <w:left w:val="none" w:sz="0" w:space="0" w:color="auto"/>
        <w:bottom w:val="none" w:sz="0" w:space="0" w:color="auto"/>
        <w:right w:val="none" w:sz="0" w:space="0" w:color="auto"/>
      </w:divBdr>
    </w:div>
    <w:div w:id="772094280">
      <w:bodyDiv w:val="1"/>
      <w:marLeft w:val="0"/>
      <w:marRight w:val="0"/>
      <w:marTop w:val="0"/>
      <w:marBottom w:val="0"/>
      <w:divBdr>
        <w:top w:val="none" w:sz="0" w:space="0" w:color="auto"/>
        <w:left w:val="none" w:sz="0" w:space="0" w:color="auto"/>
        <w:bottom w:val="none" w:sz="0" w:space="0" w:color="auto"/>
        <w:right w:val="none" w:sz="0" w:space="0" w:color="auto"/>
      </w:divBdr>
    </w:div>
    <w:div w:id="773786944">
      <w:bodyDiv w:val="1"/>
      <w:marLeft w:val="0"/>
      <w:marRight w:val="0"/>
      <w:marTop w:val="0"/>
      <w:marBottom w:val="0"/>
      <w:divBdr>
        <w:top w:val="none" w:sz="0" w:space="0" w:color="auto"/>
        <w:left w:val="none" w:sz="0" w:space="0" w:color="auto"/>
        <w:bottom w:val="none" w:sz="0" w:space="0" w:color="auto"/>
        <w:right w:val="none" w:sz="0" w:space="0" w:color="auto"/>
      </w:divBdr>
    </w:div>
    <w:div w:id="777918111">
      <w:bodyDiv w:val="1"/>
      <w:marLeft w:val="0"/>
      <w:marRight w:val="0"/>
      <w:marTop w:val="0"/>
      <w:marBottom w:val="0"/>
      <w:divBdr>
        <w:top w:val="none" w:sz="0" w:space="0" w:color="auto"/>
        <w:left w:val="none" w:sz="0" w:space="0" w:color="auto"/>
        <w:bottom w:val="none" w:sz="0" w:space="0" w:color="auto"/>
        <w:right w:val="none" w:sz="0" w:space="0" w:color="auto"/>
      </w:divBdr>
    </w:div>
    <w:div w:id="781270916">
      <w:bodyDiv w:val="1"/>
      <w:marLeft w:val="0"/>
      <w:marRight w:val="0"/>
      <w:marTop w:val="0"/>
      <w:marBottom w:val="0"/>
      <w:divBdr>
        <w:top w:val="none" w:sz="0" w:space="0" w:color="auto"/>
        <w:left w:val="none" w:sz="0" w:space="0" w:color="auto"/>
        <w:bottom w:val="none" w:sz="0" w:space="0" w:color="auto"/>
        <w:right w:val="none" w:sz="0" w:space="0" w:color="auto"/>
      </w:divBdr>
    </w:div>
    <w:div w:id="782722837">
      <w:bodyDiv w:val="1"/>
      <w:marLeft w:val="0"/>
      <w:marRight w:val="0"/>
      <w:marTop w:val="0"/>
      <w:marBottom w:val="0"/>
      <w:divBdr>
        <w:top w:val="none" w:sz="0" w:space="0" w:color="auto"/>
        <w:left w:val="none" w:sz="0" w:space="0" w:color="auto"/>
        <w:bottom w:val="none" w:sz="0" w:space="0" w:color="auto"/>
        <w:right w:val="none" w:sz="0" w:space="0" w:color="auto"/>
      </w:divBdr>
    </w:div>
    <w:div w:id="782850038">
      <w:bodyDiv w:val="1"/>
      <w:marLeft w:val="0"/>
      <w:marRight w:val="0"/>
      <w:marTop w:val="0"/>
      <w:marBottom w:val="0"/>
      <w:divBdr>
        <w:top w:val="none" w:sz="0" w:space="0" w:color="auto"/>
        <w:left w:val="none" w:sz="0" w:space="0" w:color="auto"/>
        <w:bottom w:val="none" w:sz="0" w:space="0" w:color="auto"/>
        <w:right w:val="none" w:sz="0" w:space="0" w:color="auto"/>
      </w:divBdr>
    </w:div>
    <w:div w:id="782961697">
      <w:bodyDiv w:val="1"/>
      <w:marLeft w:val="0"/>
      <w:marRight w:val="0"/>
      <w:marTop w:val="0"/>
      <w:marBottom w:val="0"/>
      <w:divBdr>
        <w:top w:val="none" w:sz="0" w:space="0" w:color="auto"/>
        <w:left w:val="none" w:sz="0" w:space="0" w:color="auto"/>
        <w:bottom w:val="none" w:sz="0" w:space="0" w:color="auto"/>
        <w:right w:val="none" w:sz="0" w:space="0" w:color="auto"/>
      </w:divBdr>
    </w:div>
    <w:div w:id="784077522">
      <w:bodyDiv w:val="1"/>
      <w:marLeft w:val="0"/>
      <w:marRight w:val="0"/>
      <w:marTop w:val="0"/>
      <w:marBottom w:val="0"/>
      <w:divBdr>
        <w:top w:val="none" w:sz="0" w:space="0" w:color="auto"/>
        <w:left w:val="none" w:sz="0" w:space="0" w:color="auto"/>
        <w:bottom w:val="none" w:sz="0" w:space="0" w:color="auto"/>
        <w:right w:val="none" w:sz="0" w:space="0" w:color="auto"/>
      </w:divBdr>
    </w:div>
    <w:div w:id="786660482">
      <w:bodyDiv w:val="1"/>
      <w:marLeft w:val="0"/>
      <w:marRight w:val="0"/>
      <w:marTop w:val="0"/>
      <w:marBottom w:val="0"/>
      <w:divBdr>
        <w:top w:val="none" w:sz="0" w:space="0" w:color="auto"/>
        <w:left w:val="none" w:sz="0" w:space="0" w:color="auto"/>
        <w:bottom w:val="none" w:sz="0" w:space="0" w:color="auto"/>
        <w:right w:val="none" w:sz="0" w:space="0" w:color="auto"/>
      </w:divBdr>
    </w:div>
    <w:div w:id="787506093">
      <w:bodyDiv w:val="1"/>
      <w:marLeft w:val="0"/>
      <w:marRight w:val="0"/>
      <w:marTop w:val="0"/>
      <w:marBottom w:val="0"/>
      <w:divBdr>
        <w:top w:val="none" w:sz="0" w:space="0" w:color="auto"/>
        <w:left w:val="none" w:sz="0" w:space="0" w:color="auto"/>
        <w:bottom w:val="none" w:sz="0" w:space="0" w:color="auto"/>
        <w:right w:val="none" w:sz="0" w:space="0" w:color="auto"/>
      </w:divBdr>
    </w:div>
    <w:div w:id="792017029">
      <w:bodyDiv w:val="1"/>
      <w:marLeft w:val="0"/>
      <w:marRight w:val="0"/>
      <w:marTop w:val="0"/>
      <w:marBottom w:val="0"/>
      <w:divBdr>
        <w:top w:val="none" w:sz="0" w:space="0" w:color="auto"/>
        <w:left w:val="none" w:sz="0" w:space="0" w:color="auto"/>
        <w:bottom w:val="none" w:sz="0" w:space="0" w:color="auto"/>
        <w:right w:val="none" w:sz="0" w:space="0" w:color="auto"/>
      </w:divBdr>
    </w:div>
    <w:div w:id="795291319">
      <w:bodyDiv w:val="1"/>
      <w:marLeft w:val="0"/>
      <w:marRight w:val="0"/>
      <w:marTop w:val="0"/>
      <w:marBottom w:val="0"/>
      <w:divBdr>
        <w:top w:val="none" w:sz="0" w:space="0" w:color="auto"/>
        <w:left w:val="none" w:sz="0" w:space="0" w:color="auto"/>
        <w:bottom w:val="none" w:sz="0" w:space="0" w:color="auto"/>
        <w:right w:val="none" w:sz="0" w:space="0" w:color="auto"/>
      </w:divBdr>
    </w:div>
    <w:div w:id="796948868">
      <w:bodyDiv w:val="1"/>
      <w:marLeft w:val="0"/>
      <w:marRight w:val="0"/>
      <w:marTop w:val="0"/>
      <w:marBottom w:val="0"/>
      <w:divBdr>
        <w:top w:val="none" w:sz="0" w:space="0" w:color="auto"/>
        <w:left w:val="none" w:sz="0" w:space="0" w:color="auto"/>
        <w:bottom w:val="none" w:sz="0" w:space="0" w:color="auto"/>
        <w:right w:val="none" w:sz="0" w:space="0" w:color="auto"/>
      </w:divBdr>
    </w:div>
    <w:div w:id="798034718">
      <w:bodyDiv w:val="1"/>
      <w:marLeft w:val="0"/>
      <w:marRight w:val="0"/>
      <w:marTop w:val="0"/>
      <w:marBottom w:val="0"/>
      <w:divBdr>
        <w:top w:val="none" w:sz="0" w:space="0" w:color="auto"/>
        <w:left w:val="none" w:sz="0" w:space="0" w:color="auto"/>
        <w:bottom w:val="none" w:sz="0" w:space="0" w:color="auto"/>
        <w:right w:val="none" w:sz="0" w:space="0" w:color="auto"/>
      </w:divBdr>
    </w:div>
    <w:div w:id="800809446">
      <w:bodyDiv w:val="1"/>
      <w:marLeft w:val="0"/>
      <w:marRight w:val="0"/>
      <w:marTop w:val="0"/>
      <w:marBottom w:val="0"/>
      <w:divBdr>
        <w:top w:val="none" w:sz="0" w:space="0" w:color="auto"/>
        <w:left w:val="none" w:sz="0" w:space="0" w:color="auto"/>
        <w:bottom w:val="none" w:sz="0" w:space="0" w:color="auto"/>
        <w:right w:val="none" w:sz="0" w:space="0" w:color="auto"/>
      </w:divBdr>
    </w:div>
    <w:div w:id="809590697">
      <w:bodyDiv w:val="1"/>
      <w:marLeft w:val="0"/>
      <w:marRight w:val="0"/>
      <w:marTop w:val="0"/>
      <w:marBottom w:val="0"/>
      <w:divBdr>
        <w:top w:val="none" w:sz="0" w:space="0" w:color="auto"/>
        <w:left w:val="none" w:sz="0" w:space="0" w:color="auto"/>
        <w:bottom w:val="none" w:sz="0" w:space="0" w:color="auto"/>
        <w:right w:val="none" w:sz="0" w:space="0" w:color="auto"/>
      </w:divBdr>
    </w:div>
    <w:div w:id="812873576">
      <w:bodyDiv w:val="1"/>
      <w:marLeft w:val="0"/>
      <w:marRight w:val="0"/>
      <w:marTop w:val="0"/>
      <w:marBottom w:val="0"/>
      <w:divBdr>
        <w:top w:val="none" w:sz="0" w:space="0" w:color="auto"/>
        <w:left w:val="none" w:sz="0" w:space="0" w:color="auto"/>
        <w:bottom w:val="none" w:sz="0" w:space="0" w:color="auto"/>
        <w:right w:val="none" w:sz="0" w:space="0" w:color="auto"/>
      </w:divBdr>
    </w:div>
    <w:div w:id="814025526">
      <w:bodyDiv w:val="1"/>
      <w:marLeft w:val="0"/>
      <w:marRight w:val="0"/>
      <w:marTop w:val="0"/>
      <w:marBottom w:val="0"/>
      <w:divBdr>
        <w:top w:val="none" w:sz="0" w:space="0" w:color="auto"/>
        <w:left w:val="none" w:sz="0" w:space="0" w:color="auto"/>
        <w:bottom w:val="none" w:sz="0" w:space="0" w:color="auto"/>
        <w:right w:val="none" w:sz="0" w:space="0" w:color="auto"/>
      </w:divBdr>
    </w:div>
    <w:div w:id="818615008">
      <w:bodyDiv w:val="1"/>
      <w:marLeft w:val="0"/>
      <w:marRight w:val="0"/>
      <w:marTop w:val="0"/>
      <w:marBottom w:val="0"/>
      <w:divBdr>
        <w:top w:val="none" w:sz="0" w:space="0" w:color="auto"/>
        <w:left w:val="none" w:sz="0" w:space="0" w:color="auto"/>
        <w:bottom w:val="none" w:sz="0" w:space="0" w:color="auto"/>
        <w:right w:val="none" w:sz="0" w:space="0" w:color="auto"/>
      </w:divBdr>
    </w:div>
    <w:div w:id="821312306">
      <w:bodyDiv w:val="1"/>
      <w:marLeft w:val="0"/>
      <w:marRight w:val="0"/>
      <w:marTop w:val="0"/>
      <w:marBottom w:val="0"/>
      <w:divBdr>
        <w:top w:val="none" w:sz="0" w:space="0" w:color="auto"/>
        <w:left w:val="none" w:sz="0" w:space="0" w:color="auto"/>
        <w:bottom w:val="none" w:sz="0" w:space="0" w:color="auto"/>
        <w:right w:val="none" w:sz="0" w:space="0" w:color="auto"/>
      </w:divBdr>
    </w:div>
    <w:div w:id="828181677">
      <w:bodyDiv w:val="1"/>
      <w:marLeft w:val="0"/>
      <w:marRight w:val="0"/>
      <w:marTop w:val="0"/>
      <w:marBottom w:val="0"/>
      <w:divBdr>
        <w:top w:val="none" w:sz="0" w:space="0" w:color="auto"/>
        <w:left w:val="none" w:sz="0" w:space="0" w:color="auto"/>
        <w:bottom w:val="none" w:sz="0" w:space="0" w:color="auto"/>
        <w:right w:val="none" w:sz="0" w:space="0" w:color="auto"/>
      </w:divBdr>
    </w:div>
    <w:div w:id="829713459">
      <w:bodyDiv w:val="1"/>
      <w:marLeft w:val="0"/>
      <w:marRight w:val="0"/>
      <w:marTop w:val="0"/>
      <w:marBottom w:val="0"/>
      <w:divBdr>
        <w:top w:val="none" w:sz="0" w:space="0" w:color="auto"/>
        <w:left w:val="none" w:sz="0" w:space="0" w:color="auto"/>
        <w:bottom w:val="none" w:sz="0" w:space="0" w:color="auto"/>
        <w:right w:val="none" w:sz="0" w:space="0" w:color="auto"/>
      </w:divBdr>
    </w:div>
    <w:div w:id="833108167">
      <w:bodyDiv w:val="1"/>
      <w:marLeft w:val="0"/>
      <w:marRight w:val="0"/>
      <w:marTop w:val="0"/>
      <w:marBottom w:val="0"/>
      <w:divBdr>
        <w:top w:val="none" w:sz="0" w:space="0" w:color="auto"/>
        <w:left w:val="none" w:sz="0" w:space="0" w:color="auto"/>
        <w:bottom w:val="none" w:sz="0" w:space="0" w:color="auto"/>
        <w:right w:val="none" w:sz="0" w:space="0" w:color="auto"/>
      </w:divBdr>
    </w:div>
    <w:div w:id="838160712">
      <w:bodyDiv w:val="1"/>
      <w:marLeft w:val="0"/>
      <w:marRight w:val="0"/>
      <w:marTop w:val="0"/>
      <w:marBottom w:val="0"/>
      <w:divBdr>
        <w:top w:val="none" w:sz="0" w:space="0" w:color="auto"/>
        <w:left w:val="none" w:sz="0" w:space="0" w:color="auto"/>
        <w:bottom w:val="none" w:sz="0" w:space="0" w:color="auto"/>
        <w:right w:val="none" w:sz="0" w:space="0" w:color="auto"/>
      </w:divBdr>
    </w:div>
    <w:div w:id="858352679">
      <w:bodyDiv w:val="1"/>
      <w:marLeft w:val="0"/>
      <w:marRight w:val="0"/>
      <w:marTop w:val="0"/>
      <w:marBottom w:val="0"/>
      <w:divBdr>
        <w:top w:val="none" w:sz="0" w:space="0" w:color="auto"/>
        <w:left w:val="none" w:sz="0" w:space="0" w:color="auto"/>
        <w:bottom w:val="none" w:sz="0" w:space="0" w:color="auto"/>
        <w:right w:val="none" w:sz="0" w:space="0" w:color="auto"/>
      </w:divBdr>
    </w:div>
    <w:div w:id="859395399">
      <w:bodyDiv w:val="1"/>
      <w:marLeft w:val="0"/>
      <w:marRight w:val="0"/>
      <w:marTop w:val="0"/>
      <w:marBottom w:val="0"/>
      <w:divBdr>
        <w:top w:val="none" w:sz="0" w:space="0" w:color="auto"/>
        <w:left w:val="none" w:sz="0" w:space="0" w:color="auto"/>
        <w:bottom w:val="none" w:sz="0" w:space="0" w:color="auto"/>
        <w:right w:val="none" w:sz="0" w:space="0" w:color="auto"/>
      </w:divBdr>
    </w:div>
    <w:div w:id="860241579">
      <w:bodyDiv w:val="1"/>
      <w:marLeft w:val="0"/>
      <w:marRight w:val="0"/>
      <w:marTop w:val="0"/>
      <w:marBottom w:val="0"/>
      <w:divBdr>
        <w:top w:val="none" w:sz="0" w:space="0" w:color="auto"/>
        <w:left w:val="none" w:sz="0" w:space="0" w:color="auto"/>
        <w:bottom w:val="none" w:sz="0" w:space="0" w:color="auto"/>
        <w:right w:val="none" w:sz="0" w:space="0" w:color="auto"/>
      </w:divBdr>
    </w:div>
    <w:div w:id="876233355">
      <w:bodyDiv w:val="1"/>
      <w:marLeft w:val="0"/>
      <w:marRight w:val="0"/>
      <w:marTop w:val="0"/>
      <w:marBottom w:val="0"/>
      <w:divBdr>
        <w:top w:val="none" w:sz="0" w:space="0" w:color="auto"/>
        <w:left w:val="none" w:sz="0" w:space="0" w:color="auto"/>
        <w:bottom w:val="none" w:sz="0" w:space="0" w:color="auto"/>
        <w:right w:val="none" w:sz="0" w:space="0" w:color="auto"/>
      </w:divBdr>
    </w:div>
    <w:div w:id="886794897">
      <w:bodyDiv w:val="1"/>
      <w:marLeft w:val="0"/>
      <w:marRight w:val="0"/>
      <w:marTop w:val="0"/>
      <w:marBottom w:val="0"/>
      <w:divBdr>
        <w:top w:val="none" w:sz="0" w:space="0" w:color="auto"/>
        <w:left w:val="none" w:sz="0" w:space="0" w:color="auto"/>
        <w:bottom w:val="none" w:sz="0" w:space="0" w:color="auto"/>
        <w:right w:val="none" w:sz="0" w:space="0" w:color="auto"/>
      </w:divBdr>
    </w:div>
    <w:div w:id="887687551">
      <w:bodyDiv w:val="1"/>
      <w:marLeft w:val="0"/>
      <w:marRight w:val="0"/>
      <w:marTop w:val="0"/>
      <w:marBottom w:val="0"/>
      <w:divBdr>
        <w:top w:val="none" w:sz="0" w:space="0" w:color="auto"/>
        <w:left w:val="none" w:sz="0" w:space="0" w:color="auto"/>
        <w:bottom w:val="none" w:sz="0" w:space="0" w:color="auto"/>
        <w:right w:val="none" w:sz="0" w:space="0" w:color="auto"/>
      </w:divBdr>
    </w:div>
    <w:div w:id="892230004">
      <w:bodyDiv w:val="1"/>
      <w:marLeft w:val="0"/>
      <w:marRight w:val="0"/>
      <w:marTop w:val="0"/>
      <w:marBottom w:val="0"/>
      <w:divBdr>
        <w:top w:val="none" w:sz="0" w:space="0" w:color="auto"/>
        <w:left w:val="none" w:sz="0" w:space="0" w:color="auto"/>
        <w:bottom w:val="none" w:sz="0" w:space="0" w:color="auto"/>
        <w:right w:val="none" w:sz="0" w:space="0" w:color="auto"/>
      </w:divBdr>
    </w:div>
    <w:div w:id="897519443">
      <w:bodyDiv w:val="1"/>
      <w:marLeft w:val="0"/>
      <w:marRight w:val="0"/>
      <w:marTop w:val="0"/>
      <w:marBottom w:val="0"/>
      <w:divBdr>
        <w:top w:val="none" w:sz="0" w:space="0" w:color="auto"/>
        <w:left w:val="none" w:sz="0" w:space="0" w:color="auto"/>
        <w:bottom w:val="none" w:sz="0" w:space="0" w:color="auto"/>
        <w:right w:val="none" w:sz="0" w:space="0" w:color="auto"/>
      </w:divBdr>
    </w:div>
    <w:div w:id="911619625">
      <w:bodyDiv w:val="1"/>
      <w:marLeft w:val="0"/>
      <w:marRight w:val="0"/>
      <w:marTop w:val="0"/>
      <w:marBottom w:val="0"/>
      <w:divBdr>
        <w:top w:val="none" w:sz="0" w:space="0" w:color="auto"/>
        <w:left w:val="none" w:sz="0" w:space="0" w:color="auto"/>
        <w:bottom w:val="none" w:sz="0" w:space="0" w:color="auto"/>
        <w:right w:val="none" w:sz="0" w:space="0" w:color="auto"/>
      </w:divBdr>
    </w:div>
    <w:div w:id="915432199">
      <w:bodyDiv w:val="1"/>
      <w:marLeft w:val="0"/>
      <w:marRight w:val="0"/>
      <w:marTop w:val="0"/>
      <w:marBottom w:val="0"/>
      <w:divBdr>
        <w:top w:val="none" w:sz="0" w:space="0" w:color="auto"/>
        <w:left w:val="none" w:sz="0" w:space="0" w:color="auto"/>
        <w:bottom w:val="none" w:sz="0" w:space="0" w:color="auto"/>
        <w:right w:val="none" w:sz="0" w:space="0" w:color="auto"/>
      </w:divBdr>
    </w:div>
    <w:div w:id="919682930">
      <w:bodyDiv w:val="1"/>
      <w:marLeft w:val="0"/>
      <w:marRight w:val="0"/>
      <w:marTop w:val="0"/>
      <w:marBottom w:val="0"/>
      <w:divBdr>
        <w:top w:val="none" w:sz="0" w:space="0" w:color="auto"/>
        <w:left w:val="none" w:sz="0" w:space="0" w:color="auto"/>
        <w:bottom w:val="none" w:sz="0" w:space="0" w:color="auto"/>
        <w:right w:val="none" w:sz="0" w:space="0" w:color="auto"/>
      </w:divBdr>
    </w:div>
    <w:div w:id="934677689">
      <w:bodyDiv w:val="1"/>
      <w:marLeft w:val="0"/>
      <w:marRight w:val="0"/>
      <w:marTop w:val="0"/>
      <w:marBottom w:val="0"/>
      <w:divBdr>
        <w:top w:val="none" w:sz="0" w:space="0" w:color="auto"/>
        <w:left w:val="none" w:sz="0" w:space="0" w:color="auto"/>
        <w:bottom w:val="none" w:sz="0" w:space="0" w:color="auto"/>
        <w:right w:val="none" w:sz="0" w:space="0" w:color="auto"/>
      </w:divBdr>
    </w:div>
    <w:div w:id="938488617">
      <w:bodyDiv w:val="1"/>
      <w:marLeft w:val="0"/>
      <w:marRight w:val="0"/>
      <w:marTop w:val="0"/>
      <w:marBottom w:val="0"/>
      <w:divBdr>
        <w:top w:val="none" w:sz="0" w:space="0" w:color="auto"/>
        <w:left w:val="none" w:sz="0" w:space="0" w:color="auto"/>
        <w:bottom w:val="none" w:sz="0" w:space="0" w:color="auto"/>
        <w:right w:val="none" w:sz="0" w:space="0" w:color="auto"/>
      </w:divBdr>
    </w:div>
    <w:div w:id="951010049">
      <w:bodyDiv w:val="1"/>
      <w:marLeft w:val="0"/>
      <w:marRight w:val="0"/>
      <w:marTop w:val="0"/>
      <w:marBottom w:val="0"/>
      <w:divBdr>
        <w:top w:val="none" w:sz="0" w:space="0" w:color="auto"/>
        <w:left w:val="none" w:sz="0" w:space="0" w:color="auto"/>
        <w:bottom w:val="none" w:sz="0" w:space="0" w:color="auto"/>
        <w:right w:val="none" w:sz="0" w:space="0" w:color="auto"/>
      </w:divBdr>
    </w:div>
    <w:div w:id="965039033">
      <w:bodyDiv w:val="1"/>
      <w:marLeft w:val="0"/>
      <w:marRight w:val="0"/>
      <w:marTop w:val="0"/>
      <w:marBottom w:val="0"/>
      <w:divBdr>
        <w:top w:val="none" w:sz="0" w:space="0" w:color="auto"/>
        <w:left w:val="none" w:sz="0" w:space="0" w:color="auto"/>
        <w:bottom w:val="none" w:sz="0" w:space="0" w:color="auto"/>
        <w:right w:val="none" w:sz="0" w:space="0" w:color="auto"/>
      </w:divBdr>
    </w:div>
    <w:div w:id="971599628">
      <w:bodyDiv w:val="1"/>
      <w:marLeft w:val="0"/>
      <w:marRight w:val="0"/>
      <w:marTop w:val="0"/>
      <w:marBottom w:val="0"/>
      <w:divBdr>
        <w:top w:val="none" w:sz="0" w:space="0" w:color="auto"/>
        <w:left w:val="none" w:sz="0" w:space="0" w:color="auto"/>
        <w:bottom w:val="none" w:sz="0" w:space="0" w:color="auto"/>
        <w:right w:val="none" w:sz="0" w:space="0" w:color="auto"/>
      </w:divBdr>
    </w:div>
    <w:div w:id="972322145">
      <w:bodyDiv w:val="1"/>
      <w:marLeft w:val="0"/>
      <w:marRight w:val="0"/>
      <w:marTop w:val="0"/>
      <w:marBottom w:val="0"/>
      <w:divBdr>
        <w:top w:val="none" w:sz="0" w:space="0" w:color="auto"/>
        <w:left w:val="none" w:sz="0" w:space="0" w:color="auto"/>
        <w:bottom w:val="none" w:sz="0" w:space="0" w:color="auto"/>
        <w:right w:val="none" w:sz="0" w:space="0" w:color="auto"/>
      </w:divBdr>
    </w:div>
    <w:div w:id="976838432">
      <w:bodyDiv w:val="1"/>
      <w:marLeft w:val="0"/>
      <w:marRight w:val="0"/>
      <w:marTop w:val="0"/>
      <w:marBottom w:val="0"/>
      <w:divBdr>
        <w:top w:val="none" w:sz="0" w:space="0" w:color="auto"/>
        <w:left w:val="none" w:sz="0" w:space="0" w:color="auto"/>
        <w:bottom w:val="none" w:sz="0" w:space="0" w:color="auto"/>
        <w:right w:val="none" w:sz="0" w:space="0" w:color="auto"/>
      </w:divBdr>
    </w:div>
    <w:div w:id="978918590">
      <w:bodyDiv w:val="1"/>
      <w:marLeft w:val="0"/>
      <w:marRight w:val="0"/>
      <w:marTop w:val="0"/>
      <w:marBottom w:val="0"/>
      <w:divBdr>
        <w:top w:val="none" w:sz="0" w:space="0" w:color="auto"/>
        <w:left w:val="none" w:sz="0" w:space="0" w:color="auto"/>
        <w:bottom w:val="none" w:sz="0" w:space="0" w:color="auto"/>
        <w:right w:val="none" w:sz="0" w:space="0" w:color="auto"/>
      </w:divBdr>
    </w:div>
    <w:div w:id="983201735">
      <w:bodyDiv w:val="1"/>
      <w:marLeft w:val="0"/>
      <w:marRight w:val="0"/>
      <w:marTop w:val="0"/>
      <w:marBottom w:val="0"/>
      <w:divBdr>
        <w:top w:val="none" w:sz="0" w:space="0" w:color="auto"/>
        <w:left w:val="none" w:sz="0" w:space="0" w:color="auto"/>
        <w:bottom w:val="none" w:sz="0" w:space="0" w:color="auto"/>
        <w:right w:val="none" w:sz="0" w:space="0" w:color="auto"/>
      </w:divBdr>
    </w:div>
    <w:div w:id="983899533">
      <w:bodyDiv w:val="1"/>
      <w:marLeft w:val="0"/>
      <w:marRight w:val="0"/>
      <w:marTop w:val="0"/>
      <w:marBottom w:val="0"/>
      <w:divBdr>
        <w:top w:val="none" w:sz="0" w:space="0" w:color="auto"/>
        <w:left w:val="none" w:sz="0" w:space="0" w:color="auto"/>
        <w:bottom w:val="none" w:sz="0" w:space="0" w:color="auto"/>
        <w:right w:val="none" w:sz="0" w:space="0" w:color="auto"/>
      </w:divBdr>
    </w:div>
    <w:div w:id="997659962">
      <w:bodyDiv w:val="1"/>
      <w:marLeft w:val="0"/>
      <w:marRight w:val="0"/>
      <w:marTop w:val="0"/>
      <w:marBottom w:val="0"/>
      <w:divBdr>
        <w:top w:val="none" w:sz="0" w:space="0" w:color="auto"/>
        <w:left w:val="none" w:sz="0" w:space="0" w:color="auto"/>
        <w:bottom w:val="none" w:sz="0" w:space="0" w:color="auto"/>
        <w:right w:val="none" w:sz="0" w:space="0" w:color="auto"/>
      </w:divBdr>
    </w:div>
    <w:div w:id="998194040">
      <w:bodyDiv w:val="1"/>
      <w:marLeft w:val="0"/>
      <w:marRight w:val="0"/>
      <w:marTop w:val="0"/>
      <w:marBottom w:val="0"/>
      <w:divBdr>
        <w:top w:val="none" w:sz="0" w:space="0" w:color="auto"/>
        <w:left w:val="none" w:sz="0" w:space="0" w:color="auto"/>
        <w:bottom w:val="none" w:sz="0" w:space="0" w:color="auto"/>
        <w:right w:val="none" w:sz="0" w:space="0" w:color="auto"/>
      </w:divBdr>
    </w:div>
    <w:div w:id="999581944">
      <w:bodyDiv w:val="1"/>
      <w:marLeft w:val="0"/>
      <w:marRight w:val="0"/>
      <w:marTop w:val="0"/>
      <w:marBottom w:val="0"/>
      <w:divBdr>
        <w:top w:val="none" w:sz="0" w:space="0" w:color="auto"/>
        <w:left w:val="none" w:sz="0" w:space="0" w:color="auto"/>
        <w:bottom w:val="none" w:sz="0" w:space="0" w:color="auto"/>
        <w:right w:val="none" w:sz="0" w:space="0" w:color="auto"/>
      </w:divBdr>
    </w:div>
    <w:div w:id="1000812353">
      <w:bodyDiv w:val="1"/>
      <w:marLeft w:val="0"/>
      <w:marRight w:val="0"/>
      <w:marTop w:val="0"/>
      <w:marBottom w:val="0"/>
      <w:divBdr>
        <w:top w:val="none" w:sz="0" w:space="0" w:color="auto"/>
        <w:left w:val="none" w:sz="0" w:space="0" w:color="auto"/>
        <w:bottom w:val="none" w:sz="0" w:space="0" w:color="auto"/>
        <w:right w:val="none" w:sz="0" w:space="0" w:color="auto"/>
      </w:divBdr>
    </w:div>
    <w:div w:id="1001012193">
      <w:bodyDiv w:val="1"/>
      <w:marLeft w:val="0"/>
      <w:marRight w:val="0"/>
      <w:marTop w:val="0"/>
      <w:marBottom w:val="0"/>
      <w:divBdr>
        <w:top w:val="none" w:sz="0" w:space="0" w:color="auto"/>
        <w:left w:val="none" w:sz="0" w:space="0" w:color="auto"/>
        <w:bottom w:val="none" w:sz="0" w:space="0" w:color="auto"/>
        <w:right w:val="none" w:sz="0" w:space="0" w:color="auto"/>
      </w:divBdr>
    </w:div>
    <w:div w:id="1001589670">
      <w:bodyDiv w:val="1"/>
      <w:marLeft w:val="0"/>
      <w:marRight w:val="0"/>
      <w:marTop w:val="0"/>
      <w:marBottom w:val="0"/>
      <w:divBdr>
        <w:top w:val="none" w:sz="0" w:space="0" w:color="auto"/>
        <w:left w:val="none" w:sz="0" w:space="0" w:color="auto"/>
        <w:bottom w:val="none" w:sz="0" w:space="0" w:color="auto"/>
        <w:right w:val="none" w:sz="0" w:space="0" w:color="auto"/>
      </w:divBdr>
    </w:div>
    <w:div w:id="1008411277">
      <w:bodyDiv w:val="1"/>
      <w:marLeft w:val="0"/>
      <w:marRight w:val="0"/>
      <w:marTop w:val="0"/>
      <w:marBottom w:val="0"/>
      <w:divBdr>
        <w:top w:val="none" w:sz="0" w:space="0" w:color="auto"/>
        <w:left w:val="none" w:sz="0" w:space="0" w:color="auto"/>
        <w:bottom w:val="none" w:sz="0" w:space="0" w:color="auto"/>
        <w:right w:val="none" w:sz="0" w:space="0" w:color="auto"/>
      </w:divBdr>
    </w:div>
    <w:div w:id="1037269785">
      <w:bodyDiv w:val="1"/>
      <w:marLeft w:val="0"/>
      <w:marRight w:val="0"/>
      <w:marTop w:val="0"/>
      <w:marBottom w:val="0"/>
      <w:divBdr>
        <w:top w:val="none" w:sz="0" w:space="0" w:color="auto"/>
        <w:left w:val="none" w:sz="0" w:space="0" w:color="auto"/>
        <w:bottom w:val="none" w:sz="0" w:space="0" w:color="auto"/>
        <w:right w:val="none" w:sz="0" w:space="0" w:color="auto"/>
      </w:divBdr>
    </w:div>
    <w:div w:id="1040516427">
      <w:bodyDiv w:val="1"/>
      <w:marLeft w:val="0"/>
      <w:marRight w:val="0"/>
      <w:marTop w:val="0"/>
      <w:marBottom w:val="0"/>
      <w:divBdr>
        <w:top w:val="none" w:sz="0" w:space="0" w:color="auto"/>
        <w:left w:val="none" w:sz="0" w:space="0" w:color="auto"/>
        <w:bottom w:val="none" w:sz="0" w:space="0" w:color="auto"/>
        <w:right w:val="none" w:sz="0" w:space="0" w:color="auto"/>
      </w:divBdr>
    </w:div>
    <w:div w:id="1048991693">
      <w:bodyDiv w:val="1"/>
      <w:marLeft w:val="0"/>
      <w:marRight w:val="0"/>
      <w:marTop w:val="0"/>
      <w:marBottom w:val="0"/>
      <w:divBdr>
        <w:top w:val="none" w:sz="0" w:space="0" w:color="auto"/>
        <w:left w:val="none" w:sz="0" w:space="0" w:color="auto"/>
        <w:bottom w:val="none" w:sz="0" w:space="0" w:color="auto"/>
        <w:right w:val="none" w:sz="0" w:space="0" w:color="auto"/>
      </w:divBdr>
    </w:div>
    <w:div w:id="1055356256">
      <w:bodyDiv w:val="1"/>
      <w:marLeft w:val="0"/>
      <w:marRight w:val="0"/>
      <w:marTop w:val="0"/>
      <w:marBottom w:val="0"/>
      <w:divBdr>
        <w:top w:val="none" w:sz="0" w:space="0" w:color="auto"/>
        <w:left w:val="none" w:sz="0" w:space="0" w:color="auto"/>
        <w:bottom w:val="none" w:sz="0" w:space="0" w:color="auto"/>
        <w:right w:val="none" w:sz="0" w:space="0" w:color="auto"/>
      </w:divBdr>
    </w:div>
    <w:div w:id="1075905167">
      <w:bodyDiv w:val="1"/>
      <w:marLeft w:val="0"/>
      <w:marRight w:val="0"/>
      <w:marTop w:val="0"/>
      <w:marBottom w:val="0"/>
      <w:divBdr>
        <w:top w:val="none" w:sz="0" w:space="0" w:color="auto"/>
        <w:left w:val="none" w:sz="0" w:space="0" w:color="auto"/>
        <w:bottom w:val="none" w:sz="0" w:space="0" w:color="auto"/>
        <w:right w:val="none" w:sz="0" w:space="0" w:color="auto"/>
      </w:divBdr>
    </w:div>
    <w:div w:id="1076395844">
      <w:bodyDiv w:val="1"/>
      <w:marLeft w:val="0"/>
      <w:marRight w:val="0"/>
      <w:marTop w:val="0"/>
      <w:marBottom w:val="0"/>
      <w:divBdr>
        <w:top w:val="none" w:sz="0" w:space="0" w:color="auto"/>
        <w:left w:val="none" w:sz="0" w:space="0" w:color="auto"/>
        <w:bottom w:val="none" w:sz="0" w:space="0" w:color="auto"/>
        <w:right w:val="none" w:sz="0" w:space="0" w:color="auto"/>
      </w:divBdr>
    </w:div>
    <w:div w:id="1076905036">
      <w:bodyDiv w:val="1"/>
      <w:marLeft w:val="0"/>
      <w:marRight w:val="0"/>
      <w:marTop w:val="0"/>
      <w:marBottom w:val="0"/>
      <w:divBdr>
        <w:top w:val="none" w:sz="0" w:space="0" w:color="auto"/>
        <w:left w:val="none" w:sz="0" w:space="0" w:color="auto"/>
        <w:bottom w:val="none" w:sz="0" w:space="0" w:color="auto"/>
        <w:right w:val="none" w:sz="0" w:space="0" w:color="auto"/>
      </w:divBdr>
    </w:div>
    <w:div w:id="1083137610">
      <w:bodyDiv w:val="1"/>
      <w:marLeft w:val="0"/>
      <w:marRight w:val="0"/>
      <w:marTop w:val="0"/>
      <w:marBottom w:val="0"/>
      <w:divBdr>
        <w:top w:val="none" w:sz="0" w:space="0" w:color="auto"/>
        <w:left w:val="none" w:sz="0" w:space="0" w:color="auto"/>
        <w:bottom w:val="none" w:sz="0" w:space="0" w:color="auto"/>
        <w:right w:val="none" w:sz="0" w:space="0" w:color="auto"/>
      </w:divBdr>
    </w:div>
    <w:div w:id="1085296291">
      <w:bodyDiv w:val="1"/>
      <w:marLeft w:val="0"/>
      <w:marRight w:val="0"/>
      <w:marTop w:val="0"/>
      <w:marBottom w:val="0"/>
      <w:divBdr>
        <w:top w:val="none" w:sz="0" w:space="0" w:color="auto"/>
        <w:left w:val="none" w:sz="0" w:space="0" w:color="auto"/>
        <w:bottom w:val="none" w:sz="0" w:space="0" w:color="auto"/>
        <w:right w:val="none" w:sz="0" w:space="0" w:color="auto"/>
      </w:divBdr>
    </w:div>
    <w:div w:id="1086222167">
      <w:bodyDiv w:val="1"/>
      <w:marLeft w:val="0"/>
      <w:marRight w:val="0"/>
      <w:marTop w:val="0"/>
      <w:marBottom w:val="0"/>
      <w:divBdr>
        <w:top w:val="none" w:sz="0" w:space="0" w:color="auto"/>
        <w:left w:val="none" w:sz="0" w:space="0" w:color="auto"/>
        <w:bottom w:val="none" w:sz="0" w:space="0" w:color="auto"/>
        <w:right w:val="none" w:sz="0" w:space="0" w:color="auto"/>
      </w:divBdr>
    </w:div>
    <w:div w:id="1086264663">
      <w:bodyDiv w:val="1"/>
      <w:marLeft w:val="0"/>
      <w:marRight w:val="0"/>
      <w:marTop w:val="0"/>
      <w:marBottom w:val="0"/>
      <w:divBdr>
        <w:top w:val="none" w:sz="0" w:space="0" w:color="auto"/>
        <w:left w:val="none" w:sz="0" w:space="0" w:color="auto"/>
        <w:bottom w:val="none" w:sz="0" w:space="0" w:color="auto"/>
        <w:right w:val="none" w:sz="0" w:space="0" w:color="auto"/>
      </w:divBdr>
    </w:div>
    <w:div w:id="1093085316">
      <w:bodyDiv w:val="1"/>
      <w:marLeft w:val="0"/>
      <w:marRight w:val="0"/>
      <w:marTop w:val="0"/>
      <w:marBottom w:val="0"/>
      <w:divBdr>
        <w:top w:val="none" w:sz="0" w:space="0" w:color="auto"/>
        <w:left w:val="none" w:sz="0" w:space="0" w:color="auto"/>
        <w:bottom w:val="none" w:sz="0" w:space="0" w:color="auto"/>
        <w:right w:val="none" w:sz="0" w:space="0" w:color="auto"/>
      </w:divBdr>
    </w:div>
    <w:div w:id="1095243692">
      <w:bodyDiv w:val="1"/>
      <w:marLeft w:val="0"/>
      <w:marRight w:val="0"/>
      <w:marTop w:val="0"/>
      <w:marBottom w:val="0"/>
      <w:divBdr>
        <w:top w:val="none" w:sz="0" w:space="0" w:color="auto"/>
        <w:left w:val="none" w:sz="0" w:space="0" w:color="auto"/>
        <w:bottom w:val="none" w:sz="0" w:space="0" w:color="auto"/>
        <w:right w:val="none" w:sz="0" w:space="0" w:color="auto"/>
      </w:divBdr>
    </w:div>
    <w:div w:id="1095516716">
      <w:bodyDiv w:val="1"/>
      <w:marLeft w:val="0"/>
      <w:marRight w:val="0"/>
      <w:marTop w:val="0"/>
      <w:marBottom w:val="0"/>
      <w:divBdr>
        <w:top w:val="none" w:sz="0" w:space="0" w:color="auto"/>
        <w:left w:val="none" w:sz="0" w:space="0" w:color="auto"/>
        <w:bottom w:val="none" w:sz="0" w:space="0" w:color="auto"/>
        <w:right w:val="none" w:sz="0" w:space="0" w:color="auto"/>
      </w:divBdr>
    </w:div>
    <w:div w:id="1103846567">
      <w:bodyDiv w:val="1"/>
      <w:marLeft w:val="0"/>
      <w:marRight w:val="0"/>
      <w:marTop w:val="0"/>
      <w:marBottom w:val="0"/>
      <w:divBdr>
        <w:top w:val="none" w:sz="0" w:space="0" w:color="auto"/>
        <w:left w:val="none" w:sz="0" w:space="0" w:color="auto"/>
        <w:bottom w:val="none" w:sz="0" w:space="0" w:color="auto"/>
        <w:right w:val="none" w:sz="0" w:space="0" w:color="auto"/>
      </w:divBdr>
    </w:div>
    <w:div w:id="1108963688">
      <w:bodyDiv w:val="1"/>
      <w:marLeft w:val="0"/>
      <w:marRight w:val="0"/>
      <w:marTop w:val="0"/>
      <w:marBottom w:val="0"/>
      <w:divBdr>
        <w:top w:val="none" w:sz="0" w:space="0" w:color="auto"/>
        <w:left w:val="none" w:sz="0" w:space="0" w:color="auto"/>
        <w:bottom w:val="none" w:sz="0" w:space="0" w:color="auto"/>
        <w:right w:val="none" w:sz="0" w:space="0" w:color="auto"/>
      </w:divBdr>
    </w:div>
    <w:div w:id="1112289224">
      <w:bodyDiv w:val="1"/>
      <w:marLeft w:val="0"/>
      <w:marRight w:val="0"/>
      <w:marTop w:val="0"/>
      <w:marBottom w:val="0"/>
      <w:divBdr>
        <w:top w:val="none" w:sz="0" w:space="0" w:color="auto"/>
        <w:left w:val="none" w:sz="0" w:space="0" w:color="auto"/>
        <w:bottom w:val="none" w:sz="0" w:space="0" w:color="auto"/>
        <w:right w:val="none" w:sz="0" w:space="0" w:color="auto"/>
      </w:divBdr>
    </w:div>
    <w:div w:id="1143428725">
      <w:bodyDiv w:val="1"/>
      <w:marLeft w:val="0"/>
      <w:marRight w:val="0"/>
      <w:marTop w:val="0"/>
      <w:marBottom w:val="0"/>
      <w:divBdr>
        <w:top w:val="none" w:sz="0" w:space="0" w:color="auto"/>
        <w:left w:val="none" w:sz="0" w:space="0" w:color="auto"/>
        <w:bottom w:val="none" w:sz="0" w:space="0" w:color="auto"/>
        <w:right w:val="none" w:sz="0" w:space="0" w:color="auto"/>
      </w:divBdr>
    </w:div>
    <w:div w:id="1152982729">
      <w:bodyDiv w:val="1"/>
      <w:marLeft w:val="0"/>
      <w:marRight w:val="0"/>
      <w:marTop w:val="0"/>
      <w:marBottom w:val="0"/>
      <w:divBdr>
        <w:top w:val="none" w:sz="0" w:space="0" w:color="auto"/>
        <w:left w:val="none" w:sz="0" w:space="0" w:color="auto"/>
        <w:bottom w:val="none" w:sz="0" w:space="0" w:color="auto"/>
        <w:right w:val="none" w:sz="0" w:space="0" w:color="auto"/>
      </w:divBdr>
    </w:div>
    <w:div w:id="1153521562">
      <w:bodyDiv w:val="1"/>
      <w:marLeft w:val="0"/>
      <w:marRight w:val="0"/>
      <w:marTop w:val="0"/>
      <w:marBottom w:val="0"/>
      <w:divBdr>
        <w:top w:val="none" w:sz="0" w:space="0" w:color="auto"/>
        <w:left w:val="none" w:sz="0" w:space="0" w:color="auto"/>
        <w:bottom w:val="none" w:sz="0" w:space="0" w:color="auto"/>
        <w:right w:val="none" w:sz="0" w:space="0" w:color="auto"/>
      </w:divBdr>
    </w:div>
    <w:div w:id="1155563324">
      <w:bodyDiv w:val="1"/>
      <w:marLeft w:val="0"/>
      <w:marRight w:val="0"/>
      <w:marTop w:val="0"/>
      <w:marBottom w:val="0"/>
      <w:divBdr>
        <w:top w:val="none" w:sz="0" w:space="0" w:color="auto"/>
        <w:left w:val="none" w:sz="0" w:space="0" w:color="auto"/>
        <w:bottom w:val="none" w:sz="0" w:space="0" w:color="auto"/>
        <w:right w:val="none" w:sz="0" w:space="0" w:color="auto"/>
      </w:divBdr>
    </w:div>
    <w:div w:id="1157965158">
      <w:bodyDiv w:val="1"/>
      <w:marLeft w:val="0"/>
      <w:marRight w:val="0"/>
      <w:marTop w:val="0"/>
      <w:marBottom w:val="0"/>
      <w:divBdr>
        <w:top w:val="none" w:sz="0" w:space="0" w:color="auto"/>
        <w:left w:val="none" w:sz="0" w:space="0" w:color="auto"/>
        <w:bottom w:val="none" w:sz="0" w:space="0" w:color="auto"/>
        <w:right w:val="none" w:sz="0" w:space="0" w:color="auto"/>
      </w:divBdr>
    </w:div>
    <w:div w:id="1178010179">
      <w:bodyDiv w:val="1"/>
      <w:marLeft w:val="0"/>
      <w:marRight w:val="0"/>
      <w:marTop w:val="0"/>
      <w:marBottom w:val="0"/>
      <w:divBdr>
        <w:top w:val="none" w:sz="0" w:space="0" w:color="auto"/>
        <w:left w:val="none" w:sz="0" w:space="0" w:color="auto"/>
        <w:bottom w:val="none" w:sz="0" w:space="0" w:color="auto"/>
        <w:right w:val="none" w:sz="0" w:space="0" w:color="auto"/>
      </w:divBdr>
    </w:div>
    <w:div w:id="1180007224">
      <w:bodyDiv w:val="1"/>
      <w:marLeft w:val="0"/>
      <w:marRight w:val="0"/>
      <w:marTop w:val="0"/>
      <w:marBottom w:val="0"/>
      <w:divBdr>
        <w:top w:val="none" w:sz="0" w:space="0" w:color="auto"/>
        <w:left w:val="none" w:sz="0" w:space="0" w:color="auto"/>
        <w:bottom w:val="none" w:sz="0" w:space="0" w:color="auto"/>
        <w:right w:val="none" w:sz="0" w:space="0" w:color="auto"/>
      </w:divBdr>
    </w:div>
    <w:div w:id="1188327632">
      <w:bodyDiv w:val="1"/>
      <w:marLeft w:val="0"/>
      <w:marRight w:val="0"/>
      <w:marTop w:val="0"/>
      <w:marBottom w:val="0"/>
      <w:divBdr>
        <w:top w:val="none" w:sz="0" w:space="0" w:color="auto"/>
        <w:left w:val="none" w:sz="0" w:space="0" w:color="auto"/>
        <w:bottom w:val="none" w:sz="0" w:space="0" w:color="auto"/>
        <w:right w:val="none" w:sz="0" w:space="0" w:color="auto"/>
      </w:divBdr>
    </w:div>
    <w:div w:id="1224637634">
      <w:bodyDiv w:val="1"/>
      <w:marLeft w:val="0"/>
      <w:marRight w:val="0"/>
      <w:marTop w:val="0"/>
      <w:marBottom w:val="0"/>
      <w:divBdr>
        <w:top w:val="none" w:sz="0" w:space="0" w:color="auto"/>
        <w:left w:val="none" w:sz="0" w:space="0" w:color="auto"/>
        <w:bottom w:val="none" w:sz="0" w:space="0" w:color="auto"/>
        <w:right w:val="none" w:sz="0" w:space="0" w:color="auto"/>
      </w:divBdr>
    </w:div>
    <w:div w:id="1233733060">
      <w:bodyDiv w:val="1"/>
      <w:marLeft w:val="0"/>
      <w:marRight w:val="0"/>
      <w:marTop w:val="0"/>
      <w:marBottom w:val="0"/>
      <w:divBdr>
        <w:top w:val="none" w:sz="0" w:space="0" w:color="auto"/>
        <w:left w:val="none" w:sz="0" w:space="0" w:color="auto"/>
        <w:bottom w:val="none" w:sz="0" w:space="0" w:color="auto"/>
        <w:right w:val="none" w:sz="0" w:space="0" w:color="auto"/>
      </w:divBdr>
    </w:div>
    <w:div w:id="1238830791">
      <w:bodyDiv w:val="1"/>
      <w:marLeft w:val="0"/>
      <w:marRight w:val="0"/>
      <w:marTop w:val="0"/>
      <w:marBottom w:val="0"/>
      <w:divBdr>
        <w:top w:val="none" w:sz="0" w:space="0" w:color="auto"/>
        <w:left w:val="none" w:sz="0" w:space="0" w:color="auto"/>
        <w:bottom w:val="none" w:sz="0" w:space="0" w:color="auto"/>
        <w:right w:val="none" w:sz="0" w:space="0" w:color="auto"/>
      </w:divBdr>
    </w:div>
    <w:div w:id="1246841460">
      <w:bodyDiv w:val="1"/>
      <w:marLeft w:val="0"/>
      <w:marRight w:val="0"/>
      <w:marTop w:val="0"/>
      <w:marBottom w:val="0"/>
      <w:divBdr>
        <w:top w:val="none" w:sz="0" w:space="0" w:color="auto"/>
        <w:left w:val="none" w:sz="0" w:space="0" w:color="auto"/>
        <w:bottom w:val="none" w:sz="0" w:space="0" w:color="auto"/>
        <w:right w:val="none" w:sz="0" w:space="0" w:color="auto"/>
      </w:divBdr>
    </w:div>
    <w:div w:id="1249773503">
      <w:bodyDiv w:val="1"/>
      <w:marLeft w:val="0"/>
      <w:marRight w:val="0"/>
      <w:marTop w:val="0"/>
      <w:marBottom w:val="0"/>
      <w:divBdr>
        <w:top w:val="none" w:sz="0" w:space="0" w:color="auto"/>
        <w:left w:val="none" w:sz="0" w:space="0" w:color="auto"/>
        <w:bottom w:val="none" w:sz="0" w:space="0" w:color="auto"/>
        <w:right w:val="none" w:sz="0" w:space="0" w:color="auto"/>
      </w:divBdr>
    </w:div>
    <w:div w:id="1253276765">
      <w:bodyDiv w:val="1"/>
      <w:marLeft w:val="0"/>
      <w:marRight w:val="0"/>
      <w:marTop w:val="0"/>
      <w:marBottom w:val="0"/>
      <w:divBdr>
        <w:top w:val="none" w:sz="0" w:space="0" w:color="auto"/>
        <w:left w:val="none" w:sz="0" w:space="0" w:color="auto"/>
        <w:bottom w:val="none" w:sz="0" w:space="0" w:color="auto"/>
        <w:right w:val="none" w:sz="0" w:space="0" w:color="auto"/>
      </w:divBdr>
    </w:div>
    <w:div w:id="1254584097">
      <w:bodyDiv w:val="1"/>
      <w:marLeft w:val="0"/>
      <w:marRight w:val="0"/>
      <w:marTop w:val="0"/>
      <w:marBottom w:val="0"/>
      <w:divBdr>
        <w:top w:val="none" w:sz="0" w:space="0" w:color="auto"/>
        <w:left w:val="none" w:sz="0" w:space="0" w:color="auto"/>
        <w:bottom w:val="none" w:sz="0" w:space="0" w:color="auto"/>
        <w:right w:val="none" w:sz="0" w:space="0" w:color="auto"/>
      </w:divBdr>
    </w:div>
    <w:div w:id="1255628630">
      <w:bodyDiv w:val="1"/>
      <w:marLeft w:val="0"/>
      <w:marRight w:val="0"/>
      <w:marTop w:val="0"/>
      <w:marBottom w:val="0"/>
      <w:divBdr>
        <w:top w:val="none" w:sz="0" w:space="0" w:color="auto"/>
        <w:left w:val="none" w:sz="0" w:space="0" w:color="auto"/>
        <w:bottom w:val="none" w:sz="0" w:space="0" w:color="auto"/>
        <w:right w:val="none" w:sz="0" w:space="0" w:color="auto"/>
      </w:divBdr>
    </w:div>
    <w:div w:id="1269123826">
      <w:bodyDiv w:val="1"/>
      <w:marLeft w:val="0"/>
      <w:marRight w:val="0"/>
      <w:marTop w:val="0"/>
      <w:marBottom w:val="0"/>
      <w:divBdr>
        <w:top w:val="none" w:sz="0" w:space="0" w:color="auto"/>
        <w:left w:val="none" w:sz="0" w:space="0" w:color="auto"/>
        <w:bottom w:val="none" w:sz="0" w:space="0" w:color="auto"/>
        <w:right w:val="none" w:sz="0" w:space="0" w:color="auto"/>
      </w:divBdr>
    </w:div>
    <w:div w:id="1270115369">
      <w:bodyDiv w:val="1"/>
      <w:marLeft w:val="0"/>
      <w:marRight w:val="0"/>
      <w:marTop w:val="0"/>
      <w:marBottom w:val="0"/>
      <w:divBdr>
        <w:top w:val="none" w:sz="0" w:space="0" w:color="auto"/>
        <w:left w:val="none" w:sz="0" w:space="0" w:color="auto"/>
        <w:bottom w:val="none" w:sz="0" w:space="0" w:color="auto"/>
        <w:right w:val="none" w:sz="0" w:space="0" w:color="auto"/>
      </w:divBdr>
    </w:div>
    <w:div w:id="1270813467">
      <w:bodyDiv w:val="1"/>
      <w:marLeft w:val="0"/>
      <w:marRight w:val="0"/>
      <w:marTop w:val="0"/>
      <w:marBottom w:val="0"/>
      <w:divBdr>
        <w:top w:val="none" w:sz="0" w:space="0" w:color="auto"/>
        <w:left w:val="none" w:sz="0" w:space="0" w:color="auto"/>
        <w:bottom w:val="none" w:sz="0" w:space="0" w:color="auto"/>
        <w:right w:val="none" w:sz="0" w:space="0" w:color="auto"/>
      </w:divBdr>
    </w:div>
    <w:div w:id="1271863923">
      <w:bodyDiv w:val="1"/>
      <w:marLeft w:val="0"/>
      <w:marRight w:val="0"/>
      <w:marTop w:val="0"/>
      <w:marBottom w:val="0"/>
      <w:divBdr>
        <w:top w:val="none" w:sz="0" w:space="0" w:color="auto"/>
        <w:left w:val="none" w:sz="0" w:space="0" w:color="auto"/>
        <w:bottom w:val="none" w:sz="0" w:space="0" w:color="auto"/>
        <w:right w:val="none" w:sz="0" w:space="0" w:color="auto"/>
      </w:divBdr>
    </w:div>
    <w:div w:id="1278948493">
      <w:bodyDiv w:val="1"/>
      <w:marLeft w:val="0"/>
      <w:marRight w:val="0"/>
      <w:marTop w:val="0"/>
      <w:marBottom w:val="0"/>
      <w:divBdr>
        <w:top w:val="none" w:sz="0" w:space="0" w:color="auto"/>
        <w:left w:val="none" w:sz="0" w:space="0" w:color="auto"/>
        <w:bottom w:val="none" w:sz="0" w:space="0" w:color="auto"/>
        <w:right w:val="none" w:sz="0" w:space="0" w:color="auto"/>
      </w:divBdr>
    </w:div>
    <w:div w:id="1282103491">
      <w:bodyDiv w:val="1"/>
      <w:marLeft w:val="0"/>
      <w:marRight w:val="0"/>
      <w:marTop w:val="0"/>
      <w:marBottom w:val="0"/>
      <w:divBdr>
        <w:top w:val="none" w:sz="0" w:space="0" w:color="auto"/>
        <w:left w:val="none" w:sz="0" w:space="0" w:color="auto"/>
        <w:bottom w:val="none" w:sz="0" w:space="0" w:color="auto"/>
        <w:right w:val="none" w:sz="0" w:space="0" w:color="auto"/>
      </w:divBdr>
    </w:div>
    <w:div w:id="1282688443">
      <w:bodyDiv w:val="1"/>
      <w:marLeft w:val="0"/>
      <w:marRight w:val="0"/>
      <w:marTop w:val="0"/>
      <w:marBottom w:val="0"/>
      <w:divBdr>
        <w:top w:val="none" w:sz="0" w:space="0" w:color="auto"/>
        <w:left w:val="none" w:sz="0" w:space="0" w:color="auto"/>
        <w:bottom w:val="none" w:sz="0" w:space="0" w:color="auto"/>
        <w:right w:val="none" w:sz="0" w:space="0" w:color="auto"/>
      </w:divBdr>
    </w:div>
    <w:div w:id="1288468845">
      <w:bodyDiv w:val="1"/>
      <w:marLeft w:val="0"/>
      <w:marRight w:val="0"/>
      <w:marTop w:val="0"/>
      <w:marBottom w:val="0"/>
      <w:divBdr>
        <w:top w:val="none" w:sz="0" w:space="0" w:color="auto"/>
        <w:left w:val="none" w:sz="0" w:space="0" w:color="auto"/>
        <w:bottom w:val="none" w:sz="0" w:space="0" w:color="auto"/>
        <w:right w:val="none" w:sz="0" w:space="0" w:color="auto"/>
      </w:divBdr>
    </w:div>
    <w:div w:id="1288896820">
      <w:bodyDiv w:val="1"/>
      <w:marLeft w:val="0"/>
      <w:marRight w:val="0"/>
      <w:marTop w:val="0"/>
      <w:marBottom w:val="0"/>
      <w:divBdr>
        <w:top w:val="none" w:sz="0" w:space="0" w:color="auto"/>
        <w:left w:val="none" w:sz="0" w:space="0" w:color="auto"/>
        <w:bottom w:val="none" w:sz="0" w:space="0" w:color="auto"/>
        <w:right w:val="none" w:sz="0" w:space="0" w:color="auto"/>
      </w:divBdr>
    </w:div>
    <w:div w:id="1301232862">
      <w:bodyDiv w:val="1"/>
      <w:marLeft w:val="0"/>
      <w:marRight w:val="0"/>
      <w:marTop w:val="0"/>
      <w:marBottom w:val="0"/>
      <w:divBdr>
        <w:top w:val="none" w:sz="0" w:space="0" w:color="auto"/>
        <w:left w:val="none" w:sz="0" w:space="0" w:color="auto"/>
        <w:bottom w:val="none" w:sz="0" w:space="0" w:color="auto"/>
        <w:right w:val="none" w:sz="0" w:space="0" w:color="auto"/>
      </w:divBdr>
    </w:div>
    <w:div w:id="1306475698">
      <w:bodyDiv w:val="1"/>
      <w:marLeft w:val="0"/>
      <w:marRight w:val="0"/>
      <w:marTop w:val="0"/>
      <w:marBottom w:val="0"/>
      <w:divBdr>
        <w:top w:val="none" w:sz="0" w:space="0" w:color="auto"/>
        <w:left w:val="none" w:sz="0" w:space="0" w:color="auto"/>
        <w:bottom w:val="none" w:sz="0" w:space="0" w:color="auto"/>
        <w:right w:val="none" w:sz="0" w:space="0" w:color="auto"/>
      </w:divBdr>
    </w:div>
    <w:div w:id="1310209148">
      <w:bodyDiv w:val="1"/>
      <w:marLeft w:val="0"/>
      <w:marRight w:val="0"/>
      <w:marTop w:val="0"/>
      <w:marBottom w:val="0"/>
      <w:divBdr>
        <w:top w:val="none" w:sz="0" w:space="0" w:color="auto"/>
        <w:left w:val="none" w:sz="0" w:space="0" w:color="auto"/>
        <w:bottom w:val="none" w:sz="0" w:space="0" w:color="auto"/>
        <w:right w:val="none" w:sz="0" w:space="0" w:color="auto"/>
      </w:divBdr>
    </w:div>
    <w:div w:id="1317564992">
      <w:bodyDiv w:val="1"/>
      <w:marLeft w:val="0"/>
      <w:marRight w:val="0"/>
      <w:marTop w:val="0"/>
      <w:marBottom w:val="0"/>
      <w:divBdr>
        <w:top w:val="none" w:sz="0" w:space="0" w:color="auto"/>
        <w:left w:val="none" w:sz="0" w:space="0" w:color="auto"/>
        <w:bottom w:val="none" w:sz="0" w:space="0" w:color="auto"/>
        <w:right w:val="none" w:sz="0" w:space="0" w:color="auto"/>
      </w:divBdr>
    </w:div>
    <w:div w:id="1324620882">
      <w:bodyDiv w:val="1"/>
      <w:marLeft w:val="0"/>
      <w:marRight w:val="0"/>
      <w:marTop w:val="0"/>
      <w:marBottom w:val="0"/>
      <w:divBdr>
        <w:top w:val="none" w:sz="0" w:space="0" w:color="auto"/>
        <w:left w:val="none" w:sz="0" w:space="0" w:color="auto"/>
        <w:bottom w:val="none" w:sz="0" w:space="0" w:color="auto"/>
        <w:right w:val="none" w:sz="0" w:space="0" w:color="auto"/>
      </w:divBdr>
    </w:div>
    <w:div w:id="1340160407">
      <w:bodyDiv w:val="1"/>
      <w:marLeft w:val="0"/>
      <w:marRight w:val="0"/>
      <w:marTop w:val="0"/>
      <w:marBottom w:val="0"/>
      <w:divBdr>
        <w:top w:val="none" w:sz="0" w:space="0" w:color="auto"/>
        <w:left w:val="none" w:sz="0" w:space="0" w:color="auto"/>
        <w:bottom w:val="none" w:sz="0" w:space="0" w:color="auto"/>
        <w:right w:val="none" w:sz="0" w:space="0" w:color="auto"/>
      </w:divBdr>
    </w:div>
    <w:div w:id="1347362234">
      <w:bodyDiv w:val="1"/>
      <w:marLeft w:val="0"/>
      <w:marRight w:val="0"/>
      <w:marTop w:val="0"/>
      <w:marBottom w:val="0"/>
      <w:divBdr>
        <w:top w:val="none" w:sz="0" w:space="0" w:color="auto"/>
        <w:left w:val="none" w:sz="0" w:space="0" w:color="auto"/>
        <w:bottom w:val="none" w:sz="0" w:space="0" w:color="auto"/>
        <w:right w:val="none" w:sz="0" w:space="0" w:color="auto"/>
      </w:divBdr>
    </w:div>
    <w:div w:id="1348629695">
      <w:bodyDiv w:val="1"/>
      <w:marLeft w:val="0"/>
      <w:marRight w:val="0"/>
      <w:marTop w:val="0"/>
      <w:marBottom w:val="0"/>
      <w:divBdr>
        <w:top w:val="none" w:sz="0" w:space="0" w:color="auto"/>
        <w:left w:val="none" w:sz="0" w:space="0" w:color="auto"/>
        <w:bottom w:val="none" w:sz="0" w:space="0" w:color="auto"/>
        <w:right w:val="none" w:sz="0" w:space="0" w:color="auto"/>
      </w:divBdr>
    </w:div>
    <w:div w:id="1354116702">
      <w:bodyDiv w:val="1"/>
      <w:marLeft w:val="0"/>
      <w:marRight w:val="0"/>
      <w:marTop w:val="0"/>
      <w:marBottom w:val="0"/>
      <w:divBdr>
        <w:top w:val="none" w:sz="0" w:space="0" w:color="auto"/>
        <w:left w:val="none" w:sz="0" w:space="0" w:color="auto"/>
        <w:bottom w:val="none" w:sz="0" w:space="0" w:color="auto"/>
        <w:right w:val="none" w:sz="0" w:space="0" w:color="auto"/>
      </w:divBdr>
    </w:div>
    <w:div w:id="1360622444">
      <w:bodyDiv w:val="1"/>
      <w:marLeft w:val="0"/>
      <w:marRight w:val="0"/>
      <w:marTop w:val="0"/>
      <w:marBottom w:val="0"/>
      <w:divBdr>
        <w:top w:val="none" w:sz="0" w:space="0" w:color="auto"/>
        <w:left w:val="none" w:sz="0" w:space="0" w:color="auto"/>
        <w:bottom w:val="none" w:sz="0" w:space="0" w:color="auto"/>
        <w:right w:val="none" w:sz="0" w:space="0" w:color="auto"/>
      </w:divBdr>
    </w:div>
    <w:div w:id="1360744922">
      <w:bodyDiv w:val="1"/>
      <w:marLeft w:val="0"/>
      <w:marRight w:val="0"/>
      <w:marTop w:val="0"/>
      <w:marBottom w:val="0"/>
      <w:divBdr>
        <w:top w:val="none" w:sz="0" w:space="0" w:color="auto"/>
        <w:left w:val="none" w:sz="0" w:space="0" w:color="auto"/>
        <w:bottom w:val="none" w:sz="0" w:space="0" w:color="auto"/>
        <w:right w:val="none" w:sz="0" w:space="0" w:color="auto"/>
      </w:divBdr>
    </w:div>
    <w:div w:id="1361589263">
      <w:bodyDiv w:val="1"/>
      <w:marLeft w:val="0"/>
      <w:marRight w:val="0"/>
      <w:marTop w:val="0"/>
      <w:marBottom w:val="0"/>
      <w:divBdr>
        <w:top w:val="none" w:sz="0" w:space="0" w:color="auto"/>
        <w:left w:val="none" w:sz="0" w:space="0" w:color="auto"/>
        <w:bottom w:val="none" w:sz="0" w:space="0" w:color="auto"/>
        <w:right w:val="none" w:sz="0" w:space="0" w:color="auto"/>
      </w:divBdr>
    </w:div>
    <w:div w:id="1368873442">
      <w:bodyDiv w:val="1"/>
      <w:marLeft w:val="0"/>
      <w:marRight w:val="0"/>
      <w:marTop w:val="0"/>
      <w:marBottom w:val="0"/>
      <w:divBdr>
        <w:top w:val="none" w:sz="0" w:space="0" w:color="auto"/>
        <w:left w:val="none" w:sz="0" w:space="0" w:color="auto"/>
        <w:bottom w:val="none" w:sz="0" w:space="0" w:color="auto"/>
        <w:right w:val="none" w:sz="0" w:space="0" w:color="auto"/>
      </w:divBdr>
    </w:div>
    <w:div w:id="1371950236">
      <w:bodyDiv w:val="1"/>
      <w:marLeft w:val="0"/>
      <w:marRight w:val="0"/>
      <w:marTop w:val="0"/>
      <w:marBottom w:val="0"/>
      <w:divBdr>
        <w:top w:val="none" w:sz="0" w:space="0" w:color="auto"/>
        <w:left w:val="none" w:sz="0" w:space="0" w:color="auto"/>
        <w:bottom w:val="none" w:sz="0" w:space="0" w:color="auto"/>
        <w:right w:val="none" w:sz="0" w:space="0" w:color="auto"/>
      </w:divBdr>
    </w:div>
    <w:div w:id="1374159344">
      <w:bodyDiv w:val="1"/>
      <w:marLeft w:val="0"/>
      <w:marRight w:val="0"/>
      <w:marTop w:val="0"/>
      <w:marBottom w:val="0"/>
      <w:divBdr>
        <w:top w:val="none" w:sz="0" w:space="0" w:color="auto"/>
        <w:left w:val="none" w:sz="0" w:space="0" w:color="auto"/>
        <w:bottom w:val="none" w:sz="0" w:space="0" w:color="auto"/>
        <w:right w:val="none" w:sz="0" w:space="0" w:color="auto"/>
      </w:divBdr>
    </w:div>
    <w:div w:id="1374190227">
      <w:bodyDiv w:val="1"/>
      <w:marLeft w:val="0"/>
      <w:marRight w:val="0"/>
      <w:marTop w:val="0"/>
      <w:marBottom w:val="0"/>
      <w:divBdr>
        <w:top w:val="none" w:sz="0" w:space="0" w:color="auto"/>
        <w:left w:val="none" w:sz="0" w:space="0" w:color="auto"/>
        <w:bottom w:val="none" w:sz="0" w:space="0" w:color="auto"/>
        <w:right w:val="none" w:sz="0" w:space="0" w:color="auto"/>
      </w:divBdr>
    </w:div>
    <w:div w:id="1376809589">
      <w:bodyDiv w:val="1"/>
      <w:marLeft w:val="0"/>
      <w:marRight w:val="0"/>
      <w:marTop w:val="0"/>
      <w:marBottom w:val="0"/>
      <w:divBdr>
        <w:top w:val="none" w:sz="0" w:space="0" w:color="auto"/>
        <w:left w:val="none" w:sz="0" w:space="0" w:color="auto"/>
        <w:bottom w:val="none" w:sz="0" w:space="0" w:color="auto"/>
        <w:right w:val="none" w:sz="0" w:space="0" w:color="auto"/>
      </w:divBdr>
    </w:div>
    <w:div w:id="1381900304">
      <w:bodyDiv w:val="1"/>
      <w:marLeft w:val="0"/>
      <w:marRight w:val="0"/>
      <w:marTop w:val="0"/>
      <w:marBottom w:val="0"/>
      <w:divBdr>
        <w:top w:val="none" w:sz="0" w:space="0" w:color="auto"/>
        <w:left w:val="none" w:sz="0" w:space="0" w:color="auto"/>
        <w:bottom w:val="none" w:sz="0" w:space="0" w:color="auto"/>
        <w:right w:val="none" w:sz="0" w:space="0" w:color="auto"/>
      </w:divBdr>
    </w:div>
    <w:div w:id="1382901606">
      <w:bodyDiv w:val="1"/>
      <w:marLeft w:val="0"/>
      <w:marRight w:val="0"/>
      <w:marTop w:val="0"/>
      <w:marBottom w:val="0"/>
      <w:divBdr>
        <w:top w:val="none" w:sz="0" w:space="0" w:color="auto"/>
        <w:left w:val="none" w:sz="0" w:space="0" w:color="auto"/>
        <w:bottom w:val="none" w:sz="0" w:space="0" w:color="auto"/>
        <w:right w:val="none" w:sz="0" w:space="0" w:color="auto"/>
      </w:divBdr>
    </w:div>
    <w:div w:id="1384985105">
      <w:bodyDiv w:val="1"/>
      <w:marLeft w:val="0"/>
      <w:marRight w:val="0"/>
      <w:marTop w:val="0"/>
      <w:marBottom w:val="0"/>
      <w:divBdr>
        <w:top w:val="none" w:sz="0" w:space="0" w:color="auto"/>
        <w:left w:val="none" w:sz="0" w:space="0" w:color="auto"/>
        <w:bottom w:val="none" w:sz="0" w:space="0" w:color="auto"/>
        <w:right w:val="none" w:sz="0" w:space="0" w:color="auto"/>
      </w:divBdr>
    </w:div>
    <w:div w:id="1386293890">
      <w:bodyDiv w:val="1"/>
      <w:marLeft w:val="0"/>
      <w:marRight w:val="0"/>
      <w:marTop w:val="0"/>
      <w:marBottom w:val="0"/>
      <w:divBdr>
        <w:top w:val="none" w:sz="0" w:space="0" w:color="auto"/>
        <w:left w:val="none" w:sz="0" w:space="0" w:color="auto"/>
        <w:bottom w:val="none" w:sz="0" w:space="0" w:color="auto"/>
        <w:right w:val="none" w:sz="0" w:space="0" w:color="auto"/>
      </w:divBdr>
    </w:div>
    <w:div w:id="1391683739">
      <w:bodyDiv w:val="1"/>
      <w:marLeft w:val="0"/>
      <w:marRight w:val="0"/>
      <w:marTop w:val="0"/>
      <w:marBottom w:val="0"/>
      <w:divBdr>
        <w:top w:val="none" w:sz="0" w:space="0" w:color="auto"/>
        <w:left w:val="none" w:sz="0" w:space="0" w:color="auto"/>
        <w:bottom w:val="none" w:sz="0" w:space="0" w:color="auto"/>
        <w:right w:val="none" w:sz="0" w:space="0" w:color="auto"/>
      </w:divBdr>
    </w:div>
    <w:div w:id="1391726718">
      <w:bodyDiv w:val="1"/>
      <w:marLeft w:val="0"/>
      <w:marRight w:val="0"/>
      <w:marTop w:val="0"/>
      <w:marBottom w:val="0"/>
      <w:divBdr>
        <w:top w:val="none" w:sz="0" w:space="0" w:color="auto"/>
        <w:left w:val="none" w:sz="0" w:space="0" w:color="auto"/>
        <w:bottom w:val="none" w:sz="0" w:space="0" w:color="auto"/>
        <w:right w:val="none" w:sz="0" w:space="0" w:color="auto"/>
      </w:divBdr>
    </w:div>
    <w:div w:id="1397433484">
      <w:bodyDiv w:val="1"/>
      <w:marLeft w:val="0"/>
      <w:marRight w:val="0"/>
      <w:marTop w:val="0"/>
      <w:marBottom w:val="0"/>
      <w:divBdr>
        <w:top w:val="none" w:sz="0" w:space="0" w:color="auto"/>
        <w:left w:val="none" w:sz="0" w:space="0" w:color="auto"/>
        <w:bottom w:val="none" w:sz="0" w:space="0" w:color="auto"/>
        <w:right w:val="none" w:sz="0" w:space="0" w:color="auto"/>
      </w:divBdr>
    </w:div>
    <w:div w:id="1401057878">
      <w:bodyDiv w:val="1"/>
      <w:marLeft w:val="0"/>
      <w:marRight w:val="0"/>
      <w:marTop w:val="0"/>
      <w:marBottom w:val="0"/>
      <w:divBdr>
        <w:top w:val="none" w:sz="0" w:space="0" w:color="auto"/>
        <w:left w:val="none" w:sz="0" w:space="0" w:color="auto"/>
        <w:bottom w:val="none" w:sz="0" w:space="0" w:color="auto"/>
        <w:right w:val="none" w:sz="0" w:space="0" w:color="auto"/>
      </w:divBdr>
    </w:div>
    <w:div w:id="1401557945">
      <w:bodyDiv w:val="1"/>
      <w:marLeft w:val="0"/>
      <w:marRight w:val="0"/>
      <w:marTop w:val="0"/>
      <w:marBottom w:val="0"/>
      <w:divBdr>
        <w:top w:val="none" w:sz="0" w:space="0" w:color="auto"/>
        <w:left w:val="none" w:sz="0" w:space="0" w:color="auto"/>
        <w:bottom w:val="none" w:sz="0" w:space="0" w:color="auto"/>
        <w:right w:val="none" w:sz="0" w:space="0" w:color="auto"/>
      </w:divBdr>
    </w:div>
    <w:div w:id="1401825445">
      <w:bodyDiv w:val="1"/>
      <w:marLeft w:val="0"/>
      <w:marRight w:val="0"/>
      <w:marTop w:val="0"/>
      <w:marBottom w:val="0"/>
      <w:divBdr>
        <w:top w:val="none" w:sz="0" w:space="0" w:color="auto"/>
        <w:left w:val="none" w:sz="0" w:space="0" w:color="auto"/>
        <w:bottom w:val="none" w:sz="0" w:space="0" w:color="auto"/>
        <w:right w:val="none" w:sz="0" w:space="0" w:color="auto"/>
      </w:divBdr>
    </w:div>
    <w:div w:id="1409380841">
      <w:bodyDiv w:val="1"/>
      <w:marLeft w:val="0"/>
      <w:marRight w:val="0"/>
      <w:marTop w:val="0"/>
      <w:marBottom w:val="0"/>
      <w:divBdr>
        <w:top w:val="none" w:sz="0" w:space="0" w:color="auto"/>
        <w:left w:val="none" w:sz="0" w:space="0" w:color="auto"/>
        <w:bottom w:val="none" w:sz="0" w:space="0" w:color="auto"/>
        <w:right w:val="none" w:sz="0" w:space="0" w:color="auto"/>
      </w:divBdr>
    </w:div>
    <w:div w:id="1413433311">
      <w:bodyDiv w:val="1"/>
      <w:marLeft w:val="0"/>
      <w:marRight w:val="0"/>
      <w:marTop w:val="0"/>
      <w:marBottom w:val="0"/>
      <w:divBdr>
        <w:top w:val="none" w:sz="0" w:space="0" w:color="auto"/>
        <w:left w:val="none" w:sz="0" w:space="0" w:color="auto"/>
        <w:bottom w:val="none" w:sz="0" w:space="0" w:color="auto"/>
        <w:right w:val="none" w:sz="0" w:space="0" w:color="auto"/>
      </w:divBdr>
    </w:div>
    <w:div w:id="1439568479">
      <w:bodyDiv w:val="1"/>
      <w:marLeft w:val="0"/>
      <w:marRight w:val="0"/>
      <w:marTop w:val="0"/>
      <w:marBottom w:val="0"/>
      <w:divBdr>
        <w:top w:val="none" w:sz="0" w:space="0" w:color="auto"/>
        <w:left w:val="none" w:sz="0" w:space="0" w:color="auto"/>
        <w:bottom w:val="none" w:sz="0" w:space="0" w:color="auto"/>
        <w:right w:val="none" w:sz="0" w:space="0" w:color="auto"/>
      </w:divBdr>
    </w:div>
    <w:div w:id="1441485508">
      <w:bodyDiv w:val="1"/>
      <w:marLeft w:val="0"/>
      <w:marRight w:val="0"/>
      <w:marTop w:val="0"/>
      <w:marBottom w:val="0"/>
      <w:divBdr>
        <w:top w:val="none" w:sz="0" w:space="0" w:color="auto"/>
        <w:left w:val="none" w:sz="0" w:space="0" w:color="auto"/>
        <w:bottom w:val="none" w:sz="0" w:space="0" w:color="auto"/>
        <w:right w:val="none" w:sz="0" w:space="0" w:color="auto"/>
      </w:divBdr>
    </w:div>
    <w:div w:id="1442451840">
      <w:bodyDiv w:val="1"/>
      <w:marLeft w:val="0"/>
      <w:marRight w:val="0"/>
      <w:marTop w:val="0"/>
      <w:marBottom w:val="0"/>
      <w:divBdr>
        <w:top w:val="none" w:sz="0" w:space="0" w:color="auto"/>
        <w:left w:val="none" w:sz="0" w:space="0" w:color="auto"/>
        <w:bottom w:val="none" w:sz="0" w:space="0" w:color="auto"/>
        <w:right w:val="none" w:sz="0" w:space="0" w:color="auto"/>
      </w:divBdr>
    </w:div>
    <w:div w:id="1445340382">
      <w:bodyDiv w:val="1"/>
      <w:marLeft w:val="0"/>
      <w:marRight w:val="0"/>
      <w:marTop w:val="0"/>
      <w:marBottom w:val="0"/>
      <w:divBdr>
        <w:top w:val="none" w:sz="0" w:space="0" w:color="auto"/>
        <w:left w:val="none" w:sz="0" w:space="0" w:color="auto"/>
        <w:bottom w:val="none" w:sz="0" w:space="0" w:color="auto"/>
        <w:right w:val="none" w:sz="0" w:space="0" w:color="auto"/>
      </w:divBdr>
    </w:div>
    <w:div w:id="1451436517">
      <w:bodyDiv w:val="1"/>
      <w:marLeft w:val="0"/>
      <w:marRight w:val="0"/>
      <w:marTop w:val="0"/>
      <w:marBottom w:val="0"/>
      <w:divBdr>
        <w:top w:val="none" w:sz="0" w:space="0" w:color="auto"/>
        <w:left w:val="none" w:sz="0" w:space="0" w:color="auto"/>
        <w:bottom w:val="none" w:sz="0" w:space="0" w:color="auto"/>
        <w:right w:val="none" w:sz="0" w:space="0" w:color="auto"/>
      </w:divBdr>
    </w:div>
    <w:div w:id="1452168269">
      <w:bodyDiv w:val="1"/>
      <w:marLeft w:val="0"/>
      <w:marRight w:val="0"/>
      <w:marTop w:val="0"/>
      <w:marBottom w:val="0"/>
      <w:divBdr>
        <w:top w:val="none" w:sz="0" w:space="0" w:color="auto"/>
        <w:left w:val="none" w:sz="0" w:space="0" w:color="auto"/>
        <w:bottom w:val="none" w:sz="0" w:space="0" w:color="auto"/>
        <w:right w:val="none" w:sz="0" w:space="0" w:color="auto"/>
      </w:divBdr>
    </w:div>
    <w:div w:id="1453019733">
      <w:bodyDiv w:val="1"/>
      <w:marLeft w:val="0"/>
      <w:marRight w:val="0"/>
      <w:marTop w:val="0"/>
      <w:marBottom w:val="0"/>
      <w:divBdr>
        <w:top w:val="none" w:sz="0" w:space="0" w:color="auto"/>
        <w:left w:val="none" w:sz="0" w:space="0" w:color="auto"/>
        <w:bottom w:val="none" w:sz="0" w:space="0" w:color="auto"/>
        <w:right w:val="none" w:sz="0" w:space="0" w:color="auto"/>
      </w:divBdr>
    </w:div>
    <w:div w:id="1466266832">
      <w:bodyDiv w:val="1"/>
      <w:marLeft w:val="0"/>
      <w:marRight w:val="0"/>
      <w:marTop w:val="0"/>
      <w:marBottom w:val="0"/>
      <w:divBdr>
        <w:top w:val="none" w:sz="0" w:space="0" w:color="auto"/>
        <w:left w:val="none" w:sz="0" w:space="0" w:color="auto"/>
        <w:bottom w:val="none" w:sz="0" w:space="0" w:color="auto"/>
        <w:right w:val="none" w:sz="0" w:space="0" w:color="auto"/>
      </w:divBdr>
    </w:div>
    <w:div w:id="1468543678">
      <w:bodyDiv w:val="1"/>
      <w:marLeft w:val="0"/>
      <w:marRight w:val="0"/>
      <w:marTop w:val="0"/>
      <w:marBottom w:val="0"/>
      <w:divBdr>
        <w:top w:val="none" w:sz="0" w:space="0" w:color="auto"/>
        <w:left w:val="none" w:sz="0" w:space="0" w:color="auto"/>
        <w:bottom w:val="none" w:sz="0" w:space="0" w:color="auto"/>
        <w:right w:val="none" w:sz="0" w:space="0" w:color="auto"/>
      </w:divBdr>
    </w:div>
    <w:div w:id="1469669264">
      <w:bodyDiv w:val="1"/>
      <w:marLeft w:val="0"/>
      <w:marRight w:val="0"/>
      <w:marTop w:val="0"/>
      <w:marBottom w:val="0"/>
      <w:divBdr>
        <w:top w:val="none" w:sz="0" w:space="0" w:color="auto"/>
        <w:left w:val="none" w:sz="0" w:space="0" w:color="auto"/>
        <w:bottom w:val="none" w:sz="0" w:space="0" w:color="auto"/>
        <w:right w:val="none" w:sz="0" w:space="0" w:color="auto"/>
      </w:divBdr>
    </w:div>
    <w:div w:id="1476021037">
      <w:bodyDiv w:val="1"/>
      <w:marLeft w:val="0"/>
      <w:marRight w:val="0"/>
      <w:marTop w:val="0"/>
      <w:marBottom w:val="0"/>
      <w:divBdr>
        <w:top w:val="none" w:sz="0" w:space="0" w:color="auto"/>
        <w:left w:val="none" w:sz="0" w:space="0" w:color="auto"/>
        <w:bottom w:val="none" w:sz="0" w:space="0" w:color="auto"/>
        <w:right w:val="none" w:sz="0" w:space="0" w:color="auto"/>
      </w:divBdr>
    </w:div>
    <w:div w:id="1479179253">
      <w:bodyDiv w:val="1"/>
      <w:marLeft w:val="0"/>
      <w:marRight w:val="0"/>
      <w:marTop w:val="0"/>
      <w:marBottom w:val="0"/>
      <w:divBdr>
        <w:top w:val="none" w:sz="0" w:space="0" w:color="auto"/>
        <w:left w:val="none" w:sz="0" w:space="0" w:color="auto"/>
        <w:bottom w:val="none" w:sz="0" w:space="0" w:color="auto"/>
        <w:right w:val="none" w:sz="0" w:space="0" w:color="auto"/>
      </w:divBdr>
    </w:div>
    <w:div w:id="1487089325">
      <w:bodyDiv w:val="1"/>
      <w:marLeft w:val="0"/>
      <w:marRight w:val="0"/>
      <w:marTop w:val="0"/>
      <w:marBottom w:val="0"/>
      <w:divBdr>
        <w:top w:val="none" w:sz="0" w:space="0" w:color="auto"/>
        <w:left w:val="none" w:sz="0" w:space="0" w:color="auto"/>
        <w:bottom w:val="none" w:sz="0" w:space="0" w:color="auto"/>
        <w:right w:val="none" w:sz="0" w:space="0" w:color="auto"/>
      </w:divBdr>
    </w:div>
    <w:div w:id="1494179112">
      <w:bodyDiv w:val="1"/>
      <w:marLeft w:val="0"/>
      <w:marRight w:val="0"/>
      <w:marTop w:val="0"/>
      <w:marBottom w:val="0"/>
      <w:divBdr>
        <w:top w:val="none" w:sz="0" w:space="0" w:color="auto"/>
        <w:left w:val="none" w:sz="0" w:space="0" w:color="auto"/>
        <w:bottom w:val="none" w:sz="0" w:space="0" w:color="auto"/>
        <w:right w:val="none" w:sz="0" w:space="0" w:color="auto"/>
      </w:divBdr>
    </w:div>
    <w:div w:id="1502626807">
      <w:bodyDiv w:val="1"/>
      <w:marLeft w:val="0"/>
      <w:marRight w:val="0"/>
      <w:marTop w:val="0"/>
      <w:marBottom w:val="0"/>
      <w:divBdr>
        <w:top w:val="none" w:sz="0" w:space="0" w:color="auto"/>
        <w:left w:val="none" w:sz="0" w:space="0" w:color="auto"/>
        <w:bottom w:val="none" w:sz="0" w:space="0" w:color="auto"/>
        <w:right w:val="none" w:sz="0" w:space="0" w:color="auto"/>
      </w:divBdr>
    </w:div>
    <w:div w:id="1506745639">
      <w:bodyDiv w:val="1"/>
      <w:marLeft w:val="0"/>
      <w:marRight w:val="0"/>
      <w:marTop w:val="0"/>
      <w:marBottom w:val="0"/>
      <w:divBdr>
        <w:top w:val="none" w:sz="0" w:space="0" w:color="auto"/>
        <w:left w:val="none" w:sz="0" w:space="0" w:color="auto"/>
        <w:bottom w:val="none" w:sz="0" w:space="0" w:color="auto"/>
        <w:right w:val="none" w:sz="0" w:space="0" w:color="auto"/>
      </w:divBdr>
    </w:div>
    <w:div w:id="1522669956">
      <w:bodyDiv w:val="1"/>
      <w:marLeft w:val="0"/>
      <w:marRight w:val="0"/>
      <w:marTop w:val="0"/>
      <w:marBottom w:val="0"/>
      <w:divBdr>
        <w:top w:val="none" w:sz="0" w:space="0" w:color="auto"/>
        <w:left w:val="none" w:sz="0" w:space="0" w:color="auto"/>
        <w:bottom w:val="none" w:sz="0" w:space="0" w:color="auto"/>
        <w:right w:val="none" w:sz="0" w:space="0" w:color="auto"/>
      </w:divBdr>
    </w:div>
    <w:div w:id="1522938701">
      <w:bodyDiv w:val="1"/>
      <w:marLeft w:val="0"/>
      <w:marRight w:val="0"/>
      <w:marTop w:val="0"/>
      <w:marBottom w:val="0"/>
      <w:divBdr>
        <w:top w:val="none" w:sz="0" w:space="0" w:color="auto"/>
        <w:left w:val="none" w:sz="0" w:space="0" w:color="auto"/>
        <w:bottom w:val="none" w:sz="0" w:space="0" w:color="auto"/>
        <w:right w:val="none" w:sz="0" w:space="0" w:color="auto"/>
      </w:divBdr>
    </w:div>
    <w:div w:id="1528910680">
      <w:bodyDiv w:val="1"/>
      <w:marLeft w:val="0"/>
      <w:marRight w:val="0"/>
      <w:marTop w:val="0"/>
      <w:marBottom w:val="0"/>
      <w:divBdr>
        <w:top w:val="none" w:sz="0" w:space="0" w:color="auto"/>
        <w:left w:val="none" w:sz="0" w:space="0" w:color="auto"/>
        <w:bottom w:val="none" w:sz="0" w:space="0" w:color="auto"/>
        <w:right w:val="none" w:sz="0" w:space="0" w:color="auto"/>
      </w:divBdr>
    </w:div>
    <w:div w:id="1529442616">
      <w:bodyDiv w:val="1"/>
      <w:marLeft w:val="0"/>
      <w:marRight w:val="0"/>
      <w:marTop w:val="0"/>
      <w:marBottom w:val="0"/>
      <w:divBdr>
        <w:top w:val="none" w:sz="0" w:space="0" w:color="auto"/>
        <w:left w:val="none" w:sz="0" w:space="0" w:color="auto"/>
        <w:bottom w:val="none" w:sz="0" w:space="0" w:color="auto"/>
        <w:right w:val="none" w:sz="0" w:space="0" w:color="auto"/>
      </w:divBdr>
    </w:div>
    <w:div w:id="1536699920">
      <w:bodyDiv w:val="1"/>
      <w:marLeft w:val="0"/>
      <w:marRight w:val="0"/>
      <w:marTop w:val="0"/>
      <w:marBottom w:val="0"/>
      <w:divBdr>
        <w:top w:val="none" w:sz="0" w:space="0" w:color="auto"/>
        <w:left w:val="none" w:sz="0" w:space="0" w:color="auto"/>
        <w:bottom w:val="none" w:sz="0" w:space="0" w:color="auto"/>
        <w:right w:val="none" w:sz="0" w:space="0" w:color="auto"/>
      </w:divBdr>
    </w:div>
    <w:div w:id="1539925657">
      <w:bodyDiv w:val="1"/>
      <w:marLeft w:val="0"/>
      <w:marRight w:val="0"/>
      <w:marTop w:val="0"/>
      <w:marBottom w:val="0"/>
      <w:divBdr>
        <w:top w:val="none" w:sz="0" w:space="0" w:color="auto"/>
        <w:left w:val="none" w:sz="0" w:space="0" w:color="auto"/>
        <w:bottom w:val="none" w:sz="0" w:space="0" w:color="auto"/>
        <w:right w:val="none" w:sz="0" w:space="0" w:color="auto"/>
      </w:divBdr>
    </w:div>
    <w:div w:id="1547839297">
      <w:bodyDiv w:val="1"/>
      <w:marLeft w:val="0"/>
      <w:marRight w:val="0"/>
      <w:marTop w:val="0"/>
      <w:marBottom w:val="0"/>
      <w:divBdr>
        <w:top w:val="none" w:sz="0" w:space="0" w:color="auto"/>
        <w:left w:val="none" w:sz="0" w:space="0" w:color="auto"/>
        <w:bottom w:val="none" w:sz="0" w:space="0" w:color="auto"/>
        <w:right w:val="none" w:sz="0" w:space="0" w:color="auto"/>
      </w:divBdr>
    </w:div>
    <w:div w:id="1552225596">
      <w:bodyDiv w:val="1"/>
      <w:marLeft w:val="0"/>
      <w:marRight w:val="0"/>
      <w:marTop w:val="0"/>
      <w:marBottom w:val="0"/>
      <w:divBdr>
        <w:top w:val="none" w:sz="0" w:space="0" w:color="auto"/>
        <w:left w:val="none" w:sz="0" w:space="0" w:color="auto"/>
        <w:bottom w:val="none" w:sz="0" w:space="0" w:color="auto"/>
        <w:right w:val="none" w:sz="0" w:space="0" w:color="auto"/>
      </w:divBdr>
    </w:div>
    <w:div w:id="1557888622">
      <w:bodyDiv w:val="1"/>
      <w:marLeft w:val="0"/>
      <w:marRight w:val="0"/>
      <w:marTop w:val="0"/>
      <w:marBottom w:val="0"/>
      <w:divBdr>
        <w:top w:val="none" w:sz="0" w:space="0" w:color="auto"/>
        <w:left w:val="none" w:sz="0" w:space="0" w:color="auto"/>
        <w:bottom w:val="none" w:sz="0" w:space="0" w:color="auto"/>
        <w:right w:val="none" w:sz="0" w:space="0" w:color="auto"/>
      </w:divBdr>
    </w:div>
    <w:div w:id="1562599479">
      <w:bodyDiv w:val="1"/>
      <w:marLeft w:val="0"/>
      <w:marRight w:val="0"/>
      <w:marTop w:val="0"/>
      <w:marBottom w:val="0"/>
      <w:divBdr>
        <w:top w:val="none" w:sz="0" w:space="0" w:color="auto"/>
        <w:left w:val="none" w:sz="0" w:space="0" w:color="auto"/>
        <w:bottom w:val="none" w:sz="0" w:space="0" w:color="auto"/>
        <w:right w:val="none" w:sz="0" w:space="0" w:color="auto"/>
      </w:divBdr>
    </w:div>
    <w:div w:id="1563367322">
      <w:bodyDiv w:val="1"/>
      <w:marLeft w:val="0"/>
      <w:marRight w:val="0"/>
      <w:marTop w:val="0"/>
      <w:marBottom w:val="0"/>
      <w:divBdr>
        <w:top w:val="none" w:sz="0" w:space="0" w:color="auto"/>
        <w:left w:val="none" w:sz="0" w:space="0" w:color="auto"/>
        <w:bottom w:val="none" w:sz="0" w:space="0" w:color="auto"/>
        <w:right w:val="none" w:sz="0" w:space="0" w:color="auto"/>
      </w:divBdr>
    </w:div>
    <w:div w:id="1564439083">
      <w:bodyDiv w:val="1"/>
      <w:marLeft w:val="0"/>
      <w:marRight w:val="0"/>
      <w:marTop w:val="0"/>
      <w:marBottom w:val="0"/>
      <w:divBdr>
        <w:top w:val="none" w:sz="0" w:space="0" w:color="auto"/>
        <w:left w:val="none" w:sz="0" w:space="0" w:color="auto"/>
        <w:bottom w:val="none" w:sz="0" w:space="0" w:color="auto"/>
        <w:right w:val="none" w:sz="0" w:space="0" w:color="auto"/>
      </w:divBdr>
    </w:div>
    <w:div w:id="1583176701">
      <w:bodyDiv w:val="1"/>
      <w:marLeft w:val="0"/>
      <w:marRight w:val="0"/>
      <w:marTop w:val="0"/>
      <w:marBottom w:val="0"/>
      <w:divBdr>
        <w:top w:val="none" w:sz="0" w:space="0" w:color="auto"/>
        <w:left w:val="none" w:sz="0" w:space="0" w:color="auto"/>
        <w:bottom w:val="none" w:sz="0" w:space="0" w:color="auto"/>
        <w:right w:val="none" w:sz="0" w:space="0" w:color="auto"/>
      </w:divBdr>
    </w:div>
    <w:div w:id="1583686252">
      <w:bodyDiv w:val="1"/>
      <w:marLeft w:val="0"/>
      <w:marRight w:val="0"/>
      <w:marTop w:val="0"/>
      <w:marBottom w:val="0"/>
      <w:divBdr>
        <w:top w:val="none" w:sz="0" w:space="0" w:color="auto"/>
        <w:left w:val="none" w:sz="0" w:space="0" w:color="auto"/>
        <w:bottom w:val="none" w:sz="0" w:space="0" w:color="auto"/>
        <w:right w:val="none" w:sz="0" w:space="0" w:color="auto"/>
      </w:divBdr>
    </w:div>
    <w:div w:id="1586648830">
      <w:bodyDiv w:val="1"/>
      <w:marLeft w:val="0"/>
      <w:marRight w:val="0"/>
      <w:marTop w:val="0"/>
      <w:marBottom w:val="0"/>
      <w:divBdr>
        <w:top w:val="none" w:sz="0" w:space="0" w:color="auto"/>
        <w:left w:val="none" w:sz="0" w:space="0" w:color="auto"/>
        <w:bottom w:val="none" w:sz="0" w:space="0" w:color="auto"/>
        <w:right w:val="none" w:sz="0" w:space="0" w:color="auto"/>
      </w:divBdr>
    </w:div>
    <w:div w:id="1596011592">
      <w:bodyDiv w:val="1"/>
      <w:marLeft w:val="0"/>
      <w:marRight w:val="0"/>
      <w:marTop w:val="0"/>
      <w:marBottom w:val="0"/>
      <w:divBdr>
        <w:top w:val="none" w:sz="0" w:space="0" w:color="auto"/>
        <w:left w:val="none" w:sz="0" w:space="0" w:color="auto"/>
        <w:bottom w:val="none" w:sz="0" w:space="0" w:color="auto"/>
        <w:right w:val="none" w:sz="0" w:space="0" w:color="auto"/>
      </w:divBdr>
    </w:div>
    <w:div w:id="1601600677">
      <w:bodyDiv w:val="1"/>
      <w:marLeft w:val="0"/>
      <w:marRight w:val="0"/>
      <w:marTop w:val="0"/>
      <w:marBottom w:val="0"/>
      <w:divBdr>
        <w:top w:val="none" w:sz="0" w:space="0" w:color="auto"/>
        <w:left w:val="none" w:sz="0" w:space="0" w:color="auto"/>
        <w:bottom w:val="none" w:sz="0" w:space="0" w:color="auto"/>
        <w:right w:val="none" w:sz="0" w:space="0" w:color="auto"/>
      </w:divBdr>
    </w:div>
    <w:div w:id="1602254946">
      <w:bodyDiv w:val="1"/>
      <w:marLeft w:val="0"/>
      <w:marRight w:val="0"/>
      <w:marTop w:val="0"/>
      <w:marBottom w:val="0"/>
      <w:divBdr>
        <w:top w:val="none" w:sz="0" w:space="0" w:color="auto"/>
        <w:left w:val="none" w:sz="0" w:space="0" w:color="auto"/>
        <w:bottom w:val="none" w:sz="0" w:space="0" w:color="auto"/>
        <w:right w:val="none" w:sz="0" w:space="0" w:color="auto"/>
      </w:divBdr>
    </w:div>
    <w:div w:id="1616519585">
      <w:bodyDiv w:val="1"/>
      <w:marLeft w:val="0"/>
      <w:marRight w:val="0"/>
      <w:marTop w:val="0"/>
      <w:marBottom w:val="0"/>
      <w:divBdr>
        <w:top w:val="none" w:sz="0" w:space="0" w:color="auto"/>
        <w:left w:val="none" w:sz="0" w:space="0" w:color="auto"/>
        <w:bottom w:val="none" w:sz="0" w:space="0" w:color="auto"/>
        <w:right w:val="none" w:sz="0" w:space="0" w:color="auto"/>
      </w:divBdr>
    </w:div>
    <w:div w:id="1620917026">
      <w:bodyDiv w:val="1"/>
      <w:marLeft w:val="0"/>
      <w:marRight w:val="0"/>
      <w:marTop w:val="0"/>
      <w:marBottom w:val="0"/>
      <w:divBdr>
        <w:top w:val="none" w:sz="0" w:space="0" w:color="auto"/>
        <w:left w:val="none" w:sz="0" w:space="0" w:color="auto"/>
        <w:bottom w:val="none" w:sz="0" w:space="0" w:color="auto"/>
        <w:right w:val="none" w:sz="0" w:space="0" w:color="auto"/>
      </w:divBdr>
    </w:div>
    <w:div w:id="1621302918">
      <w:bodyDiv w:val="1"/>
      <w:marLeft w:val="0"/>
      <w:marRight w:val="0"/>
      <w:marTop w:val="0"/>
      <w:marBottom w:val="0"/>
      <w:divBdr>
        <w:top w:val="none" w:sz="0" w:space="0" w:color="auto"/>
        <w:left w:val="none" w:sz="0" w:space="0" w:color="auto"/>
        <w:bottom w:val="none" w:sz="0" w:space="0" w:color="auto"/>
        <w:right w:val="none" w:sz="0" w:space="0" w:color="auto"/>
      </w:divBdr>
    </w:div>
    <w:div w:id="1626815285">
      <w:bodyDiv w:val="1"/>
      <w:marLeft w:val="0"/>
      <w:marRight w:val="0"/>
      <w:marTop w:val="0"/>
      <w:marBottom w:val="0"/>
      <w:divBdr>
        <w:top w:val="none" w:sz="0" w:space="0" w:color="auto"/>
        <w:left w:val="none" w:sz="0" w:space="0" w:color="auto"/>
        <w:bottom w:val="none" w:sz="0" w:space="0" w:color="auto"/>
        <w:right w:val="none" w:sz="0" w:space="0" w:color="auto"/>
      </w:divBdr>
    </w:div>
    <w:div w:id="1630865154">
      <w:bodyDiv w:val="1"/>
      <w:marLeft w:val="0"/>
      <w:marRight w:val="0"/>
      <w:marTop w:val="0"/>
      <w:marBottom w:val="0"/>
      <w:divBdr>
        <w:top w:val="none" w:sz="0" w:space="0" w:color="auto"/>
        <w:left w:val="none" w:sz="0" w:space="0" w:color="auto"/>
        <w:bottom w:val="none" w:sz="0" w:space="0" w:color="auto"/>
        <w:right w:val="none" w:sz="0" w:space="0" w:color="auto"/>
      </w:divBdr>
    </w:div>
    <w:div w:id="1643533058">
      <w:bodyDiv w:val="1"/>
      <w:marLeft w:val="0"/>
      <w:marRight w:val="0"/>
      <w:marTop w:val="0"/>
      <w:marBottom w:val="0"/>
      <w:divBdr>
        <w:top w:val="none" w:sz="0" w:space="0" w:color="auto"/>
        <w:left w:val="none" w:sz="0" w:space="0" w:color="auto"/>
        <w:bottom w:val="none" w:sz="0" w:space="0" w:color="auto"/>
        <w:right w:val="none" w:sz="0" w:space="0" w:color="auto"/>
      </w:divBdr>
    </w:div>
    <w:div w:id="1650354612">
      <w:bodyDiv w:val="1"/>
      <w:marLeft w:val="0"/>
      <w:marRight w:val="0"/>
      <w:marTop w:val="0"/>
      <w:marBottom w:val="0"/>
      <w:divBdr>
        <w:top w:val="none" w:sz="0" w:space="0" w:color="auto"/>
        <w:left w:val="none" w:sz="0" w:space="0" w:color="auto"/>
        <w:bottom w:val="none" w:sz="0" w:space="0" w:color="auto"/>
        <w:right w:val="none" w:sz="0" w:space="0" w:color="auto"/>
      </w:divBdr>
    </w:div>
    <w:div w:id="1651716830">
      <w:bodyDiv w:val="1"/>
      <w:marLeft w:val="0"/>
      <w:marRight w:val="0"/>
      <w:marTop w:val="0"/>
      <w:marBottom w:val="0"/>
      <w:divBdr>
        <w:top w:val="none" w:sz="0" w:space="0" w:color="auto"/>
        <w:left w:val="none" w:sz="0" w:space="0" w:color="auto"/>
        <w:bottom w:val="none" w:sz="0" w:space="0" w:color="auto"/>
        <w:right w:val="none" w:sz="0" w:space="0" w:color="auto"/>
      </w:divBdr>
    </w:div>
    <w:div w:id="1652366891">
      <w:bodyDiv w:val="1"/>
      <w:marLeft w:val="0"/>
      <w:marRight w:val="0"/>
      <w:marTop w:val="0"/>
      <w:marBottom w:val="0"/>
      <w:divBdr>
        <w:top w:val="none" w:sz="0" w:space="0" w:color="auto"/>
        <w:left w:val="none" w:sz="0" w:space="0" w:color="auto"/>
        <w:bottom w:val="none" w:sz="0" w:space="0" w:color="auto"/>
        <w:right w:val="none" w:sz="0" w:space="0" w:color="auto"/>
      </w:divBdr>
    </w:div>
    <w:div w:id="1661614662">
      <w:bodyDiv w:val="1"/>
      <w:marLeft w:val="0"/>
      <w:marRight w:val="0"/>
      <w:marTop w:val="0"/>
      <w:marBottom w:val="0"/>
      <w:divBdr>
        <w:top w:val="none" w:sz="0" w:space="0" w:color="auto"/>
        <w:left w:val="none" w:sz="0" w:space="0" w:color="auto"/>
        <w:bottom w:val="none" w:sz="0" w:space="0" w:color="auto"/>
        <w:right w:val="none" w:sz="0" w:space="0" w:color="auto"/>
      </w:divBdr>
    </w:div>
    <w:div w:id="1662074681">
      <w:bodyDiv w:val="1"/>
      <w:marLeft w:val="0"/>
      <w:marRight w:val="0"/>
      <w:marTop w:val="0"/>
      <w:marBottom w:val="0"/>
      <w:divBdr>
        <w:top w:val="none" w:sz="0" w:space="0" w:color="auto"/>
        <w:left w:val="none" w:sz="0" w:space="0" w:color="auto"/>
        <w:bottom w:val="none" w:sz="0" w:space="0" w:color="auto"/>
        <w:right w:val="none" w:sz="0" w:space="0" w:color="auto"/>
      </w:divBdr>
    </w:div>
    <w:div w:id="1663659558">
      <w:bodyDiv w:val="1"/>
      <w:marLeft w:val="0"/>
      <w:marRight w:val="0"/>
      <w:marTop w:val="0"/>
      <w:marBottom w:val="0"/>
      <w:divBdr>
        <w:top w:val="none" w:sz="0" w:space="0" w:color="auto"/>
        <w:left w:val="none" w:sz="0" w:space="0" w:color="auto"/>
        <w:bottom w:val="none" w:sz="0" w:space="0" w:color="auto"/>
        <w:right w:val="none" w:sz="0" w:space="0" w:color="auto"/>
      </w:divBdr>
    </w:div>
    <w:div w:id="1665938423">
      <w:bodyDiv w:val="1"/>
      <w:marLeft w:val="0"/>
      <w:marRight w:val="0"/>
      <w:marTop w:val="0"/>
      <w:marBottom w:val="0"/>
      <w:divBdr>
        <w:top w:val="none" w:sz="0" w:space="0" w:color="auto"/>
        <w:left w:val="none" w:sz="0" w:space="0" w:color="auto"/>
        <w:bottom w:val="none" w:sz="0" w:space="0" w:color="auto"/>
        <w:right w:val="none" w:sz="0" w:space="0" w:color="auto"/>
      </w:divBdr>
    </w:div>
    <w:div w:id="1673023737">
      <w:bodyDiv w:val="1"/>
      <w:marLeft w:val="0"/>
      <w:marRight w:val="0"/>
      <w:marTop w:val="0"/>
      <w:marBottom w:val="0"/>
      <w:divBdr>
        <w:top w:val="none" w:sz="0" w:space="0" w:color="auto"/>
        <w:left w:val="none" w:sz="0" w:space="0" w:color="auto"/>
        <w:bottom w:val="none" w:sz="0" w:space="0" w:color="auto"/>
        <w:right w:val="none" w:sz="0" w:space="0" w:color="auto"/>
      </w:divBdr>
    </w:div>
    <w:div w:id="1673683230">
      <w:bodyDiv w:val="1"/>
      <w:marLeft w:val="0"/>
      <w:marRight w:val="0"/>
      <w:marTop w:val="0"/>
      <w:marBottom w:val="0"/>
      <w:divBdr>
        <w:top w:val="none" w:sz="0" w:space="0" w:color="auto"/>
        <w:left w:val="none" w:sz="0" w:space="0" w:color="auto"/>
        <w:bottom w:val="none" w:sz="0" w:space="0" w:color="auto"/>
        <w:right w:val="none" w:sz="0" w:space="0" w:color="auto"/>
      </w:divBdr>
    </w:div>
    <w:div w:id="1677003237">
      <w:bodyDiv w:val="1"/>
      <w:marLeft w:val="0"/>
      <w:marRight w:val="0"/>
      <w:marTop w:val="0"/>
      <w:marBottom w:val="0"/>
      <w:divBdr>
        <w:top w:val="none" w:sz="0" w:space="0" w:color="auto"/>
        <w:left w:val="none" w:sz="0" w:space="0" w:color="auto"/>
        <w:bottom w:val="none" w:sz="0" w:space="0" w:color="auto"/>
        <w:right w:val="none" w:sz="0" w:space="0" w:color="auto"/>
      </w:divBdr>
    </w:div>
    <w:div w:id="1683431657">
      <w:bodyDiv w:val="1"/>
      <w:marLeft w:val="0"/>
      <w:marRight w:val="0"/>
      <w:marTop w:val="0"/>
      <w:marBottom w:val="0"/>
      <w:divBdr>
        <w:top w:val="none" w:sz="0" w:space="0" w:color="auto"/>
        <w:left w:val="none" w:sz="0" w:space="0" w:color="auto"/>
        <w:bottom w:val="none" w:sz="0" w:space="0" w:color="auto"/>
        <w:right w:val="none" w:sz="0" w:space="0" w:color="auto"/>
      </w:divBdr>
    </w:div>
    <w:div w:id="1689015846">
      <w:bodyDiv w:val="1"/>
      <w:marLeft w:val="0"/>
      <w:marRight w:val="0"/>
      <w:marTop w:val="0"/>
      <w:marBottom w:val="0"/>
      <w:divBdr>
        <w:top w:val="none" w:sz="0" w:space="0" w:color="auto"/>
        <w:left w:val="none" w:sz="0" w:space="0" w:color="auto"/>
        <w:bottom w:val="none" w:sz="0" w:space="0" w:color="auto"/>
        <w:right w:val="none" w:sz="0" w:space="0" w:color="auto"/>
      </w:divBdr>
    </w:div>
    <w:div w:id="1689407926">
      <w:bodyDiv w:val="1"/>
      <w:marLeft w:val="0"/>
      <w:marRight w:val="0"/>
      <w:marTop w:val="0"/>
      <w:marBottom w:val="0"/>
      <w:divBdr>
        <w:top w:val="none" w:sz="0" w:space="0" w:color="auto"/>
        <w:left w:val="none" w:sz="0" w:space="0" w:color="auto"/>
        <w:bottom w:val="none" w:sz="0" w:space="0" w:color="auto"/>
        <w:right w:val="none" w:sz="0" w:space="0" w:color="auto"/>
      </w:divBdr>
    </w:div>
    <w:div w:id="1699505142">
      <w:bodyDiv w:val="1"/>
      <w:marLeft w:val="0"/>
      <w:marRight w:val="0"/>
      <w:marTop w:val="0"/>
      <w:marBottom w:val="0"/>
      <w:divBdr>
        <w:top w:val="none" w:sz="0" w:space="0" w:color="auto"/>
        <w:left w:val="none" w:sz="0" w:space="0" w:color="auto"/>
        <w:bottom w:val="none" w:sz="0" w:space="0" w:color="auto"/>
        <w:right w:val="none" w:sz="0" w:space="0" w:color="auto"/>
      </w:divBdr>
    </w:div>
    <w:div w:id="1699692946">
      <w:bodyDiv w:val="1"/>
      <w:marLeft w:val="0"/>
      <w:marRight w:val="0"/>
      <w:marTop w:val="0"/>
      <w:marBottom w:val="0"/>
      <w:divBdr>
        <w:top w:val="none" w:sz="0" w:space="0" w:color="auto"/>
        <w:left w:val="none" w:sz="0" w:space="0" w:color="auto"/>
        <w:bottom w:val="none" w:sz="0" w:space="0" w:color="auto"/>
        <w:right w:val="none" w:sz="0" w:space="0" w:color="auto"/>
      </w:divBdr>
    </w:div>
    <w:div w:id="1711800725">
      <w:bodyDiv w:val="1"/>
      <w:marLeft w:val="0"/>
      <w:marRight w:val="0"/>
      <w:marTop w:val="0"/>
      <w:marBottom w:val="0"/>
      <w:divBdr>
        <w:top w:val="none" w:sz="0" w:space="0" w:color="auto"/>
        <w:left w:val="none" w:sz="0" w:space="0" w:color="auto"/>
        <w:bottom w:val="none" w:sz="0" w:space="0" w:color="auto"/>
        <w:right w:val="none" w:sz="0" w:space="0" w:color="auto"/>
      </w:divBdr>
    </w:div>
    <w:div w:id="1713965032">
      <w:bodyDiv w:val="1"/>
      <w:marLeft w:val="0"/>
      <w:marRight w:val="0"/>
      <w:marTop w:val="0"/>
      <w:marBottom w:val="0"/>
      <w:divBdr>
        <w:top w:val="none" w:sz="0" w:space="0" w:color="auto"/>
        <w:left w:val="none" w:sz="0" w:space="0" w:color="auto"/>
        <w:bottom w:val="none" w:sz="0" w:space="0" w:color="auto"/>
        <w:right w:val="none" w:sz="0" w:space="0" w:color="auto"/>
      </w:divBdr>
    </w:div>
    <w:div w:id="1715691635">
      <w:bodyDiv w:val="1"/>
      <w:marLeft w:val="0"/>
      <w:marRight w:val="0"/>
      <w:marTop w:val="0"/>
      <w:marBottom w:val="0"/>
      <w:divBdr>
        <w:top w:val="none" w:sz="0" w:space="0" w:color="auto"/>
        <w:left w:val="none" w:sz="0" w:space="0" w:color="auto"/>
        <w:bottom w:val="none" w:sz="0" w:space="0" w:color="auto"/>
        <w:right w:val="none" w:sz="0" w:space="0" w:color="auto"/>
      </w:divBdr>
    </w:div>
    <w:div w:id="1717195755">
      <w:bodyDiv w:val="1"/>
      <w:marLeft w:val="0"/>
      <w:marRight w:val="0"/>
      <w:marTop w:val="0"/>
      <w:marBottom w:val="0"/>
      <w:divBdr>
        <w:top w:val="none" w:sz="0" w:space="0" w:color="auto"/>
        <w:left w:val="none" w:sz="0" w:space="0" w:color="auto"/>
        <w:bottom w:val="none" w:sz="0" w:space="0" w:color="auto"/>
        <w:right w:val="none" w:sz="0" w:space="0" w:color="auto"/>
      </w:divBdr>
    </w:div>
    <w:div w:id="1717200044">
      <w:bodyDiv w:val="1"/>
      <w:marLeft w:val="0"/>
      <w:marRight w:val="0"/>
      <w:marTop w:val="0"/>
      <w:marBottom w:val="0"/>
      <w:divBdr>
        <w:top w:val="none" w:sz="0" w:space="0" w:color="auto"/>
        <w:left w:val="none" w:sz="0" w:space="0" w:color="auto"/>
        <w:bottom w:val="none" w:sz="0" w:space="0" w:color="auto"/>
        <w:right w:val="none" w:sz="0" w:space="0" w:color="auto"/>
      </w:divBdr>
    </w:div>
    <w:div w:id="1718697033">
      <w:bodyDiv w:val="1"/>
      <w:marLeft w:val="0"/>
      <w:marRight w:val="0"/>
      <w:marTop w:val="0"/>
      <w:marBottom w:val="0"/>
      <w:divBdr>
        <w:top w:val="none" w:sz="0" w:space="0" w:color="auto"/>
        <w:left w:val="none" w:sz="0" w:space="0" w:color="auto"/>
        <w:bottom w:val="none" w:sz="0" w:space="0" w:color="auto"/>
        <w:right w:val="none" w:sz="0" w:space="0" w:color="auto"/>
      </w:divBdr>
    </w:div>
    <w:div w:id="1727754748">
      <w:bodyDiv w:val="1"/>
      <w:marLeft w:val="0"/>
      <w:marRight w:val="0"/>
      <w:marTop w:val="0"/>
      <w:marBottom w:val="0"/>
      <w:divBdr>
        <w:top w:val="none" w:sz="0" w:space="0" w:color="auto"/>
        <w:left w:val="none" w:sz="0" w:space="0" w:color="auto"/>
        <w:bottom w:val="none" w:sz="0" w:space="0" w:color="auto"/>
        <w:right w:val="none" w:sz="0" w:space="0" w:color="auto"/>
      </w:divBdr>
    </w:div>
    <w:div w:id="1736783810">
      <w:bodyDiv w:val="1"/>
      <w:marLeft w:val="0"/>
      <w:marRight w:val="0"/>
      <w:marTop w:val="0"/>
      <w:marBottom w:val="0"/>
      <w:divBdr>
        <w:top w:val="none" w:sz="0" w:space="0" w:color="auto"/>
        <w:left w:val="none" w:sz="0" w:space="0" w:color="auto"/>
        <w:bottom w:val="none" w:sz="0" w:space="0" w:color="auto"/>
        <w:right w:val="none" w:sz="0" w:space="0" w:color="auto"/>
      </w:divBdr>
    </w:div>
    <w:div w:id="1744258227">
      <w:bodyDiv w:val="1"/>
      <w:marLeft w:val="0"/>
      <w:marRight w:val="0"/>
      <w:marTop w:val="0"/>
      <w:marBottom w:val="0"/>
      <w:divBdr>
        <w:top w:val="none" w:sz="0" w:space="0" w:color="auto"/>
        <w:left w:val="none" w:sz="0" w:space="0" w:color="auto"/>
        <w:bottom w:val="none" w:sz="0" w:space="0" w:color="auto"/>
        <w:right w:val="none" w:sz="0" w:space="0" w:color="auto"/>
      </w:divBdr>
    </w:div>
    <w:div w:id="1764913507">
      <w:bodyDiv w:val="1"/>
      <w:marLeft w:val="0"/>
      <w:marRight w:val="0"/>
      <w:marTop w:val="0"/>
      <w:marBottom w:val="0"/>
      <w:divBdr>
        <w:top w:val="none" w:sz="0" w:space="0" w:color="auto"/>
        <w:left w:val="none" w:sz="0" w:space="0" w:color="auto"/>
        <w:bottom w:val="none" w:sz="0" w:space="0" w:color="auto"/>
        <w:right w:val="none" w:sz="0" w:space="0" w:color="auto"/>
      </w:divBdr>
    </w:div>
    <w:div w:id="1767576053">
      <w:bodyDiv w:val="1"/>
      <w:marLeft w:val="0"/>
      <w:marRight w:val="0"/>
      <w:marTop w:val="0"/>
      <w:marBottom w:val="0"/>
      <w:divBdr>
        <w:top w:val="none" w:sz="0" w:space="0" w:color="auto"/>
        <w:left w:val="none" w:sz="0" w:space="0" w:color="auto"/>
        <w:bottom w:val="none" w:sz="0" w:space="0" w:color="auto"/>
        <w:right w:val="none" w:sz="0" w:space="0" w:color="auto"/>
      </w:divBdr>
    </w:div>
    <w:div w:id="1770856372">
      <w:bodyDiv w:val="1"/>
      <w:marLeft w:val="0"/>
      <w:marRight w:val="0"/>
      <w:marTop w:val="0"/>
      <w:marBottom w:val="0"/>
      <w:divBdr>
        <w:top w:val="none" w:sz="0" w:space="0" w:color="auto"/>
        <w:left w:val="none" w:sz="0" w:space="0" w:color="auto"/>
        <w:bottom w:val="none" w:sz="0" w:space="0" w:color="auto"/>
        <w:right w:val="none" w:sz="0" w:space="0" w:color="auto"/>
      </w:divBdr>
    </w:div>
    <w:div w:id="1776367545">
      <w:bodyDiv w:val="1"/>
      <w:marLeft w:val="0"/>
      <w:marRight w:val="0"/>
      <w:marTop w:val="0"/>
      <w:marBottom w:val="0"/>
      <w:divBdr>
        <w:top w:val="none" w:sz="0" w:space="0" w:color="auto"/>
        <w:left w:val="none" w:sz="0" w:space="0" w:color="auto"/>
        <w:bottom w:val="none" w:sz="0" w:space="0" w:color="auto"/>
        <w:right w:val="none" w:sz="0" w:space="0" w:color="auto"/>
      </w:divBdr>
    </w:div>
    <w:div w:id="1795102058">
      <w:bodyDiv w:val="1"/>
      <w:marLeft w:val="0"/>
      <w:marRight w:val="0"/>
      <w:marTop w:val="0"/>
      <w:marBottom w:val="0"/>
      <w:divBdr>
        <w:top w:val="none" w:sz="0" w:space="0" w:color="auto"/>
        <w:left w:val="none" w:sz="0" w:space="0" w:color="auto"/>
        <w:bottom w:val="none" w:sz="0" w:space="0" w:color="auto"/>
        <w:right w:val="none" w:sz="0" w:space="0" w:color="auto"/>
      </w:divBdr>
    </w:div>
    <w:div w:id="1798907623">
      <w:bodyDiv w:val="1"/>
      <w:marLeft w:val="0"/>
      <w:marRight w:val="0"/>
      <w:marTop w:val="0"/>
      <w:marBottom w:val="0"/>
      <w:divBdr>
        <w:top w:val="none" w:sz="0" w:space="0" w:color="auto"/>
        <w:left w:val="none" w:sz="0" w:space="0" w:color="auto"/>
        <w:bottom w:val="none" w:sz="0" w:space="0" w:color="auto"/>
        <w:right w:val="none" w:sz="0" w:space="0" w:color="auto"/>
      </w:divBdr>
    </w:div>
    <w:div w:id="1801533465">
      <w:bodyDiv w:val="1"/>
      <w:marLeft w:val="0"/>
      <w:marRight w:val="0"/>
      <w:marTop w:val="0"/>
      <w:marBottom w:val="0"/>
      <w:divBdr>
        <w:top w:val="none" w:sz="0" w:space="0" w:color="auto"/>
        <w:left w:val="none" w:sz="0" w:space="0" w:color="auto"/>
        <w:bottom w:val="none" w:sz="0" w:space="0" w:color="auto"/>
        <w:right w:val="none" w:sz="0" w:space="0" w:color="auto"/>
      </w:divBdr>
    </w:div>
    <w:div w:id="1805272109">
      <w:bodyDiv w:val="1"/>
      <w:marLeft w:val="0"/>
      <w:marRight w:val="0"/>
      <w:marTop w:val="0"/>
      <w:marBottom w:val="0"/>
      <w:divBdr>
        <w:top w:val="none" w:sz="0" w:space="0" w:color="auto"/>
        <w:left w:val="none" w:sz="0" w:space="0" w:color="auto"/>
        <w:bottom w:val="none" w:sz="0" w:space="0" w:color="auto"/>
        <w:right w:val="none" w:sz="0" w:space="0" w:color="auto"/>
      </w:divBdr>
    </w:div>
    <w:div w:id="1805926311">
      <w:bodyDiv w:val="1"/>
      <w:marLeft w:val="0"/>
      <w:marRight w:val="0"/>
      <w:marTop w:val="0"/>
      <w:marBottom w:val="0"/>
      <w:divBdr>
        <w:top w:val="none" w:sz="0" w:space="0" w:color="auto"/>
        <w:left w:val="none" w:sz="0" w:space="0" w:color="auto"/>
        <w:bottom w:val="none" w:sz="0" w:space="0" w:color="auto"/>
        <w:right w:val="none" w:sz="0" w:space="0" w:color="auto"/>
      </w:divBdr>
    </w:div>
    <w:div w:id="1813475511">
      <w:bodyDiv w:val="1"/>
      <w:marLeft w:val="0"/>
      <w:marRight w:val="0"/>
      <w:marTop w:val="0"/>
      <w:marBottom w:val="0"/>
      <w:divBdr>
        <w:top w:val="none" w:sz="0" w:space="0" w:color="auto"/>
        <w:left w:val="none" w:sz="0" w:space="0" w:color="auto"/>
        <w:bottom w:val="none" w:sz="0" w:space="0" w:color="auto"/>
        <w:right w:val="none" w:sz="0" w:space="0" w:color="auto"/>
      </w:divBdr>
    </w:div>
    <w:div w:id="1827936230">
      <w:bodyDiv w:val="1"/>
      <w:marLeft w:val="0"/>
      <w:marRight w:val="0"/>
      <w:marTop w:val="0"/>
      <w:marBottom w:val="0"/>
      <w:divBdr>
        <w:top w:val="none" w:sz="0" w:space="0" w:color="auto"/>
        <w:left w:val="none" w:sz="0" w:space="0" w:color="auto"/>
        <w:bottom w:val="none" w:sz="0" w:space="0" w:color="auto"/>
        <w:right w:val="none" w:sz="0" w:space="0" w:color="auto"/>
      </w:divBdr>
    </w:div>
    <w:div w:id="1830974058">
      <w:bodyDiv w:val="1"/>
      <w:marLeft w:val="0"/>
      <w:marRight w:val="0"/>
      <w:marTop w:val="0"/>
      <w:marBottom w:val="0"/>
      <w:divBdr>
        <w:top w:val="none" w:sz="0" w:space="0" w:color="auto"/>
        <w:left w:val="none" w:sz="0" w:space="0" w:color="auto"/>
        <w:bottom w:val="none" w:sz="0" w:space="0" w:color="auto"/>
        <w:right w:val="none" w:sz="0" w:space="0" w:color="auto"/>
      </w:divBdr>
    </w:div>
    <w:div w:id="1834375873">
      <w:bodyDiv w:val="1"/>
      <w:marLeft w:val="0"/>
      <w:marRight w:val="0"/>
      <w:marTop w:val="0"/>
      <w:marBottom w:val="0"/>
      <w:divBdr>
        <w:top w:val="none" w:sz="0" w:space="0" w:color="auto"/>
        <w:left w:val="none" w:sz="0" w:space="0" w:color="auto"/>
        <w:bottom w:val="none" w:sz="0" w:space="0" w:color="auto"/>
        <w:right w:val="none" w:sz="0" w:space="0" w:color="auto"/>
      </w:divBdr>
    </w:div>
    <w:div w:id="1856259932">
      <w:bodyDiv w:val="1"/>
      <w:marLeft w:val="0"/>
      <w:marRight w:val="0"/>
      <w:marTop w:val="0"/>
      <w:marBottom w:val="0"/>
      <w:divBdr>
        <w:top w:val="none" w:sz="0" w:space="0" w:color="auto"/>
        <w:left w:val="none" w:sz="0" w:space="0" w:color="auto"/>
        <w:bottom w:val="none" w:sz="0" w:space="0" w:color="auto"/>
        <w:right w:val="none" w:sz="0" w:space="0" w:color="auto"/>
      </w:divBdr>
    </w:div>
    <w:div w:id="1863543978">
      <w:bodyDiv w:val="1"/>
      <w:marLeft w:val="0"/>
      <w:marRight w:val="0"/>
      <w:marTop w:val="0"/>
      <w:marBottom w:val="0"/>
      <w:divBdr>
        <w:top w:val="none" w:sz="0" w:space="0" w:color="auto"/>
        <w:left w:val="none" w:sz="0" w:space="0" w:color="auto"/>
        <w:bottom w:val="none" w:sz="0" w:space="0" w:color="auto"/>
        <w:right w:val="none" w:sz="0" w:space="0" w:color="auto"/>
      </w:divBdr>
    </w:div>
    <w:div w:id="1863592921">
      <w:bodyDiv w:val="1"/>
      <w:marLeft w:val="0"/>
      <w:marRight w:val="0"/>
      <w:marTop w:val="0"/>
      <w:marBottom w:val="0"/>
      <w:divBdr>
        <w:top w:val="none" w:sz="0" w:space="0" w:color="auto"/>
        <w:left w:val="none" w:sz="0" w:space="0" w:color="auto"/>
        <w:bottom w:val="none" w:sz="0" w:space="0" w:color="auto"/>
        <w:right w:val="none" w:sz="0" w:space="0" w:color="auto"/>
      </w:divBdr>
    </w:div>
    <w:div w:id="1871604187">
      <w:bodyDiv w:val="1"/>
      <w:marLeft w:val="0"/>
      <w:marRight w:val="0"/>
      <w:marTop w:val="0"/>
      <w:marBottom w:val="0"/>
      <w:divBdr>
        <w:top w:val="none" w:sz="0" w:space="0" w:color="auto"/>
        <w:left w:val="none" w:sz="0" w:space="0" w:color="auto"/>
        <w:bottom w:val="none" w:sz="0" w:space="0" w:color="auto"/>
        <w:right w:val="none" w:sz="0" w:space="0" w:color="auto"/>
      </w:divBdr>
    </w:div>
    <w:div w:id="1873179988">
      <w:bodyDiv w:val="1"/>
      <w:marLeft w:val="0"/>
      <w:marRight w:val="0"/>
      <w:marTop w:val="0"/>
      <w:marBottom w:val="0"/>
      <w:divBdr>
        <w:top w:val="none" w:sz="0" w:space="0" w:color="auto"/>
        <w:left w:val="none" w:sz="0" w:space="0" w:color="auto"/>
        <w:bottom w:val="none" w:sz="0" w:space="0" w:color="auto"/>
        <w:right w:val="none" w:sz="0" w:space="0" w:color="auto"/>
      </w:divBdr>
    </w:div>
    <w:div w:id="1873302860">
      <w:bodyDiv w:val="1"/>
      <w:marLeft w:val="0"/>
      <w:marRight w:val="0"/>
      <w:marTop w:val="0"/>
      <w:marBottom w:val="0"/>
      <w:divBdr>
        <w:top w:val="none" w:sz="0" w:space="0" w:color="auto"/>
        <w:left w:val="none" w:sz="0" w:space="0" w:color="auto"/>
        <w:bottom w:val="none" w:sz="0" w:space="0" w:color="auto"/>
        <w:right w:val="none" w:sz="0" w:space="0" w:color="auto"/>
      </w:divBdr>
    </w:div>
    <w:div w:id="1873613560">
      <w:bodyDiv w:val="1"/>
      <w:marLeft w:val="0"/>
      <w:marRight w:val="0"/>
      <w:marTop w:val="0"/>
      <w:marBottom w:val="0"/>
      <w:divBdr>
        <w:top w:val="none" w:sz="0" w:space="0" w:color="auto"/>
        <w:left w:val="none" w:sz="0" w:space="0" w:color="auto"/>
        <w:bottom w:val="none" w:sz="0" w:space="0" w:color="auto"/>
        <w:right w:val="none" w:sz="0" w:space="0" w:color="auto"/>
      </w:divBdr>
    </w:div>
    <w:div w:id="1873805548">
      <w:bodyDiv w:val="1"/>
      <w:marLeft w:val="0"/>
      <w:marRight w:val="0"/>
      <w:marTop w:val="0"/>
      <w:marBottom w:val="0"/>
      <w:divBdr>
        <w:top w:val="none" w:sz="0" w:space="0" w:color="auto"/>
        <w:left w:val="none" w:sz="0" w:space="0" w:color="auto"/>
        <w:bottom w:val="none" w:sz="0" w:space="0" w:color="auto"/>
        <w:right w:val="none" w:sz="0" w:space="0" w:color="auto"/>
      </w:divBdr>
    </w:div>
    <w:div w:id="1878932902">
      <w:bodyDiv w:val="1"/>
      <w:marLeft w:val="0"/>
      <w:marRight w:val="0"/>
      <w:marTop w:val="0"/>
      <w:marBottom w:val="0"/>
      <w:divBdr>
        <w:top w:val="none" w:sz="0" w:space="0" w:color="auto"/>
        <w:left w:val="none" w:sz="0" w:space="0" w:color="auto"/>
        <w:bottom w:val="none" w:sz="0" w:space="0" w:color="auto"/>
        <w:right w:val="none" w:sz="0" w:space="0" w:color="auto"/>
      </w:divBdr>
    </w:div>
    <w:div w:id="1883130174">
      <w:bodyDiv w:val="1"/>
      <w:marLeft w:val="0"/>
      <w:marRight w:val="0"/>
      <w:marTop w:val="0"/>
      <w:marBottom w:val="0"/>
      <w:divBdr>
        <w:top w:val="none" w:sz="0" w:space="0" w:color="auto"/>
        <w:left w:val="none" w:sz="0" w:space="0" w:color="auto"/>
        <w:bottom w:val="none" w:sz="0" w:space="0" w:color="auto"/>
        <w:right w:val="none" w:sz="0" w:space="0" w:color="auto"/>
      </w:divBdr>
    </w:div>
    <w:div w:id="1883470109">
      <w:bodyDiv w:val="1"/>
      <w:marLeft w:val="0"/>
      <w:marRight w:val="0"/>
      <w:marTop w:val="0"/>
      <w:marBottom w:val="0"/>
      <w:divBdr>
        <w:top w:val="none" w:sz="0" w:space="0" w:color="auto"/>
        <w:left w:val="none" w:sz="0" w:space="0" w:color="auto"/>
        <w:bottom w:val="none" w:sz="0" w:space="0" w:color="auto"/>
        <w:right w:val="none" w:sz="0" w:space="0" w:color="auto"/>
      </w:divBdr>
    </w:div>
    <w:div w:id="1903832208">
      <w:bodyDiv w:val="1"/>
      <w:marLeft w:val="0"/>
      <w:marRight w:val="0"/>
      <w:marTop w:val="0"/>
      <w:marBottom w:val="0"/>
      <w:divBdr>
        <w:top w:val="none" w:sz="0" w:space="0" w:color="auto"/>
        <w:left w:val="none" w:sz="0" w:space="0" w:color="auto"/>
        <w:bottom w:val="none" w:sz="0" w:space="0" w:color="auto"/>
        <w:right w:val="none" w:sz="0" w:space="0" w:color="auto"/>
      </w:divBdr>
    </w:div>
    <w:div w:id="1905678719">
      <w:bodyDiv w:val="1"/>
      <w:marLeft w:val="0"/>
      <w:marRight w:val="0"/>
      <w:marTop w:val="0"/>
      <w:marBottom w:val="0"/>
      <w:divBdr>
        <w:top w:val="none" w:sz="0" w:space="0" w:color="auto"/>
        <w:left w:val="none" w:sz="0" w:space="0" w:color="auto"/>
        <w:bottom w:val="none" w:sz="0" w:space="0" w:color="auto"/>
        <w:right w:val="none" w:sz="0" w:space="0" w:color="auto"/>
      </w:divBdr>
    </w:div>
    <w:div w:id="1911694988">
      <w:bodyDiv w:val="1"/>
      <w:marLeft w:val="0"/>
      <w:marRight w:val="0"/>
      <w:marTop w:val="0"/>
      <w:marBottom w:val="0"/>
      <w:divBdr>
        <w:top w:val="none" w:sz="0" w:space="0" w:color="auto"/>
        <w:left w:val="none" w:sz="0" w:space="0" w:color="auto"/>
        <w:bottom w:val="none" w:sz="0" w:space="0" w:color="auto"/>
        <w:right w:val="none" w:sz="0" w:space="0" w:color="auto"/>
      </w:divBdr>
    </w:div>
    <w:div w:id="1921207298">
      <w:bodyDiv w:val="1"/>
      <w:marLeft w:val="0"/>
      <w:marRight w:val="0"/>
      <w:marTop w:val="0"/>
      <w:marBottom w:val="0"/>
      <w:divBdr>
        <w:top w:val="none" w:sz="0" w:space="0" w:color="auto"/>
        <w:left w:val="none" w:sz="0" w:space="0" w:color="auto"/>
        <w:bottom w:val="none" w:sz="0" w:space="0" w:color="auto"/>
        <w:right w:val="none" w:sz="0" w:space="0" w:color="auto"/>
      </w:divBdr>
    </w:div>
    <w:div w:id="1924753024">
      <w:bodyDiv w:val="1"/>
      <w:marLeft w:val="0"/>
      <w:marRight w:val="0"/>
      <w:marTop w:val="0"/>
      <w:marBottom w:val="0"/>
      <w:divBdr>
        <w:top w:val="none" w:sz="0" w:space="0" w:color="auto"/>
        <w:left w:val="none" w:sz="0" w:space="0" w:color="auto"/>
        <w:bottom w:val="none" w:sz="0" w:space="0" w:color="auto"/>
        <w:right w:val="none" w:sz="0" w:space="0" w:color="auto"/>
      </w:divBdr>
    </w:div>
    <w:div w:id="1926374899">
      <w:bodyDiv w:val="1"/>
      <w:marLeft w:val="0"/>
      <w:marRight w:val="0"/>
      <w:marTop w:val="0"/>
      <w:marBottom w:val="0"/>
      <w:divBdr>
        <w:top w:val="none" w:sz="0" w:space="0" w:color="auto"/>
        <w:left w:val="none" w:sz="0" w:space="0" w:color="auto"/>
        <w:bottom w:val="none" w:sz="0" w:space="0" w:color="auto"/>
        <w:right w:val="none" w:sz="0" w:space="0" w:color="auto"/>
      </w:divBdr>
    </w:div>
    <w:div w:id="1927496487">
      <w:bodyDiv w:val="1"/>
      <w:marLeft w:val="0"/>
      <w:marRight w:val="0"/>
      <w:marTop w:val="0"/>
      <w:marBottom w:val="0"/>
      <w:divBdr>
        <w:top w:val="none" w:sz="0" w:space="0" w:color="auto"/>
        <w:left w:val="none" w:sz="0" w:space="0" w:color="auto"/>
        <w:bottom w:val="none" w:sz="0" w:space="0" w:color="auto"/>
        <w:right w:val="none" w:sz="0" w:space="0" w:color="auto"/>
      </w:divBdr>
    </w:div>
    <w:div w:id="1929070435">
      <w:bodyDiv w:val="1"/>
      <w:marLeft w:val="0"/>
      <w:marRight w:val="0"/>
      <w:marTop w:val="0"/>
      <w:marBottom w:val="0"/>
      <w:divBdr>
        <w:top w:val="none" w:sz="0" w:space="0" w:color="auto"/>
        <w:left w:val="none" w:sz="0" w:space="0" w:color="auto"/>
        <w:bottom w:val="none" w:sz="0" w:space="0" w:color="auto"/>
        <w:right w:val="none" w:sz="0" w:space="0" w:color="auto"/>
      </w:divBdr>
    </w:div>
    <w:div w:id="1929583434">
      <w:bodyDiv w:val="1"/>
      <w:marLeft w:val="0"/>
      <w:marRight w:val="0"/>
      <w:marTop w:val="0"/>
      <w:marBottom w:val="0"/>
      <w:divBdr>
        <w:top w:val="none" w:sz="0" w:space="0" w:color="auto"/>
        <w:left w:val="none" w:sz="0" w:space="0" w:color="auto"/>
        <w:bottom w:val="none" w:sz="0" w:space="0" w:color="auto"/>
        <w:right w:val="none" w:sz="0" w:space="0" w:color="auto"/>
      </w:divBdr>
    </w:div>
    <w:div w:id="1930187701">
      <w:bodyDiv w:val="1"/>
      <w:marLeft w:val="0"/>
      <w:marRight w:val="0"/>
      <w:marTop w:val="0"/>
      <w:marBottom w:val="0"/>
      <w:divBdr>
        <w:top w:val="none" w:sz="0" w:space="0" w:color="auto"/>
        <w:left w:val="none" w:sz="0" w:space="0" w:color="auto"/>
        <w:bottom w:val="none" w:sz="0" w:space="0" w:color="auto"/>
        <w:right w:val="none" w:sz="0" w:space="0" w:color="auto"/>
      </w:divBdr>
    </w:div>
    <w:div w:id="1937052694">
      <w:bodyDiv w:val="1"/>
      <w:marLeft w:val="0"/>
      <w:marRight w:val="0"/>
      <w:marTop w:val="0"/>
      <w:marBottom w:val="0"/>
      <w:divBdr>
        <w:top w:val="none" w:sz="0" w:space="0" w:color="auto"/>
        <w:left w:val="none" w:sz="0" w:space="0" w:color="auto"/>
        <w:bottom w:val="none" w:sz="0" w:space="0" w:color="auto"/>
        <w:right w:val="none" w:sz="0" w:space="0" w:color="auto"/>
      </w:divBdr>
    </w:div>
    <w:div w:id="1937590145">
      <w:bodyDiv w:val="1"/>
      <w:marLeft w:val="0"/>
      <w:marRight w:val="0"/>
      <w:marTop w:val="0"/>
      <w:marBottom w:val="0"/>
      <w:divBdr>
        <w:top w:val="none" w:sz="0" w:space="0" w:color="auto"/>
        <w:left w:val="none" w:sz="0" w:space="0" w:color="auto"/>
        <w:bottom w:val="none" w:sz="0" w:space="0" w:color="auto"/>
        <w:right w:val="none" w:sz="0" w:space="0" w:color="auto"/>
      </w:divBdr>
    </w:div>
    <w:div w:id="1946158913">
      <w:bodyDiv w:val="1"/>
      <w:marLeft w:val="0"/>
      <w:marRight w:val="0"/>
      <w:marTop w:val="0"/>
      <w:marBottom w:val="0"/>
      <w:divBdr>
        <w:top w:val="none" w:sz="0" w:space="0" w:color="auto"/>
        <w:left w:val="none" w:sz="0" w:space="0" w:color="auto"/>
        <w:bottom w:val="none" w:sz="0" w:space="0" w:color="auto"/>
        <w:right w:val="none" w:sz="0" w:space="0" w:color="auto"/>
      </w:divBdr>
    </w:div>
    <w:div w:id="1947613723">
      <w:bodyDiv w:val="1"/>
      <w:marLeft w:val="0"/>
      <w:marRight w:val="0"/>
      <w:marTop w:val="0"/>
      <w:marBottom w:val="0"/>
      <w:divBdr>
        <w:top w:val="none" w:sz="0" w:space="0" w:color="auto"/>
        <w:left w:val="none" w:sz="0" w:space="0" w:color="auto"/>
        <w:bottom w:val="none" w:sz="0" w:space="0" w:color="auto"/>
        <w:right w:val="none" w:sz="0" w:space="0" w:color="auto"/>
      </w:divBdr>
    </w:div>
    <w:div w:id="1949072830">
      <w:bodyDiv w:val="1"/>
      <w:marLeft w:val="0"/>
      <w:marRight w:val="0"/>
      <w:marTop w:val="0"/>
      <w:marBottom w:val="0"/>
      <w:divBdr>
        <w:top w:val="none" w:sz="0" w:space="0" w:color="auto"/>
        <w:left w:val="none" w:sz="0" w:space="0" w:color="auto"/>
        <w:bottom w:val="none" w:sz="0" w:space="0" w:color="auto"/>
        <w:right w:val="none" w:sz="0" w:space="0" w:color="auto"/>
      </w:divBdr>
    </w:div>
    <w:div w:id="1951424556">
      <w:bodyDiv w:val="1"/>
      <w:marLeft w:val="0"/>
      <w:marRight w:val="0"/>
      <w:marTop w:val="0"/>
      <w:marBottom w:val="0"/>
      <w:divBdr>
        <w:top w:val="none" w:sz="0" w:space="0" w:color="auto"/>
        <w:left w:val="none" w:sz="0" w:space="0" w:color="auto"/>
        <w:bottom w:val="none" w:sz="0" w:space="0" w:color="auto"/>
        <w:right w:val="none" w:sz="0" w:space="0" w:color="auto"/>
      </w:divBdr>
    </w:div>
    <w:div w:id="1960214462">
      <w:bodyDiv w:val="1"/>
      <w:marLeft w:val="0"/>
      <w:marRight w:val="0"/>
      <w:marTop w:val="0"/>
      <w:marBottom w:val="0"/>
      <w:divBdr>
        <w:top w:val="none" w:sz="0" w:space="0" w:color="auto"/>
        <w:left w:val="none" w:sz="0" w:space="0" w:color="auto"/>
        <w:bottom w:val="none" w:sz="0" w:space="0" w:color="auto"/>
        <w:right w:val="none" w:sz="0" w:space="0" w:color="auto"/>
      </w:divBdr>
    </w:div>
    <w:div w:id="1966232463">
      <w:bodyDiv w:val="1"/>
      <w:marLeft w:val="0"/>
      <w:marRight w:val="0"/>
      <w:marTop w:val="0"/>
      <w:marBottom w:val="0"/>
      <w:divBdr>
        <w:top w:val="none" w:sz="0" w:space="0" w:color="auto"/>
        <w:left w:val="none" w:sz="0" w:space="0" w:color="auto"/>
        <w:bottom w:val="none" w:sz="0" w:space="0" w:color="auto"/>
        <w:right w:val="none" w:sz="0" w:space="0" w:color="auto"/>
      </w:divBdr>
    </w:div>
    <w:div w:id="1975407807">
      <w:bodyDiv w:val="1"/>
      <w:marLeft w:val="0"/>
      <w:marRight w:val="0"/>
      <w:marTop w:val="0"/>
      <w:marBottom w:val="0"/>
      <w:divBdr>
        <w:top w:val="none" w:sz="0" w:space="0" w:color="auto"/>
        <w:left w:val="none" w:sz="0" w:space="0" w:color="auto"/>
        <w:bottom w:val="none" w:sz="0" w:space="0" w:color="auto"/>
        <w:right w:val="none" w:sz="0" w:space="0" w:color="auto"/>
      </w:divBdr>
    </w:div>
    <w:div w:id="1978486619">
      <w:bodyDiv w:val="1"/>
      <w:marLeft w:val="0"/>
      <w:marRight w:val="0"/>
      <w:marTop w:val="0"/>
      <w:marBottom w:val="0"/>
      <w:divBdr>
        <w:top w:val="none" w:sz="0" w:space="0" w:color="auto"/>
        <w:left w:val="none" w:sz="0" w:space="0" w:color="auto"/>
        <w:bottom w:val="none" w:sz="0" w:space="0" w:color="auto"/>
        <w:right w:val="none" w:sz="0" w:space="0" w:color="auto"/>
      </w:divBdr>
    </w:div>
    <w:div w:id="1994481325">
      <w:bodyDiv w:val="1"/>
      <w:marLeft w:val="0"/>
      <w:marRight w:val="0"/>
      <w:marTop w:val="0"/>
      <w:marBottom w:val="0"/>
      <w:divBdr>
        <w:top w:val="none" w:sz="0" w:space="0" w:color="auto"/>
        <w:left w:val="none" w:sz="0" w:space="0" w:color="auto"/>
        <w:bottom w:val="none" w:sz="0" w:space="0" w:color="auto"/>
        <w:right w:val="none" w:sz="0" w:space="0" w:color="auto"/>
      </w:divBdr>
    </w:div>
    <w:div w:id="2008631441">
      <w:bodyDiv w:val="1"/>
      <w:marLeft w:val="0"/>
      <w:marRight w:val="0"/>
      <w:marTop w:val="0"/>
      <w:marBottom w:val="0"/>
      <w:divBdr>
        <w:top w:val="none" w:sz="0" w:space="0" w:color="auto"/>
        <w:left w:val="none" w:sz="0" w:space="0" w:color="auto"/>
        <w:bottom w:val="none" w:sz="0" w:space="0" w:color="auto"/>
        <w:right w:val="none" w:sz="0" w:space="0" w:color="auto"/>
      </w:divBdr>
    </w:div>
    <w:div w:id="2011129484">
      <w:bodyDiv w:val="1"/>
      <w:marLeft w:val="0"/>
      <w:marRight w:val="0"/>
      <w:marTop w:val="0"/>
      <w:marBottom w:val="0"/>
      <w:divBdr>
        <w:top w:val="none" w:sz="0" w:space="0" w:color="auto"/>
        <w:left w:val="none" w:sz="0" w:space="0" w:color="auto"/>
        <w:bottom w:val="none" w:sz="0" w:space="0" w:color="auto"/>
        <w:right w:val="none" w:sz="0" w:space="0" w:color="auto"/>
      </w:divBdr>
    </w:div>
    <w:div w:id="2013490476">
      <w:bodyDiv w:val="1"/>
      <w:marLeft w:val="0"/>
      <w:marRight w:val="0"/>
      <w:marTop w:val="0"/>
      <w:marBottom w:val="0"/>
      <w:divBdr>
        <w:top w:val="none" w:sz="0" w:space="0" w:color="auto"/>
        <w:left w:val="none" w:sz="0" w:space="0" w:color="auto"/>
        <w:bottom w:val="none" w:sz="0" w:space="0" w:color="auto"/>
        <w:right w:val="none" w:sz="0" w:space="0" w:color="auto"/>
      </w:divBdr>
    </w:div>
    <w:div w:id="2014141724">
      <w:bodyDiv w:val="1"/>
      <w:marLeft w:val="0"/>
      <w:marRight w:val="0"/>
      <w:marTop w:val="0"/>
      <w:marBottom w:val="0"/>
      <w:divBdr>
        <w:top w:val="none" w:sz="0" w:space="0" w:color="auto"/>
        <w:left w:val="none" w:sz="0" w:space="0" w:color="auto"/>
        <w:bottom w:val="none" w:sz="0" w:space="0" w:color="auto"/>
        <w:right w:val="none" w:sz="0" w:space="0" w:color="auto"/>
      </w:divBdr>
    </w:div>
    <w:div w:id="2018343993">
      <w:bodyDiv w:val="1"/>
      <w:marLeft w:val="0"/>
      <w:marRight w:val="0"/>
      <w:marTop w:val="0"/>
      <w:marBottom w:val="0"/>
      <w:divBdr>
        <w:top w:val="none" w:sz="0" w:space="0" w:color="auto"/>
        <w:left w:val="none" w:sz="0" w:space="0" w:color="auto"/>
        <w:bottom w:val="none" w:sz="0" w:space="0" w:color="auto"/>
        <w:right w:val="none" w:sz="0" w:space="0" w:color="auto"/>
      </w:divBdr>
    </w:div>
    <w:div w:id="2019578795">
      <w:bodyDiv w:val="1"/>
      <w:marLeft w:val="0"/>
      <w:marRight w:val="0"/>
      <w:marTop w:val="0"/>
      <w:marBottom w:val="0"/>
      <w:divBdr>
        <w:top w:val="none" w:sz="0" w:space="0" w:color="auto"/>
        <w:left w:val="none" w:sz="0" w:space="0" w:color="auto"/>
        <w:bottom w:val="none" w:sz="0" w:space="0" w:color="auto"/>
        <w:right w:val="none" w:sz="0" w:space="0" w:color="auto"/>
      </w:divBdr>
    </w:div>
    <w:div w:id="2029258416">
      <w:bodyDiv w:val="1"/>
      <w:marLeft w:val="0"/>
      <w:marRight w:val="0"/>
      <w:marTop w:val="0"/>
      <w:marBottom w:val="0"/>
      <w:divBdr>
        <w:top w:val="none" w:sz="0" w:space="0" w:color="auto"/>
        <w:left w:val="none" w:sz="0" w:space="0" w:color="auto"/>
        <w:bottom w:val="none" w:sz="0" w:space="0" w:color="auto"/>
        <w:right w:val="none" w:sz="0" w:space="0" w:color="auto"/>
      </w:divBdr>
    </w:div>
    <w:div w:id="2041080394">
      <w:bodyDiv w:val="1"/>
      <w:marLeft w:val="0"/>
      <w:marRight w:val="0"/>
      <w:marTop w:val="0"/>
      <w:marBottom w:val="0"/>
      <w:divBdr>
        <w:top w:val="none" w:sz="0" w:space="0" w:color="auto"/>
        <w:left w:val="none" w:sz="0" w:space="0" w:color="auto"/>
        <w:bottom w:val="none" w:sz="0" w:space="0" w:color="auto"/>
        <w:right w:val="none" w:sz="0" w:space="0" w:color="auto"/>
      </w:divBdr>
    </w:div>
    <w:div w:id="2052915781">
      <w:bodyDiv w:val="1"/>
      <w:marLeft w:val="0"/>
      <w:marRight w:val="0"/>
      <w:marTop w:val="0"/>
      <w:marBottom w:val="0"/>
      <w:divBdr>
        <w:top w:val="none" w:sz="0" w:space="0" w:color="auto"/>
        <w:left w:val="none" w:sz="0" w:space="0" w:color="auto"/>
        <w:bottom w:val="none" w:sz="0" w:space="0" w:color="auto"/>
        <w:right w:val="none" w:sz="0" w:space="0" w:color="auto"/>
      </w:divBdr>
    </w:div>
    <w:div w:id="2054886578">
      <w:bodyDiv w:val="1"/>
      <w:marLeft w:val="0"/>
      <w:marRight w:val="0"/>
      <w:marTop w:val="0"/>
      <w:marBottom w:val="0"/>
      <w:divBdr>
        <w:top w:val="none" w:sz="0" w:space="0" w:color="auto"/>
        <w:left w:val="none" w:sz="0" w:space="0" w:color="auto"/>
        <w:bottom w:val="none" w:sz="0" w:space="0" w:color="auto"/>
        <w:right w:val="none" w:sz="0" w:space="0" w:color="auto"/>
      </w:divBdr>
    </w:div>
    <w:div w:id="2055957958">
      <w:bodyDiv w:val="1"/>
      <w:marLeft w:val="0"/>
      <w:marRight w:val="0"/>
      <w:marTop w:val="0"/>
      <w:marBottom w:val="0"/>
      <w:divBdr>
        <w:top w:val="none" w:sz="0" w:space="0" w:color="auto"/>
        <w:left w:val="none" w:sz="0" w:space="0" w:color="auto"/>
        <w:bottom w:val="none" w:sz="0" w:space="0" w:color="auto"/>
        <w:right w:val="none" w:sz="0" w:space="0" w:color="auto"/>
      </w:divBdr>
    </w:div>
    <w:div w:id="2065446093">
      <w:bodyDiv w:val="1"/>
      <w:marLeft w:val="0"/>
      <w:marRight w:val="0"/>
      <w:marTop w:val="0"/>
      <w:marBottom w:val="0"/>
      <w:divBdr>
        <w:top w:val="none" w:sz="0" w:space="0" w:color="auto"/>
        <w:left w:val="none" w:sz="0" w:space="0" w:color="auto"/>
        <w:bottom w:val="none" w:sz="0" w:space="0" w:color="auto"/>
        <w:right w:val="none" w:sz="0" w:space="0" w:color="auto"/>
      </w:divBdr>
    </w:div>
    <w:div w:id="2066177512">
      <w:bodyDiv w:val="1"/>
      <w:marLeft w:val="0"/>
      <w:marRight w:val="0"/>
      <w:marTop w:val="0"/>
      <w:marBottom w:val="0"/>
      <w:divBdr>
        <w:top w:val="none" w:sz="0" w:space="0" w:color="auto"/>
        <w:left w:val="none" w:sz="0" w:space="0" w:color="auto"/>
        <w:bottom w:val="none" w:sz="0" w:space="0" w:color="auto"/>
        <w:right w:val="none" w:sz="0" w:space="0" w:color="auto"/>
      </w:divBdr>
    </w:div>
    <w:div w:id="2073502188">
      <w:bodyDiv w:val="1"/>
      <w:marLeft w:val="0"/>
      <w:marRight w:val="0"/>
      <w:marTop w:val="0"/>
      <w:marBottom w:val="0"/>
      <w:divBdr>
        <w:top w:val="none" w:sz="0" w:space="0" w:color="auto"/>
        <w:left w:val="none" w:sz="0" w:space="0" w:color="auto"/>
        <w:bottom w:val="none" w:sz="0" w:space="0" w:color="auto"/>
        <w:right w:val="none" w:sz="0" w:space="0" w:color="auto"/>
      </w:divBdr>
    </w:div>
    <w:div w:id="2078164893">
      <w:bodyDiv w:val="1"/>
      <w:marLeft w:val="0"/>
      <w:marRight w:val="0"/>
      <w:marTop w:val="0"/>
      <w:marBottom w:val="0"/>
      <w:divBdr>
        <w:top w:val="none" w:sz="0" w:space="0" w:color="auto"/>
        <w:left w:val="none" w:sz="0" w:space="0" w:color="auto"/>
        <w:bottom w:val="none" w:sz="0" w:space="0" w:color="auto"/>
        <w:right w:val="none" w:sz="0" w:space="0" w:color="auto"/>
      </w:divBdr>
    </w:div>
    <w:div w:id="2084835837">
      <w:bodyDiv w:val="1"/>
      <w:marLeft w:val="0"/>
      <w:marRight w:val="0"/>
      <w:marTop w:val="0"/>
      <w:marBottom w:val="0"/>
      <w:divBdr>
        <w:top w:val="none" w:sz="0" w:space="0" w:color="auto"/>
        <w:left w:val="none" w:sz="0" w:space="0" w:color="auto"/>
        <w:bottom w:val="none" w:sz="0" w:space="0" w:color="auto"/>
        <w:right w:val="none" w:sz="0" w:space="0" w:color="auto"/>
      </w:divBdr>
    </w:div>
    <w:div w:id="2088649409">
      <w:bodyDiv w:val="1"/>
      <w:marLeft w:val="0"/>
      <w:marRight w:val="0"/>
      <w:marTop w:val="0"/>
      <w:marBottom w:val="0"/>
      <w:divBdr>
        <w:top w:val="none" w:sz="0" w:space="0" w:color="auto"/>
        <w:left w:val="none" w:sz="0" w:space="0" w:color="auto"/>
        <w:bottom w:val="none" w:sz="0" w:space="0" w:color="auto"/>
        <w:right w:val="none" w:sz="0" w:space="0" w:color="auto"/>
      </w:divBdr>
    </w:div>
    <w:div w:id="2090302022">
      <w:bodyDiv w:val="1"/>
      <w:marLeft w:val="0"/>
      <w:marRight w:val="0"/>
      <w:marTop w:val="0"/>
      <w:marBottom w:val="0"/>
      <w:divBdr>
        <w:top w:val="none" w:sz="0" w:space="0" w:color="auto"/>
        <w:left w:val="none" w:sz="0" w:space="0" w:color="auto"/>
        <w:bottom w:val="none" w:sz="0" w:space="0" w:color="auto"/>
        <w:right w:val="none" w:sz="0" w:space="0" w:color="auto"/>
      </w:divBdr>
    </w:div>
    <w:div w:id="2091464331">
      <w:bodyDiv w:val="1"/>
      <w:marLeft w:val="0"/>
      <w:marRight w:val="0"/>
      <w:marTop w:val="0"/>
      <w:marBottom w:val="0"/>
      <w:divBdr>
        <w:top w:val="none" w:sz="0" w:space="0" w:color="auto"/>
        <w:left w:val="none" w:sz="0" w:space="0" w:color="auto"/>
        <w:bottom w:val="none" w:sz="0" w:space="0" w:color="auto"/>
        <w:right w:val="none" w:sz="0" w:space="0" w:color="auto"/>
      </w:divBdr>
    </w:div>
    <w:div w:id="2092777623">
      <w:bodyDiv w:val="1"/>
      <w:marLeft w:val="0"/>
      <w:marRight w:val="0"/>
      <w:marTop w:val="0"/>
      <w:marBottom w:val="0"/>
      <w:divBdr>
        <w:top w:val="none" w:sz="0" w:space="0" w:color="auto"/>
        <w:left w:val="none" w:sz="0" w:space="0" w:color="auto"/>
        <w:bottom w:val="none" w:sz="0" w:space="0" w:color="auto"/>
        <w:right w:val="none" w:sz="0" w:space="0" w:color="auto"/>
      </w:divBdr>
    </w:div>
    <w:div w:id="2099062105">
      <w:bodyDiv w:val="1"/>
      <w:marLeft w:val="0"/>
      <w:marRight w:val="0"/>
      <w:marTop w:val="0"/>
      <w:marBottom w:val="0"/>
      <w:divBdr>
        <w:top w:val="none" w:sz="0" w:space="0" w:color="auto"/>
        <w:left w:val="none" w:sz="0" w:space="0" w:color="auto"/>
        <w:bottom w:val="none" w:sz="0" w:space="0" w:color="auto"/>
        <w:right w:val="none" w:sz="0" w:space="0" w:color="auto"/>
      </w:divBdr>
    </w:div>
    <w:div w:id="2099133312">
      <w:bodyDiv w:val="1"/>
      <w:marLeft w:val="0"/>
      <w:marRight w:val="0"/>
      <w:marTop w:val="0"/>
      <w:marBottom w:val="0"/>
      <w:divBdr>
        <w:top w:val="none" w:sz="0" w:space="0" w:color="auto"/>
        <w:left w:val="none" w:sz="0" w:space="0" w:color="auto"/>
        <w:bottom w:val="none" w:sz="0" w:space="0" w:color="auto"/>
        <w:right w:val="none" w:sz="0" w:space="0" w:color="auto"/>
      </w:divBdr>
    </w:div>
    <w:div w:id="2105494469">
      <w:bodyDiv w:val="1"/>
      <w:marLeft w:val="0"/>
      <w:marRight w:val="0"/>
      <w:marTop w:val="0"/>
      <w:marBottom w:val="0"/>
      <w:divBdr>
        <w:top w:val="none" w:sz="0" w:space="0" w:color="auto"/>
        <w:left w:val="none" w:sz="0" w:space="0" w:color="auto"/>
        <w:bottom w:val="none" w:sz="0" w:space="0" w:color="auto"/>
        <w:right w:val="none" w:sz="0" w:space="0" w:color="auto"/>
      </w:divBdr>
    </w:div>
    <w:div w:id="2105569472">
      <w:bodyDiv w:val="1"/>
      <w:marLeft w:val="0"/>
      <w:marRight w:val="0"/>
      <w:marTop w:val="0"/>
      <w:marBottom w:val="0"/>
      <w:divBdr>
        <w:top w:val="none" w:sz="0" w:space="0" w:color="auto"/>
        <w:left w:val="none" w:sz="0" w:space="0" w:color="auto"/>
        <w:bottom w:val="none" w:sz="0" w:space="0" w:color="auto"/>
        <w:right w:val="none" w:sz="0" w:space="0" w:color="auto"/>
      </w:divBdr>
    </w:div>
    <w:div w:id="2114282230">
      <w:bodyDiv w:val="1"/>
      <w:marLeft w:val="0"/>
      <w:marRight w:val="0"/>
      <w:marTop w:val="0"/>
      <w:marBottom w:val="0"/>
      <w:divBdr>
        <w:top w:val="none" w:sz="0" w:space="0" w:color="auto"/>
        <w:left w:val="none" w:sz="0" w:space="0" w:color="auto"/>
        <w:bottom w:val="none" w:sz="0" w:space="0" w:color="auto"/>
        <w:right w:val="none" w:sz="0" w:space="0" w:color="auto"/>
      </w:divBdr>
    </w:div>
    <w:div w:id="2117291709">
      <w:bodyDiv w:val="1"/>
      <w:marLeft w:val="0"/>
      <w:marRight w:val="0"/>
      <w:marTop w:val="0"/>
      <w:marBottom w:val="0"/>
      <w:divBdr>
        <w:top w:val="none" w:sz="0" w:space="0" w:color="auto"/>
        <w:left w:val="none" w:sz="0" w:space="0" w:color="auto"/>
        <w:bottom w:val="none" w:sz="0" w:space="0" w:color="auto"/>
        <w:right w:val="none" w:sz="0" w:space="0" w:color="auto"/>
      </w:divBdr>
    </w:div>
    <w:div w:id="2118015384">
      <w:bodyDiv w:val="1"/>
      <w:marLeft w:val="0"/>
      <w:marRight w:val="0"/>
      <w:marTop w:val="0"/>
      <w:marBottom w:val="0"/>
      <w:divBdr>
        <w:top w:val="none" w:sz="0" w:space="0" w:color="auto"/>
        <w:left w:val="none" w:sz="0" w:space="0" w:color="auto"/>
        <w:bottom w:val="none" w:sz="0" w:space="0" w:color="auto"/>
        <w:right w:val="none" w:sz="0" w:space="0" w:color="auto"/>
      </w:divBdr>
    </w:div>
    <w:div w:id="2121221231">
      <w:bodyDiv w:val="1"/>
      <w:marLeft w:val="0"/>
      <w:marRight w:val="0"/>
      <w:marTop w:val="0"/>
      <w:marBottom w:val="0"/>
      <w:divBdr>
        <w:top w:val="none" w:sz="0" w:space="0" w:color="auto"/>
        <w:left w:val="none" w:sz="0" w:space="0" w:color="auto"/>
        <w:bottom w:val="none" w:sz="0" w:space="0" w:color="auto"/>
        <w:right w:val="none" w:sz="0" w:space="0" w:color="auto"/>
      </w:divBdr>
    </w:div>
    <w:div w:id="2127456920">
      <w:bodyDiv w:val="1"/>
      <w:marLeft w:val="0"/>
      <w:marRight w:val="0"/>
      <w:marTop w:val="0"/>
      <w:marBottom w:val="0"/>
      <w:divBdr>
        <w:top w:val="none" w:sz="0" w:space="0" w:color="auto"/>
        <w:left w:val="none" w:sz="0" w:space="0" w:color="auto"/>
        <w:bottom w:val="none" w:sz="0" w:space="0" w:color="auto"/>
        <w:right w:val="none" w:sz="0" w:space="0" w:color="auto"/>
      </w:divBdr>
    </w:div>
    <w:div w:id="2133359895">
      <w:bodyDiv w:val="1"/>
      <w:marLeft w:val="0"/>
      <w:marRight w:val="0"/>
      <w:marTop w:val="0"/>
      <w:marBottom w:val="0"/>
      <w:divBdr>
        <w:top w:val="none" w:sz="0" w:space="0" w:color="auto"/>
        <w:left w:val="none" w:sz="0" w:space="0" w:color="auto"/>
        <w:bottom w:val="none" w:sz="0" w:space="0" w:color="auto"/>
        <w:right w:val="none" w:sz="0" w:space="0" w:color="auto"/>
      </w:divBdr>
    </w:div>
    <w:div w:id="214410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38B4C-0B49-4826-B318-D960043D5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12738</Words>
  <Characters>72607</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Koray Öztürk</vt:lpstr>
    </vt:vector>
  </TitlesOfParts>
  <Company>Deloitte &amp; Touche</Company>
  <LinksUpToDate>false</LinksUpToDate>
  <CharactersWithSpaces>85175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Koray Öztürk</dc:title>
  <dc:subject>NOT Reporter v.1</dc:subject>
  <dc:creator>Koray Öztürk</dc:creator>
  <cp:lastModifiedBy>GULFERO</cp:lastModifiedBy>
  <cp:revision>3</cp:revision>
  <cp:lastPrinted>2014-04-29T13:54:00Z</cp:lastPrinted>
  <dcterms:created xsi:type="dcterms:W3CDTF">2014-04-30T12:03:00Z</dcterms:created>
  <dcterms:modified xsi:type="dcterms:W3CDTF">2014-05-07T11:08:00Z</dcterms:modified>
</cp:coreProperties>
</file>